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39689">
      <w:pPr>
        <w:pStyle w:val="6"/>
        <w:pageBreakBefore w:val="0"/>
        <w:kinsoku/>
        <w:wordWrap/>
        <w:overflowPunct/>
        <w:topLinePunct w:val="0"/>
        <w:bidi w:val="0"/>
        <w:spacing w:line="560" w:lineRule="atLeast"/>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96475"/>
      <w:bookmarkStart w:id="2" w:name="_Toc15377425"/>
      <w:bookmarkStart w:id="3" w:name="_Toc15306267"/>
      <w:bookmarkStart w:id="4" w:name="_Toc15396597"/>
      <w:bookmarkStart w:id="5" w:name="_Toc15378441"/>
    </w:p>
    <w:p w14:paraId="30F1EED1">
      <w:pPr>
        <w:pStyle w:val="6"/>
        <w:pageBreakBefore w:val="0"/>
        <w:kinsoku/>
        <w:wordWrap/>
        <w:overflowPunct/>
        <w:topLinePunct w:val="0"/>
        <w:bidi w:val="0"/>
        <w:spacing w:line="560" w:lineRule="atLeast"/>
        <w:rPr>
          <w:rFonts w:hint="eastAsia" w:ascii="Times New Roman" w:hAnsi="Times New Roman" w:eastAsia="方正小标宋简体" w:cs="Times New Roman"/>
          <w:color w:val="auto"/>
          <w:kern w:val="2"/>
          <w:sz w:val="72"/>
          <w:szCs w:val="72"/>
          <w:highlight w:val="none"/>
          <w:lang w:val="en-US" w:eastAsia="zh-CN" w:bidi="ar-SA"/>
        </w:rPr>
      </w:pPr>
    </w:p>
    <w:p w14:paraId="6E71B645">
      <w:pPr>
        <w:pStyle w:val="6"/>
        <w:pageBreakBefore w:val="0"/>
        <w:kinsoku/>
        <w:wordWrap/>
        <w:overflowPunct/>
        <w:topLinePunct w:val="0"/>
        <w:bidi w:val="0"/>
        <w:spacing w:line="560" w:lineRule="atLeast"/>
        <w:rPr>
          <w:rFonts w:hint="eastAsia" w:ascii="Times New Roman" w:hAnsi="Times New Roman" w:eastAsia="方正小标宋简体" w:cs="Times New Roman"/>
          <w:color w:val="auto"/>
          <w:kern w:val="2"/>
          <w:sz w:val="72"/>
          <w:szCs w:val="72"/>
          <w:highlight w:val="none"/>
          <w:lang w:val="en-US" w:eastAsia="zh-CN" w:bidi="ar-SA"/>
        </w:rPr>
      </w:pPr>
    </w:p>
    <w:p w14:paraId="70E85226">
      <w:pPr>
        <w:pStyle w:val="6"/>
        <w:pageBreakBefore w:val="0"/>
        <w:kinsoku/>
        <w:wordWrap/>
        <w:overflowPunct/>
        <w:topLinePunct w:val="0"/>
        <w:bidi w:val="0"/>
        <w:spacing w:line="560" w:lineRule="atLeast"/>
        <w:rPr>
          <w:rFonts w:hint="eastAsia" w:ascii="Times New Roman" w:hAnsi="Times New Roman" w:eastAsia="方正小标宋简体" w:cs="Times New Roman"/>
          <w:color w:val="auto"/>
          <w:kern w:val="2"/>
          <w:sz w:val="72"/>
          <w:szCs w:val="72"/>
          <w:highlight w:val="none"/>
          <w:lang w:val="en-US" w:eastAsia="zh-CN" w:bidi="ar-SA"/>
        </w:rPr>
      </w:pPr>
    </w:p>
    <w:p w14:paraId="1610CEA5">
      <w:pPr>
        <w:pageBreakBefore w:val="0"/>
        <w:kinsoku/>
        <w:wordWrap/>
        <w:overflowPunct/>
        <w:topLinePunct w:val="0"/>
        <w:bidi w:val="0"/>
        <w:adjustRightInd w:val="0"/>
        <w:snapToGrid w:val="0"/>
        <w:spacing w:line="560" w:lineRule="atLeast"/>
        <w:jc w:val="center"/>
        <w:outlineLvl w:val="0"/>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202</w:t>
      </w:r>
      <w:r>
        <w:rPr>
          <w:rFonts w:hint="eastAsia" w:asciiTheme="majorEastAsia" w:hAnsiTheme="majorEastAsia" w:eastAsiaTheme="majorEastAsia" w:cstheme="majorEastAsia"/>
          <w:b/>
          <w:bCs/>
          <w:sz w:val="44"/>
          <w:szCs w:val="44"/>
          <w:lang w:val="en-US" w:eastAsia="zh-CN"/>
        </w:rPr>
        <w:t>5</w:t>
      </w:r>
      <w:r>
        <w:rPr>
          <w:rFonts w:hint="eastAsia" w:asciiTheme="majorEastAsia" w:hAnsiTheme="majorEastAsia" w:eastAsiaTheme="majorEastAsia" w:cstheme="majorEastAsia"/>
          <w:b/>
          <w:bCs/>
          <w:sz w:val="44"/>
          <w:szCs w:val="44"/>
        </w:rPr>
        <w:t>年度阿坝</w:t>
      </w:r>
      <w:r>
        <w:rPr>
          <w:rFonts w:hint="eastAsia" w:asciiTheme="majorEastAsia" w:hAnsiTheme="majorEastAsia" w:eastAsiaTheme="majorEastAsia" w:cstheme="majorEastAsia"/>
          <w:b/>
          <w:bCs/>
          <w:sz w:val="44"/>
          <w:szCs w:val="44"/>
          <w:lang w:eastAsia="zh-CN"/>
        </w:rPr>
        <w:t>藏族羌族自治</w:t>
      </w:r>
      <w:r>
        <w:rPr>
          <w:rFonts w:hint="eastAsia" w:asciiTheme="majorEastAsia" w:hAnsiTheme="majorEastAsia" w:eastAsiaTheme="majorEastAsia" w:cstheme="majorEastAsia"/>
          <w:b/>
          <w:bCs/>
          <w:sz w:val="44"/>
          <w:szCs w:val="44"/>
        </w:rPr>
        <w:t>州民族歌舞团</w:t>
      </w:r>
    </w:p>
    <w:p w14:paraId="44A443FD">
      <w:pPr>
        <w:pageBreakBefore w:val="0"/>
        <w:kinsoku/>
        <w:wordWrap/>
        <w:overflowPunct/>
        <w:topLinePunct w:val="0"/>
        <w:bidi w:val="0"/>
        <w:adjustRightInd w:val="0"/>
        <w:snapToGrid w:val="0"/>
        <w:spacing w:line="560" w:lineRule="atLeast"/>
        <w:jc w:val="center"/>
        <w:outlineLvl w:val="0"/>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rPr>
        <w:t>决算</w:t>
      </w:r>
      <w:r>
        <w:rPr>
          <w:rFonts w:hint="eastAsia" w:asciiTheme="majorEastAsia" w:hAnsiTheme="majorEastAsia" w:eastAsiaTheme="majorEastAsia" w:cstheme="majorEastAsia"/>
          <w:b/>
          <w:bCs/>
          <w:sz w:val="44"/>
          <w:szCs w:val="44"/>
          <w:lang w:eastAsia="zh-CN"/>
        </w:rPr>
        <w:t>公开说明</w:t>
      </w:r>
    </w:p>
    <w:p w14:paraId="0A791FCE">
      <w:pPr>
        <w:pageBreakBefore w:val="0"/>
        <w:kinsoku/>
        <w:wordWrap/>
        <w:overflowPunct/>
        <w:topLinePunct w:val="0"/>
        <w:bidi w:val="0"/>
        <w:spacing w:line="560" w:lineRule="atLeast"/>
        <w:jc w:val="center"/>
        <w:outlineLvl w:val="0"/>
        <w:rPr>
          <w:rFonts w:ascii="Times New Roman" w:hAnsi="Times New Roman" w:eastAsia="方正小标宋简体"/>
          <w:color w:val="auto"/>
          <w:sz w:val="72"/>
          <w:szCs w:val="72"/>
          <w:highlight w:val="none"/>
        </w:rPr>
      </w:pPr>
    </w:p>
    <w:p w14:paraId="6E59BD9D">
      <w:pPr>
        <w:pStyle w:val="9"/>
        <w:pageBreakBefore w:val="0"/>
        <w:kinsoku/>
        <w:wordWrap/>
        <w:overflowPunct/>
        <w:topLinePunct w:val="0"/>
        <w:bidi w:val="0"/>
        <w:spacing w:line="560" w:lineRule="atLeast"/>
        <w:rPr>
          <w:rFonts w:ascii="Times New Roman" w:hAnsi="Times New Roman" w:eastAsia="方正小标宋简体"/>
          <w:color w:val="auto"/>
          <w:sz w:val="72"/>
          <w:szCs w:val="72"/>
          <w:highlight w:val="none"/>
        </w:rPr>
      </w:pPr>
    </w:p>
    <w:p w14:paraId="2489A27D">
      <w:pPr>
        <w:pStyle w:val="10"/>
        <w:pageBreakBefore w:val="0"/>
        <w:widowControl w:val="0"/>
        <w:numPr>
          <w:ilvl w:val="0"/>
          <w:numId w:val="0"/>
        </w:numPr>
        <w:kinsoku/>
        <w:wordWrap/>
        <w:overflowPunct/>
        <w:topLinePunct w:val="0"/>
        <w:bidi w:val="0"/>
        <w:spacing w:line="560" w:lineRule="atLeast"/>
        <w:jc w:val="both"/>
        <w:rPr>
          <w:rFonts w:ascii="Times New Roman" w:hAnsi="Times New Roman" w:eastAsia="方正小标宋简体"/>
          <w:color w:val="auto"/>
          <w:sz w:val="72"/>
          <w:szCs w:val="72"/>
          <w:highlight w:val="none"/>
        </w:rPr>
      </w:pPr>
    </w:p>
    <w:p w14:paraId="6C6680AE">
      <w:pPr>
        <w:pStyle w:val="10"/>
        <w:pageBreakBefore w:val="0"/>
        <w:widowControl w:val="0"/>
        <w:numPr>
          <w:ilvl w:val="0"/>
          <w:numId w:val="0"/>
        </w:numPr>
        <w:kinsoku/>
        <w:wordWrap/>
        <w:overflowPunct/>
        <w:topLinePunct w:val="0"/>
        <w:bidi w:val="0"/>
        <w:spacing w:line="560" w:lineRule="atLeast"/>
        <w:jc w:val="both"/>
        <w:rPr>
          <w:rFonts w:ascii="Times New Roman" w:hAnsi="Times New Roman" w:eastAsia="方正小标宋简体"/>
          <w:color w:val="auto"/>
          <w:sz w:val="72"/>
          <w:szCs w:val="72"/>
          <w:highlight w:val="none"/>
        </w:rPr>
      </w:pPr>
    </w:p>
    <w:p w14:paraId="2C9468F5">
      <w:pPr>
        <w:pStyle w:val="10"/>
        <w:pageBreakBefore w:val="0"/>
        <w:widowControl w:val="0"/>
        <w:numPr>
          <w:ilvl w:val="0"/>
          <w:numId w:val="0"/>
        </w:numPr>
        <w:kinsoku/>
        <w:wordWrap/>
        <w:overflowPunct/>
        <w:topLinePunct w:val="0"/>
        <w:bidi w:val="0"/>
        <w:spacing w:line="560" w:lineRule="atLeast"/>
        <w:jc w:val="both"/>
        <w:rPr>
          <w:rFonts w:ascii="Times New Roman" w:hAnsi="Times New Roman" w:eastAsia="方正小标宋简体"/>
          <w:color w:val="auto"/>
          <w:sz w:val="72"/>
          <w:szCs w:val="72"/>
          <w:highlight w:val="none"/>
        </w:rPr>
      </w:pPr>
    </w:p>
    <w:p w14:paraId="06CDE2C6">
      <w:pPr>
        <w:pStyle w:val="10"/>
        <w:pageBreakBefore w:val="0"/>
        <w:widowControl w:val="0"/>
        <w:numPr>
          <w:ilvl w:val="0"/>
          <w:numId w:val="0"/>
        </w:numPr>
        <w:kinsoku/>
        <w:wordWrap/>
        <w:overflowPunct/>
        <w:topLinePunct w:val="0"/>
        <w:bidi w:val="0"/>
        <w:spacing w:line="560" w:lineRule="atLeast"/>
        <w:jc w:val="both"/>
        <w:rPr>
          <w:rFonts w:ascii="Times New Roman" w:hAnsi="Times New Roman" w:eastAsia="方正小标宋简体"/>
          <w:color w:val="auto"/>
          <w:sz w:val="72"/>
          <w:szCs w:val="72"/>
          <w:highlight w:val="none"/>
        </w:rPr>
      </w:pPr>
    </w:p>
    <w:p w14:paraId="42197674">
      <w:pPr>
        <w:pStyle w:val="10"/>
        <w:pageBreakBefore w:val="0"/>
        <w:widowControl w:val="0"/>
        <w:numPr>
          <w:ilvl w:val="0"/>
          <w:numId w:val="0"/>
        </w:numPr>
        <w:kinsoku/>
        <w:wordWrap/>
        <w:overflowPunct/>
        <w:topLinePunct w:val="0"/>
        <w:bidi w:val="0"/>
        <w:spacing w:line="560" w:lineRule="atLeast"/>
        <w:jc w:val="both"/>
        <w:rPr>
          <w:rFonts w:ascii="Times New Roman" w:hAnsi="Times New Roman" w:eastAsia="方正小标宋简体"/>
          <w:color w:val="auto"/>
          <w:sz w:val="72"/>
          <w:szCs w:val="72"/>
          <w:highlight w:val="none"/>
        </w:rPr>
      </w:pPr>
    </w:p>
    <w:p w14:paraId="0D48BFD8">
      <w:pPr>
        <w:pStyle w:val="10"/>
        <w:pageBreakBefore w:val="0"/>
        <w:widowControl w:val="0"/>
        <w:numPr>
          <w:ilvl w:val="0"/>
          <w:numId w:val="0"/>
        </w:numPr>
        <w:kinsoku/>
        <w:wordWrap/>
        <w:overflowPunct/>
        <w:topLinePunct w:val="0"/>
        <w:bidi w:val="0"/>
        <w:spacing w:line="560" w:lineRule="atLeast"/>
        <w:jc w:val="both"/>
        <w:rPr>
          <w:rFonts w:ascii="Times New Roman" w:hAnsi="Times New Roman" w:eastAsia="方正小标宋简体"/>
          <w:color w:val="auto"/>
          <w:sz w:val="72"/>
          <w:szCs w:val="72"/>
          <w:highlight w:val="none"/>
        </w:rPr>
      </w:pPr>
    </w:p>
    <w:p w14:paraId="4B97378E">
      <w:pPr>
        <w:pStyle w:val="2"/>
        <w:pageBreakBefore w:val="0"/>
        <w:kinsoku/>
        <w:wordWrap/>
        <w:overflowPunct/>
        <w:topLinePunct w:val="0"/>
        <w:bidi w:val="0"/>
        <w:spacing w:line="560" w:lineRule="atLeast"/>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bookmarkEnd w:id="0"/>
    <w:bookmarkEnd w:id="1"/>
    <w:bookmarkEnd w:id="2"/>
    <w:bookmarkEnd w:id="3"/>
    <w:bookmarkEnd w:id="4"/>
    <w:bookmarkEnd w:id="5"/>
    <w:p w14:paraId="587CC41E">
      <w:pPr>
        <w:pageBreakBefore w:val="0"/>
        <w:widowControl/>
        <w:kinsoku/>
        <w:wordWrap/>
        <w:overflowPunct/>
        <w:topLinePunct w:val="0"/>
        <w:bidi w:val="0"/>
        <w:spacing w:line="560" w:lineRule="atLeast"/>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21130BB">
      <w:pPr>
        <w:pageBreakBefore w:val="0"/>
        <w:widowControl/>
        <w:kinsoku/>
        <w:wordWrap/>
        <w:overflowPunct/>
        <w:topLinePunct w:val="0"/>
        <w:bidi w:val="0"/>
        <w:spacing w:line="560" w:lineRule="atLeast"/>
        <w:jc w:val="center"/>
        <w:rPr>
          <w:rFonts w:ascii="Times New Roman" w:hAnsi="Times New Roman" w:eastAsia="黑体" w:cstheme="minorBidi"/>
          <w:color w:val="auto"/>
          <w:sz w:val="28"/>
          <w:szCs w:val="28"/>
          <w:highlight w:val="none"/>
        </w:rPr>
      </w:pPr>
    </w:p>
    <w:p w14:paraId="6B2802C3">
      <w:pPr>
        <w:pStyle w:val="14"/>
        <w:pageBreakBefore w:val="0"/>
        <w:kinsoku/>
        <w:wordWrap/>
        <w:overflowPunct/>
        <w:topLinePunct w:val="0"/>
        <w:bidi w:val="0"/>
        <w:spacing w:line="560" w:lineRule="atLeast"/>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9月18</w:t>
      </w:r>
      <w:r>
        <w:rPr>
          <w:rFonts w:hint="eastAsia" w:ascii="Times New Roman" w:hAnsi="Times New Roman" w:eastAsia="仿宋_GB2312" w:cs="仿宋_GB2312"/>
          <w:color w:val="auto"/>
          <w:sz w:val="32"/>
          <w:szCs w:val="32"/>
          <w:highlight w:val="none"/>
        </w:rPr>
        <w:t>日</w:t>
      </w:r>
    </w:p>
    <w:p w14:paraId="1AC5699D">
      <w:pPr>
        <w:pageBreakBefore w:val="0"/>
        <w:kinsoku/>
        <w:wordWrap/>
        <w:overflowPunct/>
        <w:topLinePunct w:val="0"/>
        <w:bidi w:val="0"/>
        <w:spacing w:line="560" w:lineRule="atLeast"/>
        <w:rPr>
          <w:rFonts w:ascii="Times New Roman" w:hAnsi="Times New Roman"/>
          <w:color w:val="auto"/>
          <w:highlight w:val="none"/>
        </w:rPr>
      </w:pPr>
    </w:p>
    <w:p w14:paraId="453BD32A">
      <w:pPr>
        <w:pStyle w:val="14"/>
        <w:keepNext w:val="0"/>
        <w:keepLines w:val="0"/>
        <w:pageBreakBefore w:val="0"/>
        <w:kinsoku/>
        <w:wordWrap/>
        <w:overflowPunct/>
        <w:topLinePunct w:val="0"/>
        <w:autoSpaceDE/>
        <w:autoSpaceDN/>
        <w:bidi w:val="0"/>
        <w:adjustRightInd w:val="0"/>
        <w:snapToGrid w:val="0"/>
        <w:spacing w:before="0" w:line="560" w:lineRule="atLeas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0C8C2889">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sz w:val="24"/>
        </w:rPr>
        <w:tab/>
      </w:r>
      <w:r>
        <w:rPr>
          <w:rFonts w:hint="eastAsia"/>
          <w:sz w:val="24"/>
          <w:lang w:val="en-US" w:eastAsia="zh-CN"/>
        </w:rPr>
        <w:t>4</w:t>
      </w:r>
    </w:p>
    <w:p w14:paraId="6A7C8C6D">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sz w:val="24"/>
        </w:rPr>
        <w:tab/>
      </w:r>
      <w:r>
        <w:rPr>
          <w:rFonts w:hint="eastAsia"/>
          <w:sz w:val="24"/>
          <w:lang w:val="en-US" w:eastAsia="zh-CN"/>
        </w:rPr>
        <w:t>4</w:t>
      </w:r>
    </w:p>
    <w:p w14:paraId="0A68628A">
      <w:pPr>
        <w:pStyle w:val="14"/>
        <w:keepNext w:val="0"/>
        <w:keepLines w:val="0"/>
        <w:pageBreakBefore w:val="0"/>
        <w:kinsoku/>
        <w:wordWrap/>
        <w:overflowPunct/>
        <w:topLinePunct w:val="0"/>
        <w:autoSpaceDE/>
        <w:autoSpaceDN/>
        <w:bidi w:val="0"/>
        <w:adjustRightInd w:val="0"/>
        <w:snapToGrid w:val="0"/>
        <w:spacing w:before="0" w:line="560" w:lineRule="atLeas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6D810752">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sz w:val="24"/>
        </w:rPr>
        <w:tab/>
      </w:r>
      <w:r>
        <w:rPr>
          <w:rFonts w:hint="eastAsia"/>
          <w:sz w:val="24"/>
          <w:lang w:val="en-US" w:eastAsia="zh-CN"/>
        </w:rPr>
        <w:t>5</w:t>
      </w:r>
    </w:p>
    <w:p w14:paraId="2223ECCA">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sz w:val="24"/>
        </w:rPr>
        <w:tab/>
      </w:r>
      <w:r>
        <w:rPr>
          <w:rFonts w:hint="eastAsia"/>
          <w:sz w:val="24"/>
          <w:lang w:val="en-US" w:eastAsia="zh-CN"/>
        </w:rPr>
        <w:t>6</w:t>
      </w:r>
    </w:p>
    <w:p w14:paraId="02F71217">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sz w:val="24"/>
        </w:rPr>
        <w:tab/>
      </w:r>
      <w:r>
        <w:rPr>
          <w:rFonts w:hint="eastAsia"/>
          <w:sz w:val="24"/>
          <w:lang w:val="en-US" w:eastAsia="zh-CN"/>
        </w:rPr>
        <w:t>6</w:t>
      </w:r>
    </w:p>
    <w:p w14:paraId="3BA2473C">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r>
        <w:rPr>
          <w:sz w:val="24"/>
        </w:rPr>
        <w:tab/>
      </w:r>
      <w:r>
        <w:rPr>
          <w:rFonts w:hint="eastAsia"/>
          <w:sz w:val="24"/>
          <w:lang w:val="en-US" w:eastAsia="zh-CN"/>
        </w:rPr>
        <w:t>7</w:t>
      </w:r>
    </w:p>
    <w:p w14:paraId="7B56599C">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sz w:val="24"/>
        </w:rPr>
        <w:tab/>
      </w:r>
      <w:r>
        <w:rPr>
          <w:rFonts w:hint="eastAsia"/>
          <w:sz w:val="24"/>
          <w:lang w:val="en-US" w:eastAsia="zh-CN"/>
        </w:rPr>
        <w:t>8</w:t>
      </w:r>
    </w:p>
    <w:p w14:paraId="26945C19">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sz w:val="24"/>
        </w:rPr>
        <w:tab/>
      </w:r>
      <w:r>
        <w:rPr>
          <w:rFonts w:hint="eastAsia"/>
          <w:sz w:val="24"/>
          <w:lang w:val="en-US" w:eastAsia="zh-CN"/>
        </w:rPr>
        <w:t>11</w:t>
      </w:r>
    </w:p>
    <w:p w14:paraId="59B1D38D">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sz w:val="24"/>
        </w:rPr>
        <w:tab/>
      </w:r>
      <w:r>
        <w:rPr>
          <w:rFonts w:hint="eastAsia"/>
          <w:sz w:val="24"/>
          <w:lang w:val="en-US" w:eastAsia="zh-CN"/>
        </w:rPr>
        <w:t>11</w:t>
      </w:r>
    </w:p>
    <w:p w14:paraId="48C60FBD">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八、政府性基金预算支出决算情况说明</w:t>
      </w:r>
      <w:r>
        <w:rPr>
          <w:sz w:val="24"/>
        </w:rPr>
        <w:tab/>
      </w:r>
      <w:r>
        <w:rPr>
          <w:rFonts w:hint="eastAsia"/>
          <w:sz w:val="24"/>
          <w:lang w:val="en-US" w:eastAsia="zh-CN"/>
        </w:rPr>
        <w:t>13</w:t>
      </w:r>
    </w:p>
    <w:p w14:paraId="5260F7A6">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sz w:val="24"/>
        </w:rPr>
        <w:tab/>
      </w:r>
      <w:r>
        <w:rPr>
          <w:rFonts w:hint="eastAsia"/>
          <w:sz w:val="24"/>
          <w:lang w:val="en-US" w:eastAsia="zh-CN"/>
        </w:rPr>
        <w:t>13</w:t>
      </w:r>
    </w:p>
    <w:p w14:paraId="0FE52EFD">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sz w:val="24"/>
        </w:rPr>
        <w:tab/>
      </w:r>
      <w:r>
        <w:rPr>
          <w:rFonts w:hint="eastAsia"/>
          <w:sz w:val="24"/>
          <w:lang w:val="en-US" w:eastAsia="zh-CN"/>
        </w:rPr>
        <w:t>14</w:t>
      </w:r>
    </w:p>
    <w:p w14:paraId="27142552">
      <w:pPr>
        <w:pStyle w:val="14"/>
        <w:keepNext w:val="0"/>
        <w:keepLines w:val="0"/>
        <w:pageBreakBefore w:val="0"/>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第三部分 名词解释</w:t>
      </w:r>
      <w:r>
        <w:rPr>
          <w:sz w:val="24"/>
        </w:rPr>
        <w:tab/>
      </w:r>
      <w:r>
        <w:rPr>
          <w:rFonts w:hint="eastAsia"/>
          <w:sz w:val="24"/>
          <w:lang w:val="en-US" w:eastAsia="zh-CN"/>
        </w:rPr>
        <w:t>16</w:t>
      </w:r>
    </w:p>
    <w:p w14:paraId="590B9B59">
      <w:pPr>
        <w:pStyle w:val="14"/>
        <w:keepNext w:val="0"/>
        <w:keepLines w:val="0"/>
        <w:pageBreakBefore w:val="0"/>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第四部分 附件</w:t>
      </w:r>
      <w:r>
        <w:rPr>
          <w:sz w:val="24"/>
        </w:rPr>
        <w:tab/>
      </w:r>
      <w:r>
        <w:rPr>
          <w:rFonts w:hint="eastAsia"/>
          <w:sz w:val="24"/>
          <w:lang w:val="en-US" w:eastAsia="zh-CN"/>
        </w:rPr>
        <w:t>29</w:t>
      </w:r>
    </w:p>
    <w:p w14:paraId="24469D8A">
      <w:pPr>
        <w:pStyle w:val="14"/>
        <w:keepNext w:val="0"/>
        <w:keepLines w:val="0"/>
        <w:pageBreakBefore w:val="0"/>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sz w:val="24"/>
        </w:rPr>
        <w:tab/>
      </w:r>
      <w:r>
        <w:rPr>
          <w:rFonts w:hint="eastAsia"/>
          <w:sz w:val="24"/>
          <w:lang w:val="en-US" w:eastAsia="zh-CN"/>
        </w:rPr>
        <w:t>50</w:t>
      </w:r>
    </w:p>
    <w:p w14:paraId="5B949247">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sz w:val="24"/>
        </w:rPr>
        <w:tab/>
      </w:r>
      <w:r>
        <w:rPr>
          <w:rFonts w:hint="eastAsia"/>
          <w:sz w:val="24"/>
          <w:lang w:val="en-US" w:eastAsia="zh-CN"/>
        </w:rPr>
        <w:t>51</w:t>
      </w:r>
    </w:p>
    <w:p w14:paraId="72B496A6">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sz w:val="24"/>
        </w:rPr>
        <w:tab/>
      </w:r>
      <w:r>
        <w:rPr>
          <w:rFonts w:hint="eastAsia"/>
          <w:sz w:val="24"/>
          <w:lang w:val="en-US" w:eastAsia="zh-CN"/>
        </w:rPr>
        <w:t>52</w:t>
      </w:r>
    </w:p>
    <w:p w14:paraId="553FFB6E">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sz w:val="24"/>
        </w:rPr>
        <w:tab/>
      </w:r>
      <w:r>
        <w:rPr>
          <w:rFonts w:hint="eastAsia"/>
          <w:sz w:val="24"/>
          <w:lang w:val="en-US" w:eastAsia="zh-CN"/>
        </w:rPr>
        <w:t>53</w:t>
      </w:r>
    </w:p>
    <w:p w14:paraId="0D86716F">
      <w:pPr>
        <w:pageBreakBefore w:val="0"/>
        <w:widowControl/>
        <w:kinsoku/>
        <w:wordWrap/>
        <w:overflowPunct/>
        <w:topLinePunct w:val="0"/>
        <w:bidi w:val="0"/>
        <w:spacing w:line="560" w:lineRule="atLeast"/>
        <w:jc w:val="center"/>
        <w:rPr>
          <w:rFonts w:hint="eastAsia" w:ascii="Times New Roman" w:hAnsi="Times New Roman" w:eastAsia="黑体"/>
          <w:color w:val="auto"/>
          <w:sz w:val="48"/>
          <w:szCs w:val="48"/>
          <w:highlight w:val="none"/>
        </w:rPr>
        <w:sectPr>
          <w:footerReference r:id="rId7" w:type="first"/>
          <w:footerReference r:id="rId6" w:type="default"/>
          <w:pgSz w:w="11906" w:h="16838"/>
          <w:pgMar w:top="1440" w:right="1800" w:bottom="1440" w:left="1800" w:header="851" w:footer="992" w:gutter="0"/>
          <w:pgNumType w:fmt="decimal"/>
          <w:cols w:space="425" w:num="1"/>
          <w:titlePg/>
          <w:docGrid w:type="lines" w:linePitch="312" w:charSpace="0"/>
        </w:sectPr>
      </w:pPr>
    </w:p>
    <w:p w14:paraId="04BD4BBF">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14:paraId="3B0FCE3A">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sz w:val="24"/>
        </w:rPr>
        <w:tab/>
      </w:r>
      <w:r>
        <w:rPr>
          <w:rFonts w:hint="eastAsia"/>
          <w:sz w:val="24"/>
          <w:lang w:val="en-US" w:eastAsia="zh-CN"/>
        </w:rPr>
        <w:t>54</w:t>
      </w:r>
    </w:p>
    <w:p w14:paraId="12A53D58">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sz w:val="24"/>
        </w:rPr>
        <w:tab/>
      </w:r>
      <w:r>
        <w:rPr>
          <w:rFonts w:hint="eastAsia"/>
          <w:sz w:val="24"/>
          <w:lang w:val="en-US" w:eastAsia="zh-CN"/>
        </w:rPr>
        <w:t>55</w:t>
      </w:r>
    </w:p>
    <w:p w14:paraId="29F718F9">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sz w:val="24"/>
        </w:rPr>
        <w:tab/>
      </w:r>
      <w:r>
        <w:rPr>
          <w:rFonts w:hint="eastAsia"/>
          <w:sz w:val="24"/>
          <w:lang w:val="en-US" w:eastAsia="zh-CN"/>
        </w:rPr>
        <w:t>56</w:t>
      </w:r>
    </w:p>
    <w:p w14:paraId="394F21A1">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sz w:val="24"/>
        </w:rPr>
        <w:tab/>
      </w:r>
      <w:r>
        <w:rPr>
          <w:rFonts w:hint="eastAsia"/>
          <w:sz w:val="24"/>
          <w:lang w:val="en-US" w:eastAsia="zh-CN"/>
        </w:rPr>
        <w:t>57</w:t>
      </w:r>
    </w:p>
    <w:p w14:paraId="1A3B2AC9">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sz w:val="24"/>
        </w:rPr>
        <w:tab/>
      </w:r>
      <w:r>
        <w:rPr>
          <w:rFonts w:hint="eastAsia"/>
          <w:sz w:val="24"/>
          <w:lang w:val="en-US" w:eastAsia="zh-CN"/>
        </w:rPr>
        <w:t>58</w:t>
      </w:r>
    </w:p>
    <w:p w14:paraId="666C4BCE">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sz w:val="24"/>
        </w:rPr>
        <w:tab/>
      </w:r>
      <w:r>
        <w:rPr>
          <w:rFonts w:hint="eastAsia"/>
          <w:sz w:val="24"/>
          <w:lang w:val="en-US" w:eastAsia="zh-CN"/>
        </w:rPr>
        <w:t>59</w:t>
      </w:r>
    </w:p>
    <w:p w14:paraId="436D1C96">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sz w:val="24"/>
        </w:rPr>
        <w:tab/>
      </w:r>
      <w:r>
        <w:rPr>
          <w:rFonts w:hint="eastAsia"/>
          <w:sz w:val="24"/>
          <w:lang w:val="en-US" w:eastAsia="zh-CN"/>
        </w:rPr>
        <w:t>60</w:t>
      </w:r>
    </w:p>
    <w:p w14:paraId="620024AB">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sz w:val="24"/>
        </w:rPr>
        <w:tab/>
      </w:r>
      <w:r>
        <w:rPr>
          <w:rFonts w:hint="eastAsia"/>
          <w:sz w:val="24"/>
          <w:lang w:val="en-US" w:eastAsia="zh-CN"/>
        </w:rPr>
        <w:t>61</w:t>
      </w:r>
    </w:p>
    <w:p w14:paraId="2441A262">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sz w:val="24"/>
        </w:rPr>
        <w:tab/>
      </w:r>
      <w:r>
        <w:rPr>
          <w:rFonts w:hint="eastAsia"/>
          <w:sz w:val="24"/>
          <w:lang w:val="en-US" w:eastAsia="zh-CN"/>
        </w:rPr>
        <w:t>62</w:t>
      </w:r>
    </w:p>
    <w:p w14:paraId="7073B6F6">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sz w:val="24"/>
        </w:rPr>
        <w:tab/>
      </w:r>
      <w:r>
        <w:rPr>
          <w:rFonts w:hint="eastAsia"/>
          <w:sz w:val="24"/>
          <w:lang w:val="en-US" w:eastAsia="zh-CN"/>
        </w:rPr>
        <w:t>63</w:t>
      </w:r>
    </w:p>
    <w:p w14:paraId="4C37DBA0">
      <w:pPr>
        <w:keepNext w:val="0"/>
        <w:keepLines w:val="0"/>
        <w:pageBreakBefore w:val="0"/>
        <w:widowControl/>
        <w:kinsoku/>
        <w:wordWrap/>
        <w:overflowPunct/>
        <w:topLinePunct w:val="0"/>
        <w:autoSpaceDE/>
        <w:autoSpaceDN/>
        <w:bidi w:val="0"/>
        <w:spacing w:line="560" w:lineRule="atLeas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00CBD749">
      <w:pPr>
        <w:pStyle w:val="3"/>
        <w:pageBreakBefore w:val="0"/>
        <w:kinsoku/>
        <w:wordWrap/>
        <w:overflowPunct/>
        <w:topLinePunct w:val="0"/>
        <w:bidi w:val="0"/>
        <w:spacing w:line="560" w:lineRule="atLeast"/>
        <w:jc w:val="center"/>
        <w:rPr>
          <w:rFonts w:hint="default" w:ascii="Times New Roman" w:hAnsi="Times New Roman" w:eastAsia="方正小标宋简体"/>
          <w:color w:val="auto"/>
          <w:sz w:val="32"/>
          <w:szCs w:val="32"/>
          <w:highlight w:val="none"/>
          <w:lang w:val="en-US" w:eastAsia="zh-CN"/>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6"/>
      <w:bookmarkEnd w:id="7"/>
      <w:r>
        <w:rPr>
          <w:rStyle w:val="31"/>
          <w:rFonts w:hint="eastAsia" w:eastAsia="方正小标宋简体" w:cs="方正小标宋简体"/>
          <w:b w:val="0"/>
          <w:bCs w:val="0"/>
          <w:color w:val="auto"/>
          <w:highlight w:val="none"/>
          <w:lang w:val="en-US" w:eastAsia="zh-CN"/>
        </w:rPr>
        <w:t xml:space="preserve">  </w:t>
      </w:r>
    </w:p>
    <w:p w14:paraId="42E00032">
      <w:pPr>
        <w:pStyle w:val="4"/>
        <w:pageBreakBefore w:val="0"/>
        <w:numPr>
          <w:ilvl w:val="0"/>
          <w:numId w:val="2"/>
        </w:numPr>
        <w:kinsoku/>
        <w:wordWrap/>
        <w:overflowPunct/>
        <w:topLinePunct w:val="0"/>
        <w:bidi w:val="0"/>
        <w:spacing w:line="560" w:lineRule="atLeast"/>
        <w:rPr>
          <w:rFonts w:hint="eastAsia" w:ascii="仿宋" w:hAnsi="仿宋" w:eastAsia="仿宋" w:cs="仿宋"/>
          <w:color w:val="000000"/>
          <w:sz w:val="32"/>
          <w:szCs w:val="32"/>
        </w:rPr>
      </w:pPr>
      <w:r>
        <w:rPr>
          <w:rFonts w:hint="eastAsia" w:ascii="Times New Roman" w:hAnsi="Times New Roman" w:eastAsia="黑体"/>
          <w:b w:val="0"/>
          <w:color w:val="auto"/>
          <w:highlight w:val="none"/>
          <w:lang w:eastAsia="zh-CN"/>
        </w:rPr>
        <w:t>部门职责</w:t>
      </w:r>
    </w:p>
    <w:p w14:paraId="166AC0E1">
      <w:pPr>
        <w:pStyle w:val="38"/>
        <w:keepNext w:val="0"/>
        <w:keepLines w:val="0"/>
        <w:pageBreakBefore w:val="0"/>
        <w:widowControl w:val="0"/>
        <w:kinsoku/>
        <w:wordWrap/>
        <w:overflowPunct/>
        <w:topLinePunct w:val="0"/>
        <w:autoSpaceDE w:val="0"/>
        <w:bidi w:val="0"/>
        <w:spacing w:before="0" w:beforeAutospacing="0" w:after="0" w:afterAutospacing="0" w:line="560" w:lineRule="atLeast"/>
        <w:ind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舞台艺术创作：挖掘整理藏羌民族民间文化，创作排演民族歌舞、音乐剧、舞台剧等优秀文艺剧目（如《牦牛革命》《辫子魂》《云上的呼唤》）</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惠民公益演出：承担送文化下乡、基层惠民演出，丰富牧区、</w:t>
      </w:r>
      <w:r>
        <w:rPr>
          <w:rFonts w:hint="eastAsia" w:ascii="仿宋" w:hAnsi="仿宋" w:eastAsia="仿宋" w:cs="仿宋"/>
          <w:color w:val="000000"/>
          <w:sz w:val="32"/>
          <w:szCs w:val="32"/>
          <w:lang w:eastAsia="zh-CN"/>
        </w:rPr>
        <w:t>农区</w:t>
      </w:r>
      <w:r>
        <w:rPr>
          <w:rFonts w:hint="eastAsia" w:ascii="仿宋" w:hAnsi="仿宋" w:eastAsia="仿宋" w:cs="仿宋"/>
          <w:color w:val="000000"/>
          <w:sz w:val="32"/>
          <w:szCs w:val="32"/>
        </w:rPr>
        <w:t>群众精神文化生活</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 xml:space="preserve"> 重大活动保障：完成州内重大节庆、党委政府重要会议、活动文艺演出；参加全国、全省专业文艺赛事展演</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对外文化交流：开展对外巡演、文化交流展演，宣传展示阿坝藏羌民族文化与地方形象</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人才培养与艺术推广：开展艺术普及、业务培训，培养本土舞蹈、声乐、编导、舞</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美等文艺专业人才</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民族文化保护传承：收集抢救民族民间文艺素材，传承非遗歌舞艺术，促进各民族交往交流交融。</w:t>
      </w:r>
    </w:p>
    <w:p w14:paraId="0F65E100">
      <w:pPr>
        <w:pageBreakBefore w:val="0"/>
        <w:numPr>
          <w:ilvl w:val="0"/>
          <w:numId w:val="0"/>
        </w:numPr>
        <w:kinsoku/>
        <w:wordWrap/>
        <w:overflowPunct/>
        <w:topLinePunct w:val="0"/>
        <w:bidi w:val="0"/>
        <w:spacing w:line="560" w:lineRule="atLeast"/>
        <w:rPr>
          <w:rFonts w:hint="default"/>
          <w:lang w:val="en-US" w:eastAsia="zh-CN"/>
        </w:rPr>
      </w:pPr>
      <w:bookmarkStart w:id="61" w:name="_GoBack"/>
      <w:bookmarkEnd w:id="61"/>
    </w:p>
    <w:p w14:paraId="74A5CECB">
      <w:pPr>
        <w:pStyle w:val="4"/>
        <w:pageBreakBefore w:val="0"/>
        <w:kinsoku/>
        <w:wordWrap/>
        <w:overflowPunct/>
        <w:topLinePunct w:val="0"/>
        <w:bidi w:val="0"/>
        <w:spacing w:line="560" w:lineRule="atLeast"/>
        <w:rPr>
          <w:rStyle w:val="32"/>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8"/>
      <w:bookmarkEnd w:id="9"/>
    </w:p>
    <w:p w14:paraId="5B8F759A">
      <w:pPr>
        <w:pageBreakBefore w:val="0"/>
        <w:kinsoku/>
        <w:wordWrap/>
        <w:overflowPunct/>
        <w:topLinePunct w:val="0"/>
        <w:bidi w:val="0"/>
        <w:spacing w:line="560" w:lineRule="atLeast"/>
        <w:ind w:firstLine="640" w:firstLineChars="200"/>
        <w:rPr>
          <w:rFonts w:hint="eastAsia" w:ascii="仿宋" w:eastAsia="仿宋"/>
          <w:sz w:val="32"/>
          <w:szCs w:val="32"/>
          <w:lang w:eastAsia="zh-CN"/>
        </w:rPr>
      </w:pPr>
      <w:r>
        <w:rPr>
          <w:rFonts w:hint="eastAsia" w:ascii="仿宋" w:eastAsia="仿宋"/>
          <w:sz w:val="32"/>
          <w:szCs w:val="32"/>
        </w:rPr>
        <w:t>我单位为州文化</w:t>
      </w:r>
      <w:r>
        <w:rPr>
          <w:rFonts w:hint="eastAsia" w:ascii="仿宋" w:eastAsia="仿宋"/>
          <w:sz w:val="32"/>
          <w:szCs w:val="32"/>
          <w:lang w:eastAsia="zh-CN"/>
        </w:rPr>
        <w:t>广播电视</w:t>
      </w:r>
      <w:r>
        <w:rPr>
          <w:rFonts w:hint="eastAsia" w:ascii="仿宋" w:eastAsia="仿宋"/>
          <w:sz w:val="32"/>
          <w:szCs w:val="32"/>
        </w:rPr>
        <w:t>和旅游局</w:t>
      </w:r>
      <w:r>
        <w:rPr>
          <w:rFonts w:hint="eastAsia" w:ascii="仿宋" w:eastAsia="仿宋"/>
          <w:sz w:val="32"/>
          <w:szCs w:val="32"/>
          <w:lang w:eastAsia="zh-CN"/>
        </w:rPr>
        <w:t>直</w:t>
      </w:r>
      <w:r>
        <w:rPr>
          <w:rFonts w:hint="eastAsia" w:ascii="仿宋" w:eastAsia="仿宋"/>
          <w:sz w:val="32"/>
          <w:szCs w:val="32"/>
        </w:rPr>
        <w:t>属正科级公益二类事业单位，设团长1名（正科级），副团长3名（副科级），单位内部运行部门9个，分别为行政办公室、舞蹈队、声乐队、器乐队、舞美工作室、创作研究室、业务办公室、非遗研习室、剧场管理办公室。核定事业编制为95个</w:t>
      </w:r>
      <w:r>
        <w:rPr>
          <w:rFonts w:ascii="仿宋" w:eastAsia="仿宋"/>
          <w:sz w:val="32"/>
          <w:szCs w:val="32"/>
        </w:rPr>
        <w:t>，</w:t>
      </w:r>
      <w:r>
        <w:rPr>
          <w:rFonts w:hint="eastAsia" w:ascii="仿宋" w:eastAsia="仿宋"/>
          <w:sz w:val="32"/>
          <w:szCs w:val="32"/>
        </w:rPr>
        <w:t>岗位设置比例为：专业技术编制占94.74%，管理编制占2.1</w:t>
      </w:r>
      <w:r>
        <w:rPr>
          <w:rFonts w:ascii="仿宋" w:eastAsia="仿宋"/>
          <w:sz w:val="32"/>
          <w:szCs w:val="32"/>
        </w:rPr>
        <w:t>0</w:t>
      </w:r>
      <w:r>
        <w:rPr>
          <w:rFonts w:hint="eastAsia" w:ascii="仿宋" w:eastAsia="仿宋"/>
          <w:sz w:val="32"/>
          <w:szCs w:val="32"/>
        </w:rPr>
        <w:t>%、工勤编制占3.16%</w:t>
      </w:r>
      <w:bookmarkStart w:id="10" w:name="_Toc15377204"/>
      <w:bookmarkStart w:id="11" w:name="_Toc15396602"/>
      <w:r>
        <w:rPr>
          <w:rFonts w:hint="eastAsia" w:ascii="仿宋" w:eastAsia="仿宋"/>
          <w:sz w:val="32"/>
          <w:szCs w:val="32"/>
          <w:lang w:eastAsia="zh-CN"/>
        </w:rPr>
        <w:t>。</w:t>
      </w:r>
    </w:p>
    <w:p w14:paraId="7B844C4D">
      <w:pPr>
        <w:pStyle w:val="2"/>
        <w:rPr>
          <w:rFonts w:hint="eastAsia"/>
          <w:lang w:eastAsia="zh-CN"/>
        </w:rPr>
      </w:pPr>
    </w:p>
    <w:p w14:paraId="60536CE4">
      <w:pPr>
        <w:pStyle w:val="3"/>
        <w:pageBreakBefore w:val="0"/>
        <w:kinsoku/>
        <w:wordWrap/>
        <w:overflowPunct/>
        <w:topLinePunct w:val="0"/>
        <w:bidi w:val="0"/>
        <w:spacing w:line="560" w:lineRule="atLeast"/>
        <w:jc w:val="center"/>
        <w:rPr>
          <w:rFonts w:ascii="Times New Roman" w:hAnsi="Times New Roman"/>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032582EB">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Style w:val="32"/>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2"/>
      <w:bookmarkEnd w:id="13"/>
    </w:p>
    <w:p w14:paraId="286B29A3">
      <w:pPr>
        <w:pageBreakBefore w:val="0"/>
        <w:kinsoku/>
        <w:wordWrap/>
        <w:overflowPunct/>
        <w:topLinePunct w:val="0"/>
        <w:bidi w:val="0"/>
        <w:spacing w:line="560" w:lineRule="atLeast"/>
        <w:ind w:firstLine="640"/>
        <w:rPr>
          <w:rFonts w:hint="eastAsia" w:eastAsia="仿宋_GB2312" w:cs="仿宋_GB2312"/>
          <w:sz w:val="32"/>
          <w:szCs w:val="32"/>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default" w:eastAsia="仿宋_GB2312" w:cs="仿宋_GB2312"/>
          <w:color w:val="auto"/>
          <w:sz w:val="32"/>
          <w:szCs w:val="32"/>
          <w:highlight w:val="none"/>
          <w:lang w:eastAsia="zh-CN"/>
        </w:rPr>
        <w:t>总计2891.74万元</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2891.74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减少</w:t>
      </w:r>
      <w:r>
        <w:rPr>
          <w:rFonts w:hint="default" w:eastAsia="仿宋_GB2312" w:cs="仿宋_GB2312"/>
          <w:color w:val="auto"/>
          <w:sz w:val="32"/>
          <w:szCs w:val="32"/>
          <w:highlight w:val="none"/>
        </w:rPr>
        <w:t>369.59</w:t>
      </w:r>
      <w:r>
        <w:rPr>
          <w:rFonts w:hint="eastAsia" w:ascii="Times New Roman" w:hAnsi="Times New Roman" w:eastAsia="仿宋_GB2312" w:cs="仿宋_GB2312"/>
          <w:color w:val="auto"/>
          <w:sz w:val="32"/>
          <w:szCs w:val="32"/>
          <w:highlight w:val="none"/>
        </w:rPr>
        <w:t>万元、</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减少</w:t>
      </w:r>
      <w:r>
        <w:rPr>
          <w:rFonts w:hint="default" w:eastAsia="仿宋_GB2312" w:cs="仿宋_GB2312"/>
          <w:color w:val="auto"/>
          <w:sz w:val="32"/>
          <w:szCs w:val="32"/>
          <w:highlight w:val="none"/>
        </w:rPr>
        <w:t>369.59</w:t>
      </w:r>
      <w:r>
        <w:rPr>
          <w:rFonts w:hint="eastAsia" w:ascii="Times New Roman" w:hAnsi="Times New Roman" w:eastAsia="仿宋_GB2312" w:cs="仿宋_GB2312"/>
          <w:color w:val="auto"/>
          <w:sz w:val="32"/>
          <w:szCs w:val="32"/>
          <w:highlight w:val="none"/>
        </w:rPr>
        <w:t>万元，下降</w:t>
      </w:r>
      <w:r>
        <w:rPr>
          <w:rFonts w:hint="default" w:eastAsia="仿宋_GB2312" w:cs="仿宋_GB2312"/>
          <w:color w:val="auto"/>
          <w:sz w:val="32"/>
          <w:szCs w:val="32"/>
          <w:highlight w:val="none"/>
        </w:rPr>
        <w:t>11</w:t>
      </w:r>
      <w:r>
        <w:rPr>
          <w:rFonts w:hint="eastAsia" w:ascii="Times New Roman" w:hAnsi="Times New Roman" w:eastAsia="仿宋_GB2312" w:cs="仿宋_GB2312"/>
          <w:color w:val="auto"/>
          <w:sz w:val="32"/>
          <w:szCs w:val="32"/>
          <w:highlight w:val="none"/>
        </w:rPr>
        <w:t>%。是</w:t>
      </w:r>
      <w:r>
        <w:rPr>
          <w:rFonts w:hint="eastAsia" w:eastAsia="仿宋_GB2312" w:cs="仿宋_GB2312"/>
          <w:sz w:val="32"/>
          <w:szCs w:val="32"/>
        </w:rPr>
        <w:t>主要变动原因</w:t>
      </w:r>
      <w:r>
        <w:rPr>
          <w:rFonts w:hint="eastAsia" w:eastAsia="仿宋_GB2312" w:cs="仿宋_GB2312"/>
          <w:sz w:val="32"/>
          <w:szCs w:val="32"/>
          <w:lang w:eastAsia="zh-CN"/>
        </w:rPr>
        <w:t>为</w:t>
      </w:r>
      <w:r>
        <w:rPr>
          <w:rFonts w:hint="eastAsia" w:eastAsia="仿宋_GB2312" w:cs="仿宋_GB2312"/>
          <w:sz w:val="32"/>
          <w:szCs w:val="32"/>
          <w:lang w:val="en-US" w:eastAsia="zh-CN"/>
        </w:rPr>
        <w:t>2025年项目收入与支出较2024年项目收入与支出有所减少。</w:t>
      </w:r>
    </w:p>
    <w:p w14:paraId="56B06389">
      <w:pPr>
        <w:pStyle w:val="9"/>
        <w:pageBreakBefore w:val="0"/>
        <w:kinsoku/>
        <w:wordWrap/>
        <w:overflowPunct/>
        <w:topLinePunct w:val="0"/>
        <w:bidi w:val="0"/>
        <w:spacing w:line="560" w:lineRule="atLeast"/>
        <w:rPr>
          <w:rFonts w:hint="eastAsia" w:eastAsia="仿宋_GB2312" w:cs="仿宋_GB2312"/>
          <w:sz w:val="32"/>
          <w:szCs w:val="32"/>
          <w:lang w:val="en-US" w:eastAsia="zh-CN"/>
        </w:rPr>
      </w:pPr>
      <w:r>
        <w:rPr>
          <w:rFonts w:hint="eastAsia" w:eastAsia="仿宋_GB2312" w:cs="仿宋_GB2312"/>
          <w:sz w:val="32"/>
          <w:szCs w:val="32"/>
        </w:rPr>
        <w:drawing>
          <wp:anchor distT="0" distB="0" distL="114300" distR="114300" simplePos="0" relativeHeight="251659264" behindDoc="1" locked="0" layoutInCell="1" allowOverlap="1">
            <wp:simplePos x="0" y="0"/>
            <wp:positionH relativeFrom="column">
              <wp:posOffset>544830</wp:posOffset>
            </wp:positionH>
            <wp:positionV relativeFrom="paragraph">
              <wp:posOffset>365760</wp:posOffset>
            </wp:positionV>
            <wp:extent cx="5008245" cy="2780030"/>
            <wp:effectExtent l="4445" t="4445" r="16510" b="19685"/>
            <wp:wrapTight wrapText="bothSides">
              <wp:wrapPolygon>
                <wp:start x="-19" y="-35"/>
                <wp:lineTo x="-19" y="21516"/>
                <wp:lineTo x="21540" y="21516"/>
                <wp:lineTo x="21540" y="-35"/>
                <wp:lineTo x="-19" y="-35"/>
              </wp:wrapPolygon>
            </wp:wrapTight>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346B54BD">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6EFDAF52">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660A3662">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58E251D4">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08F59053">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74F9E5E2">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4FD8B55E">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05AF010D">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960" w:firstLineChars="300"/>
        <w:textAlignment w:val="auto"/>
        <w:outlineLvl w:val="1"/>
        <w:rPr>
          <w:rFonts w:hint="eastAsia" w:ascii="Times New Roman" w:hAnsi="Times New Roman" w:eastAsia="仿宋_GB2312" w:cs="仿宋_GB2312"/>
          <w:color w:val="auto"/>
          <w:sz w:val="32"/>
          <w:szCs w:val="32"/>
          <w:highlight w:val="none"/>
        </w:rPr>
      </w:pPr>
    </w:p>
    <w:p w14:paraId="67759932">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960" w:firstLineChars="3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347A7BC">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Times New Roman" w:hAnsi="Times New Roman" w:eastAsia="仿宋_GB2312" w:cs="仿宋_GB2312"/>
          <w:color w:val="auto"/>
          <w:sz w:val="32"/>
          <w:szCs w:val="32"/>
          <w:highlight w:val="none"/>
        </w:rPr>
      </w:pPr>
    </w:p>
    <w:p w14:paraId="2913116E">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79BDC146">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本年收入合计2842.29万元，其中：一般公共预算财政拨款收入2799.6万元，占</w:t>
      </w:r>
      <w:r>
        <w:rPr>
          <w:rFonts w:hint="eastAsia" w:eastAsia="仿宋_GB2312" w:cs="仿宋_GB2312"/>
          <w:color w:val="auto"/>
          <w:sz w:val="32"/>
          <w:szCs w:val="32"/>
          <w:highlight w:val="none"/>
          <w:lang w:val="en-US" w:eastAsia="zh-CN"/>
        </w:rPr>
        <w:t>98.5</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附属单位上缴收入；其他收入</w:t>
      </w:r>
      <w:r>
        <w:rPr>
          <w:rFonts w:hint="eastAsia" w:eastAsia="仿宋_GB2312" w:cs="仿宋_GB2312"/>
          <w:color w:val="auto"/>
          <w:sz w:val="32"/>
          <w:szCs w:val="32"/>
          <w:highlight w:val="none"/>
          <w:lang w:val="en-US" w:eastAsia="zh-CN"/>
        </w:rPr>
        <w:t>42.69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lang w:eastAsia="zh-CN"/>
        </w:rPr>
        <w:t>%。</w:t>
      </w:r>
    </w:p>
    <w:p w14:paraId="2C195F23">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B22FFED">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sz w:val="32"/>
          <w:szCs w:val="32"/>
          <w:lang w:eastAsia="zh-CN"/>
        </w:rPr>
        <w:drawing>
          <wp:inline distT="0" distB="0" distL="114300" distR="114300">
            <wp:extent cx="5078095" cy="2810510"/>
            <wp:effectExtent l="4445" t="4445" r="7620" b="1968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1724843">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960" w:firstLineChars="3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24C31F59">
      <w:pPr>
        <w:pStyle w:val="2"/>
        <w:rPr>
          <w:rFonts w:hint="eastAsia"/>
          <w:lang w:eastAsia="zh-CN"/>
        </w:rPr>
      </w:pPr>
    </w:p>
    <w:p w14:paraId="6BFFDF13">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Style w:val="32"/>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16"/>
      <w:bookmarkEnd w:id="17"/>
    </w:p>
    <w:p w14:paraId="43A468E4">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本年支出合计2829.4万元，其中：基本支出2527.12万元，占</w:t>
      </w:r>
      <w:r>
        <w:rPr>
          <w:rFonts w:hint="eastAsia" w:eastAsia="仿宋_GB2312" w:cs="仿宋_GB2312"/>
          <w:color w:val="auto"/>
          <w:sz w:val="32"/>
          <w:szCs w:val="32"/>
          <w:highlight w:val="none"/>
          <w:lang w:val="en-US" w:eastAsia="zh-CN"/>
        </w:rPr>
        <w:t>89.3</w:t>
      </w:r>
      <w:r>
        <w:rPr>
          <w:rFonts w:hint="eastAsia" w:ascii="Times New Roman" w:hAnsi="Times New Roman" w:eastAsia="仿宋_GB2312" w:cs="仿宋_GB2312"/>
          <w:color w:val="auto"/>
          <w:sz w:val="32"/>
          <w:szCs w:val="32"/>
          <w:highlight w:val="none"/>
          <w:lang w:eastAsia="zh-CN"/>
        </w:rPr>
        <w:t>%；项目支出302.28万元，占</w:t>
      </w:r>
      <w:r>
        <w:rPr>
          <w:rFonts w:hint="eastAsia" w:eastAsia="仿宋_GB2312" w:cs="仿宋_GB2312"/>
          <w:color w:val="auto"/>
          <w:sz w:val="32"/>
          <w:szCs w:val="32"/>
          <w:highlight w:val="none"/>
          <w:lang w:val="en-US" w:eastAsia="zh-CN"/>
        </w:rPr>
        <w:t>10.7</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eastAsia="zh-CN"/>
        </w:rPr>
        <w:t>。</w:t>
      </w:r>
    </w:p>
    <w:p w14:paraId="1F9CFF58">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eastAsia="仿宋_GB2312" w:cs="仿宋_GB2312"/>
          <w:color w:val="auto"/>
          <w:sz w:val="32"/>
          <w:szCs w:val="32"/>
          <w:highlight w:val="none"/>
          <w:lang w:eastAsia="zh-CN"/>
        </w:rPr>
      </w:pPr>
    </w:p>
    <w:p w14:paraId="59AFD29D">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eastAsia="仿宋_GB2312" w:cs="仿宋_GB2312"/>
          <w:color w:val="auto"/>
          <w:sz w:val="32"/>
          <w:szCs w:val="32"/>
          <w:highlight w:val="none"/>
          <w:lang w:eastAsia="zh-CN"/>
        </w:rPr>
      </w:pPr>
    </w:p>
    <w:p w14:paraId="6E9552A2">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drawing>
          <wp:inline distT="0" distB="0" distL="114300" distR="114300">
            <wp:extent cx="4910455" cy="3244850"/>
            <wp:effectExtent l="4445" t="4445" r="7620" b="1206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1C36999">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67655085">
      <w:pPr>
        <w:pageBreakBefore w:val="0"/>
        <w:kinsoku/>
        <w:wordWrap/>
        <w:overflowPunct/>
        <w:topLinePunct w:val="0"/>
        <w:bidi w:val="0"/>
        <w:spacing w:line="560" w:lineRule="atLeast"/>
        <w:ind w:firstLine="800" w:firstLineChars="250"/>
        <w:rPr>
          <w:rFonts w:hint="eastAsia" w:ascii="Times New Roman" w:hAnsi="Times New Roman" w:eastAsia="仿宋_GB2312" w:cs="仿宋_GB2312"/>
          <w:color w:val="auto"/>
          <w:sz w:val="32"/>
          <w:szCs w:val="32"/>
          <w:highlight w:val="none"/>
          <w:lang w:eastAsia="zh-CN"/>
        </w:rPr>
      </w:pPr>
    </w:p>
    <w:p w14:paraId="466ACD89">
      <w:pPr>
        <w:pageBreakBefore w:val="0"/>
        <w:kinsoku/>
        <w:wordWrap/>
        <w:overflowPunct/>
        <w:topLinePunct w:val="0"/>
        <w:bidi w:val="0"/>
        <w:spacing w:line="560" w:lineRule="atLeast"/>
        <w:ind w:firstLine="640" w:firstLineChars="200"/>
        <w:outlineLvl w:val="1"/>
        <w:rPr>
          <w:rStyle w:val="32"/>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18"/>
      <w:bookmarkEnd w:id="19"/>
    </w:p>
    <w:p w14:paraId="5FC51CDD">
      <w:pPr>
        <w:pageBreakBefore w:val="0"/>
        <w:kinsoku/>
        <w:wordWrap/>
        <w:overflowPunct/>
        <w:topLinePunct w:val="0"/>
        <w:bidi w:val="0"/>
        <w:spacing w:line="560" w:lineRule="atLeast"/>
        <w:ind w:firstLine="640"/>
        <w:rPr>
          <w:rFonts w:hint="eastAsia" w:eastAsia="仿宋_GB2312" w:cs="仿宋_GB2312"/>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财政拨款收入支出总计均为2799.6万元。与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278.73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sz w:val="32"/>
          <w:szCs w:val="32"/>
          <w:lang w:val="en-US" w:eastAsia="zh-CN"/>
        </w:rPr>
        <w:t>2025年项目收入与支出较2024年项目收入与支出有所减少。</w:t>
      </w:r>
    </w:p>
    <w:p w14:paraId="7A83637C">
      <w:pPr>
        <w:pageBreakBefore w:val="0"/>
        <w:kinsoku/>
        <w:wordWrap/>
        <w:overflowPunct/>
        <w:topLinePunct w:val="0"/>
        <w:bidi w:val="0"/>
        <w:spacing w:line="560" w:lineRule="atLeast"/>
        <w:ind w:firstLine="640"/>
        <w:rPr>
          <w:rFonts w:hint="eastAsia" w:eastAsia="仿宋_GB2312" w:cs="仿宋_GB2312"/>
          <w:sz w:val="32"/>
          <w:szCs w:val="32"/>
          <w:lang w:val="en-US" w:eastAsia="zh-CN"/>
        </w:rPr>
      </w:pPr>
      <w:r>
        <w:rPr>
          <w:rFonts w:hint="eastAsia" w:eastAsia="仿宋_GB2312" w:cs="仿宋_GB2312"/>
          <w:sz w:val="32"/>
          <w:szCs w:val="32"/>
          <w:lang w:val="en-US" w:eastAsia="zh-CN"/>
        </w:rPr>
        <w:t xml:space="preserve">    </w:t>
      </w:r>
    </w:p>
    <w:p w14:paraId="68A02A33">
      <w:pPr>
        <w:pStyle w:val="9"/>
        <w:pageBreakBefore w:val="0"/>
        <w:kinsoku/>
        <w:wordWrap/>
        <w:overflowPunct/>
        <w:topLinePunct w:val="0"/>
        <w:bidi w:val="0"/>
        <w:spacing w:line="560" w:lineRule="atLeast"/>
        <w:rPr>
          <w:rFonts w:hint="eastAsia" w:eastAsia="仿宋_GB2312" w:cs="仿宋_GB2312"/>
          <w:sz w:val="32"/>
          <w:szCs w:val="32"/>
          <w:lang w:val="en-US" w:eastAsia="zh-CN"/>
        </w:rPr>
      </w:pPr>
    </w:p>
    <w:p w14:paraId="320753E7">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11F58330">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1261D532">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r>
        <w:rPr>
          <w:rFonts w:hint="default" w:eastAsia="仿宋_GB2312" w:cs="仿宋_GB2312"/>
          <w:sz w:val="32"/>
          <w:szCs w:val="32"/>
          <w:lang w:val="en-US" w:eastAsia="zh-CN"/>
        </w:rPr>
        <w:drawing>
          <wp:inline distT="0" distB="0" distL="114300" distR="114300">
            <wp:extent cx="5937885" cy="2015490"/>
            <wp:effectExtent l="4445" t="4445" r="16510" b="698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0C96D2A">
      <w:pPr>
        <w:pageBreakBefore w:val="0"/>
        <w:kinsoku/>
        <w:wordWrap/>
        <w:overflowPunct/>
        <w:topLinePunct w:val="0"/>
        <w:bidi w:val="0"/>
        <w:spacing w:line="560" w:lineRule="atLeas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31DE02C">
      <w:pPr>
        <w:pageBreakBefore w:val="0"/>
        <w:kinsoku/>
        <w:wordWrap/>
        <w:overflowPunct/>
        <w:topLinePunct w:val="0"/>
        <w:bidi w:val="0"/>
        <w:spacing w:line="560" w:lineRule="atLeast"/>
        <w:ind w:firstLine="640" w:firstLineChars="200"/>
        <w:outlineLvl w:val="1"/>
        <w:rPr>
          <w:rFonts w:hint="eastAsia" w:ascii="Times New Roman" w:hAnsi="Times New Roman" w:eastAsia="黑体"/>
          <w:color w:val="auto"/>
          <w:sz w:val="32"/>
          <w:szCs w:val="32"/>
          <w:highlight w:val="none"/>
        </w:rPr>
      </w:pPr>
      <w:bookmarkStart w:id="20" w:name="_Toc15377209"/>
      <w:bookmarkStart w:id="21" w:name="_Toc15396607"/>
    </w:p>
    <w:p w14:paraId="6083FCA9">
      <w:pPr>
        <w:pageBreakBefore w:val="0"/>
        <w:kinsoku/>
        <w:wordWrap/>
        <w:overflowPunct/>
        <w:topLinePunct w:val="0"/>
        <w:bidi w:val="0"/>
        <w:spacing w:line="560" w:lineRule="atLeast"/>
        <w:ind w:firstLine="640" w:firstLineChars="200"/>
        <w:outlineLvl w:val="1"/>
        <w:rPr>
          <w:rStyle w:val="32"/>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0"/>
      <w:bookmarkEnd w:id="21"/>
    </w:p>
    <w:p w14:paraId="256148C1">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3915BABB">
      <w:pPr>
        <w:pageBreakBefore w:val="0"/>
        <w:kinsoku/>
        <w:wordWrap/>
        <w:overflowPunct/>
        <w:topLinePunct w:val="0"/>
        <w:bidi w:val="0"/>
        <w:spacing w:line="560" w:lineRule="atLeast"/>
        <w:ind w:firstLine="640"/>
        <w:rPr>
          <w:rFonts w:hint="eastAsia" w:eastAsia="仿宋_GB2312" w:cs="仿宋_GB2312"/>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2799.6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98.9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278.73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sz w:val="32"/>
          <w:szCs w:val="32"/>
          <w:lang w:val="en-US" w:eastAsia="zh-CN"/>
        </w:rPr>
        <w:t>2025年</w:t>
      </w:r>
      <w:r>
        <w:rPr>
          <w:rFonts w:hint="eastAsia" w:ascii="Times New Roman" w:hAnsi="Times New Roman" w:eastAsia="仿宋_GB2312" w:cs="仿宋_GB2312"/>
          <w:color w:val="auto"/>
          <w:kern w:val="2"/>
          <w:sz w:val="32"/>
          <w:szCs w:val="32"/>
          <w:highlight w:val="none"/>
          <w:lang w:val="en-US" w:eastAsia="zh-CN" w:bidi="ar-SA"/>
        </w:rPr>
        <w:t>一般公共预算财政拨款</w:t>
      </w:r>
      <w:r>
        <w:rPr>
          <w:rFonts w:hint="eastAsia" w:eastAsia="仿宋_GB2312" w:cs="仿宋_GB2312"/>
          <w:sz w:val="32"/>
          <w:szCs w:val="32"/>
          <w:lang w:val="en-US" w:eastAsia="zh-CN"/>
        </w:rPr>
        <w:t>项目</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sz w:val="32"/>
          <w:szCs w:val="32"/>
          <w:lang w:val="en-US" w:eastAsia="zh-CN"/>
        </w:rPr>
        <w:t>较2024年项目</w:t>
      </w:r>
      <w:r>
        <w:rPr>
          <w:rFonts w:hint="eastAsia" w:ascii="Times New Roman" w:hAnsi="Times New Roman" w:eastAsia="仿宋_GB2312" w:cs="仿宋_GB2312"/>
          <w:color w:val="auto"/>
          <w:kern w:val="2"/>
          <w:sz w:val="32"/>
          <w:szCs w:val="32"/>
          <w:highlight w:val="none"/>
          <w:lang w:val="en-US" w:eastAsia="zh-CN" w:bidi="ar-SA"/>
        </w:rPr>
        <w:t>一般公共预算财政拨款</w:t>
      </w:r>
      <w:r>
        <w:rPr>
          <w:rFonts w:hint="eastAsia" w:eastAsia="仿宋_GB2312" w:cs="仿宋_GB2312"/>
          <w:sz w:val="32"/>
          <w:szCs w:val="32"/>
          <w:lang w:val="en-US" w:eastAsia="zh-CN"/>
        </w:rPr>
        <w:t>项目</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sz w:val="32"/>
          <w:szCs w:val="32"/>
          <w:lang w:val="en-US" w:eastAsia="zh-CN"/>
        </w:rPr>
        <w:t>支出有所减少。</w:t>
      </w:r>
    </w:p>
    <w:p w14:paraId="21794653">
      <w:pPr>
        <w:pageBreakBefore w:val="0"/>
        <w:kinsoku/>
        <w:wordWrap/>
        <w:overflowPunct/>
        <w:topLinePunct w:val="0"/>
        <w:bidi w:val="0"/>
        <w:spacing w:line="560" w:lineRule="atLeast"/>
        <w:ind w:firstLine="640"/>
        <w:rPr>
          <w:rFonts w:hint="eastAsia" w:eastAsia="仿宋_GB2312" w:cs="仿宋_GB2312"/>
          <w:sz w:val="32"/>
          <w:szCs w:val="32"/>
          <w:lang w:val="en-US" w:eastAsia="zh-CN"/>
        </w:rPr>
      </w:pPr>
      <w:r>
        <w:rPr>
          <w:rFonts w:hint="eastAsia" w:eastAsia="仿宋_GB2312" w:cs="仿宋_GB2312"/>
          <w:sz w:val="32"/>
          <w:szCs w:val="32"/>
          <w:lang w:eastAsia="zh-CN"/>
        </w:rPr>
        <w:drawing>
          <wp:anchor distT="0" distB="0" distL="114300" distR="114300" simplePos="0" relativeHeight="251662336" behindDoc="1" locked="0" layoutInCell="1" allowOverlap="1">
            <wp:simplePos x="0" y="0"/>
            <wp:positionH relativeFrom="column">
              <wp:posOffset>254635</wp:posOffset>
            </wp:positionH>
            <wp:positionV relativeFrom="paragraph">
              <wp:posOffset>201295</wp:posOffset>
            </wp:positionV>
            <wp:extent cx="5361305" cy="2030095"/>
            <wp:effectExtent l="4445" t="4445" r="13970" b="7620"/>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eastAsia="仿宋_GB2312" w:cs="仿宋_GB2312"/>
          <w:sz w:val="32"/>
          <w:szCs w:val="32"/>
          <w:lang w:val="en-US" w:eastAsia="zh-CN"/>
        </w:rPr>
        <w:t xml:space="preserve">    </w:t>
      </w:r>
    </w:p>
    <w:p w14:paraId="55B00FCB">
      <w:pPr>
        <w:pStyle w:val="9"/>
        <w:pageBreakBefore w:val="0"/>
        <w:kinsoku/>
        <w:wordWrap/>
        <w:overflowPunct/>
        <w:topLinePunct w:val="0"/>
        <w:bidi w:val="0"/>
        <w:spacing w:line="560" w:lineRule="atLeast"/>
        <w:rPr>
          <w:rFonts w:hint="eastAsia" w:eastAsia="仿宋_GB2312" w:cs="仿宋_GB2312"/>
          <w:sz w:val="32"/>
          <w:szCs w:val="32"/>
          <w:lang w:val="en-US" w:eastAsia="zh-CN"/>
        </w:rPr>
      </w:pPr>
    </w:p>
    <w:p w14:paraId="3CBAB381">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4BFCF05D">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765EB1A0">
      <w:pPr>
        <w:pageBreakBefore w:val="0"/>
        <w:kinsoku/>
        <w:wordWrap/>
        <w:overflowPunct/>
        <w:topLinePunct w:val="0"/>
        <w:bidi w:val="0"/>
        <w:spacing w:line="560" w:lineRule="atLeast"/>
        <w:rPr>
          <w:rFonts w:hint="eastAsia" w:ascii="Times New Roman" w:hAnsi="Times New Roman" w:eastAsia="仿宋_GB2312" w:cs="仿宋_GB2312"/>
          <w:color w:val="auto"/>
          <w:kern w:val="2"/>
          <w:sz w:val="32"/>
          <w:szCs w:val="32"/>
          <w:highlight w:val="none"/>
          <w:lang w:val="en-US" w:eastAsia="zh-CN" w:bidi="ar-SA"/>
        </w:rPr>
      </w:pPr>
    </w:p>
    <w:p w14:paraId="4378865A">
      <w:pPr>
        <w:pageBreakBefore w:val="0"/>
        <w:kinsoku/>
        <w:wordWrap/>
        <w:overflowPunct/>
        <w:topLinePunct w:val="0"/>
        <w:bidi w:val="0"/>
        <w:spacing w:line="560" w:lineRule="atLeast"/>
        <w:ind w:firstLine="320" w:firstLineChars="100"/>
        <w:rPr>
          <w:rFonts w:hint="eastAsia" w:ascii="Times New Roman" w:hAnsi="Times New Roman" w:eastAsia="仿宋_GB2312" w:cs="仿宋_GB2312"/>
          <w:color w:val="auto"/>
          <w:kern w:val="2"/>
          <w:sz w:val="32"/>
          <w:szCs w:val="32"/>
          <w:highlight w:val="none"/>
          <w:lang w:val="en-US" w:eastAsia="zh-CN" w:bidi="ar-SA"/>
        </w:rPr>
      </w:pPr>
    </w:p>
    <w:p w14:paraId="5CAEAAD3">
      <w:pPr>
        <w:pageBreakBefore w:val="0"/>
        <w:kinsoku/>
        <w:wordWrap/>
        <w:overflowPunct/>
        <w:topLinePunct w:val="0"/>
        <w:bidi w:val="0"/>
        <w:spacing w:line="560" w:lineRule="atLeas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337C572">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57259C59">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2799.6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：本单位2025年度无</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本单位2025年度无</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本单位2025年度无</w:t>
      </w:r>
      <w:r>
        <w:rPr>
          <w:rFonts w:hint="eastAsia" w:ascii="Times New Roman" w:hAnsi="Times New Roman" w:eastAsia="仿宋_GB2312" w:cs="仿宋_GB2312"/>
          <w:color w:val="auto"/>
          <w:kern w:val="2"/>
          <w:sz w:val="32"/>
          <w:szCs w:val="32"/>
          <w:highlight w:val="none"/>
          <w:lang w:val="en-US" w:eastAsia="zh-CN" w:bidi="ar-SA"/>
        </w:rPr>
        <w:t>科学技术支出；文化旅游体育与传媒支出2181.93万元，占</w:t>
      </w:r>
      <w:r>
        <w:rPr>
          <w:rFonts w:hint="eastAsia" w:eastAsia="仿宋_GB2312" w:cs="仿宋_GB2312"/>
          <w:color w:val="auto"/>
          <w:kern w:val="2"/>
          <w:sz w:val="32"/>
          <w:szCs w:val="32"/>
          <w:highlight w:val="none"/>
          <w:lang w:val="en-US" w:eastAsia="zh-CN" w:bidi="ar-SA"/>
        </w:rPr>
        <w:t>77.9</w:t>
      </w:r>
      <w:r>
        <w:rPr>
          <w:rFonts w:hint="eastAsia" w:ascii="Times New Roman" w:hAnsi="Times New Roman" w:eastAsia="仿宋_GB2312" w:cs="仿宋_GB2312"/>
          <w:color w:val="auto"/>
          <w:kern w:val="2"/>
          <w:sz w:val="32"/>
          <w:szCs w:val="32"/>
          <w:highlight w:val="none"/>
          <w:lang w:val="en-US" w:eastAsia="zh-CN" w:bidi="ar-SA"/>
        </w:rPr>
        <w:t>%；社会保障和就业支出328.67万元，占</w:t>
      </w:r>
      <w:r>
        <w:rPr>
          <w:rFonts w:hint="eastAsia" w:eastAsia="仿宋_GB2312" w:cs="仿宋_GB2312"/>
          <w:color w:val="auto"/>
          <w:kern w:val="2"/>
          <w:sz w:val="32"/>
          <w:szCs w:val="32"/>
          <w:highlight w:val="none"/>
          <w:lang w:val="en-US" w:eastAsia="zh-CN" w:bidi="ar-SA"/>
        </w:rPr>
        <w:t>11.7</w:t>
      </w:r>
      <w:r>
        <w:rPr>
          <w:rFonts w:hint="eastAsia" w:ascii="Times New Roman" w:hAnsi="Times New Roman" w:eastAsia="仿宋_GB2312" w:cs="仿宋_GB2312"/>
          <w:color w:val="auto"/>
          <w:kern w:val="2"/>
          <w:sz w:val="32"/>
          <w:szCs w:val="32"/>
          <w:highlight w:val="none"/>
          <w:lang w:val="en-US" w:eastAsia="zh-CN" w:bidi="ar-SA"/>
        </w:rPr>
        <w:t>%；卫生健康支出120.63万元，占</w:t>
      </w:r>
      <w:r>
        <w:rPr>
          <w:rFonts w:hint="eastAsia" w:eastAsia="仿宋_GB2312" w:cs="仿宋_GB2312"/>
          <w:color w:val="auto"/>
          <w:kern w:val="2"/>
          <w:sz w:val="32"/>
          <w:szCs w:val="32"/>
          <w:highlight w:val="none"/>
          <w:lang w:val="en-US" w:eastAsia="zh-CN" w:bidi="ar-SA"/>
        </w:rPr>
        <w:t>4.3</w:t>
      </w:r>
      <w:r>
        <w:rPr>
          <w:rFonts w:hint="eastAsia" w:ascii="Times New Roman" w:hAnsi="Times New Roman" w:eastAsia="仿宋_GB2312" w:cs="仿宋_GB2312"/>
          <w:color w:val="auto"/>
          <w:kern w:val="2"/>
          <w:sz w:val="32"/>
          <w:szCs w:val="32"/>
          <w:highlight w:val="none"/>
          <w:lang w:val="en-US" w:eastAsia="zh-CN" w:bidi="ar-SA"/>
        </w:rPr>
        <w:t>%；住房保障支出168.37万元，占</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default"/>
          <w:lang w:val="en-US" w:eastAsia="zh-CN"/>
        </w:rPr>
        <w:drawing>
          <wp:anchor distT="0" distB="0" distL="114300" distR="114300" simplePos="0" relativeHeight="251663360" behindDoc="1" locked="0" layoutInCell="1" allowOverlap="1">
            <wp:simplePos x="0" y="0"/>
            <wp:positionH relativeFrom="column">
              <wp:posOffset>4445</wp:posOffset>
            </wp:positionH>
            <wp:positionV relativeFrom="paragraph">
              <wp:posOffset>226060</wp:posOffset>
            </wp:positionV>
            <wp:extent cx="5408295" cy="2814955"/>
            <wp:effectExtent l="4445" t="4445" r="12700" b="15240"/>
            <wp:wrapTight wrapText="bothSides">
              <wp:wrapPolygon>
                <wp:start x="-18" y="-34"/>
                <wp:lineTo x="-18" y="21483"/>
                <wp:lineTo x="21590" y="21483"/>
                <wp:lineTo x="21590" y="-34"/>
                <wp:lineTo x="-18" y="-34"/>
              </wp:wrapPolygon>
            </wp:wrapTight>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76B44BF1">
      <w:pPr>
        <w:pageBreakBefore w:val="0"/>
        <w:kinsoku/>
        <w:wordWrap/>
        <w:overflowPunct/>
        <w:topLinePunct w:val="0"/>
        <w:bidi w:val="0"/>
        <w:spacing w:line="560" w:lineRule="atLeast"/>
        <w:ind w:firstLine="320" w:firstLineChars="100"/>
        <w:rPr>
          <w:rFonts w:hint="eastAsia" w:ascii="Times New Roman" w:hAnsi="Times New Roman" w:eastAsia="仿宋_GB2312" w:cs="仿宋_GB2312"/>
          <w:color w:val="auto"/>
          <w:kern w:val="2"/>
          <w:sz w:val="32"/>
          <w:szCs w:val="32"/>
          <w:highlight w:val="none"/>
          <w:lang w:val="en-US" w:eastAsia="zh-CN" w:bidi="ar-SA"/>
        </w:rPr>
      </w:pPr>
    </w:p>
    <w:p w14:paraId="1111D80E">
      <w:pPr>
        <w:pageBreakBefore w:val="0"/>
        <w:kinsoku/>
        <w:wordWrap/>
        <w:overflowPunct/>
        <w:topLinePunct w:val="0"/>
        <w:bidi w:val="0"/>
        <w:spacing w:line="560" w:lineRule="atLeas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7F51E8D">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p>
    <w:p w14:paraId="2FEA1CFC">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678EF2E9">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213"/>
      <w:bookmarkStart w:id="26" w:name="_Toc15377444"/>
      <w:bookmarkStart w:id="27"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2799.6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60F1117E">
      <w:pPr>
        <w:pageBreakBefore w:val="0"/>
        <w:numPr>
          <w:ilvl w:val="0"/>
          <w:numId w:val="3"/>
        </w:numPr>
        <w:kinsoku/>
        <w:wordWrap/>
        <w:overflowPunct/>
        <w:topLinePunct w:val="0"/>
        <w:bidi w:val="0"/>
        <w:spacing w:line="560" w:lineRule="atLeas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本单位2025年度无</w:t>
      </w:r>
      <w:r>
        <w:rPr>
          <w:rFonts w:hint="eastAsia" w:ascii="Times New Roman" w:hAnsi="Times New Roman" w:eastAsia="仿宋_GB2312" w:cs="仿宋_GB2312"/>
          <w:color w:val="auto"/>
          <w:kern w:val="2"/>
          <w:sz w:val="32"/>
          <w:szCs w:val="32"/>
          <w:highlight w:val="none"/>
          <w:lang w:val="en-US" w:eastAsia="zh-CN" w:bidi="ar-SA"/>
        </w:rPr>
        <w:t>一般公共服务（类）（款）（项）支出</w:t>
      </w:r>
      <w:r>
        <w:rPr>
          <w:rFonts w:hint="eastAsia" w:eastAsia="仿宋_GB2312" w:cs="仿宋_GB2312"/>
          <w:color w:val="auto"/>
          <w:kern w:val="2"/>
          <w:sz w:val="32"/>
          <w:szCs w:val="32"/>
          <w:highlight w:val="none"/>
          <w:lang w:val="en-US" w:eastAsia="zh-CN" w:bidi="ar-SA"/>
        </w:rPr>
        <w:t>。</w:t>
      </w:r>
    </w:p>
    <w:p w14:paraId="631AE6B8">
      <w:pPr>
        <w:pageBreakBefore w:val="0"/>
        <w:numPr>
          <w:ilvl w:val="0"/>
          <w:numId w:val="3"/>
        </w:numPr>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本单位2025年度无</w:t>
      </w:r>
      <w:r>
        <w:rPr>
          <w:rFonts w:hint="eastAsia" w:ascii="Times New Roman" w:hAnsi="Times New Roman" w:eastAsia="仿宋_GB2312" w:cs="仿宋_GB2312"/>
          <w:color w:val="auto"/>
          <w:kern w:val="2"/>
          <w:sz w:val="32"/>
          <w:szCs w:val="32"/>
          <w:highlight w:val="none"/>
          <w:lang w:val="en-US" w:eastAsia="zh-CN" w:bidi="ar-SA"/>
        </w:rPr>
        <w:t>教育（类）（款）（项）支出</w:t>
      </w:r>
      <w:r>
        <w:rPr>
          <w:rFonts w:hint="eastAsia" w:eastAsia="仿宋_GB2312" w:cs="仿宋_GB2312"/>
          <w:color w:val="auto"/>
          <w:kern w:val="2"/>
          <w:sz w:val="32"/>
          <w:szCs w:val="32"/>
          <w:highlight w:val="none"/>
          <w:lang w:val="en-US" w:eastAsia="zh-CN" w:bidi="ar-SA"/>
        </w:rPr>
        <w:t>。</w:t>
      </w:r>
    </w:p>
    <w:p w14:paraId="14528663">
      <w:pPr>
        <w:pageBreakBefore w:val="0"/>
        <w:numPr>
          <w:ilvl w:val="0"/>
          <w:numId w:val="3"/>
        </w:numPr>
        <w:kinsoku/>
        <w:wordWrap/>
        <w:overflowPunct/>
        <w:topLinePunct w:val="0"/>
        <w:bidi w:val="0"/>
        <w:spacing w:line="560" w:lineRule="atLeast"/>
        <w:ind w:left="0" w:leftChars="0" w:firstLine="640" w:firstLineChars="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本单位2025年度无</w:t>
      </w:r>
      <w:r>
        <w:rPr>
          <w:rFonts w:hint="eastAsia" w:ascii="Times New Roman" w:hAnsi="Times New Roman" w:eastAsia="仿宋_GB2312" w:cs="仿宋_GB2312"/>
          <w:color w:val="auto"/>
          <w:kern w:val="2"/>
          <w:sz w:val="32"/>
          <w:szCs w:val="32"/>
          <w:highlight w:val="none"/>
          <w:lang w:val="en-US" w:eastAsia="zh-CN" w:bidi="ar-SA"/>
        </w:rPr>
        <w:t>科学技术（类）（款）（项）支出</w:t>
      </w:r>
      <w:r>
        <w:rPr>
          <w:rFonts w:hint="eastAsia" w:eastAsia="仿宋_GB2312" w:cs="仿宋_GB2312"/>
          <w:color w:val="auto"/>
          <w:kern w:val="2"/>
          <w:sz w:val="32"/>
          <w:szCs w:val="32"/>
          <w:highlight w:val="none"/>
          <w:lang w:val="en-US" w:eastAsia="zh-CN" w:bidi="ar-SA"/>
        </w:rPr>
        <w:t>。</w:t>
      </w:r>
    </w:p>
    <w:p w14:paraId="4F88F346">
      <w:pPr>
        <w:pageBreakBefore w:val="0"/>
        <w:numPr>
          <w:ilvl w:val="0"/>
          <w:numId w:val="0"/>
        </w:numPr>
        <w:kinsoku/>
        <w:wordWrap/>
        <w:overflowPunct/>
        <w:topLinePunct w:val="0"/>
        <w:bidi w:val="0"/>
        <w:spacing w:line="560" w:lineRule="atLeast"/>
        <w:ind w:firstLine="640" w:firstLineChars="200"/>
        <w:rPr>
          <w:rFonts w:hint="eastAsia"/>
          <w:lang w:val="en-US" w:eastAsia="zh-CN"/>
        </w:rPr>
      </w:pPr>
      <w:r>
        <w:rPr>
          <w:rFonts w:hint="eastAsia" w:ascii="仿宋GB312" w:hAnsi="仿宋GB312" w:eastAsia="仿宋GB312" w:cs="仿宋GB312"/>
          <w:b w:val="0"/>
          <w:bCs w:val="0"/>
          <w:sz w:val="32"/>
          <w:szCs w:val="32"/>
          <w:lang w:val="en-US" w:eastAsia="zh-CN"/>
        </w:rPr>
        <w:t xml:space="preserve">4. </w:t>
      </w:r>
      <w:r>
        <w:rPr>
          <w:rFonts w:hint="eastAsia" w:ascii="仿宋GB312" w:hAnsi="仿宋GB312" w:eastAsia="仿宋GB312" w:cs="仿宋GB312"/>
          <w:b w:val="0"/>
          <w:bCs w:val="0"/>
          <w:sz w:val="32"/>
          <w:szCs w:val="32"/>
        </w:rPr>
        <w:t>文化旅游体育与传媒</w:t>
      </w:r>
      <w:r>
        <w:rPr>
          <w:rFonts w:hint="eastAsia" w:ascii="仿宋GB312" w:hAnsi="仿宋GB312" w:eastAsia="仿宋GB312" w:cs="仿宋GB312"/>
          <w:b w:val="0"/>
          <w:bCs w:val="0"/>
          <w:sz w:val="32"/>
          <w:szCs w:val="32"/>
          <w:lang w:val="en-US" w:eastAsia="zh-CN"/>
        </w:rPr>
        <w:t>207</w:t>
      </w:r>
      <w:r>
        <w:rPr>
          <w:rFonts w:hint="eastAsia" w:ascii="仿宋GB312" w:hAnsi="仿宋GB312" w:eastAsia="仿宋GB312" w:cs="仿宋GB312"/>
          <w:b w:val="0"/>
          <w:bCs w:val="0"/>
          <w:sz w:val="32"/>
          <w:szCs w:val="32"/>
        </w:rPr>
        <w:t>（类）</w:t>
      </w:r>
      <w:r>
        <w:rPr>
          <w:rFonts w:hint="eastAsia" w:ascii="仿宋GB312" w:hAnsi="仿宋GB312" w:eastAsia="仿宋GB312" w:cs="仿宋GB312"/>
          <w:b w:val="0"/>
          <w:bCs w:val="0"/>
          <w:sz w:val="32"/>
          <w:szCs w:val="32"/>
          <w:lang w:eastAsia="zh-CN"/>
        </w:rPr>
        <w:t>支出决算数为</w:t>
      </w:r>
      <w:r>
        <w:rPr>
          <w:rFonts w:hint="eastAsia" w:ascii="仿宋GB312" w:hAnsi="仿宋GB312" w:eastAsia="仿宋GB312" w:cs="仿宋GB312"/>
          <w:b w:val="0"/>
          <w:bCs w:val="0"/>
          <w:sz w:val="32"/>
          <w:szCs w:val="32"/>
          <w:lang w:val="en-US" w:eastAsia="zh-CN"/>
        </w:rPr>
        <w:t>2181.93万元，其中207</w:t>
      </w:r>
      <w:r>
        <w:rPr>
          <w:rFonts w:hint="eastAsia" w:ascii="仿宋GB312" w:hAnsi="仿宋GB312" w:eastAsia="仿宋GB312" w:cs="仿宋GB312"/>
          <w:b w:val="0"/>
          <w:bCs w:val="0"/>
          <w:sz w:val="32"/>
          <w:szCs w:val="32"/>
        </w:rPr>
        <w:t>（</w:t>
      </w:r>
      <w:r>
        <w:rPr>
          <w:rFonts w:hint="eastAsia" w:ascii="仿宋GB312" w:hAnsi="仿宋GB312" w:eastAsia="仿宋GB312" w:cs="仿宋GB312"/>
          <w:b w:val="0"/>
          <w:bCs w:val="0"/>
          <w:sz w:val="32"/>
          <w:szCs w:val="32"/>
          <w:lang w:eastAsia="zh-CN"/>
        </w:rPr>
        <w:t>类</w:t>
      </w:r>
      <w:r>
        <w:rPr>
          <w:rFonts w:hint="eastAsia" w:ascii="仿宋GB312" w:hAnsi="仿宋GB312" w:eastAsia="仿宋GB312" w:cs="仿宋GB312"/>
          <w:b w:val="0"/>
          <w:bCs w:val="0"/>
          <w:sz w:val="32"/>
          <w:szCs w:val="32"/>
        </w:rPr>
        <w:t>）</w:t>
      </w:r>
      <w:r>
        <w:rPr>
          <w:rFonts w:hint="eastAsia" w:ascii="仿宋GB312" w:hAnsi="仿宋GB312" w:eastAsia="仿宋GB312" w:cs="仿宋GB312"/>
          <w:b w:val="0"/>
          <w:bCs w:val="0"/>
          <w:sz w:val="32"/>
          <w:szCs w:val="32"/>
          <w:lang w:val="en-US" w:eastAsia="zh-CN"/>
        </w:rPr>
        <w:t>01</w:t>
      </w:r>
      <w:r>
        <w:rPr>
          <w:rFonts w:hint="eastAsia" w:ascii="仿宋GB312" w:hAnsi="仿宋GB312" w:eastAsia="仿宋GB312" w:cs="仿宋GB312"/>
          <w:b w:val="0"/>
          <w:bCs w:val="0"/>
          <w:sz w:val="32"/>
          <w:szCs w:val="32"/>
        </w:rPr>
        <w:t>（款）</w:t>
      </w:r>
      <w:r>
        <w:rPr>
          <w:rFonts w:hint="eastAsia" w:ascii="仿宋GB312" w:hAnsi="仿宋GB312" w:eastAsia="仿宋GB312" w:cs="仿宋GB312"/>
          <w:b w:val="0"/>
          <w:bCs w:val="0"/>
          <w:sz w:val="32"/>
          <w:szCs w:val="32"/>
          <w:lang w:val="en-US" w:eastAsia="zh-CN"/>
        </w:rPr>
        <w:t>07</w:t>
      </w:r>
      <w:r>
        <w:rPr>
          <w:rFonts w:hint="eastAsia" w:ascii="仿宋GB312" w:hAnsi="仿宋GB312" w:eastAsia="仿宋GB312" w:cs="仿宋GB312"/>
          <w:b w:val="0"/>
          <w:bCs w:val="0"/>
          <w:sz w:val="32"/>
          <w:szCs w:val="32"/>
        </w:rPr>
        <w:t>（项）</w:t>
      </w:r>
      <w:r>
        <w:rPr>
          <w:rFonts w:hint="eastAsia" w:ascii="仿宋GB312" w:hAnsi="仿宋GB312" w:eastAsia="仿宋GB312" w:cs="仿宋GB312"/>
          <w:b w:val="0"/>
          <w:bCs w:val="0"/>
          <w:sz w:val="32"/>
          <w:szCs w:val="32"/>
          <w:lang w:eastAsia="zh-CN"/>
        </w:rPr>
        <w:t>艺术表演团体</w:t>
      </w:r>
      <w:r>
        <w:rPr>
          <w:rFonts w:hint="eastAsia" w:ascii="仿宋GB312" w:hAnsi="仿宋GB312" w:eastAsia="仿宋GB312" w:cs="仿宋GB312"/>
          <w:b w:val="0"/>
          <w:bCs w:val="0"/>
          <w:sz w:val="32"/>
          <w:szCs w:val="32"/>
        </w:rPr>
        <w:t>支出决算</w:t>
      </w:r>
      <w:r>
        <w:rPr>
          <w:rFonts w:hint="eastAsia" w:ascii="仿宋GB312" w:hAnsi="仿宋GB312" w:eastAsia="仿宋GB312" w:cs="仿宋GB312"/>
          <w:b w:val="0"/>
          <w:bCs w:val="0"/>
          <w:sz w:val="32"/>
          <w:szCs w:val="32"/>
          <w:lang w:eastAsia="zh-CN"/>
        </w:rPr>
        <w:t>数</w:t>
      </w:r>
      <w:r>
        <w:rPr>
          <w:rFonts w:hint="eastAsia" w:ascii="仿宋GB312" w:hAnsi="仿宋GB312" w:eastAsia="仿宋GB312" w:cs="仿宋GB312"/>
          <w:b w:val="0"/>
          <w:bCs w:val="0"/>
          <w:sz w:val="32"/>
          <w:szCs w:val="32"/>
        </w:rPr>
        <w:t>为</w:t>
      </w:r>
      <w:r>
        <w:rPr>
          <w:rFonts w:hint="eastAsia" w:ascii="仿宋GB312" w:hAnsi="仿宋GB312" w:eastAsia="仿宋GB312" w:cs="仿宋GB312"/>
          <w:b w:val="0"/>
          <w:bCs w:val="0"/>
          <w:sz w:val="32"/>
          <w:szCs w:val="32"/>
          <w:lang w:val="en-US" w:eastAsia="zh-CN"/>
        </w:rPr>
        <w:t>2181.93</w:t>
      </w:r>
      <w:r>
        <w:rPr>
          <w:rFonts w:hint="eastAsia" w:ascii="仿宋GB312" w:hAnsi="仿宋GB312" w:eastAsia="仿宋GB312" w:cs="仿宋GB312"/>
          <w:b w:val="0"/>
          <w:bCs w:val="0"/>
          <w:sz w:val="32"/>
          <w:szCs w:val="32"/>
        </w:rPr>
        <w:t>万元，完成预算</w:t>
      </w:r>
      <w:r>
        <w:rPr>
          <w:rFonts w:hint="eastAsia" w:ascii="仿宋GB312" w:hAnsi="仿宋GB312" w:eastAsia="仿宋GB312" w:cs="仿宋GB312"/>
          <w:b w:val="0"/>
          <w:bCs w:val="0"/>
          <w:sz w:val="32"/>
          <w:szCs w:val="32"/>
          <w:lang w:val="en-US" w:eastAsia="zh-CN"/>
        </w:rPr>
        <w:t>100</w:t>
      </w:r>
      <w:r>
        <w:rPr>
          <w:rFonts w:hint="eastAsia" w:ascii="仿宋GB312" w:hAnsi="仿宋GB312" w:eastAsia="仿宋GB312" w:cs="仿宋GB312"/>
          <w:b w:val="0"/>
          <w:bCs w:val="0"/>
          <w:sz w:val="32"/>
          <w:szCs w:val="32"/>
        </w:rPr>
        <w:t>%</w:t>
      </w:r>
      <w:r>
        <w:rPr>
          <w:rFonts w:hint="eastAsia" w:ascii="仿宋GB312" w:hAnsi="仿宋GB312" w:eastAsia="仿宋GB312" w:cs="仿宋GB312"/>
          <w:b w:val="0"/>
          <w:bCs w:val="0"/>
          <w:sz w:val="32"/>
          <w:szCs w:val="32"/>
          <w:lang w:eastAsia="zh-CN"/>
        </w:rPr>
        <w:t>。</w:t>
      </w:r>
    </w:p>
    <w:p w14:paraId="1A4057E5">
      <w:pPr>
        <w:pageBreakBefore w:val="0"/>
        <w:kinsoku/>
        <w:wordWrap/>
        <w:overflowPunct/>
        <w:topLinePunct w:val="0"/>
        <w:bidi w:val="0"/>
        <w:spacing w:line="560" w:lineRule="atLeast"/>
        <w:ind w:firstLine="640" w:firstLineChars="200"/>
        <w:rPr>
          <w:rFonts w:hint="eastAsia" w:ascii="仿宋_GB2312" w:eastAsia="仿宋_GB2312"/>
          <w:color w:val="000000"/>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en-US" w:eastAsia="zh-CN" w:bidi="ar-SA"/>
        </w:rPr>
        <w:t xml:space="preserve"> </w:t>
      </w:r>
      <w:r>
        <w:rPr>
          <w:rFonts w:hint="eastAsia" w:eastAsia="仿宋_GB2312" w:cs="仿宋_GB2312"/>
          <w:b w:val="0"/>
          <w:bCs w:val="0"/>
          <w:sz w:val="32"/>
          <w:szCs w:val="32"/>
        </w:rPr>
        <w:t>社会保障和就业</w:t>
      </w:r>
      <w:r>
        <w:rPr>
          <w:rFonts w:hint="eastAsia" w:eastAsia="仿宋_GB2312" w:cs="仿宋_GB2312"/>
          <w:b w:val="0"/>
          <w:bCs w:val="0"/>
          <w:sz w:val="32"/>
          <w:szCs w:val="32"/>
          <w:lang w:val="en-US" w:eastAsia="zh-CN"/>
        </w:rPr>
        <w:t>208</w:t>
      </w:r>
      <w:r>
        <w:rPr>
          <w:rFonts w:hint="eastAsia" w:eastAsia="仿宋_GB2312" w:cs="仿宋_GB2312"/>
          <w:b w:val="0"/>
          <w:bCs w:val="0"/>
          <w:sz w:val="32"/>
          <w:szCs w:val="32"/>
        </w:rPr>
        <w:t>（类）</w:t>
      </w:r>
      <w:r>
        <w:rPr>
          <w:rFonts w:hint="default" w:eastAsia="仿宋_GB2312" w:cs="仿宋_GB2312"/>
          <w:b w:val="0"/>
          <w:bCs w:val="0"/>
          <w:sz w:val="32"/>
          <w:szCs w:val="32"/>
        </w:rPr>
        <w:t>支出</w:t>
      </w:r>
      <w:r>
        <w:rPr>
          <w:rFonts w:hint="eastAsia" w:ascii="仿宋GB312" w:hAnsi="仿宋GB312" w:eastAsia="仿宋GB312" w:cs="仿宋GB312"/>
          <w:b w:val="0"/>
          <w:bCs w:val="0"/>
          <w:sz w:val="32"/>
          <w:szCs w:val="32"/>
          <w:lang w:eastAsia="zh-CN"/>
        </w:rPr>
        <w:t>决算数为</w:t>
      </w:r>
      <w:r>
        <w:rPr>
          <w:rFonts w:hint="eastAsia" w:ascii="仿宋GB312" w:hAnsi="仿宋GB312" w:eastAsia="仿宋GB312" w:cs="仿宋GB312"/>
          <w:b w:val="0"/>
          <w:bCs w:val="0"/>
          <w:sz w:val="32"/>
          <w:szCs w:val="32"/>
          <w:lang w:val="en-US" w:eastAsia="zh-CN"/>
        </w:rPr>
        <w:t>328.67万元</w:t>
      </w:r>
      <w:r>
        <w:rPr>
          <w:rFonts w:hint="eastAsia" w:eastAsia="仿宋_GB2312" w:cs="仿宋_GB2312"/>
          <w:b w:val="0"/>
          <w:bCs w:val="0"/>
          <w:sz w:val="32"/>
          <w:szCs w:val="32"/>
          <w:lang w:eastAsia="zh-CN"/>
        </w:rPr>
        <w:t>，</w:t>
      </w:r>
      <w:r>
        <w:rPr>
          <w:rFonts w:hint="eastAsia" w:eastAsia="仿宋_GB2312" w:cs="仿宋_GB2312"/>
          <w:sz w:val="32"/>
          <w:szCs w:val="32"/>
          <w:lang w:eastAsia="zh-CN"/>
        </w:rPr>
        <w:t>其中</w:t>
      </w:r>
      <w:r>
        <w:rPr>
          <w:rFonts w:hint="eastAsia" w:ascii="仿宋_GB2312" w:eastAsia="仿宋_GB2312"/>
          <w:color w:val="000000"/>
          <w:sz w:val="32"/>
          <w:szCs w:val="32"/>
        </w:rPr>
        <w:t>208（类）05（款）05（项）机关事业单位基本养老保险缴费支出</w:t>
      </w:r>
      <w:r>
        <w:rPr>
          <w:rFonts w:hint="eastAsia" w:ascii="仿宋_GB2312" w:eastAsia="仿宋_GB2312"/>
          <w:color w:val="000000"/>
          <w:sz w:val="32"/>
          <w:szCs w:val="32"/>
          <w:lang w:val="en-US" w:eastAsia="zh-CN"/>
        </w:rPr>
        <w:t>206.45万元</w:t>
      </w:r>
      <w:r>
        <w:rPr>
          <w:rFonts w:hint="eastAsia" w:ascii="仿宋_GB2312" w:eastAsia="仿宋_GB2312"/>
          <w:color w:val="000000"/>
          <w:sz w:val="32"/>
          <w:szCs w:val="32"/>
        </w:rPr>
        <w:t>，</w:t>
      </w:r>
      <w:r>
        <w:rPr>
          <w:rFonts w:hint="eastAsia" w:ascii="仿宋_GB2312" w:eastAsia="仿宋_GB2312"/>
          <w:color w:val="000000"/>
          <w:sz w:val="32"/>
          <w:szCs w:val="32"/>
          <w:lang w:eastAsia="zh-CN"/>
        </w:rPr>
        <w:t>完成预算</w:t>
      </w:r>
      <w:r>
        <w:rPr>
          <w:rFonts w:hint="eastAsia" w:ascii="仿宋_GB2312" w:eastAsia="仿宋_GB2312"/>
          <w:color w:val="000000"/>
          <w:sz w:val="32"/>
          <w:szCs w:val="32"/>
          <w:lang w:val="en-US" w:eastAsia="zh-CN"/>
        </w:rPr>
        <w:t>100%；</w:t>
      </w:r>
      <w:r>
        <w:rPr>
          <w:rFonts w:hint="eastAsia" w:ascii="仿宋_GB2312" w:eastAsia="仿宋_GB2312"/>
          <w:color w:val="000000"/>
          <w:sz w:val="32"/>
          <w:szCs w:val="32"/>
        </w:rPr>
        <w:t>208（类）05（款）06（项）机关事业单位职业年金缴费支出</w:t>
      </w:r>
      <w:r>
        <w:rPr>
          <w:rFonts w:hint="eastAsia" w:ascii="仿宋_GB2312" w:eastAsia="仿宋_GB2312"/>
          <w:color w:val="000000"/>
          <w:sz w:val="32"/>
          <w:szCs w:val="32"/>
          <w:lang w:val="en-US" w:eastAsia="zh-CN"/>
        </w:rPr>
        <w:t>103.22万元</w:t>
      </w:r>
      <w:r>
        <w:rPr>
          <w:rFonts w:hint="eastAsia" w:ascii="仿宋_GB2312" w:eastAsia="仿宋_GB2312"/>
          <w:color w:val="000000"/>
          <w:sz w:val="32"/>
          <w:szCs w:val="32"/>
        </w:rPr>
        <w:t>，</w:t>
      </w:r>
      <w:r>
        <w:rPr>
          <w:rFonts w:hint="eastAsia" w:ascii="仿宋_GB2312" w:eastAsia="仿宋_GB2312"/>
          <w:color w:val="000000"/>
          <w:sz w:val="32"/>
          <w:szCs w:val="32"/>
          <w:lang w:eastAsia="zh-CN"/>
        </w:rPr>
        <w:t>完成预算</w:t>
      </w:r>
      <w:r>
        <w:rPr>
          <w:rFonts w:hint="eastAsia" w:ascii="仿宋_GB2312" w:eastAsia="仿宋_GB2312"/>
          <w:color w:val="000000"/>
          <w:sz w:val="32"/>
          <w:szCs w:val="32"/>
          <w:lang w:val="en-US" w:eastAsia="zh-CN"/>
        </w:rPr>
        <w:t>100%；</w:t>
      </w:r>
      <w:r>
        <w:rPr>
          <w:rFonts w:hint="eastAsia" w:ascii="仿宋_GB2312" w:eastAsia="仿宋_GB2312"/>
          <w:color w:val="000000"/>
          <w:sz w:val="32"/>
          <w:szCs w:val="32"/>
        </w:rPr>
        <w:t>208（类）05（款）</w:t>
      </w:r>
      <w:r>
        <w:rPr>
          <w:rFonts w:hint="eastAsia" w:ascii="仿宋_GB2312" w:eastAsia="仿宋_GB2312"/>
          <w:color w:val="000000"/>
          <w:sz w:val="32"/>
          <w:szCs w:val="32"/>
          <w:lang w:val="en-US" w:eastAsia="zh-CN"/>
        </w:rPr>
        <w:t>99</w:t>
      </w:r>
      <w:r>
        <w:rPr>
          <w:rFonts w:hint="eastAsia" w:ascii="仿宋_GB2312" w:eastAsia="仿宋_GB2312"/>
          <w:color w:val="000000"/>
          <w:sz w:val="32"/>
          <w:szCs w:val="32"/>
        </w:rPr>
        <w:t>（项）</w:t>
      </w:r>
      <w:r>
        <w:rPr>
          <w:rFonts w:hint="eastAsia" w:ascii="仿宋_GB2312" w:eastAsia="仿宋_GB2312"/>
          <w:color w:val="000000"/>
          <w:sz w:val="32"/>
          <w:szCs w:val="32"/>
          <w:lang w:val="en-US" w:eastAsia="zh-CN"/>
        </w:rPr>
        <w:t>其他行政事业单位养老支出18.99万元，</w:t>
      </w:r>
      <w:r>
        <w:rPr>
          <w:rFonts w:hint="eastAsia" w:ascii="仿宋_GB2312" w:eastAsia="仿宋_GB2312"/>
          <w:color w:val="000000"/>
          <w:sz w:val="32"/>
          <w:szCs w:val="32"/>
          <w:lang w:eastAsia="zh-CN"/>
        </w:rPr>
        <w:t>完成预算</w:t>
      </w:r>
      <w:r>
        <w:rPr>
          <w:rFonts w:hint="eastAsia" w:ascii="仿宋_GB2312" w:eastAsia="仿宋_GB2312"/>
          <w:color w:val="000000"/>
          <w:sz w:val="32"/>
          <w:szCs w:val="32"/>
          <w:lang w:val="en-US" w:eastAsia="zh-CN"/>
        </w:rPr>
        <w:t>100%。</w:t>
      </w:r>
    </w:p>
    <w:p w14:paraId="1CFD8C28">
      <w:pPr>
        <w:pageBreakBefore w:val="0"/>
        <w:kinsoku/>
        <w:wordWrap/>
        <w:overflowPunct/>
        <w:topLinePunct w:val="0"/>
        <w:bidi w:val="0"/>
        <w:spacing w:line="560" w:lineRule="atLeast"/>
        <w:ind w:firstLine="640"/>
        <w:rPr>
          <w:rStyle w:val="21"/>
          <w:rFonts w:hint="eastAsia" w:ascii="仿宋" w:hAnsi="仿宋" w:eastAsia="仿宋"/>
          <w:b w:val="0"/>
          <w:sz w:val="32"/>
          <w:szCs w:val="32"/>
          <w:lang w:eastAsia="zh-CN"/>
        </w:rPr>
      </w:pPr>
      <w:r>
        <w:rPr>
          <w:rFonts w:hint="eastAsia" w:ascii="Times New Roman" w:hAnsi="Times New Roman" w:eastAsia="仿宋_GB2312" w:cs="仿宋_GB2312"/>
          <w:color w:val="auto"/>
          <w:kern w:val="2"/>
          <w:sz w:val="32"/>
          <w:szCs w:val="32"/>
          <w:highlight w:val="none"/>
          <w:lang w:val="en-US" w:eastAsia="zh-CN" w:bidi="ar-SA"/>
        </w:rPr>
        <w:t>6.</w:t>
      </w:r>
      <w:r>
        <w:rPr>
          <w:rFonts w:hint="eastAsia" w:eastAsia="仿宋_GB2312" w:cs="仿宋_GB2312"/>
          <w:sz w:val="32"/>
          <w:szCs w:val="32"/>
        </w:rPr>
        <w:t>卫生健康</w:t>
      </w:r>
      <w:r>
        <w:rPr>
          <w:rFonts w:hint="default" w:eastAsia="仿宋_GB2312" w:cs="仿宋_GB2312"/>
          <w:sz w:val="32"/>
          <w:szCs w:val="32"/>
        </w:rPr>
        <w:t>210</w:t>
      </w:r>
      <w:r>
        <w:rPr>
          <w:rFonts w:hint="eastAsia" w:eastAsia="仿宋_GB2312" w:cs="仿宋_GB2312"/>
          <w:sz w:val="32"/>
          <w:szCs w:val="32"/>
        </w:rPr>
        <w:t>（类）</w:t>
      </w:r>
      <w:r>
        <w:rPr>
          <w:rFonts w:hint="default" w:eastAsia="仿宋_GB2312" w:cs="仿宋_GB2312"/>
          <w:sz w:val="32"/>
          <w:szCs w:val="32"/>
        </w:rPr>
        <w:t>支出决算数为12</w:t>
      </w:r>
      <w:r>
        <w:rPr>
          <w:rFonts w:hint="eastAsia" w:eastAsia="仿宋_GB2312" w:cs="仿宋_GB2312"/>
          <w:sz w:val="32"/>
          <w:szCs w:val="32"/>
          <w:lang w:val="en-US" w:eastAsia="zh-CN"/>
        </w:rPr>
        <w:t>0.63</w:t>
      </w:r>
      <w:r>
        <w:rPr>
          <w:rFonts w:hint="default" w:eastAsia="仿宋_GB2312" w:cs="仿宋_GB2312"/>
          <w:sz w:val="32"/>
          <w:szCs w:val="32"/>
        </w:rPr>
        <w:t>万元，其中</w:t>
      </w:r>
      <w:r>
        <w:rPr>
          <w:rStyle w:val="21"/>
          <w:rFonts w:hint="eastAsia" w:ascii="仿宋" w:hAnsi="仿宋" w:eastAsia="仿宋"/>
          <w:b w:val="0"/>
          <w:sz w:val="32"/>
          <w:szCs w:val="32"/>
        </w:rPr>
        <w:t>210（类）11（款）02（项）事业单位医疗支出决算数为</w:t>
      </w:r>
      <w:r>
        <w:rPr>
          <w:rStyle w:val="21"/>
          <w:rFonts w:hint="eastAsia" w:ascii="仿宋" w:hAnsi="仿宋" w:eastAsia="仿宋"/>
          <w:b w:val="0"/>
          <w:sz w:val="32"/>
          <w:szCs w:val="32"/>
          <w:lang w:val="en-US" w:eastAsia="zh-CN"/>
        </w:rPr>
        <w:t>120.63</w:t>
      </w:r>
      <w:r>
        <w:rPr>
          <w:rStyle w:val="21"/>
          <w:rFonts w:hint="eastAsia" w:ascii="仿宋" w:hAnsi="仿宋" w:eastAsia="仿宋"/>
          <w:b w:val="0"/>
          <w:sz w:val="32"/>
          <w:szCs w:val="32"/>
        </w:rPr>
        <w:t>万元，完成预算100</w:t>
      </w:r>
      <w:r>
        <w:rPr>
          <w:rStyle w:val="21"/>
          <w:rFonts w:ascii="仿宋" w:hAnsi="仿宋" w:eastAsia="仿宋"/>
          <w:b w:val="0"/>
          <w:sz w:val="32"/>
          <w:szCs w:val="32"/>
        </w:rPr>
        <w:t>%</w:t>
      </w:r>
      <w:r>
        <w:rPr>
          <w:rStyle w:val="21"/>
          <w:rFonts w:hint="eastAsia" w:ascii="仿宋" w:hAnsi="仿宋" w:eastAsia="仿宋"/>
          <w:b w:val="0"/>
          <w:sz w:val="32"/>
          <w:szCs w:val="32"/>
          <w:lang w:eastAsia="zh-CN"/>
        </w:rPr>
        <w:t>。</w:t>
      </w:r>
    </w:p>
    <w:p w14:paraId="180F01EE">
      <w:pPr>
        <w:pStyle w:val="9"/>
        <w:pageBreakBefore w:val="0"/>
        <w:kinsoku/>
        <w:wordWrap/>
        <w:overflowPunct/>
        <w:topLinePunct w:val="0"/>
        <w:bidi w:val="0"/>
        <w:spacing w:line="560" w:lineRule="atLeast"/>
        <w:rPr>
          <w:rFonts w:hint="eastAsia" w:eastAsia="仿宋"/>
          <w:lang w:val="en-US" w:eastAsia="zh-CN"/>
        </w:rPr>
      </w:pPr>
      <w:r>
        <w:rPr>
          <w:rStyle w:val="21"/>
          <w:rFonts w:hint="eastAsia" w:ascii="仿宋" w:hAnsi="仿宋" w:eastAsia="仿宋"/>
          <w:b w:val="0"/>
          <w:sz w:val="32"/>
          <w:szCs w:val="32"/>
          <w:lang w:val="en-US" w:eastAsia="zh-CN"/>
        </w:rPr>
        <w:t xml:space="preserve">    7.</w:t>
      </w:r>
      <w:r>
        <w:rPr>
          <w:rFonts w:hint="eastAsia" w:ascii="仿宋" w:hAnsi="仿宋" w:eastAsia="仿宋"/>
          <w:b w:val="0"/>
          <w:bCs w:val="0"/>
          <w:sz w:val="32"/>
          <w:szCs w:val="32"/>
          <w:lang w:eastAsia="zh-CN"/>
        </w:rPr>
        <w:t>住房保障支出</w:t>
      </w:r>
      <w:r>
        <w:rPr>
          <w:rFonts w:hint="eastAsia" w:ascii="仿宋" w:hAnsi="仿宋" w:eastAsia="仿宋"/>
          <w:b w:val="0"/>
          <w:bCs w:val="0"/>
          <w:sz w:val="32"/>
          <w:szCs w:val="32"/>
          <w:lang w:val="en-US" w:eastAsia="zh-CN"/>
        </w:rPr>
        <w:t>221</w:t>
      </w:r>
      <w:r>
        <w:rPr>
          <w:rStyle w:val="21"/>
          <w:rFonts w:hint="eastAsia" w:ascii="仿宋" w:hAnsi="仿宋" w:eastAsia="仿宋"/>
          <w:b w:val="0"/>
          <w:bCs w:val="0"/>
          <w:sz w:val="32"/>
          <w:szCs w:val="32"/>
        </w:rPr>
        <w:t>（类）支出决算数为</w:t>
      </w:r>
      <w:r>
        <w:rPr>
          <w:rStyle w:val="21"/>
          <w:rFonts w:hint="eastAsia" w:ascii="仿宋" w:hAnsi="仿宋" w:eastAsia="仿宋"/>
          <w:b w:val="0"/>
          <w:bCs w:val="0"/>
          <w:sz w:val="32"/>
          <w:szCs w:val="32"/>
          <w:lang w:val="en-US" w:eastAsia="zh-CN"/>
        </w:rPr>
        <w:t>168.37</w:t>
      </w:r>
      <w:r>
        <w:rPr>
          <w:rStyle w:val="21"/>
          <w:rFonts w:hint="eastAsia" w:ascii="仿宋" w:hAnsi="仿宋" w:eastAsia="仿宋"/>
          <w:b w:val="0"/>
          <w:bCs w:val="0"/>
          <w:sz w:val="32"/>
          <w:szCs w:val="32"/>
        </w:rPr>
        <w:t>万元</w:t>
      </w:r>
      <w:r>
        <w:rPr>
          <w:rStyle w:val="21"/>
          <w:rFonts w:hint="eastAsia" w:ascii="仿宋" w:hAnsi="仿宋" w:eastAsia="仿宋"/>
          <w:b w:val="0"/>
          <w:bCs w:val="0"/>
          <w:sz w:val="32"/>
          <w:szCs w:val="32"/>
          <w:lang w:eastAsia="zh-CN"/>
        </w:rPr>
        <w:t>，</w:t>
      </w:r>
      <w:r>
        <w:rPr>
          <w:rStyle w:val="21"/>
          <w:rFonts w:hint="eastAsia" w:ascii="仿宋" w:hAnsi="仿宋" w:eastAsia="仿宋"/>
          <w:b w:val="0"/>
          <w:bCs w:val="0"/>
          <w:sz w:val="32"/>
          <w:szCs w:val="32"/>
          <w:lang w:val="en-US" w:eastAsia="zh-CN"/>
        </w:rPr>
        <w:t>其中</w:t>
      </w:r>
      <w:r>
        <w:rPr>
          <w:rFonts w:hint="eastAsia" w:ascii="仿宋" w:hAnsi="仿宋" w:eastAsia="仿宋"/>
          <w:b w:val="0"/>
          <w:bCs w:val="0"/>
          <w:sz w:val="32"/>
          <w:szCs w:val="32"/>
        </w:rPr>
        <w:t>2</w:t>
      </w:r>
      <w:r>
        <w:rPr>
          <w:rFonts w:hint="eastAsia" w:ascii="仿宋" w:hAnsi="仿宋" w:eastAsia="仿宋"/>
          <w:b w:val="0"/>
          <w:bCs w:val="0"/>
          <w:sz w:val="32"/>
          <w:szCs w:val="32"/>
          <w:lang w:val="en-US" w:eastAsia="zh-CN"/>
        </w:rPr>
        <w:t>21</w:t>
      </w:r>
      <w:r>
        <w:rPr>
          <w:rStyle w:val="21"/>
          <w:rFonts w:hint="eastAsia" w:ascii="仿宋" w:hAnsi="仿宋" w:eastAsia="仿宋"/>
          <w:b w:val="0"/>
          <w:bCs w:val="0"/>
          <w:sz w:val="32"/>
          <w:szCs w:val="32"/>
        </w:rPr>
        <w:t>（类）0</w:t>
      </w:r>
      <w:r>
        <w:rPr>
          <w:rStyle w:val="21"/>
          <w:rFonts w:hint="eastAsia" w:ascii="仿宋" w:hAnsi="仿宋" w:eastAsia="仿宋"/>
          <w:b w:val="0"/>
          <w:bCs w:val="0"/>
          <w:sz w:val="32"/>
          <w:szCs w:val="32"/>
          <w:lang w:val="en-US" w:eastAsia="zh-CN"/>
        </w:rPr>
        <w:t>2</w:t>
      </w:r>
      <w:r>
        <w:rPr>
          <w:rStyle w:val="21"/>
          <w:rFonts w:hint="eastAsia" w:ascii="仿宋" w:hAnsi="仿宋" w:eastAsia="仿宋"/>
          <w:b w:val="0"/>
          <w:bCs w:val="0"/>
          <w:sz w:val="32"/>
          <w:szCs w:val="32"/>
        </w:rPr>
        <w:t>（款）0</w:t>
      </w:r>
      <w:r>
        <w:rPr>
          <w:rStyle w:val="21"/>
          <w:rFonts w:hint="eastAsia" w:ascii="仿宋" w:hAnsi="仿宋" w:eastAsia="仿宋"/>
          <w:b w:val="0"/>
          <w:bCs w:val="0"/>
          <w:sz w:val="32"/>
          <w:szCs w:val="32"/>
          <w:lang w:val="en-US" w:eastAsia="zh-CN"/>
        </w:rPr>
        <w:t>1</w:t>
      </w:r>
      <w:r>
        <w:rPr>
          <w:rStyle w:val="21"/>
          <w:rFonts w:hint="eastAsia" w:ascii="仿宋" w:hAnsi="仿宋" w:eastAsia="仿宋"/>
          <w:b w:val="0"/>
          <w:bCs w:val="0"/>
          <w:sz w:val="32"/>
          <w:szCs w:val="32"/>
        </w:rPr>
        <w:t>（项）</w:t>
      </w:r>
      <w:r>
        <w:rPr>
          <w:rStyle w:val="21"/>
          <w:rFonts w:hint="eastAsia" w:ascii="仿宋" w:hAnsi="仿宋" w:eastAsia="仿宋"/>
          <w:b w:val="0"/>
          <w:bCs w:val="0"/>
          <w:sz w:val="32"/>
          <w:szCs w:val="32"/>
          <w:lang w:eastAsia="zh-CN"/>
        </w:rPr>
        <w:t>住房公积金</w:t>
      </w:r>
      <w:r>
        <w:rPr>
          <w:rStyle w:val="21"/>
          <w:rFonts w:hint="eastAsia" w:ascii="仿宋" w:hAnsi="仿宋" w:eastAsia="仿宋"/>
          <w:b w:val="0"/>
          <w:bCs w:val="0"/>
          <w:sz w:val="32"/>
          <w:szCs w:val="32"/>
        </w:rPr>
        <w:t>支出决算数为</w:t>
      </w:r>
      <w:r>
        <w:rPr>
          <w:rStyle w:val="21"/>
          <w:rFonts w:hint="eastAsia" w:ascii="仿宋" w:hAnsi="仿宋" w:eastAsia="仿宋"/>
          <w:b w:val="0"/>
          <w:bCs w:val="0"/>
          <w:sz w:val="32"/>
          <w:szCs w:val="32"/>
          <w:lang w:val="en-US" w:eastAsia="zh-CN"/>
        </w:rPr>
        <w:t>168.37</w:t>
      </w:r>
      <w:r>
        <w:rPr>
          <w:rStyle w:val="21"/>
          <w:rFonts w:hint="eastAsia" w:ascii="仿宋" w:hAnsi="仿宋" w:eastAsia="仿宋"/>
          <w:b w:val="0"/>
          <w:bCs w:val="0"/>
          <w:sz w:val="32"/>
          <w:szCs w:val="32"/>
        </w:rPr>
        <w:t>万元</w:t>
      </w:r>
      <w:r>
        <w:rPr>
          <w:rStyle w:val="21"/>
          <w:rFonts w:hint="eastAsia" w:ascii="仿宋" w:hAnsi="仿宋" w:eastAsia="仿宋"/>
          <w:b w:val="0"/>
          <w:bCs w:val="0"/>
          <w:sz w:val="32"/>
          <w:szCs w:val="32"/>
          <w:lang w:eastAsia="zh-CN"/>
        </w:rPr>
        <w:t>，</w:t>
      </w:r>
      <w:r>
        <w:rPr>
          <w:rStyle w:val="21"/>
          <w:rFonts w:hint="eastAsia" w:ascii="仿宋" w:hAnsi="仿宋" w:eastAsia="仿宋"/>
          <w:b w:val="0"/>
          <w:bCs w:val="0"/>
          <w:sz w:val="32"/>
          <w:szCs w:val="32"/>
        </w:rPr>
        <w:t>完成预算100</w:t>
      </w:r>
      <w:r>
        <w:rPr>
          <w:rStyle w:val="21"/>
          <w:rFonts w:ascii="仿宋" w:hAnsi="仿宋" w:eastAsia="仿宋"/>
          <w:b w:val="0"/>
          <w:bCs w:val="0"/>
          <w:sz w:val="32"/>
          <w:szCs w:val="32"/>
        </w:rPr>
        <w:t>%</w:t>
      </w:r>
      <w:r>
        <w:rPr>
          <w:rStyle w:val="21"/>
          <w:rFonts w:hint="eastAsia" w:ascii="仿宋" w:hAnsi="仿宋" w:eastAsia="仿宋"/>
          <w:b w:val="0"/>
          <w:bCs w:val="0"/>
          <w:sz w:val="32"/>
          <w:szCs w:val="32"/>
          <w:lang w:eastAsia="zh-CN"/>
        </w:rPr>
        <w:t>。</w:t>
      </w:r>
    </w:p>
    <w:p w14:paraId="01C30F63">
      <w:pPr>
        <w:pageBreakBefore w:val="0"/>
        <w:kinsoku/>
        <w:wordWrap/>
        <w:overflowPunct/>
        <w:topLinePunct w:val="0"/>
        <w:bidi w:val="0"/>
        <w:spacing w:line="560" w:lineRule="atLeas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5DF9FCB8">
      <w:pPr>
        <w:pageBreakBefore w:val="0"/>
        <w:kinsoku/>
        <w:wordWrap/>
        <w:overflowPunct/>
        <w:topLinePunct w:val="0"/>
        <w:bidi w:val="0"/>
        <w:spacing w:line="560" w:lineRule="atLeast"/>
        <w:ind w:firstLine="640"/>
        <w:rPr>
          <w:rFonts w:hint="eastAsia" w:ascii="Times New Roman" w:hAnsi="Times New Roman" w:eastAsia="仿宋_GB2312" w:cs="仿宋_GB2312"/>
          <w:b/>
          <w:bCs/>
          <w:color w:val="auto"/>
          <w:kern w:val="2"/>
          <w:sz w:val="32"/>
          <w:szCs w:val="32"/>
          <w:highlight w:val="none"/>
          <w:lang w:val="en-US" w:eastAsia="zh-CN" w:bidi="ar-SA"/>
        </w:rPr>
      </w:pPr>
    </w:p>
    <w:p w14:paraId="72DA43C4">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p>
    <w:p w14:paraId="35EF764D">
      <w:pPr>
        <w:pageBreakBefore w:val="0"/>
        <w:tabs>
          <w:tab w:val="right" w:pos="8306"/>
        </w:tabs>
        <w:kinsoku/>
        <w:wordWrap/>
        <w:overflowPunct/>
        <w:topLinePunct w:val="0"/>
        <w:bidi w:val="0"/>
        <w:spacing w:line="560" w:lineRule="atLeast"/>
        <w:ind w:firstLine="640"/>
        <w:outlineLvl w:val="1"/>
        <w:rPr>
          <w:rStyle w:val="32"/>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28"/>
      <w:bookmarkEnd w:id="29"/>
      <w:r>
        <w:rPr>
          <w:rStyle w:val="32"/>
          <w:rFonts w:ascii="Times New Roman" w:hAnsi="Times New Roman" w:eastAsia="黑体"/>
          <w:b w:val="0"/>
          <w:color w:val="auto"/>
          <w:highlight w:val="none"/>
        </w:rPr>
        <w:tab/>
      </w:r>
    </w:p>
    <w:p w14:paraId="4FCFA2BC">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2527.12</w:t>
      </w:r>
      <w:r>
        <w:rPr>
          <w:rFonts w:hint="eastAsia" w:ascii="Times New Roman" w:hAnsi="Times New Roman" w:eastAsia="仿宋_GB2312" w:cs="仿宋_GB2312"/>
          <w:color w:val="auto"/>
          <w:kern w:val="2"/>
          <w:sz w:val="32"/>
          <w:szCs w:val="32"/>
          <w:highlight w:val="none"/>
          <w:lang w:val="en-US" w:eastAsia="zh-CN" w:bidi="ar-SA"/>
        </w:rPr>
        <w:t>万元，其中：</w:t>
      </w:r>
    </w:p>
    <w:p w14:paraId="0CCECCFD">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2312.19</w:t>
      </w:r>
      <w:r>
        <w:rPr>
          <w:rFonts w:hint="eastAsia" w:ascii="Times New Roman" w:hAnsi="Times New Roman" w:eastAsia="仿宋_GB2312" w:cs="仿宋_GB2312"/>
          <w:color w:val="auto"/>
          <w:kern w:val="2"/>
          <w:sz w:val="32"/>
          <w:szCs w:val="32"/>
          <w:highlight w:val="none"/>
          <w:lang w:val="en-US" w:eastAsia="zh-CN" w:bidi="ar-SA"/>
        </w:rPr>
        <w:t>万元，主要包括：基本工资470.7万元、津贴补贴198.28万元、奖金158.29万元、伙食补助费20.21万元、绩效工资678.23万元、机关事业单位基本养老保险缴费206.45万元、职业年金缴费103.22万元、职工基本医疗保险缴费98.64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其他社会保障缴费37.23万元、其他工资福利支出38.62万元、住房公积金</w:t>
      </w:r>
      <w:r>
        <w:rPr>
          <w:rFonts w:hint="eastAsia" w:eastAsia="仿宋_GB2312" w:cs="仿宋_GB2312"/>
          <w:color w:val="auto"/>
          <w:kern w:val="2"/>
          <w:sz w:val="32"/>
          <w:szCs w:val="32"/>
          <w:highlight w:val="none"/>
          <w:lang w:val="en-US" w:eastAsia="zh-CN" w:bidi="ar-SA"/>
        </w:rPr>
        <w:t>168.37</w:t>
      </w:r>
      <w:r>
        <w:rPr>
          <w:rFonts w:hint="eastAsia" w:ascii="Times New Roman" w:hAnsi="Times New Roman" w:eastAsia="仿宋_GB2312" w:cs="仿宋_GB2312"/>
          <w:color w:val="auto"/>
          <w:kern w:val="2"/>
          <w:sz w:val="32"/>
          <w:szCs w:val="32"/>
          <w:highlight w:val="none"/>
          <w:lang w:val="en-US" w:eastAsia="zh-CN" w:bidi="ar-SA"/>
        </w:rPr>
        <w:t>万元、离休费24.79万元、生活补助109.08万元、奖励金</w:t>
      </w:r>
      <w:r>
        <w:rPr>
          <w:rFonts w:hint="eastAsia" w:eastAsia="仿宋_GB2312" w:cs="仿宋_GB2312"/>
          <w:color w:val="auto"/>
          <w:kern w:val="2"/>
          <w:sz w:val="32"/>
          <w:szCs w:val="32"/>
          <w:highlight w:val="none"/>
          <w:lang w:val="en-US" w:eastAsia="zh-CN" w:bidi="ar-SA"/>
        </w:rPr>
        <w:t>0.06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w:t>
      </w:r>
    </w:p>
    <w:p w14:paraId="2C26BF7B">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eastAsia="仿宋_GB2312" w:cs="仿宋_GB2312"/>
          <w:color w:val="auto"/>
          <w:kern w:val="2"/>
          <w:sz w:val="32"/>
          <w:szCs w:val="32"/>
          <w:highlight w:val="none"/>
          <w:lang w:val="en-US" w:eastAsia="zh-CN" w:bidi="ar-SA"/>
        </w:rPr>
        <w:t>214.93</w:t>
      </w:r>
      <w:r>
        <w:rPr>
          <w:rFonts w:hint="eastAsia" w:ascii="Times New Roman" w:hAnsi="Times New Roman" w:eastAsia="仿宋_GB2312" w:cs="仿宋_GB2312"/>
          <w:color w:val="auto"/>
          <w:kern w:val="2"/>
          <w:sz w:val="32"/>
          <w:szCs w:val="32"/>
          <w:highlight w:val="none"/>
          <w:lang w:val="en-US" w:eastAsia="zh-CN" w:bidi="ar-SA"/>
        </w:rPr>
        <w:t>万元，主要包括：办公费</w:t>
      </w:r>
      <w:r>
        <w:rPr>
          <w:rFonts w:hint="eastAsia" w:eastAsia="仿宋_GB2312" w:cs="仿宋_GB2312"/>
          <w:color w:val="auto"/>
          <w:kern w:val="2"/>
          <w:sz w:val="32"/>
          <w:szCs w:val="32"/>
          <w:highlight w:val="none"/>
          <w:lang w:val="en-US" w:eastAsia="zh-CN" w:bidi="ar-SA"/>
        </w:rPr>
        <w:t>12.68万元</w:t>
      </w:r>
      <w:r>
        <w:rPr>
          <w:rFonts w:hint="eastAsia" w:ascii="Times New Roman" w:hAnsi="Times New Roman" w:eastAsia="仿宋_GB2312" w:cs="仿宋_GB2312"/>
          <w:color w:val="auto"/>
          <w:kern w:val="2"/>
          <w:sz w:val="32"/>
          <w:szCs w:val="32"/>
          <w:highlight w:val="none"/>
          <w:lang w:val="en-US" w:eastAsia="zh-CN" w:bidi="ar-SA"/>
        </w:rPr>
        <w:t>、水费2.64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、电费5.97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、邮电费7.54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差旅费33.5</w:t>
      </w:r>
      <w:r>
        <w:rPr>
          <w:rFonts w:hint="eastAsia" w:eastAsia="仿宋_GB2312" w:cs="仿宋_GB2312"/>
          <w:color w:val="auto"/>
          <w:kern w:val="2"/>
          <w:sz w:val="32"/>
          <w:szCs w:val="32"/>
          <w:highlight w:val="none"/>
          <w:lang w:val="en-US" w:eastAsia="zh-CN" w:bidi="ar-SA"/>
        </w:rPr>
        <w:t>3万元</w:t>
      </w:r>
      <w:r>
        <w:rPr>
          <w:rFonts w:hint="eastAsia" w:ascii="Times New Roman" w:hAnsi="Times New Roman" w:eastAsia="仿宋_GB2312" w:cs="仿宋_GB2312"/>
          <w:color w:val="auto"/>
          <w:kern w:val="2"/>
          <w:sz w:val="32"/>
          <w:szCs w:val="32"/>
          <w:highlight w:val="none"/>
          <w:lang w:val="en-US" w:eastAsia="zh-CN" w:bidi="ar-SA"/>
        </w:rPr>
        <w:t>、维修（护）费0.2</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、租赁费8.94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、会议费0.25</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、培训费0.61</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专用材料费17.95万元、</w:t>
      </w:r>
      <w:r>
        <w:rPr>
          <w:rFonts w:hint="eastAsia" w:ascii="Times New Roman" w:hAnsi="Times New Roman" w:eastAsia="仿宋_GB2312" w:cs="仿宋_GB2312"/>
          <w:color w:val="auto"/>
          <w:kern w:val="2"/>
          <w:sz w:val="32"/>
          <w:szCs w:val="32"/>
          <w:highlight w:val="none"/>
          <w:lang w:val="en-US" w:eastAsia="zh-CN" w:bidi="ar-SA"/>
        </w:rPr>
        <w:t>劳务费26.54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、委托业务费31.97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、工会经费2</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、福利费10.28</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、公务用车运行维护费15.12</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、其他交通费9.91</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、其他商品和服务支出13.6</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、办公设备购置0.93</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、专用设备购置14.27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p>
    <w:p w14:paraId="75A1DDF0">
      <w:pPr>
        <w:pageBreakBefore w:val="0"/>
        <w:kinsoku/>
        <w:wordWrap/>
        <w:overflowPunct/>
        <w:topLinePunct w:val="0"/>
        <w:bidi w:val="0"/>
        <w:spacing w:line="560" w:lineRule="atLeast"/>
        <w:ind w:firstLine="640"/>
        <w:outlineLvl w:val="1"/>
        <w:rPr>
          <w:rStyle w:val="32"/>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0"/>
      <w:bookmarkEnd w:id="31"/>
    </w:p>
    <w:p w14:paraId="6062CDC8">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1A7DB6A1">
      <w:pPr>
        <w:pageBreakBefore w:val="0"/>
        <w:kinsoku/>
        <w:wordWrap/>
        <w:overflowPunct/>
        <w:topLinePunct w:val="0"/>
        <w:bidi w:val="0"/>
        <w:spacing w:line="560" w:lineRule="atLeas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24.47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77.79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76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下降</w:t>
      </w:r>
      <w:r>
        <w:rPr>
          <w:rFonts w:hint="eastAsia" w:ascii="Times New Roman" w:hAnsi="Times New Roman" w:eastAsia="仿宋_GB2312" w:cs="仿宋_GB2312"/>
          <w:color w:val="auto"/>
          <w:kern w:val="2"/>
          <w:sz w:val="32"/>
          <w:szCs w:val="32"/>
          <w:highlight w:val="none"/>
          <w:lang w:val="en-US" w:eastAsia="zh-CN" w:bidi="ar-SA"/>
        </w:rPr>
        <w:t>的主要原因是</w:t>
      </w:r>
      <w:r>
        <w:rPr>
          <w:rFonts w:hint="eastAsia" w:eastAsia="仿宋_GB2312" w:cs="仿宋_GB2312"/>
          <w:color w:val="auto"/>
          <w:kern w:val="2"/>
          <w:sz w:val="32"/>
          <w:szCs w:val="32"/>
          <w:highlight w:val="none"/>
          <w:lang w:val="en-US" w:eastAsia="zh-CN" w:bidi="ar-SA"/>
        </w:rPr>
        <w:t>2025年度无公务用车购置费支出。</w:t>
      </w:r>
    </w:p>
    <w:p w14:paraId="7EFC015D">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14D1BA44">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w:t>
      </w:r>
      <w:r>
        <w:rPr>
          <w:rFonts w:hint="eastAsia" w:eastAsia="仿宋_GB2312" w:cs="仿宋_GB2312"/>
          <w:color w:val="auto"/>
          <w:kern w:val="2"/>
          <w:sz w:val="32"/>
          <w:szCs w:val="32"/>
          <w:highlight w:val="none"/>
          <w:lang w:val="en-US" w:eastAsia="zh-CN" w:bidi="ar-SA"/>
        </w:rPr>
        <w:t>购置及</w:t>
      </w:r>
      <w:r>
        <w:rPr>
          <w:rFonts w:hint="eastAsia" w:ascii="Times New Roman" w:hAnsi="Times New Roman" w:eastAsia="仿宋_GB2312" w:cs="仿宋_GB2312"/>
          <w:color w:val="auto"/>
          <w:kern w:val="2"/>
          <w:sz w:val="32"/>
          <w:szCs w:val="32"/>
          <w:highlight w:val="none"/>
          <w:lang w:val="en-US" w:eastAsia="zh-CN" w:bidi="ar-SA"/>
        </w:rPr>
        <w:t>运行维护费支出决算</w:t>
      </w:r>
      <w:r>
        <w:rPr>
          <w:rFonts w:hint="eastAsia" w:eastAsia="仿宋_GB2312" w:cs="仿宋_GB2312"/>
          <w:color w:val="auto"/>
          <w:kern w:val="2"/>
          <w:sz w:val="32"/>
          <w:szCs w:val="32"/>
          <w:highlight w:val="none"/>
          <w:lang w:val="en-US" w:eastAsia="zh-CN" w:bidi="ar-SA"/>
        </w:rPr>
        <w:t>24.47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3D69B80F">
      <w:pPr>
        <w:pStyle w:val="9"/>
        <w:pageBreakBefore w:val="0"/>
        <w:kinsoku/>
        <w:wordWrap/>
        <w:overflowPunct/>
        <w:topLinePunct w:val="0"/>
        <w:bidi w:val="0"/>
        <w:spacing w:line="560" w:lineRule="atLeast"/>
        <w:rPr>
          <w:rFonts w:hint="eastAsia" w:ascii="Times New Roman" w:hAnsi="Times New Roman" w:eastAsia="仿宋_GB2312" w:cs="仿宋_GB2312"/>
          <w:color w:val="auto"/>
          <w:kern w:val="2"/>
          <w:sz w:val="32"/>
          <w:szCs w:val="32"/>
          <w:highlight w:val="none"/>
          <w:lang w:val="en-US" w:eastAsia="zh-CN" w:bidi="ar-SA"/>
        </w:rPr>
      </w:pPr>
    </w:p>
    <w:p w14:paraId="67A563F0">
      <w:pPr>
        <w:pStyle w:val="10"/>
        <w:pageBreakBefore w:val="0"/>
        <w:widowControl w:val="0"/>
        <w:numPr>
          <w:ilvl w:val="0"/>
          <w:numId w:val="0"/>
        </w:numPr>
        <w:kinsoku/>
        <w:wordWrap/>
        <w:overflowPunct/>
        <w:topLinePunct w:val="0"/>
        <w:bidi w:val="0"/>
        <w:spacing w:line="560" w:lineRule="atLeast"/>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宋体"/>
          <w:lang w:eastAsia="zh-CN"/>
        </w:rPr>
        <w:drawing>
          <wp:inline distT="0" distB="0" distL="114300" distR="114300">
            <wp:extent cx="5674360" cy="2585085"/>
            <wp:effectExtent l="4445" t="4445" r="5715" b="1651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2E8B9F8">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2EFDCC33">
      <w:pPr>
        <w:pageBreakBefore w:val="0"/>
        <w:kinsoku/>
        <w:wordWrap/>
        <w:overflowPunct/>
        <w:topLinePunct w:val="0"/>
        <w:bidi w:val="0"/>
        <w:spacing w:line="560" w:lineRule="atLeast"/>
        <w:ind w:firstLine="640"/>
        <w:rPr>
          <w:rFonts w:hint="eastAsia" w:ascii="Times New Roman" w:hAnsi="Times New Roman" w:eastAsia="仿宋_GB2312" w:cs="仿宋_GB2312"/>
          <w:b/>
          <w:bCs/>
          <w:color w:val="auto"/>
          <w:kern w:val="2"/>
          <w:sz w:val="32"/>
          <w:szCs w:val="32"/>
          <w:highlight w:val="none"/>
          <w:lang w:val="en-US" w:eastAsia="zh-CN" w:bidi="ar-SA"/>
        </w:rPr>
      </w:pPr>
    </w:p>
    <w:p w14:paraId="76D5CF74">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w:t>
      </w:r>
      <w:r>
        <w:rPr>
          <w:rFonts w:hint="eastAsia" w:ascii="仿宋" w:hAnsi="仿宋" w:eastAsia="仿宋" w:cs="仿宋"/>
          <w:b w:val="0"/>
          <w:bCs w:val="0"/>
          <w:color w:val="auto"/>
          <w:kern w:val="2"/>
          <w:sz w:val="32"/>
          <w:szCs w:val="32"/>
          <w:highlight w:val="none"/>
          <w:lang w:val="en-US" w:eastAsia="zh-CN" w:bidi="ar-SA"/>
        </w:rPr>
        <w:t>2025年度本单位无因公出国（境）经费支出</w:t>
      </w:r>
      <w:r>
        <w:rPr>
          <w:rFonts w:hint="eastAsia" w:eastAsia="仿宋_GB2312" w:cs="仿宋_GB2312"/>
          <w:b w:val="0"/>
          <w:bCs w:val="0"/>
          <w:color w:val="auto"/>
          <w:kern w:val="2"/>
          <w:sz w:val="32"/>
          <w:szCs w:val="32"/>
          <w:highlight w:val="none"/>
          <w:lang w:val="en-US" w:eastAsia="zh-CN" w:bidi="ar-SA"/>
        </w:rPr>
        <w:t>。</w:t>
      </w:r>
    </w:p>
    <w:p w14:paraId="20BB536C">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24.47</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77.79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76</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是2025年度无公务用车购置费支出。</w:t>
      </w:r>
    </w:p>
    <w:p w14:paraId="2F80BDA2">
      <w:pPr>
        <w:pageBreakBefore w:val="0"/>
        <w:kinsoku/>
        <w:wordWrap/>
        <w:overflowPunct/>
        <w:topLinePunct w:val="0"/>
        <w:bidi w:val="0"/>
        <w:spacing w:line="560" w:lineRule="atLeast"/>
        <w:ind w:firstLine="640" w:firstLineChars="200"/>
        <w:rPr>
          <w:rFonts w:hint="default" w:eastAsia="仿宋_GB2312" w:cs="仿宋_GB2312"/>
          <w:color w:val="000000" w:themeColor="text1"/>
          <w:sz w:val="32"/>
          <w:szCs w:val="32"/>
          <w:highlight w:val="none"/>
          <w:lang w:val="en-US"/>
          <w14:textFill>
            <w14:solidFill>
              <w14:schemeClr w14:val="tx1"/>
            </w14:solidFill>
          </w14:textFill>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000000" w:themeColor="text1"/>
          <w:sz w:val="32"/>
          <w:szCs w:val="32"/>
          <w:highlight w:val="none"/>
          <w14:textFill>
            <w14:solidFill>
              <w14:schemeClr w14:val="tx1"/>
            </w14:solidFill>
          </w14:textFill>
        </w:rPr>
        <w:t>单位共有公务用车</w:t>
      </w:r>
      <w:r>
        <w:rPr>
          <w:rFonts w:hint="eastAsia" w:eastAsia="仿宋_GB2312" w:cs="仿宋_GB2312"/>
          <w:color w:val="000000" w:themeColor="text1"/>
          <w:sz w:val="32"/>
          <w:szCs w:val="32"/>
          <w:highlight w:val="none"/>
          <w:lang w:val="en-US" w:eastAsia="zh-CN"/>
          <w14:textFill>
            <w14:solidFill>
              <w14:schemeClr w14:val="tx1"/>
            </w14:solidFill>
          </w14:textFill>
        </w:rPr>
        <w:t>6</w:t>
      </w:r>
      <w:r>
        <w:rPr>
          <w:rFonts w:hint="eastAsia" w:eastAsia="仿宋_GB2312" w:cs="仿宋_GB2312"/>
          <w:color w:val="000000" w:themeColor="text1"/>
          <w:sz w:val="32"/>
          <w:szCs w:val="32"/>
          <w:highlight w:val="none"/>
          <w14:textFill>
            <w14:solidFill>
              <w14:schemeClr w14:val="tx1"/>
            </w14:solidFill>
          </w14:textFill>
        </w:rPr>
        <w:t>辆，其中、越野车</w:t>
      </w:r>
      <w:r>
        <w:rPr>
          <w:rFonts w:hint="eastAsia" w:eastAsia="仿宋_GB2312" w:cs="仿宋_GB2312"/>
          <w:color w:val="000000" w:themeColor="text1"/>
          <w:sz w:val="32"/>
          <w:szCs w:val="32"/>
          <w:highlight w:val="none"/>
          <w:lang w:val="en-US" w:eastAsia="zh-CN"/>
          <w14:textFill>
            <w14:solidFill>
              <w14:schemeClr w14:val="tx1"/>
            </w14:solidFill>
          </w14:textFill>
        </w:rPr>
        <w:t>3</w:t>
      </w:r>
      <w:r>
        <w:rPr>
          <w:rFonts w:hint="eastAsia" w:eastAsia="仿宋_GB2312" w:cs="仿宋_GB2312"/>
          <w:color w:val="000000" w:themeColor="text1"/>
          <w:sz w:val="32"/>
          <w:szCs w:val="32"/>
          <w:highlight w:val="none"/>
          <w14:textFill>
            <w14:solidFill>
              <w14:schemeClr w14:val="tx1"/>
            </w14:solidFill>
          </w14:textFill>
        </w:rPr>
        <w:t>辆、载客汽车</w:t>
      </w:r>
      <w:r>
        <w:rPr>
          <w:rFonts w:hint="eastAsia" w:eastAsia="仿宋_GB2312" w:cs="仿宋_GB2312"/>
          <w:color w:val="000000" w:themeColor="text1"/>
          <w:sz w:val="32"/>
          <w:szCs w:val="32"/>
          <w:highlight w:val="none"/>
          <w:lang w:val="en-US" w:eastAsia="zh-CN"/>
          <w14:textFill>
            <w14:solidFill>
              <w14:schemeClr w14:val="tx1"/>
            </w14:solidFill>
          </w14:textFill>
        </w:rPr>
        <w:t>1</w:t>
      </w:r>
      <w:r>
        <w:rPr>
          <w:rFonts w:hint="eastAsia" w:eastAsia="仿宋_GB2312" w:cs="仿宋_GB2312"/>
          <w:color w:val="000000" w:themeColor="text1"/>
          <w:sz w:val="32"/>
          <w:szCs w:val="32"/>
          <w:highlight w:val="none"/>
          <w14:textFill>
            <w14:solidFill>
              <w14:schemeClr w14:val="tx1"/>
            </w14:solidFill>
          </w14:textFill>
        </w:rPr>
        <w:t>辆</w:t>
      </w:r>
      <w:r>
        <w:rPr>
          <w:rFonts w:hint="eastAsia" w:eastAsia="仿宋_GB2312" w:cs="仿宋_GB2312"/>
          <w:color w:val="000000" w:themeColor="text1"/>
          <w:sz w:val="32"/>
          <w:szCs w:val="32"/>
          <w:highlight w:val="none"/>
          <w:lang w:eastAsia="zh-CN"/>
          <w14:textFill>
            <w14:solidFill>
              <w14:schemeClr w14:val="tx1"/>
            </w14:solidFill>
          </w14:textFill>
        </w:rPr>
        <w:t>，特种专业技术用车</w:t>
      </w:r>
      <w:r>
        <w:rPr>
          <w:rFonts w:hint="eastAsia" w:eastAsia="仿宋_GB2312" w:cs="仿宋_GB2312"/>
          <w:color w:val="000000" w:themeColor="text1"/>
          <w:sz w:val="32"/>
          <w:szCs w:val="32"/>
          <w:highlight w:val="none"/>
          <w:lang w:val="en-US" w:eastAsia="zh-CN"/>
          <w14:textFill>
            <w14:solidFill>
              <w14:schemeClr w14:val="tx1"/>
            </w14:solidFill>
          </w14:textFill>
        </w:rPr>
        <w:t>1辆，商务车1辆。</w:t>
      </w:r>
    </w:p>
    <w:p w14:paraId="79BC2589">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24.47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赴九寨沟县、小金县、映秀镇开展送文化乡演出工作，赴成都观摩《醒狮》、《苏提春晓》、《三国志》、《惊梦》、《天鹅湖》工作，赴成都参加《岷山导江》剧本创作会工作、赴康定市、德阳市参加川超演出工作、赴茂县参加新兵欢送会演出工作、赴茂县参加阿坝州旅游发展会演出工作、赴简阳市、成都市参加市运会演出工作、赴成都慰问退休老干部工作、赴茂县参加四川省第五届乡村振兴美丽竞演大赛阿坝州赛区演出工作、赴成都参加2025年舞动天府演出工作、赴成都对接《爱润阿坝》编剧工作、赴西昌市参加四川省舞蹈新作比赛、赴成都参加四川省舞蹈家协会第九次省代表大会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34CEB017">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val="0"/>
          <w:bCs w:val="0"/>
          <w:color w:val="auto"/>
          <w:kern w:val="2"/>
          <w:sz w:val="32"/>
          <w:szCs w:val="32"/>
          <w:highlight w:val="none"/>
          <w:lang w:val="en-US" w:eastAsia="zh-CN" w:bidi="ar-SA"/>
        </w:rPr>
        <w:t>.</w:t>
      </w:r>
      <w:r>
        <w:rPr>
          <w:rFonts w:hint="eastAsia" w:ascii="仿宋" w:hAnsi="仿宋" w:eastAsia="仿宋" w:cs="仿宋"/>
          <w:b w:val="0"/>
          <w:bCs w:val="0"/>
          <w:color w:val="auto"/>
          <w:kern w:val="2"/>
          <w:sz w:val="32"/>
          <w:szCs w:val="32"/>
          <w:highlight w:val="none"/>
          <w:lang w:val="en-US" w:eastAsia="zh-CN" w:bidi="ar-SA"/>
        </w:rPr>
        <w:t>2025年度本单位无公务接待费支出。</w:t>
      </w:r>
      <w:bookmarkStart w:id="34" w:name="_Toc15396610"/>
      <w:bookmarkStart w:id="35" w:name="_Toc15377218"/>
    </w:p>
    <w:p w14:paraId="75DA8B58">
      <w:pPr>
        <w:pageBreakBefore w:val="0"/>
        <w:kinsoku/>
        <w:wordWrap/>
        <w:overflowPunct/>
        <w:topLinePunct w:val="0"/>
        <w:bidi w:val="0"/>
        <w:spacing w:line="560" w:lineRule="atLeast"/>
        <w:ind w:firstLine="640"/>
        <w:outlineLvl w:val="1"/>
        <w:rPr>
          <w:rStyle w:val="32"/>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34"/>
      <w:bookmarkEnd w:id="35"/>
    </w:p>
    <w:p w14:paraId="53148A58">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2025年度本单位无</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w:t>
      </w:r>
    </w:p>
    <w:p w14:paraId="6EDF50E5">
      <w:pPr>
        <w:pageBreakBefore w:val="0"/>
        <w:numPr>
          <w:ilvl w:val="0"/>
          <w:numId w:val="0"/>
        </w:numPr>
        <w:kinsoku/>
        <w:wordWrap/>
        <w:overflowPunct/>
        <w:topLinePunct w:val="0"/>
        <w:bidi w:val="0"/>
        <w:spacing w:line="560" w:lineRule="atLeast"/>
        <w:ind w:left="630" w:leftChars="0"/>
        <w:outlineLvl w:val="1"/>
        <w:rPr>
          <w:rStyle w:val="32"/>
          <w:rFonts w:ascii="Times New Roman" w:hAnsi="Times New Roman" w:eastAsia="黑体"/>
          <w:b w:val="0"/>
          <w:color w:val="auto"/>
          <w:highlight w:val="none"/>
        </w:rPr>
      </w:pPr>
      <w:bookmarkStart w:id="36" w:name="_Toc15396611"/>
      <w:bookmarkStart w:id="37"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36"/>
      <w:bookmarkEnd w:id="37"/>
    </w:p>
    <w:p w14:paraId="09193D60">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2025年度本单位无</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w:t>
      </w:r>
    </w:p>
    <w:p w14:paraId="7603ABEE">
      <w:pPr>
        <w:pageBreakBefore w:val="0"/>
        <w:numPr>
          <w:ilvl w:val="0"/>
          <w:numId w:val="0"/>
        </w:numPr>
        <w:kinsoku/>
        <w:wordWrap/>
        <w:overflowPunct/>
        <w:topLinePunct w:val="0"/>
        <w:bidi w:val="0"/>
        <w:spacing w:line="560" w:lineRule="atLeast"/>
        <w:ind w:left="630" w:leftChars="0"/>
        <w:outlineLvl w:val="1"/>
        <w:rPr>
          <w:rStyle w:val="32"/>
          <w:rFonts w:hint="eastAsia" w:ascii="Times New Roman" w:hAnsi="Times New Roman" w:eastAsia="黑体"/>
          <w:b w:val="0"/>
          <w:color w:val="auto"/>
          <w:highlight w:val="none"/>
        </w:rPr>
      </w:pPr>
      <w:bookmarkStart w:id="38" w:name="_Toc15396612"/>
      <w:bookmarkStart w:id="39" w:name="_Toc15377221"/>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38"/>
      <w:bookmarkEnd w:id="39"/>
    </w:p>
    <w:p w14:paraId="49EB38D8">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5DA1A11D">
      <w:pPr>
        <w:pageBreakBefore w:val="0"/>
        <w:kinsoku/>
        <w:wordWrap/>
        <w:overflowPunct/>
        <w:topLinePunct w:val="0"/>
        <w:bidi w:val="0"/>
        <w:spacing w:line="560" w:lineRule="atLeast"/>
        <w:ind w:firstLine="640" w:firstLineChars="200"/>
        <w:outlineLvl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2025年度本单位无机关运行经费支出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与上年度机关运行经费支出持平无变化。</w:t>
      </w:r>
      <w:bookmarkStart w:id="41" w:name="_Toc15377223"/>
    </w:p>
    <w:p w14:paraId="7F661849">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41"/>
    </w:p>
    <w:p w14:paraId="74EF22CA">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2025年度阿坝州民族歌舞团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97.93</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0.93</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97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公务用车维修与保险采购工作、打印机一体机采购工作、2025年浙江援建资金---“青春恰似火，我和我的祖国”浙川青少年文化交流活动项目采购工作、歌舞剧《云上的呼唤》打磨提升服装设计制作服务项目采购工作</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44.56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46</w:t>
      </w:r>
      <w:r>
        <w:rPr>
          <w:rFonts w:hint="eastAsia" w:ascii="Times New Roman" w:hAnsi="Times New Roman" w:eastAsia="仿宋_GB2312" w:cs="仿宋_GB2312"/>
          <w:color w:val="auto"/>
          <w:kern w:val="2"/>
          <w:sz w:val="32"/>
          <w:szCs w:val="32"/>
          <w:highlight w:val="none"/>
          <w:lang w:val="en-US" w:eastAsia="zh-CN" w:bidi="ar-SA"/>
        </w:rPr>
        <w:t>%。</w:t>
      </w:r>
    </w:p>
    <w:p w14:paraId="4D17ED9C">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p>
    <w:p w14:paraId="6925F3B0">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30C5E6D8">
      <w:pPr>
        <w:pageBreakBefore w:val="0"/>
        <w:kinsoku/>
        <w:wordWrap/>
        <w:overflowPunct/>
        <w:topLinePunct w:val="0"/>
        <w:bidi w:val="0"/>
        <w:spacing w:line="560" w:lineRule="atLeast"/>
        <w:ind w:firstLine="640" w:firstLineChars="200"/>
        <w:rPr>
          <w:rFonts w:hint="eastAsia" w:eastAsia="仿宋_GB2312" w:cs="仿宋_GB2312"/>
          <w:i w:val="0"/>
          <w:iCs w:val="0"/>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i w:val="0"/>
          <w:iCs w:val="0"/>
          <w:sz w:val="32"/>
          <w:szCs w:val="32"/>
          <w:highlight w:val="none"/>
          <w:u w:val="none"/>
          <w:lang w:eastAsia="zh-CN"/>
        </w:rPr>
        <w:t>阿坝州民族歌舞团</w:t>
      </w:r>
      <w:r>
        <w:rPr>
          <w:rFonts w:hint="eastAsia" w:ascii="仿宋_GB2312" w:hAnsi="仿宋_GB2312" w:eastAsia="仿宋_GB2312" w:cs="仿宋_GB2312"/>
          <w:i w:val="0"/>
          <w:iCs w:val="0"/>
          <w:sz w:val="32"/>
          <w:szCs w:val="32"/>
          <w:highlight w:val="none"/>
          <w:u w:val="none"/>
        </w:rPr>
        <w:t>共有车辆</w:t>
      </w:r>
      <w:r>
        <w:rPr>
          <w:rFonts w:hint="eastAsia" w:ascii="仿宋_GB2312" w:hAnsi="仿宋_GB2312" w:eastAsia="仿宋_GB2312" w:cs="仿宋_GB2312"/>
          <w:i w:val="0"/>
          <w:iCs w:val="0"/>
          <w:sz w:val="32"/>
          <w:szCs w:val="32"/>
          <w:highlight w:val="none"/>
          <w:u w:val="none"/>
          <w:lang w:val="en-US" w:eastAsia="zh-CN"/>
        </w:rPr>
        <w:t>6</w:t>
      </w:r>
      <w:r>
        <w:rPr>
          <w:rFonts w:hint="eastAsia" w:ascii="仿宋_GB2312" w:hAnsi="仿宋_GB2312" w:eastAsia="仿宋_GB2312" w:cs="仿宋_GB2312"/>
          <w:i w:val="0"/>
          <w:iCs w:val="0"/>
          <w:sz w:val="32"/>
          <w:szCs w:val="32"/>
          <w:highlight w:val="none"/>
          <w:u w:val="none"/>
        </w:rPr>
        <w:t>辆，其中：主要负责人用车</w:t>
      </w:r>
      <w:r>
        <w:rPr>
          <w:rFonts w:hint="eastAsia" w:ascii="仿宋_GB2312" w:hAnsi="仿宋_GB2312" w:eastAsia="仿宋_GB2312" w:cs="仿宋_GB2312"/>
          <w:i w:val="0"/>
          <w:iCs w:val="0"/>
          <w:sz w:val="32"/>
          <w:szCs w:val="32"/>
          <w:highlight w:val="none"/>
          <w:u w:val="none"/>
          <w:lang w:val="en-US" w:eastAsia="zh-CN"/>
        </w:rPr>
        <w:t>0</w:t>
      </w:r>
      <w:r>
        <w:rPr>
          <w:rFonts w:hint="eastAsia" w:ascii="仿宋_GB2312" w:hAnsi="仿宋_GB2312" w:eastAsia="仿宋_GB2312" w:cs="仿宋_GB2312"/>
          <w:i w:val="0"/>
          <w:iCs w:val="0"/>
          <w:sz w:val="32"/>
          <w:szCs w:val="32"/>
          <w:highlight w:val="none"/>
        </w:rPr>
        <w:t>辆、机要通信用车</w:t>
      </w:r>
      <w:r>
        <w:rPr>
          <w:rFonts w:hint="eastAsia" w:ascii="仿宋_GB2312" w:hAnsi="仿宋_GB2312" w:eastAsia="仿宋_GB2312" w:cs="仿宋_GB2312"/>
          <w:i w:val="0"/>
          <w:iCs w:val="0"/>
          <w:sz w:val="32"/>
          <w:szCs w:val="32"/>
          <w:highlight w:val="none"/>
          <w:lang w:val="en-US" w:eastAsia="zh-CN"/>
        </w:rPr>
        <w:t>0</w:t>
      </w:r>
      <w:r>
        <w:rPr>
          <w:rFonts w:hint="eastAsia" w:ascii="仿宋_GB2312" w:hAnsi="仿宋_GB2312" w:eastAsia="仿宋_GB2312" w:cs="仿宋_GB2312"/>
          <w:i w:val="0"/>
          <w:iCs w:val="0"/>
          <w:sz w:val="32"/>
          <w:szCs w:val="32"/>
          <w:highlight w:val="none"/>
        </w:rPr>
        <w:t>辆、应急保障用车</w:t>
      </w:r>
      <w:r>
        <w:rPr>
          <w:rFonts w:hint="eastAsia" w:ascii="仿宋_GB2312" w:hAnsi="仿宋_GB2312" w:eastAsia="仿宋_GB2312" w:cs="仿宋_GB2312"/>
          <w:i w:val="0"/>
          <w:iCs w:val="0"/>
          <w:sz w:val="32"/>
          <w:szCs w:val="32"/>
          <w:highlight w:val="none"/>
          <w:lang w:val="en-US" w:eastAsia="zh-CN"/>
        </w:rPr>
        <w:t>0</w:t>
      </w:r>
      <w:r>
        <w:rPr>
          <w:rFonts w:hint="eastAsia" w:ascii="仿宋_GB2312" w:hAnsi="仿宋_GB2312" w:eastAsia="仿宋_GB2312" w:cs="仿宋_GB2312"/>
          <w:i w:val="0"/>
          <w:iCs w:val="0"/>
          <w:sz w:val="32"/>
          <w:szCs w:val="32"/>
          <w:highlight w:val="none"/>
        </w:rPr>
        <w:t>辆、</w:t>
      </w:r>
      <w:r>
        <w:rPr>
          <w:rFonts w:hint="eastAsia" w:ascii="仿宋_GB2312" w:hAnsi="仿宋_GB2312" w:eastAsia="仿宋_GB2312" w:cs="仿宋_GB2312"/>
          <w:i w:val="0"/>
          <w:iCs w:val="0"/>
          <w:sz w:val="32"/>
          <w:szCs w:val="32"/>
          <w:highlight w:val="none"/>
          <w:lang w:eastAsia="zh-CN"/>
        </w:rPr>
        <w:t>特种专业技术用车</w:t>
      </w:r>
      <w:r>
        <w:rPr>
          <w:rFonts w:hint="eastAsia" w:ascii="仿宋_GB2312" w:hAnsi="仿宋_GB2312" w:eastAsia="仿宋_GB2312" w:cs="仿宋_GB2312"/>
          <w:i w:val="0"/>
          <w:iCs w:val="0"/>
          <w:sz w:val="32"/>
          <w:szCs w:val="32"/>
          <w:highlight w:val="none"/>
          <w:lang w:val="en-US" w:eastAsia="zh-CN"/>
        </w:rPr>
        <w:t>1辆、</w:t>
      </w:r>
      <w:r>
        <w:rPr>
          <w:rFonts w:hint="eastAsia" w:ascii="仿宋_GB2312" w:hAnsi="仿宋_GB2312" w:eastAsia="仿宋_GB2312" w:cs="仿宋_GB2312"/>
          <w:i w:val="0"/>
          <w:iCs w:val="0"/>
          <w:sz w:val="32"/>
          <w:szCs w:val="32"/>
          <w:highlight w:val="none"/>
        </w:rPr>
        <w:t>其他用车</w:t>
      </w:r>
      <w:r>
        <w:rPr>
          <w:rFonts w:hint="eastAsia" w:ascii="仿宋_GB2312" w:hAnsi="仿宋_GB2312" w:eastAsia="仿宋_GB2312" w:cs="仿宋_GB2312"/>
          <w:i w:val="0"/>
          <w:iCs w:val="0"/>
          <w:sz w:val="32"/>
          <w:szCs w:val="32"/>
          <w:highlight w:val="none"/>
          <w:lang w:val="en-US" w:eastAsia="zh-CN"/>
        </w:rPr>
        <w:t>5</w:t>
      </w:r>
      <w:r>
        <w:rPr>
          <w:rFonts w:hint="eastAsia" w:ascii="仿宋_GB2312" w:hAnsi="仿宋_GB2312" w:eastAsia="仿宋_GB2312" w:cs="仿宋_GB2312"/>
          <w:i w:val="0"/>
          <w:iCs w:val="0"/>
          <w:sz w:val="32"/>
          <w:szCs w:val="32"/>
          <w:highlight w:val="none"/>
        </w:rPr>
        <w:t>辆，其他用车主要是用于</w:t>
      </w:r>
      <w:r>
        <w:rPr>
          <w:rFonts w:hint="eastAsia" w:ascii="仿宋_GB2312" w:hAnsi="仿宋_GB2312" w:eastAsia="仿宋_GB2312" w:cs="仿宋_GB2312"/>
          <w:i w:val="0"/>
          <w:iCs w:val="0"/>
          <w:sz w:val="32"/>
          <w:szCs w:val="32"/>
          <w:highlight w:val="none"/>
          <w:lang w:eastAsia="zh-CN"/>
        </w:rPr>
        <w:t>单位日常业务开展，用于公务出差、下乡等工作</w:t>
      </w:r>
      <w:r>
        <w:rPr>
          <w:rFonts w:hint="eastAsia" w:ascii="仿宋_GB2312" w:hAnsi="仿宋_GB2312" w:eastAsia="仿宋_GB2312" w:cs="仿宋_GB2312"/>
          <w:i w:val="0"/>
          <w:iCs w:val="0"/>
          <w:sz w:val="32"/>
          <w:szCs w:val="32"/>
          <w:highlight w:val="none"/>
        </w:rPr>
        <w:t>。单价100万元（含）以上设备（不含车辆）</w:t>
      </w:r>
      <w:r>
        <w:rPr>
          <w:rFonts w:hint="eastAsia" w:ascii="仿宋_GB2312" w:hAnsi="仿宋_GB2312" w:eastAsia="仿宋_GB2312" w:cs="仿宋_GB2312"/>
          <w:i w:val="0"/>
          <w:iCs w:val="0"/>
          <w:sz w:val="32"/>
          <w:szCs w:val="32"/>
          <w:highlight w:val="none"/>
          <w:lang w:val="en-US" w:eastAsia="zh-CN"/>
        </w:rPr>
        <w:t>0</w:t>
      </w:r>
      <w:r>
        <w:rPr>
          <w:rFonts w:hint="eastAsia" w:ascii="仿宋_GB2312" w:hAnsi="仿宋_GB2312" w:eastAsia="仿宋_GB2312" w:cs="仿宋_GB2312"/>
          <w:i w:val="0"/>
          <w:iCs w:val="0"/>
          <w:sz w:val="32"/>
          <w:szCs w:val="32"/>
          <w:highlight w:val="none"/>
        </w:rPr>
        <w:t>台（套）</w:t>
      </w:r>
      <w:r>
        <w:rPr>
          <w:rFonts w:hint="eastAsia" w:eastAsia="仿宋_GB2312" w:cs="仿宋_GB2312"/>
          <w:i w:val="0"/>
          <w:iCs w:val="0"/>
          <w:sz w:val="32"/>
          <w:szCs w:val="32"/>
          <w:highlight w:val="none"/>
        </w:rPr>
        <w:t>。</w:t>
      </w:r>
    </w:p>
    <w:p w14:paraId="67F658F8">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p>
    <w:p w14:paraId="62F749E0">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4136EA4">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阿坝州民族歌舞团</w:t>
      </w:r>
      <w:r>
        <w:rPr>
          <w:rFonts w:hint="eastAsia" w:ascii="Times New Roman" w:hAnsi="Times New Roman" w:eastAsia="仿宋_GB2312" w:cs="仿宋_GB2312"/>
          <w:color w:val="auto"/>
          <w:kern w:val="2"/>
          <w:sz w:val="32"/>
          <w:szCs w:val="32"/>
          <w:highlight w:val="none"/>
          <w:lang w:val="en-US" w:eastAsia="zh-CN" w:bidi="ar-SA"/>
        </w:rPr>
        <w:t>在2025年度，组织对歌舞剧《云上的呼唤》缺口资金</w:t>
      </w: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2023年《云上的呼唤》成都演出大麦网门票收入</w:t>
      </w: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阿坝州民族歌舞团剧目《云上的呼唤》打磨提升</w:t>
      </w: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歌舞团文艺演出文艺创作等经费</w:t>
      </w: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2025年《牦牛革命》北京大学演出剧场服务费</w:t>
      </w: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2025年浙江援建资金---“青春恰似火，我和我的祖国”浙川青少年文化交流活动经费</w:t>
      </w: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创作研究室专业音乐制作及视频制作设备（音频、音源、软件、操作系统）</w:t>
      </w: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2025年阿坝州民族歌舞团门卫工资</w:t>
      </w:r>
      <w:r>
        <w:rPr>
          <w:rFonts w:hint="eastAsia" w:eastAsia="仿宋_GB2312" w:cs="仿宋_GB2312"/>
          <w:color w:val="auto"/>
          <w:kern w:val="2"/>
          <w:sz w:val="32"/>
          <w:szCs w:val="32"/>
          <w:highlight w:val="none"/>
          <w:lang w:val="en-US" w:eastAsia="zh-CN" w:bidi="ar-SA"/>
        </w:rPr>
        <w:t>发放项目8</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309.4</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4818AB03">
      <w:pPr>
        <w:pageBreakBefore w:val="0"/>
        <w:kinsoku/>
        <w:wordWrap/>
        <w:overflowPunct/>
        <w:topLinePunct w:val="0"/>
        <w:bidi w:val="0"/>
        <w:spacing w:line="560" w:lineRule="atLeast"/>
        <w:ind w:firstLine="640" w:firstLineChars="200"/>
        <w:rPr>
          <w:rFonts w:hint="eastAsia" w:eastAsia="仿宋" w:cs="仿宋_GB2312"/>
          <w:sz w:val="32"/>
          <w:szCs w:val="32"/>
          <w:lang w:eastAsia="zh-CN"/>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组织对2025年度一般公共预算全面开展绩效自评，形成</w:t>
      </w:r>
      <w:r>
        <w:rPr>
          <w:rFonts w:hint="eastAsia" w:eastAsia="仿宋_GB2312" w:cs="仿宋_GB2312"/>
          <w:sz w:val="32"/>
          <w:szCs w:val="32"/>
          <w:lang w:eastAsia="zh-CN"/>
        </w:rPr>
        <w:t>阿坝州民族歌舞团</w:t>
      </w:r>
      <w:r>
        <w:rPr>
          <w:rFonts w:hint="eastAsia" w:eastAsia="仿宋_GB2312" w:cs="仿宋_GB2312"/>
          <w:sz w:val="32"/>
          <w:szCs w:val="32"/>
        </w:rPr>
        <w:t>部门整体绩效自评报告、专项预算项目绩效自评报告</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eastAsia="仿宋_GB2312" w:cs="仿宋_GB2312"/>
          <w:sz w:val="32"/>
          <w:szCs w:val="32"/>
        </w:rPr>
        <w:t>部门整体（含部门预算项目）绩效自评得分为</w:t>
      </w:r>
      <w:r>
        <w:rPr>
          <w:rFonts w:hint="eastAsia" w:eastAsia="仿宋_GB2312" w:cs="仿宋_GB2312"/>
          <w:sz w:val="32"/>
          <w:szCs w:val="32"/>
          <w:lang w:val="en-US" w:eastAsia="zh-CN"/>
        </w:rPr>
        <w:t>90</w:t>
      </w:r>
      <w:r>
        <w:rPr>
          <w:rFonts w:hint="eastAsia" w:eastAsia="仿宋_GB2312" w:cs="仿宋_GB2312"/>
          <w:sz w:val="32"/>
          <w:szCs w:val="32"/>
        </w:rPr>
        <w:t>分，绩效自评综述</w:t>
      </w: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年我团资金运行维护决策正确，资金管理规范，项目管理到位，政策执行有力，有效发挥了财政资金的使用效率，顺利完成了各项任务。三公经费严格控制在预算范围内，严格落实了厉行节约的原则</w:t>
      </w:r>
      <w:r>
        <w:rPr>
          <w:rFonts w:hint="eastAsia" w:eastAsia="仿宋_GB2312" w:cs="仿宋_GB2312"/>
          <w:sz w:val="32"/>
          <w:szCs w:val="32"/>
          <w:lang w:eastAsia="zh-CN"/>
        </w:rPr>
        <w:t>。</w:t>
      </w:r>
    </w:p>
    <w:p w14:paraId="7D672F03">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p>
    <w:p w14:paraId="797D9F8C">
      <w:pPr>
        <w:pageBreakBefore w:val="0"/>
        <w:numPr>
          <w:ilvl w:val="0"/>
          <w:numId w:val="0"/>
        </w:numPr>
        <w:kinsoku/>
        <w:wordWrap/>
        <w:overflowPunct/>
        <w:topLinePunct w:val="0"/>
        <w:bidi w:val="0"/>
        <w:spacing w:line="560" w:lineRule="atLeast"/>
        <w:jc w:val="center"/>
        <w:outlineLvl w:val="0"/>
        <w:rPr>
          <w:rFonts w:hint="eastAsia" w:ascii="Times New Roman" w:hAnsi="Times New Roman" w:eastAsia="黑体"/>
          <w:color w:val="auto"/>
          <w:sz w:val="44"/>
          <w:szCs w:val="44"/>
          <w:highlight w:val="none"/>
        </w:rPr>
      </w:pPr>
      <w:bookmarkStart w:id="43" w:name="_Toc15377225"/>
      <w:bookmarkStart w:id="44" w:name="_Toc15396613"/>
    </w:p>
    <w:p w14:paraId="57D57FCF">
      <w:pPr>
        <w:pageBreakBefore w:val="0"/>
        <w:numPr>
          <w:ilvl w:val="0"/>
          <w:numId w:val="0"/>
        </w:numPr>
        <w:kinsoku/>
        <w:wordWrap/>
        <w:overflowPunct/>
        <w:topLinePunct w:val="0"/>
        <w:bidi w:val="0"/>
        <w:spacing w:line="560" w:lineRule="atLeast"/>
        <w:jc w:val="center"/>
        <w:outlineLvl w:val="0"/>
        <w:rPr>
          <w:rFonts w:hint="eastAsia" w:ascii="Times New Roman" w:hAnsi="Times New Roman" w:eastAsia="黑体"/>
          <w:color w:val="auto"/>
          <w:sz w:val="44"/>
          <w:szCs w:val="44"/>
          <w:highlight w:val="none"/>
        </w:rPr>
      </w:pPr>
    </w:p>
    <w:p w14:paraId="0D07751C">
      <w:pPr>
        <w:pageBreakBefore w:val="0"/>
        <w:numPr>
          <w:ilvl w:val="0"/>
          <w:numId w:val="0"/>
        </w:numPr>
        <w:kinsoku/>
        <w:wordWrap/>
        <w:overflowPunct/>
        <w:topLinePunct w:val="0"/>
        <w:bidi w:val="0"/>
        <w:spacing w:line="560" w:lineRule="atLeas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38C013ED">
      <w:pPr>
        <w:pageBreakBefore w:val="0"/>
        <w:kinsoku/>
        <w:wordWrap/>
        <w:overflowPunct/>
        <w:topLinePunct w:val="0"/>
        <w:bidi w:val="0"/>
        <w:spacing w:line="560" w:lineRule="atLeast"/>
        <w:jc w:val="left"/>
        <w:rPr>
          <w:rFonts w:ascii="Times New Roman" w:hAnsi="Times New Roman"/>
          <w:b/>
          <w:color w:val="auto"/>
          <w:sz w:val="44"/>
          <w:szCs w:val="44"/>
          <w:highlight w:val="none"/>
        </w:rPr>
      </w:pPr>
    </w:p>
    <w:p w14:paraId="441C1BDB">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0AA1BB8">
      <w:pPr>
        <w:pageBreakBefore w:val="0"/>
        <w:kinsoku/>
        <w:wordWrap/>
        <w:overflowPunct/>
        <w:topLinePunct w:val="0"/>
        <w:bidi w:val="0"/>
        <w:spacing w:line="560" w:lineRule="atLeas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.其他收入：指单位取得的除上述收入以外的各项收入。主要是</w:t>
      </w:r>
      <w:r>
        <w:rPr>
          <w:rFonts w:hint="eastAsia" w:eastAsia="仿宋_GB2312" w:cs="仿宋_GB2312"/>
          <w:color w:val="auto"/>
          <w:kern w:val="2"/>
          <w:sz w:val="32"/>
          <w:szCs w:val="32"/>
          <w:highlight w:val="none"/>
          <w:lang w:val="en-US" w:eastAsia="zh-CN" w:bidi="ar-SA"/>
        </w:rPr>
        <w:t>剧目《岷山导江》编剧经费、</w:t>
      </w:r>
      <w:r>
        <w:rPr>
          <w:rFonts w:hint="eastAsia" w:ascii="Times New Roman" w:hAnsi="Times New Roman" w:eastAsia="仿宋_GB2312" w:cs="仿宋_GB2312"/>
          <w:color w:val="auto"/>
          <w:kern w:val="2"/>
          <w:sz w:val="32"/>
          <w:szCs w:val="32"/>
          <w:highlight w:val="none"/>
          <w:lang w:val="en-US" w:eastAsia="zh-CN" w:bidi="ar-SA"/>
        </w:rPr>
        <w:t xml:space="preserve"> </w:t>
      </w:r>
      <w:r>
        <w:rPr>
          <w:rFonts w:hint="eastAsia" w:eastAsia="仿宋_GB2312" w:cs="仿宋_GB2312"/>
          <w:color w:val="auto"/>
          <w:kern w:val="2"/>
          <w:sz w:val="32"/>
          <w:szCs w:val="32"/>
          <w:highlight w:val="none"/>
          <w:lang w:val="en-US" w:eastAsia="zh-CN" w:bidi="ar-SA"/>
        </w:rPr>
        <w:t>音乐剧《牦牛革命》巡演尾款。</w:t>
      </w:r>
    </w:p>
    <w:p w14:paraId="3712BA2A">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69B9BF00">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5EDCFC25">
      <w:pPr>
        <w:pageBreakBefore w:val="0"/>
        <w:kinsoku/>
        <w:wordWrap/>
        <w:overflowPunct/>
        <w:topLinePunct w:val="0"/>
        <w:bidi w:val="0"/>
        <w:spacing w:line="560" w:lineRule="atLeast"/>
        <w:ind w:firstLine="640" w:firstLineChars="200"/>
        <w:rPr>
          <w:rFonts w:hint="eastAsia" w:eastAsia="仿宋_GB2312" w:cs="仿宋_GB2312"/>
          <w:sz w:val="32"/>
          <w:szCs w:val="32"/>
          <w:lang w:val="en-US" w:eastAsia="zh-CN"/>
        </w:rPr>
      </w:pPr>
      <w:r>
        <w:rPr>
          <w:rFonts w:hint="eastAsia" w:eastAsia="仿宋_GB2312" w:cs="仿宋_GB2312"/>
          <w:sz w:val="32"/>
          <w:szCs w:val="32"/>
          <w:lang w:val="en-US" w:eastAsia="zh-CN"/>
        </w:rPr>
        <w:t>5</w:t>
      </w:r>
      <w:r>
        <w:rPr>
          <w:rFonts w:hint="eastAsia" w:eastAsia="仿宋_GB2312" w:cs="仿宋_GB2312"/>
          <w:sz w:val="32"/>
          <w:szCs w:val="32"/>
        </w:rPr>
        <w:t>.</w:t>
      </w:r>
      <w:r>
        <w:rPr>
          <w:rFonts w:hint="eastAsia" w:eastAsia="仿宋_GB2312" w:cs="仿宋_GB2312"/>
          <w:sz w:val="32"/>
          <w:szCs w:val="32"/>
          <w:lang w:val="en-US" w:eastAsia="zh-CN"/>
        </w:rPr>
        <w:t xml:space="preserve"> </w:t>
      </w:r>
      <w:r>
        <w:rPr>
          <w:rFonts w:hint="eastAsia" w:eastAsia="仿宋_GB2312" w:cs="仿宋_GB2312"/>
          <w:sz w:val="32"/>
          <w:szCs w:val="32"/>
        </w:rPr>
        <w:t>文化旅游体育与传媒</w:t>
      </w:r>
      <w:r>
        <w:rPr>
          <w:rFonts w:hint="eastAsia" w:eastAsia="仿宋_GB2312" w:cs="仿宋_GB2312"/>
          <w:sz w:val="32"/>
          <w:szCs w:val="32"/>
          <w:lang w:eastAsia="zh-CN"/>
        </w:rPr>
        <w:t>支出</w:t>
      </w:r>
      <w:r>
        <w:rPr>
          <w:rFonts w:hint="eastAsia" w:eastAsia="仿宋_GB2312" w:cs="仿宋_GB2312"/>
          <w:sz w:val="32"/>
          <w:szCs w:val="32"/>
          <w:lang w:val="en-US" w:eastAsia="zh-CN"/>
        </w:rPr>
        <w:t xml:space="preserve">          </w:t>
      </w:r>
    </w:p>
    <w:p w14:paraId="6DF5D09D">
      <w:pPr>
        <w:pageBreakBefore w:val="0"/>
        <w:kinsoku/>
        <w:wordWrap/>
        <w:overflowPunct/>
        <w:topLinePunct w:val="0"/>
        <w:bidi w:val="0"/>
        <w:spacing w:line="560" w:lineRule="atLeast"/>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rPr>
        <w:t>20</w:t>
      </w:r>
      <w:r>
        <w:rPr>
          <w:rFonts w:hint="eastAsia" w:ascii="仿宋_GB2312" w:eastAsia="仿宋_GB2312"/>
          <w:color w:val="000000"/>
          <w:sz w:val="32"/>
          <w:szCs w:val="32"/>
          <w:lang w:val="en-US" w:eastAsia="zh-CN"/>
        </w:rPr>
        <w:t>7</w:t>
      </w:r>
      <w:r>
        <w:rPr>
          <w:rFonts w:hint="eastAsia" w:ascii="仿宋_GB2312" w:eastAsia="仿宋_GB2312"/>
          <w:color w:val="000000"/>
          <w:sz w:val="32"/>
          <w:szCs w:val="32"/>
        </w:rPr>
        <w:t>（类）</w:t>
      </w:r>
      <w:r>
        <w:rPr>
          <w:rFonts w:hint="eastAsia" w:ascii="仿宋_GB2312" w:eastAsia="仿宋_GB2312"/>
          <w:color w:val="000000"/>
          <w:sz w:val="32"/>
          <w:szCs w:val="32"/>
          <w:lang w:val="en-US" w:eastAsia="zh-CN"/>
        </w:rPr>
        <w:t>01</w:t>
      </w:r>
      <w:r>
        <w:rPr>
          <w:rFonts w:hint="eastAsia" w:ascii="仿宋_GB2312" w:eastAsia="仿宋_GB2312"/>
          <w:color w:val="000000"/>
          <w:sz w:val="32"/>
          <w:szCs w:val="32"/>
        </w:rPr>
        <w:t>（款</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07</w:t>
      </w:r>
      <w:r>
        <w:rPr>
          <w:rFonts w:hint="eastAsia" w:ascii="仿宋_GB2312" w:eastAsia="仿宋_GB2312"/>
          <w:color w:val="000000"/>
          <w:sz w:val="32"/>
          <w:szCs w:val="32"/>
        </w:rPr>
        <w:t>（项）</w:t>
      </w:r>
      <w:r>
        <w:rPr>
          <w:rFonts w:hint="eastAsia" w:ascii="仿宋_GB2312" w:eastAsia="仿宋_GB2312"/>
          <w:color w:val="000000"/>
          <w:sz w:val="32"/>
          <w:szCs w:val="32"/>
          <w:lang w:eastAsia="zh-CN"/>
        </w:rPr>
        <w:t>：艺术表演团体，反映文化及其部门主管的剧院（团）等艺术表演团体的支出。指阿坝州民族歌舞团基本工资、伙食补助费、其他社会保障缴费、办公费、印刷费、水费、电费、邮电费、物业管理费、差旅费、维修（护）费、租赁费、培训费、专用材料费、劳务费、委托业务费、福利费、公务用车运行维护费、其他交通费用、抚恤金、离休金等支出。</w:t>
      </w:r>
    </w:p>
    <w:p w14:paraId="346B3D62">
      <w:pPr>
        <w:pageBreakBefore w:val="0"/>
        <w:kinsoku/>
        <w:wordWrap/>
        <w:overflowPunct/>
        <w:topLinePunct w:val="0"/>
        <w:bidi w:val="0"/>
        <w:spacing w:line="560" w:lineRule="atLeast"/>
        <w:ind w:firstLine="640" w:firstLineChars="200"/>
        <w:rPr>
          <w:rFonts w:hint="eastAsia" w:ascii="仿宋_GB2312" w:eastAsia="仿宋_GB2312"/>
          <w:sz w:val="32"/>
          <w:szCs w:val="32"/>
          <w:lang w:eastAsia="zh-CN"/>
        </w:rPr>
      </w:pPr>
      <w:r>
        <w:rPr>
          <w:rFonts w:hint="eastAsia" w:eastAsia="仿宋_GB2312" w:cs="仿宋_GB2312"/>
          <w:sz w:val="32"/>
          <w:szCs w:val="32"/>
          <w:lang w:val="en-US" w:eastAsia="zh-CN"/>
        </w:rPr>
        <w:t>6.</w:t>
      </w:r>
      <w:r>
        <w:rPr>
          <w:rFonts w:hint="eastAsia" w:ascii="仿宋_GB2312" w:eastAsia="仿宋_GB2312"/>
          <w:sz w:val="32"/>
          <w:szCs w:val="32"/>
        </w:rPr>
        <w:t>社会保障和就业</w:t>
      </w:r>
      <w:r>
        <w:rPr>
          <w:rFonts w:hint="eastAsia" w:ascii="仿宋_GB2312" w:eastAsia="仿宋_GB2312"/>
          <w:sz w:val="32"/>
          <w:szCs w:val="32"/>
          <w:lang w:eastAsia="zh-CN"/>
        </w:rPr>
        <w:t>支出</w:t>
      </w:r>
    </w:p>
    <w:p w14:paraId="6BC80359">
      <w:pPr>
        <w:pageBreakBefore w:val="0"/>
        <w:kinsoku/>
        <w:wordWrap/>
        <w:overflowPunct/>
        <w:topLinePunct w:val="0"/>
        <w:bidi w:val="0"/>
        <w:spacing w:line="560" w:lineRule="atLeast"/>
        <w:ind w:firstLine="640" w:firstLineChars="200"/>
        <w:rPr>
          <w:rFonts w:ascii="仿宋_GB2312" w:eastAsia="仿宋_GB2312"/>
          <w:color w:val="000000"/>
          <w:sz w:val="32"/>
          <w:szCs w:val="32"/>
        </w:rPr>
      </w:pPr>
      <w:r>
        <w:rPr>
          <w:rFonts w:hint="eastAsia" w:ascii="仿宋_GB2312" w:eastAsia="仿宋_GB2312"/>
          <w:color w:val="000000"/>
          <w:sz w:val="32"/>
          <w:szCs w:val="32"/>
        </w:rPr>
        <w:t>208（类）05（款）05（项）</w:t>
      </w:r>
      <w:r>
        <w:rPr>
          <w:rFonts w:hint="eastAsia" w:ascii="仿宋_GB2312" w:eastAsia="仿宋_GB2312"/>
          <w:color w:val="000000"/>
          <w:sz w:val="32"/>
          <w:szCs w:val="32"/>
          <w:lang w:eastAsia="zh-CN"/>
        </w:rPr>
        <w:t>：</w:t>
      </w:r>
      <w:r>
        <w:rPr>
          <w:rFonts w:hint="eastAsia" w:ascii="仿宋_GB2312" w:eastAsia="仿宋_GB2312"/>
          <w:color w:val="000000"/>
          <w:sz w:val="32"/>
          <w:szCs w:val="32"/>
        </w:rPr>
        <w:t>机关事业单位基本养老保险缴费支出</w:t>
      </w:r>
      <w:r>
        <w:rPr>
          <w:rFonts w:hint="eastAsia" w:ascii="仿宋_GB2312" w:eastAsia="仿宋_GB2312"/>
          <w:color w:val="000000"/>
          <w:sz w:val="32"/>
          <w:szCs w:val="32"/>
          <w:lang w:eastAsia="zh-CN"/>
        </w:rPr>
        <w:t>，</w:t>
      </w:r>
      <w:r>
        <w:rPr>
          <w:rFonts w:hint="eastAsia" w:ascii="仿宋_GB2312" w:eastAsia="仿宋_GB2312"/>
          <w:color w:val="000000"/>
          <w:sz w:val="32"/>
          <w:szCs w:val="32"/>
        </w:rPr>
        <w:t>反映机关事业单位实施养老保险缴费制度由单位缴纳的基本养老保险费支出</w:t>
      </w:r>
      <w:r>
        <w:rPr>
          <w:rFonts w:hint="eastAsia" w:ascii="仿宋_GB2312" w:eastAsia="仿宋_GB2312"/>
          <w:color w:val="000000"/>
          <w:sz w:val="32"/>
          <w:szCs w:val="32"/>
          <w:lang w:eastAsia="zh-CN"/>
        </w:rPr>
        <w:t>。</w:t>
      </w:r>
      <w:r>
        <w:rPr>
          <w:rFonts w:hint="eastAsia" w:ascii="仿宋_GB2312" w:eastAsia="仿宋_GB2312"/>
          <w:color w:val="000000"/>
          <w:sz w:val="32"/>
          <w:szCs w:val="32"/>
        </w:rPr>
        <w:t>指</w:t>
      </w:r>
      <w:r>
        <w:rPr>
          <w:rFonts w:hint="eastAsia" w:ascii="仿宋_GB2312" w:eastAsia="仿宋_GB2312"/>
          <w:color w:val="000000"/>
          <w:sz w:val="32"/>
          <w:szCs w:val="32"/>
          <w:lang w:eastAsia="zh-CN"/>
        </w:rPr>
        <w:t>阿坝州民族歌舞团</w:t>
      </w:r>
      <w:r>
        <w:rPr>
          <w:rFonts w:hint="eastAsia" w:ascii="仿宋_GB2312" w:eastAsia="仿宋_GB2312"/>
          <w:color w:val="000000"/>
          <w:sz w:val="32"/>
          <w:szCs w:val="32"/>
        </w:rPr>
        <w:t>的机关事业单位基本养老保险支出。</w:t>
      </w:r>
    </w:p>
    <w:p w14:paraId="3DD86A41">
      <w:pPr>
        <w:pageBreakBefore w:val="0"/>
        <w:kinsoku/>
        <w:wordWrap/>
        <w:overflowPunct/>
        <w:topLinePunct w:val="0"/>
        <w:bidi w:val="0"/>
        <w:spacing w:line="560" w:lineRule="atLeast"/>
        <w:ind w:firstLine="640" w:firstLineChars="200"/>
        <w:rPr>
          <w:rFonts w:hint="eastAsia" w:ascii="仿宋_GB2312" w:eastAsia="仿宋_GB2312"/>
          <w:color w:val="000000"/>
          <w:sz w:val="32"/>
          <w:szCs w:val="32"/>
          <w:lang w:val="en-US" w:eastAsia="zh-CN"/>
        </w:rPr>
      </w:pPr>
      <w:r>
        <w:rPr>
          <w:rFonts w:hint="eastAsia" w:ascii="仿宋_GB2312" w:eastAsia="仿宋_GB2312"/>
          <w:color w:val="000000"/>
          <w:sz w:val="32"/>
          <w:szCs w:val="32"/>
        </w:rPr>
        <w:t>208（类）05（款）06（项）：机关事业单位职业年金缴费支出，反映机关事业单位实施养老保险制度由单位实际缴纳的职业年金支出</w:t>
      </w:r>
      <w:r>
        <w:rPr>
          <w:rFonts w:hint="eastAsia" w:ascii="仿宋_GB2312" w:eastAsia="仿宋_GB2312"/>
          <w:color w:val="000000"/>
          <w:sz w:val="32"/>
          <w:szCs w:val="32"/>
          <w:lang w:eastAsia="zh-CN"/>
        </w:rPr>
        <w:t>。</w:t>
      </w:r>
      <w:r>
        <w:rPr>
          <w:rFonts w:hint="eastAsia" w:ascii="仿宋_GB2312" w:eastAsia="仿宋_GB2312"/>
          <w:color w:val="000000"/>
          <w:sz w:val="32"/>
          <w:szCs w:val="32"/>
        </w:rPr>
        <w:t>指</w:t>
      </w:r>
      <w:r>
        <w:rPr>
          <w:rFonts w:hint="eastAsia" w:ascii="仿宋_GB2312" w:eastAsia="仿宋_GB2312"/>
          <w:color w:val="000000"/>
          <w:sz w:val="32"/>
          <w:szCs w:val="32"/>
          <w:lang w:eastAsia="zh-CN"/>
        </w:rPr>
        <w:t>阿坝州民族歌舞团</w:t>
      </w:r>
      <w:r>
        <w:rPr>
          <w:rFonts w:hint="eastAsia" w:ascii="仿宋_GB2312" w:eastAsia="仿宋_GB2312"/>
          <w:color w:val="000000"/>
          <w:sz w:val="32"/>
          <w:szCs w:val="32"/>
        </w:rPr>
        <w:t>职业年金支出。</w:t>
      </w:r>
      <w:r>
        <w:rPr>
          <w:rFonts w:hint="eastAsia" w:ascii="仿宋_GB2312" w:eastAsia="仿宋_GB2312"/>
          <w:color w:val="000000"/>
          <w:sz w:val="32"/>
          <w:szCs w:val="32"/>
          <w:lang w:val="en-US" w:eastAsia="zh-CN"/>
        </w:rPr>
        <w:t xml:space="preserve"> </w:t>
      </w:r>
    </w:p>
    <w:p w14:paraId="2B6E7D5B">
      <w:pPr>
        <w:pageBreakBefore w:val="0"/>
        <w:kinsoku/>
        <w:wordWrap/>
        <w:overflowPunct/>
        <w:topLinePunct w:val="0"/>
        <w:bidi w:val="0"/>
        <w:spacing w:line="560" w:lineRule="atLeast"/>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rPr>
        <w:t>208（类）05（款）</w:t>
      </w:r>
      <w:r>
        <w:rPr>
          <w:rFonts w:hint="eastAsia" w:ascii="仿宋_GB2312" w:eastAsia="仿宋_GB2312"/>
          <w:color w:val="000000"/>
          <w:sz w:val="32"/>
          <w:szCs w:val="32"/>
          <w:lang w:val="en-US" w:eastAsia="zh-CN"/>
        </w:rPr>
        <w:t>99</w:t>
      </w:r>
      <w:r>
        <w:rPr>
          <w:rFonts w:hint="eastAsia" w:ascii="仿宋_GB2312" w:eastAsia="仿宋_GB2312"/>
          <w:color w:val="000000"/>
          <w:sz w:val="32"/>
          <w:szCs w:val="32"/>
        </w:rPr>
        <w:t>（项）：</w:t>
      </w:r>
      <w:r>
        <w:rPr>
          <w:rFonts w:hint="eastAsia" w:ascii="仿宋_GB2312" w:eastAsia="仿宋_GB2312"/>
          <w:color w:val="000000"/>
          <w:sz w:val="32"/>
          <w:szCs w:val="32"/>
          <w:lang w:eastAsia="zh-CN"/>
        </w:rPr>
        <w:t>其他行政事业单位养老支出</w:t>
      </w:r>
      <w:r>
        <w:rPr>
          <w:rFonts w:hint="eastAsia" w:ascii="仿宋_GB2312" w:eastAsia="仿宋_GB2312"/>
          <w:color w:val="000000"/>
          <w:sz w:val="32"/>
          <w:szCs w:val="32"/>
        </w:rPr>
        <w:t>，反映</w:t>
      </w:r>
      <w:r>
        <w:rPr>
          <w:rFonts w:hint="eastAsia" w:ascii="仿宋_GB2312" w:eastAsia="仿宋_GB2312"/>
          <w:color w:val="000000"/>
          <w:sz w:val="32"/>
          <w:szCs w:val="32"/>
          <w:lang w:eastAsia="zh-CN"/>
        </w:rPr>
        <w:t>上述项目以外用于行政事业单位养老方面的支出，指阿坝州民族歌舞团退休人员其他生活补助。</w:t>
      </w:r>
    </w:p>
    <w:p w14:paraId="7A0E9E78">
      <w:pPr>
        <w:pageBreakBefore w:val="0"/>
        <w:kinsoku/>
        <w:wordWrap/>
        <w:overflowPunct/>
        <w:topLinePunct w:val="0"/>
        <w:bidi w:val="0"/>
        <w:spacing w:line="560" w:lineRule="atLeast"/>
        <w:ind w:firstLine="640" w:firstLineChars="200"/>
        <w:rPr>
          <w:rFonts w:hint="default"/>
          <w:lang w:val="en-US" w:eastAsia="zh-CN"/>
        </w:rPr>
      </w:pPr>
      <w:r>
        <w:rPr>
          <w:rFonts w:hint="eastAsia" w:eastAsia="仿宋_GB2312" w:cs="仿宋_GB2312"/>
          <w:sz w:val="32"/>
          <w:szCs w:val="32"/>
          <w:lang w:val="en-US" w:eastAsia="zh-CN"/>
        </w:rPr>
        <w:t>7.卫生健康支出</w:t>
      </w:r>
    </w:p>
    <w:p w14:paraId="37C15FD2">
      <w:pPr>
        <w:pageBreakBefore w:val="0"/>
        <w:kinsoku/>
        <w:wordWrap/>
        <w:overflowPunct/>
        <w:topLinePunct w:val="0"/>
        <w:bidi w:val="0"/>
        <w:spacing w:line="560" w:lineRule="atLeas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210（类）11（款）02（项）：事业单位医疗，反映财政部门安排的事业单位基本医疗保险缴费经费，未参加医疗保险的事业单位的公费医疗经费，按国家规定享受离退休人员待遇的医疗经费</w:t>
      </w:r>
      <w:r>
        <w:rPr>
          <w:rFonts w:hint="eastAsia" w:ascii="仿宋_GB2312" w:eastAsia="仿宋_GB2312"/>
          <w:color w:val="000000"/>
          <w:sz w:val="32"/>
          <w:szCs w:val="32"/>
          <w:lang w:eastAsia="zh-CN"/>
        </w:rPr>
        <w:t>。</w:t>
      </w:r>
      <w:r>
        <w:rPr>
          <w:rFonts w:hint="eastAsia" w:ascii="仿宋_GB2312" w:eastAsia="仿宋_GB2312"/>
          <w:color w:val="000000"/>
          <w:sz w:val="32"/>
          <w:szCs w:val="32"/>
        </w:rPr>
        <w:t>指</w:t>
      </w:r>
      <w:r>
        <w:rPr>
          <w:rFonts w:hint="eastAsia" w:ascii="仿宋_GB2312" w:eastAsia="仿宋_GB2312"/>
          <w:color w:val="000000"/>
          <w:sz w:val="32"/>
          <w:szCs w:val="32"/>
          <w:lang w:eastAsia="zh-CN"/>
        </w:rPr>
        <w:t>阿坝州民族歌舞团</w:t>
      </w:r>
      <w:r>
        <w:rPr>
          <w:rFonts w:hint="eastAsia" w:ascii="仿宋_GB2312" w:eastAsia="仿宋_GB2312"/>
          <w:color w:val="000000"/>
          <w:sz w:val="32"/>
          <w:szCs w:val="32"/>
        </w:rPr>
        <w:t>职工基本医疗保险支出。</w:t>
      </w:r>
    </w:p>
    <w:p w14:paraId="5BE45D20">
      <w:pPr>
        <w:pageBreakBefore w:val="0"/>
        <w:numPr>
          <w:ilvl w:val="0"/>
          <w:numId w:val="0"/>
        </w:numPr>
        <w:kinsoku/>
        <w:wordWrap/>
        <w:overflowPunct/>
        <w:topLinePunct w:val="0"/>
        <w:bidi w:val="0"/>
        <w:spacing w:line="560" w:lineRule="atLeast"/>
        <w:ind w:firstLine="640" w:firstLineChars="200"/>
        <w:rPr>
          <w:rFonts w:hint="eastAsia" w:ascii="仿宋_GB2312" w:eastAsia="仿宋_GB2312"/>
          <w:sz w:val="32"/>
          <w:szCs w:val="32"/>
          <w:lang w:val="en-US" w:eastAsia="zh-CN"/>
        </w:rPr>
      </w:pPr>
      <w:r>
        <w:rPr>
          <w:rFonts w:hint="eastAsia" w:ascii="仿宋_GB2312" w:eastAsia="仿宋_GB2312"/>
          <w:color w:val="000000"/>
          <w:sz w:val="32"/>
          <w:szCs w:val="32"/>
          <w:lang w:val="en-US" w:eastAsia="zh-CN"/>
        </w:rPr>
        <w:t>8.</w:t>
      </w:r>
      <w:r>
        <w:rPr>
          <w:rFonts w:hint="eastAsia" w:ascii="仿宋_GB2312" w:eastAsia="仿宋_GB2312"/>
          <w:sz w:val="32"/>
          <w:szCs w:val="32"/>
        </w:rPr>
        <w:t>住房保障</w:t>
      </w:r>
      <w:r>
        <w:rPr>
          <w:rFonts w:hint="eastAsia" w:ascii="仿宋_GB2312" w:eastAsia="仿宋_GB2312"/>
          <w:sz w:val="32"/>
          <w:szCs w:val="32"/>
          <w:lang w:val="en-US" w:eastAsia="zh-CN"/>
        </w:rPr>
        <w:t>支出</w:t>
      </w:r>
    </w:p>
    <w:p w14:paraId="4CFA5C7F">
      <w:pPr>
        <w:pageBreakBefore w:val="0"/>
        <w:kinsoku/>
        <w:wordWrap/>
        <w:overflowPunct/>
        <w:topLinePunct w:val="0"/>
        <w:bidi w:val="0"/>
        <w:spacing w:line="560" w:lineRule="atLeast"/>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rPr>
        <w:t>221</w:t>
      </w:r>
      <w:r>
        <w:rPr>
          <w:rFonts w:hint="eastAsia" w:ascii="仿宋" w:eastAsia="仿宋"/>
          <w:color w:val="000000"/>
          <w:sz w:val="32"/>
          <w:szCs w:val="32"/>
        </w:rPr>
        <w:t>（类）</w:t>
      </w:r>
      <w:r>
        <w:rPr>
          <w:rFonts w:hint="eastAsia" w:ascii="仿宋_GB2312" w:eastAsia="仿宋_GB2312"/>
          <w:color w:val="000000"/>
          <w:sz w:val="32"/>
          <w:szCs w:val="32"/>
        </w:rPr>
        <w:t>02</w:t>
      </w:r>
      <w:r>
        <w:rPr>
          <w:rFonts w:hint="eastAsia" w:ascii="仿宋" w:eastAsia="仿宋"/>
          <w:color w:val="000000"/>
          <w:sz w:val="32"/>
          <w:szCs w:val="32"/>
        </w:rPr>
        <w:t>（款）</w:t>
      </w:r>
      <w:r>
        <w:rPr>
          <w:rFonts w:hint="eastAsia" w:ascii="仿宋_GB2312" w:eastAsia="仿宋_GB2312"/>
          <w:color w:val="000000"/>
          <w:sz w:val="32"/>
          <w:szCs w:val="32"/>
        </w:rPr>
        <w:t>01</w:t>
      </w:r>
      <w:r>
        <w:rPr>
          <w:rFonts w:hint="eastAsia" w:ascii="仿宋_GB2312" w:eastAsia="仿宋_GB2312"/>
          <w:color w:val="000000"/>
          <w:sz w:val="32"/>
          <w:szCs w:val="32"/>
        </w:rPr>
        <w:tab/>
      </w:r>
      <w:r>
        <w:rPr>
          <w:rFonts w:hint="eastAsia" w:ascii="仿宋" w:eastAsia="仿宋"/>
          <w:color w:val="000000"/>
          <w:sz w:val="32"/>
          <w:szCs w:val="32"/>
        </w:rPr>
        <w:t>（项）</w:t>
      </w:r>
      <w:r>
        <w:rPr>
          <w:rFonts w:hint="eastAsia" w:ascii="仿宋_GB2312" w:eastAsia="仿宋_GB2312"/>
          <w:color w:val="000000"/>
          <w:sz w:val="32"/>
          <w:szCs w:val="32"/>
        </w:rPr>
        <w:t>：住房公积金，反映行政事业单位按人力资源和社会保障部，财政部等规定和基本工资和津贴补贴以及规定比例为职工缴纳的住房公积金，指</w:t>
      </w:r>
      <w:r>
        <w:rPr>
          <w:rFonts w:hint="eastAsia" w:ascii="仿宋_GB2312" w:eastAsia="仿宋_GB2312"/>
          <w:color w:val="000000"/>
          <w:sz w:val="32"/>
          <w:szCs w:val="32"/>
          <w:lang w:eastAsia="zh-CN"/>
        </w:rPr>
        <w:t>阿坝州民族歌舞团职工</w:t>
      </w:r>
      <w:r>
        <w:rPr>
          <w:rFonts w:hint="eastAsia" w:ascii="仿宋_GB2312" w:eastAsia="仿宋_GB2312"/>
          <w:color w:val="000000"/>
          <w:sz w:val="32"/>
          <w:szCs w:val="32"/>
        </w:rPr>
        <w:t>住房公积金</w:t>
      </w:r>
      <w:r>
        <w:rPr>
          <w:rFonts w:hint="eastAsia" w:ascii="仿宋_GB2312" w:eastAsia="仿宋_GB2312"/>
          <w:color w:val="000000"/>
          <w:sz w:val="32"/>
          <w:szCs w:val="32"/>
          <w:lang w:eastAsia="zh-CN"/>
        </w:rPr>
        <w:t>支出。</w:t>
      </w:r>
    </w:p>
    <w:p w14:paraId="0F0A890F">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7BABB4ED">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144BC020">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D07BE49">
      <w:pPr>
        <w:pageBreakBefore w:val="0"/>
        <w:kinsoku/>
        <w:wordWrap/>
        <w:overflowPunct/>
        <w:topLinePunct w:val="0"/>
        <w:bidi w:val="0"/>
        <w:spacing w:line="560" w:lineRule="atLeast"/>
        <w:jc w:val="both"/>
        <w:rPr>
          <w:rStyle w:val="31"/>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410C4E68">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FF0000"/>
          <w:sz w:val="32"/>
          <w:szCs w:val="32"/>
          <w:highlight w:val="none"/>
        </w:rPr>
      </w:pPr>
    </w:p>
    <w:p w14:paraId="471B8BEC">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5FC116EA">
      <w:pPr>
        <w:keepNext w:val="0"/>
        <w:keepLines w:val="0"/>
        <w:pageBreakBefore w:val="0"/>
        <w:widowControl/>
        <w:kinsoku/>
        <w:wordWrap/>
        <w:overflowPunct/>
        <w:topLinePunct w:val="0"/>
        <w:autoSpaceDE/>
        <w:autoSpaceDN/>
        <w:bidi w:val="0"/>
        <w:spacing w:line="560" w:lineRule="atLeas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6A01C845">
      <w:pPr>
        <w:keepNext w:val="0"/>
        <w:keepLines w:val="0"/>
        <w:pageBreakBefore w:val="0"/>
        <w:widowControl/>
        <w:kinsoku/>
        <w:wordWrap/>
        <w:overflowPunct/>
        <w:topLinePunct w:val="0"/>
        <w:autoSpaceDE/>
        <w:autoSpaceDN/>
        <w:bidi w:val="0"/>
        <w:adjustRightInd w:val="0"/>
        <w:snapToGrid w:val="0"/>
        <w:spacing w:line="560" w:lineRule="atLeas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5C4B397F">
      <w:pPr>
        <w:keepNext w:val="0"/>
        <w:keepLines w:val="0"/>
        <w:pageBreakBefore w:val="0"/>
        <w:widowControl/>
        <w:kinsoku/>
        <w:wordWrap/>
        <w:overflowPunct/>
        <w:topLinePunct w:val="0"/>
        <w:autoSpaceDE/>
        <w:autoSpaceDN/>
        <w:bidi w:val="0"/>
        <w:spacing w:afterAutospacing="0" w:line="560" w:lineRule="atLeast"/>
        <w:contextualSpacing/>
        <w:jc w:val="center"/>
        <w:textAlignment w:val="auto"/>
        <w:outlineLvl w:val="9"/>
        <w:rPr>
          <w:rFonts w:hint="eastAsia" w:eastAsia="方正小标宋简体" w:cs="Times New Roman"/>
          <w:b w:val="0"/>
          <w:bCs/>
          <w:sz w:val="44"/>
          <w:szCs w:val="44"/>
          <w:highlight w:val="none"/>
          <w:shd w:val="clear" w:color="auto" w:fill="FFFFFF"/>
          <w:lang w:val="en-US" w:eastAsia="zh-CN"/>
        </w:rPr>
      </w:pPr>
      <w:r>
        <w:rPr>
          <w:rFonts w:hint="eastAsia" w:eastAsia="方正小标宋简体" w:cs="Times New Roman"/>
          <w:b w:val="0"/>
          <w:bCs/>
          <w:sz w:val="44"/>
          <w:szCs w:val="44"/>
          <w:highlight w:val="none"/>
          <w:shd w:val="clear" w:color="auto" w:fill="FFFFFF"/>
          <w:lang w:val="en-US" w:eastAsia="zh-CN"/>
        </w:rPr>
        <w:t>阿坝州民族歌舞团</w:t>
      </w:r>
    </w:p>
    <w:p w14:paraId="42E6148C">
      <w:pPr>
        <w:keepNext w:val="0"/>
        <w:keepLines w:val="0"/>
        <w:pageBreakBefore w:val="0"/>
        <w:widowControl/>
        <w:kinsoku/>
        <w:wordWrap/>
        <w:overflowPunct/>
        <w:topLinePunct w:val="0"/>
        <w:autoSpaceDE/>
        <w:autoSpaceDN/>
        <w:bidi w:val="0"/>
        <w:spacing w:afterAutospacing="0" w:line="560" w:lineRule="atLeast"/>
        <w:contextualSpacing/>
        <w:jc w:val="center"/>
        <w:textAlignment w:val="auto"/>
        <w:outlineLvl w:val="9"/>
        <w:rPr>
          <w:rFonts w:hint="default" w:ascii="Times New Roman" w:hAnsi="Times New Roman" w:cs="Times New Roman"/>
          <w:szCs w:val="32"/>
          <w:highlight w:val="none"/>
          <w:shd w:val="clear" w:color="auto" w:fill="FFFFFF"/>
        </w:rPr>
      </w:pPr>
      <w:r>
        <w:rPr>
          <w:rFonts w:hint="eastAsia" w:eastAsia="方正小标宋简体" w:cs="Times New Roman"/>
          <w:b w:val="0"/>
          <w:bCs/>
          <w:sz w:val="44"/>
          <w:szCs w:val="44"/>
          <w:highlight w:val="none"/>
          <w:shd w:val="clear" w:color="auto" w:fill="FFFFFF"/>
          <w:lang w:val="en-US" w:eastAsia="zh-CN"/>
        </w:rPr>
        <w:t>2025年度</w:t>
      </w:r>
      <w:r>
        <w:rPr>
          <w:rFonts w:hint="eastAsia" w:eastAsia="方正小标宋简体" w:cs="Times New Roman"/>
          <w:b w:val="0"/>
          <w:bCs/>
          <w:sz w:val="44"/>
          <w:szCs w:val="44"/>
          <w:highlight w:val="none"/>
          <w:shd w:val="clear" w:color="auto" w:fill="FFFFFF"/>
          <w:lang w:eastAsia="zh-CN"/>
        </w:rPr>
        <w:t>整体</w:t>
      </w:r>
      <w:r>
        <w:rPr>
          <w:rFonts w:hint="default" w:ascii="Times New Roman" w:hAnsi="Times New Roman" w:eastAsia="方正小标宋简体" w:cs="Times New Roman"/>
          <w:b w:val="0"/>
          <w:bCs/>
          <w:sz w:val="44"/>
          <w:szCs w:val="44"/>
          <w:highlight w:val="none"/>
          <w:shd w:val="clear" w:color="auto" w:fill="FFFFFF"/>
        </w:rPr>
        <w:t>绩效</w:t>
      </w:r>
      <w:r>
        <w:rPr>
          <w:rFonts w:hint="eastAsia" w:eastAsia="方正小标宋简体" w:cs="Times New Roman"/>
          <w:b w:val="0"/>
          <w:bCs/>
          <w:sz w:val="44"/>
          <w:szCs w:val="44"/>
          <w:highlight w:val="none"/>
          <w:shd w:val="clear" w:color="auto" w:fill="FFFFFF"/>
          <w:lang w:eastAsia="zh-CN"/>
        </w:rPr>
        <w:t>自评</w:t>
      </w:r>
      <w:r>
        <w:rPr>
          <w:rFonts w:hint="default" w:ascii="Times New Roman" w:hAnsi="Times New Roman" w:eastAsia="方正小标宋简体" w:cs="Times New Roman"/>
          <w:b w:val="0"/>
          <w:bCs/>
          <w:sz w:val="44"/>
          <w:szCs w:val="44"/>
          <w:highlight w:val="none"/>
          <w:shd w:val="clear" w:color="auto" w:fill="FFFFFF"/>
        </w:rPr>
        <w:t>报告</w:t>
      </w:r>
    </w:p>
    <w:p w14:paraId="6E531EFD">
      <w:pPr>
        <w:pStyle w:val="18"/>
        <w:keepNext w:val="0"/>
        <w:keepLines w:val="0"/>
        <w:pageBreakBefore w:val="0"/>
        <w:widowControl/>
        <w:kinsoku/>
        <w:wordWrap/>
        <w:overflowPunct/>
        <w:topLinePunct w:val="0"/>
        <w:bidi w:val="0"/>
        <w:spacing w:before="0" w:after="0" w:afterAutospacing="0" w:line="560" w:lineRule="atLeast"/>
        <w:textAlignment w:val="auto"/>
        <w:rPr>
          <w:rFonts w:hint="eastAsia" w:ascii="仿宋" w:hAnsi="仿宋" w:eastAsia="仿宋" w:cs="仿宋"/>
          <w:color w:val="000000"/>
          <w:sz w:val="32"/>
          <w:szCs w:val="32"/>
        </w:rPr>
      </w:pPr>
    </w:p>
    <w:p w14:paraId="7D0923A9">
      <w:pPr>
        <w:keepNext w:val="0"/>
        <w:keepLines w:val="0"/>
        <w:pageBreakBefore w:val="0"/>
        <w:widowControl/>
        <w:numPr>
          <w:ilvl w:val="0"/>
          <w:numId w:val="0"/>
        </w:numPr>
        <w:kinsoku/>
        <w:wordWrap/>
        <w:overflowPunct/>
        <w:topLinePunct w:val="0"/>
        <w:autoSpaceDE/>
        <w:autoSpaceDN/>
        <w:bidi w:val="0"/>
        <w:adjustRightInd w:val="0"/>
        <w:snapToGrid w:val="0"/>
        <w:spacing w:afterAutospacing="0" w:line="560" w:lineRule="atLeast"/>
        <w:ind w:firstLine="640" w:firstLineChars="200"/>
        <w:contextualSpacing/>
        <w:jc w:val="left"/>
        <w:textAlignment w:val="auto"/>
        <w:outlineLvl w:val="9"/>
        <w:rPr>
          <w:rFonts w:hint="default" w:ascii="Times New Roman" w:hAnsi="Times New Roman" w:cs="Times New Roman"/>
          <w:sz w:val="32"/>
          <w:szCs w:val="32"/>
        </w:rPr>
      </w:pPr>
      <w:r>
        <w:rPr>
          <w:rFonts w:hint="default" w:ascii="Times New Roman" w:hAnsi="Times New Roman" w:eastAsia="黑体" w:cs="Times New Roman"/>
          <w:color w:val="000000"/>
          <w:kern w:val="0"/>
          <w:sz w:val="32"/>
          <w:szCs w:val="32"/>
          <w:highlight w:val="none"/>
          <w:shd w:val="clear" w:color="auto" w:fill="FFFFFF"/>
          <w:lang w:val="zh-CN"/>
        </w:rPr>
        <w:t>一、部门（单位）基本情况</w:t>
      </w:r>
    </w:p>
    <w:p w14:paraId="439536F6">
      <w:pPr>
        <w:pStyle w:val="18"/>
        <w:keepNext w:val="0"/>
        <w:keepLines w:val="0"/>
        <w:pageBreakBefore w:val="0"/>
        <w:widowControl/>
        <w:kinsoku/>
        <w:wordWrap/>
        <w:overflowPunct/>
        <w:topLinePunct w:val="0"/>
        <w:bidi w:val="0"/>
        <w:spacing w:before="0" w:after="0" w:afterAutospacing="0" w:line="560" w:lineRule="atLeast"/>
        <w:ind w:firstLine="643" w:firstLineChars="200"/>
        <w:textAlignment w:val="auto"/>
        <w:rPr>
          <w:rFonts w:hint="eastAsia" w:ascii="楷体" w:hAnsi="楷体" w:eastAsia="楷体" w:cs="楷体"/>
          <w:b/>
          <w:color w:val="000000"/>
          <w:sz w:val="32"/>
          <w:szCs w:val="32"/>
        </w:rPr>
      </w:pPr>
      <w:r>
        <w:rPr>
          <w:rFonts w:hint="eastAsia" w:ascii="楷体" w:hAnsi="楷体" w:eastAsia="楷体" w:cs="楷体"/>
          <w:b/>
          <w:color w:val="000000"/>
          <w:sz w:val="32"/>
          <w:szCs w:val="32"/>
        </w:rPr>
        <w:t>（一）机构情况</w:t>
      </w:r>
    </w:p>
    <w:p w14:paraId="3A77DA50">
      <w:pPr>
        <w:pStyle w:val="18"/>
        <w:keepNext w:val="0"/>
        <w:keepLines w:val="0"/>
        <w:pageBreakBefore w:val="0"/>
        <w:widowControl/>
        <w:kinsoku/>
        <w:wordWrap/>
        <w:overflowPunct/>
        <w:topLinePunct w:val="0"/>
        <w:bidi w:val="0"/>
        <w:spacing w:before="0" w:after="0" w:afterAutospacing="0" w:line="560" w:lineRule="atLeas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歌舞团内设机构9个，具体是：行政办公室、业务办公室、创作办公室、舞蹈队、声乐队、乐器队、舞美队、剧场办公室、非遗研习室</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 xml:space="preserve"> </w:t>
      </w:r>
    </w:p>
    <w:p w14:paraId="16BA6AB0">
      <w:pPr>
        <w:pStyle w:val="18"/>
        <w:keepNext w:val="0"/>
        <w:keepLines w:val="0"/>
        <w:pageBreakBefore w:val="0"/>
        <w:widowControl/>
        <w:kinsoku/>
        <w:wordWrap/>
        <w:overflowPunct/>
        <w:topLinePunct w:val="0"/>
        <w:bidi w:val="0"/>
        <w:spacing w:before="0" w:after="0" w:afterAutospacing="0" w:line="560" w:lineRule="atLeast"/>
        <w:ind w:firstLine="643" w:firstLineChars="200"/>
        <w:textAlignment w:val="auto"/>
        <w:rPr>
          <w:rFonts w:hint="default" w:ascii="楷体" w:hAnsi="楷体" w:eastAsia="楷体" w:cs="楷体"/>
          <w:b/>
          <w:color w:val="000000"/>
          <w:sz w:val="32"/>
          <w:szCs w:val="32"/>
          <w:lang w:val="zh-CN"/>
        </w:rPr>
      </w:pPr>
      <w:r>
        <w:rPr>
          <w:rFonts w:hint="eastAsia" w:ascii="楷体" w:hAnsi="楷体" w:eastAsia="楷体" w:cs="楷体"/>
          <w:b/>
          <w:color w:val="000000"/>
          <w:sz w:val="32"/>
          <w:szCs w:val="32"/>
        </w:rPr>
        <w:t>（</w:t>
      </w:r>
      <w:r>
        <w:rPr>
          <w:rFonts w:hint="eastAsia" w:ascii="楷体" w:hAnsi="楷体" w:eastAsia="楷体" w:cs="楷体"/>
          <w:b/>
          <w:color w:val="000000"/>
          <w:sz w:val="32"/>
          <w:szCs w:val="32"/>
          <w:lang w:eastAsia="zh-CN"/>
        </w:rPr>
        <w:t>二</w:t>
      </w:r>
      <w:r>
        <w:rPr>
          <w:rFonts w:hint="eastAsia" w:ascii="楷体" w:hAnsi="楷体" w:eastAsia="楷体" w:cs="楷体"/>
          <w:b/>
          <w:color w:val="000000"/>
          <w:sz w:val="32"/>
          <w:szCs w:val="32"/>
        </w:rPr>
        <w:t>）</w:t>
      </w:r>
      <w:r>
        <w:rPr>
          <w:rFonts w:hint="default" w:ascii="楷体" w:hAnsi="楷体" w:eastAsia="楷体" w:cs="楷体"/>
          <w:b/>
          <w:color w:val="000000"/>
          <w:sz w:val="32"/>
          <w:szCs w:val="32"/>
          <w:lang w:val="zh-CN"/>
        </w:rPr>
        <w:t>机构职能</w:t>
      </w:r>
    </w:p>
    <w:p w14:paraId="68C336A0">
      <w:pPr>
        <w:pStyle w:val="38"/>
        <w:keepNext w:val="0"/>
        <w:keepLines w:val="0"/>
        <w:pageBreakBefore w:val="0"/>
        <w:widowControl w:val="0"/>
        <w:kinsoku/>
        <w:wordWrap/>
        <w:overflowPunct/>
        <w:topLinePunct w:val="0"/>
        <w:autoSpaceDE w:val="0"/>
        <w:bidi w:val="0"/>
        <w:spacing w:before="0" w:beforeAutospacing="0" w:after="0" w:afterAutospacing="0" w:line="560" w:lineRule="atLeast"/>
        <w:ind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宣传党的路线、方针、政策，树立宣传我州良好文化形象；担负着挖掘、整合、传承、示范、普及、研究我州丰富的藏羌民族文艺资源，拯救濒临失传的藏羌民族艺术成果及弘扬民族精神重任，也具有为我州文艺事业不断注入新内涵、新成果、新亮点的富有时代特征和民族特色的艺术成果任务；承担对外宣传我州艺术成果及对外开展艺术交流，传播先进文化成果的任务；承担着全州重要接待性演出、送文艺下乡演出、代表我州参加全省、全国的重要接待演出任务和演出赛事任务；担负着为我州各县文化战线培养复合型表演人才和文艺骨干任务；承担打造具有藏羌民族特色的歌曲舞蹈音乐精品的工作任务，不断发展繁荣我州文化文艺事业。</w:t>
      </w:r>
    </w:p>
    <w:p w14:paraId="78A50F6A">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atLeast"/>
        <w:ind w:leftChars="200"/>
        <w:textAlignment w:val="auto"/>
        <w:rPr>
          <w:rFonts w:hint="eastAsia" w:ascii="楷体" w:hAnsi="楷体" w:eastAsia="楷体" w:cs="楷体"/>
          <w:b/>
          <w:bCs/>
          <w:color w:val="000000"/>
          <w:kern w:val="0"/>
          <w:sz w:val="32"/>
          <w:szCs w:val="32"/>
          <w:highlight w:val="none"/>
          <w:shd w:val="clear" w:color="auto" w:fill="FFFFFF"/>
          <w:lang w:val="zh-CN"/>
        </w:rPr>
      </w:pPr>
      <w:r>
        <w:rPr>
          <w:rFonts w:hint="eastAsia" w:ascii="楷体" w:hAnsi="楷体" w:eastAsia="楷体" w:cs="楷体"/>
          <w:b/>
          <w:bCs/>
          <w:color w:val="000000"/>
          <w:kern w:val="0"/>
          <w:sz w:val="32"/>
          <w:szCs w:val="32"/>
          <w:highlight w:val="none"/>
          <w:shd w:val="clear" w:color="auto" w:fill="FFFFFF"/>
          <w:lang w:val="zh-CN"/>
        </w:rPr>
        <w:t>（三）人员概况</w:t>
      </w:r>
    </w:p>
    <w:p w14:paraId="6A04D71B">
      <w:pPr>
        <w:pageBreakBefore w:val="0"/>
        <w:kinsoku/>
        <w:wordWrap/>
        <w:overflowPunct/>
        <w:topLinePunct w:val="0"/>
        <w:autoSpaceDE w:val="0"/>
        <w:bidi w:val="0"/>
        <w:snapToGrid w:val="0"/>
        <w:spacing w:afterAutospacing="0" w:line="560" w:lineRule="atLeast"/>
        <w:ind w:firstLine="640" w:firstLineChars="200"/>
        <w:rPr>
          <w:rFonts w:hint="default" w:ascii="宋体" w:hAnsi="宋体" w:eastAsia="仿宋" w:cs="宋体"/>
          <w:kern w:val="0"/>
          <w:sz w:val="32"/>
          <w:szCs w:val="32"/>
          <w:lang w:val="en-US" w:eastAsia="zh-CN"/>
        </w:rPr>
      </w:pPr>
      <w:r>
        <w:rPr>
          <w:rFonts w:hint="eastAsia" w:ascii="仿宋" w:hAnsi="仿宋" w:eastAsia="仿宋" w:cs="仿宋"/>
          <w:kern w:val="0"/>
          <w:sz w:val="32"/>
          <w:szCs w:val="32"/>
          <w:lang w:val="en-US" w:eastAsia="zh-CN"/>
        </w:rPr>
        <w:t>2025年</w:t>
      </w:r>
      <w:r>
        <w:rPr>
          <w:rFonts w:hint="eastAsia" w:ascii="仿宋" w:hAnsi="仿宋" w:eastAsia="仿宋" w:cs="仿宋"/>
          <w:kern w:val="0"/>
          <w:sz w:val="32"/>
          <w:szCs w:val="32"/>
        </w:rPr>
        <w:t>年末实有人数为</w:t>
      </w:r>
      <w:r>
        <w:rPr>
          <w:rFonts w:hint="eastAsia" w:ascii="仿宋" w:hAnsi="仿宋" w:eastAsia="仿宋" w:cs="仿宋"/>
          <w:kern w:val="0"/>
          <w:sz w:val="32"/>
          <w:szCs w:val="32"/>
          <w:lang w:val="en-US" w:eastAsia="zh-CN"/>
        </w:rPr>
        <w:t>91</w:t>
      </w:r>
      <w:r>
        <w:rPr>
          <w:rFonts w:hint="eastAsia" w:ascii="仿宋" w:hAnsi="仿宋" w:eastAsia="仿宋" w:cs="仿宋"/>
          <w:kern w:val="0"/>
          <w:sz w:val="32"/>
          <w:szCs w:val="32"/>
        </w:rPr>
        <w:t>人，比上年增加</w:t>
      </w:r>
      <w:r>
        <w:rPr>
          <w:rFonts w:hint="eastAsia" w:ascii="仿宋" w:hAnsi="仿宋" w:eastAsia="仿宋" w:cs="仿宋"/>
          <w:kern w:val="0"/>
          <w:sz w:val="32"/>
          <w:szCs w:val="32"/>
          <w:lang w:val="en-US" w:eastAsia="zh-CN"/>
        </w:rPr>
        <w:t>3</w:t>
      </w:r>
      <w:r>
        <w:rPr>
          <w:rFonts w:hint="eastAsia" w:ascii="仿宋" w:hAnsi="仿宋" w:eastAsia="仿宋" w:cs="仿宋"/>
          <w:kern w:val="0"/>
          <w:sz w:val="32"/>
          <w:szCs w:val="32"/>
        </w:rPr>
        <w:t>人 ；在职人员</w:t>
      </w:r>
      <w:r>
        <w:rPr>
          <w:rFonts w:hint="eastAsia" w:ascii="仿宋" w:hAnsi="仿宋" w:eastAsia="仿宋" w:cs="仿宋"/>
          <w:kern w:val="0"/>
          <w:sz w:val="32"/>
          <w:szCs w:val="32"/>
          <w:lang w:val="en-US" w:eastAsia="zh-CN"/>
        </w:rPr>
        <w:t>91</w:t>
      </w:r>
      <w:r>
        <w:rPr>
          <w:rFonts w:hint="eastAsia" w:ascii="仿宋" w:hAnsi="仿宋" w:eastAsia="仿宋" w:cs="仿宋"/>
          <w:kern w:val="0"/>
          <w:sz w:val="32"/>
          <w:szCs w:val="32"/>
        </w:rPr>
        <w:t>人，其中，非参公事业人员</w:t>
      </w:r>
      <w:r>
        <w:rPr>
          <w:rFonts w:hint="eastAsia" w:ascii="仿宋" w:hAnsi="仿宋" w:eastAsia="仿宋" w:cs="仿宋"/>
          <w:kern w:val="0"/>
          <w:sz w:val="32"/>
          <w:szCs w:val="32"/>
          <w:lang w:val="en-US" w:eastAsia="zh-CN"/>
        </w:rPr>
        <w:t>91</w:t>
      </w:r>
      <w:r>
        <w:rPr>
          <w:rFonts w:hint="eastAsia" w:ascii="仿宋" w:hAnsi="仿宋" w:eastAsia="仿宋" w:cs="仿宋"/>
          <w:kern w:val="0"/>
          <w:sz w:val="32"/>
          <w:szCs w:val="32"/>
        </w:rPr>
        <w:t>人，离休人员1人，</w:t>
      </w:r>
      <w:r>
        <w:rPr>
          <w:rFonts w:hint="eastAsia" w:ascii="仿宋" w:hAnsi="仿宋" w:eastAsia="仿宋" w:cs="仿宋"/>
          <w:kern w:val="0"/>
          <w:sz w:val="32"/>
          <w:szCs w:val="32"/>
          <w:lang w:val="en-US" w:eastAsia="zh-CN"/>
        </w:rPr>
        <w:t>2025年调出1名人人员，新增4名人员。</w:t>
      </w:r>
    </w:p>
    <w:p w14:paraId="1D4A3A1C">
      <w:pPr>
        <w:keepNext w:val="0"/>
        <w:keepLines w:val="0"/>
        <w:pageBreakBefore w:val="0"/>
        <w:widowControl w:val="0"/>
        <w:kinsoku/>
        <w:wordWrap/>
        <w:overflowPunct/>
        <w:topLinePunct w:val="0"/>
        <w:autoSpaceDE w:val="0"/>
        <w:autoSpaceDN/>
        <w:bidi w:val="0"/>
        <w:adjustRightInd/>
        <w:snapToGrid/>
        <w:spacing w:afterAutospacing="0" w:line="560" w:lineRule="atLeast"/>
        <w:ind w:firstLine="640" w:firstLineChars="200"/>
        <w:textAlignment w:val="auto"/>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14:paraId="005D7254">
      <w:pPr>
        <w:keepNext w:val="0"/>
        <w:keepLines w:val="0"/>
        <w:pageBreakBefore w:val="0"/>
        <w:widowControl w:val="0"/>
        <w:kinsoku/>
        <w:wordWrap/>
        <w:overflowPunct/>
        <w:topLinePunct w:val="0"/>
        <w:autoSpaceDE/>
        <w:autoSpaceDN/>
        <w:bidi w:val="0"/>
        <w:adjustRightInd/>
        <w:snapToGrid/>
        <w:spacing w:afterAutospacing="0" w:line="560" w:lineRule="atLeast"/>
        <w:ind w:firstLine="643" w:firstLineChars="200"/>
        <w:textAlignment w:val="auto"/>
        <w:rPr>
          <w:rFonts w:hint="eastAsia" w:ascii="楷体" w:hAnsi="楷体" w:eastAsia="楷体" w:cs="楷体"/>
          <w:b/>
          <w:bCs/>
          <w:color w:val="000000"/>
          <w:kern w:val="0"/>
          <w:sz w:val="32"/>
          <w:szCs w:val="32"/>
          <w:highlight w:val="none"/>
          <w:shd w:val="clear" w:color="auto" w:fill="FFFFFF"/>
          <w:lang w:val="zh-CN"/>
        </w:rPr>
      </w:pPr>
      <w:r>
        <w:rPr>
          <w:rFonts w:hint="eastAsia" w:ascii="楷体" w:hAnsi="楷体" w:eastAsia="楷体" w:cs="楷体"/>
          <w:b/>
          <w:bCs/>
          <w:color w:val="000000"/>
          <w:kern w:val="0"/>
          <w:sz w:val="32"/>
          <w:szCs w:val="32"/>
          <w:highlight w:val="none"/>
          <w:shd w:val="clear" w:color="auto" w:fill="FFFFFF"/>
          <w:lang w:val="zh-CN"/>
        </w:rPr>
        <w:t>（一）收入情况</w:t>
      </w:r>
    </w:p>
    <w:p w14:paraId="51F2C024">
      <w:pPr>
        <w:keepNext w:val="0"/>
        <w:keepLines w:val="0"/>
        <w:pageBreakBefore w:val="0"/>
        <w:widowControl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2025年，年初预算收入总额为</w:t>
      </w:r>
      <w:r>
        <w:rPr>
          <w:rFonts w:hint="eastAsia" w:ascii="仿宋" w:hAnsi="仿宋" w:eastAsia="仿宋" w:cs="仿宋"/>
          <w:kern w:val="2"/>
          <w:sz w:val="32"/>
          <w:szCs w:val="32"/>
          <w:lang w:val="en-US" w:eastAsia="zh-CN" w:bidi="ar-SA"/>
        </w:rPr>
        <w:t>2515.1</w:t>
      </w:r>
      <w:r>
        <w:rPr>
          <w:rFonts w:hint="eastAsia" w:ascii="仿宋" w:hAnsi="仿宋" w:eastAsia="仿宋" w:cs="仿宋"/>
          <w:kern w:val="2"/>
          <w:sz w:val="32"/>
          <w:szCs w:val="32"/>
          <w:highlight w:val="none"/>
          <w:lang w:val="en-US" w:eastAsia="zh-CN" w:bidi="ar-SA"/>
        </w:rPr>
        <w:t>万元，其中：上年结转0万元，占0%；一般公共预算拨款收2515.1万元，占100%；事业收入0万元，占0%；其他收入0万元，占0%。</w:t>
      </w:r>
    </w:p>
    <w:p w14:paraId="562E8C09">
      <w:pPr>
        <w:keepNext w:val="0"/>
        <w:keepLines w:val="0"/>
        <w:pageBreakBefore w:val="0"/>
        <w:widowControl w:val="0"/>
        <w:kinsoku/>
        <w:wordWrap/>
        <w:overflowPunct/>
        <w:topLinePunct w:val="0"/>
        <w:autoSpaceDE/>
        <w:autoSpaceDN/>
        <w:bidi w:val="0"/>
        <w:adjustRightInd/>
        <w:snapToGrid/>
        <w:spacing w:afterAutospacing="0" w:line="560" w:lineRule="atLeast"/>
        <w:ind w:firstLine="640" w:firstLineChars="200"/>
        <w:textAlignment w:val="auto"/>
        <w:rPr>
          <w:rFonts w:hint="default" w:ascii="Times New Roman" w:hAnsi="Times New Roman" w:eastAsia="仿宋" w:cs="Times New Roman"/>
          <w:b/>
          <w:bCs/>
          <w:color w:val="000000"/>
          <w:kern w:val="0"/>
          <w:szCs w:val="32"/>
          <w:highlight w:val="none"/>
          <w:shd w:val="clear" w:color="auto" w:fill="FFFFFF"/>
          <w:lang w:val="en-US" w:eastAsia="zh-CN"/>
        </w:rPr>
      </w:pPr>
      <w:r>
        <w:rPr>
          <w:rFonts w:hint="eastAsia" w:ascii="仿宋" w:hAnsi="仿宋" w:eastAsia="仿宋" w:cs="仿宋"/>
          <w:kern w:val="2"/>
          <w:sz w:val="32"/>
          <w:szCs w:val="32"/>
          <w:highlight w:val="none"/>
          <w:lang w:val="en-US" w:eastAsia="zh-CN" w:bidi="ar-SA"/>
        </w:rPr>
        <w:t>2025年决算报表，本单位年度收入为2891.74万元，其中：一般公共预算财政拨款收入为2799.6万元，占比97%；其他收入42.69万元，占比1%；上年结转49.45万元，占比2%。</w:t>
      </w:r>
    </w:p>
    <w:p w14:paraId="26002175">
      <w:pPr>
        <w:keepNext w:val="0"/>
        <w:keepLines w:val="0"/>
        <w:pageBreakBefore w:val="0"/>
        <w:widowControl w:val="0"/>
        <w:numPr>
          <w:ilvl w:val="0"/>
          <w:numId w:val="4"/>
        </w:numPr>
        <w:kinsoku/>
        <w:wordWrap/>
        <w:overflowPunct/>
        <w:topLinePunct w:val="0"/>
        <w:autoSpaceDE/>
        <w:autoSpaceDN/>
        <w:bidi w:val="0"/>
        <w:adjustRightInd/>
        <w:snapToGrid/>
        <w:spacing w:afterAutospacing="0" w:line="560" w:lineRule="atLeast"/>
        <w:ind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支出情况</w:t>
      </w:r>
    </w:p>
    <w:p w14:paraId="39F29E3E">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atLeast"/>
        <w:ind w:firstLine="640" w:firstLineChars="200"/>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2025年，年初预算支出总额2515.1万元，其中：基本支出2426.1万元，占96%；项目支出89万元，占4%。</w:t>
      </w:r>
    </w:p>
    <w:p w14:paraId="0C04171A">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eastAsia="仿宋_GB2312" w:cs="仿宋_GB2312"/>
          <w:color w:val="auto"/>
          <w:sz w:val="32"/>
          <w:szCs w:val="32"/>
          <w:highlight w:val="none"/>
          <w:lang w:eastAsia="zh-CN"/>
        </w:rPr>
      </w:pPr>
      <w:r>
        <w:rPr>
          <w:rFonts w:hint="eastAsia" w:ascii="仿宋" w:hAnsi="仿宋" w:eastAsia="仿宋" w:cs="仿宋"/>
          <w:b w:val="0"/>
          <w:bCs/>
          <w:kern w:val="2"/>
          <w:sz w:val="32"/>
          <w:szCs w:val="32"/>
          <w:highlight w:val="none"/>
          <w:lang w:val="en-US" w:eastAsia="zh-CN" w:bidi="ar-SA"/>
        </w:rPr>
        <w:t>2025年决算报表支出合计</w:t>
      </w:r>
      <w:r>
        <w:rPr>
          <w:rFonts w:hint="eastAsia" w:ascii="Times New Roman" w:hAnsi="Times New Roman" w:eastAsia="仿宋_GB2312" w:cs="仿宋_GB2312"/>
          <w:color w:val="auto"/>
          <w:sz w:val="32"/>
          <w:szCs w:val="32"/>
          <w:highlight w:val="none"/>
          <w:lang w:eastAsia="zh-CN"/>
        </w:rPr>
        <w:t>2829.4万元，其中：基本支出2527.12万元，占</w:t>
      </w:r>
      <w:r>
        <w:rPr>
          <w:rFonts w:hint="eastAsia" w:eastAsia="仿宋_GB2312" w:cs="仿宋_GB2312"/>
          <w:color w:val="auto"/>
          <w:sz w:val="32"/>
          <w:szCs w:val="32"/>
          <w:highlight w:val="none"/>
          <w:lang w:val="en-US" w:eastAsia="zh-CN"/>
        </w:rPr>
        <w:t>89.3</w:t>
      </w:r>
      <w:r>
        <w:rPr>
          <w:rFonts w:hint="eastAsia" w:ascii="Times New Roman" w:hAnsi="Times New Roman" w:eastAsia="仿宋_GB2312" w:cs="仿宋_GB2312"/>
          <w:color w:val="auto"/>
          <w:sz w:val="32"/>
          <w:szCs w:val="32"/>
          <w:highlight w:val="none"/>
          <w:lang w:eastAsia="zh-CN"/>
        </w:rPr>
        <w:t>%；项目支出302.28万元，占</w:t>
      </w:r>
      <w:r>
        <w:rPr>
          <w:rFonts w:hint="eastAsia" w:eastAsia="仿宋_GB2312" w:cs="仿宋_GB2312"/>
          <w:color w:val="auto"/>
          <w:sz w:val="32"/>
          <w:szCs w:val="32"/>
          <w:highlight w:val="none"/>
          <w:lang w:val="en-US" w:eastAsia="zh-CN"/>
        </w:rPr>
        <w:t>10.7</w:t>
      </w:r>
      <w:r>
        <w:rPr>
          <w:rFonts w:hint="eastAsia" w:ascii="Times New Roman" w:hAnsi="Times New Roman" w:eastAsia="仿宋_GB2312" w:cs="仿宋_GB2312"/>
          <w:color w:val="auto"/>
          <w:sz w:val="32"/>
          <w:szCs w:val="32"/>
          <w:highlight w:val="none"/>
          <w:lang w:eastAsia="zh-CN"/>
        </w:rPr>
        <w:t>%。</w:t>
      </w:r>
    </w:p>
    <w:p w14:paraId="6CA6D60C">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atLeast"/>
        <w:ind w:firstLine="640" w:firstLineChars="200"/>
        <w:textAlignment w:val="auto"/>
        <w:rPr>
          <w:rFonts w:hint="eastAsia"/>
          <w:b w:val="0"/>
          <w:bCs w:val="0"/>
          <w:highlight w:val="none"/>
          <w:lang w:val="en-US" w:eastAsia="zh-CN"/>
        </w:rPr>
      </w:pPr>
      <w:r>
        <w:rPr>
          <w:rFonts w:hint="eastAsia" w:ascii="仿宋" w:hAnsi="仿宋" w:eastAsia="仿宋"/>
          <w:b w:val="0"/>
          <w:bCs w:val="0"/>
          <w:color w:val="2A2A2A"/>
          <w:sz w:val="32"/>
          <w:szCs w:val="32"/>
          <w:highlight w:val="none"/>
          <w:lang w:eastAsia="zh-CN"/>
        </w:rPr>
        <w:t>其中，</w:t>
      </w:r>
      <w:r>
        <w:rPr>
          <w:rFonts w:ascii="仿宋" w:hAnsi="仿宋" w:eastAsia="仿宋"/>
          <w:b w:val="0"/>
          <w:bCs w:val="0"/>
          <w:color w:val="2A2A2A"/>
          <w:sz w:val="32"/>
          <w:szCs w:val="32"/>
          <w:highlight w:val="none"/>
        </w:rPr>
        <w:t>文化旅游体育与传媒支出</w:t>
      </w:r>
      <w:r>
        <w:rPr>
          <w:rFonts w:hint="eastAsia" w:ascii="仿宋" w:hAnsi="仿宋" w:eastAsia="仿宋"/>
          <w:b w:val="0"/>
          <w:bCs w:val="0"/>
          <w:color w:val="2A2A2A"/>
          <w:sz w:val="32"/>
          <w:szCs w:val="32"/>
          <w:highlight w:val="none"/>
          <w:lang w:val="en-US" w:eastAsia="zh-CN"/>
        </w:rPr>
        <w:t>2211.7</w:t>
      </w:r>
      <w:r>
        <w:rPr>
          <w:rFonts w:ascii="仿宋" w:hAnsi="仿宋" w:eastAsia="仿宋"/>
          <w:b w:val="0"/>
          <w:bCs w:val="0"/>
          <w:color w:val="2A2A2A"/>
          <w:sz w:val="32"/>
          <w:szCs w:val="32"/>
          <w:highlight w:val="none"/>
        </w:rPr>
        <w:t>万元</w:t>
      </w:r>
      <w:r>
        <w:rPr>
          <w:rFonts w:hint="eastAsia" w:ascii="仿宋" w:hAnsi="仿宋" w:eastAsia="仿宋"/>
          <w:b w:val="0"/>
          <w:bCs w:val="0"/>
          <w:color w:val="2A2A2A"/>
          <w:sz w:val="32"/>
          <w:szCs w:val="32"/>
          <w:highlight w:val="none"/>
          <w:lang w:eastAsia="zh-CN"/>
        </w:rPr>
        <w:t>，</w:t>
      </w:r>
      <w:r>
        <w:rPr>
          <w:rFonts w:ascii="仿宋" w:hAnsi="仿宋" w:eastAsia="仿宋"/>
          <w:b w:val="0"/>
          <w:bCs w:val="0"/>
          <w:color w:val="2A2A2A"/>
          <w:sz w:val="32"/>
          <w:szCs w:val="32"/>
          <w:highlight w:val="none"/>
        </w:rPr>
        <w:t>占比</w:t>
      </w:r>
      <w:r>
        <w:rPr>
          <w:rFonts w:hint="eastAsia" w:ascii="仿宋" w:hAnsi="仿宋" w:eastAsia="仿宋"/>
          <w:b w:val="0"/>
          <w:bCs w:val="0"/>
          <w:color w:val="2A2A2A"/>
          <w:sz w:val="32"/>
          <w:szCs w:val="32"/>
          <w:highlight w:val="none"/>
          <w:lang w:val="en-US" w:eastAsia="zh-CN"/>
        </w:rPr>
        <w:t>78</w:t>
      </w:r>
      <w:r>
        <w:rPr>
          <w:rFonts w:ascii="仿宋" w:hAnsi="仿宋" w:eastAsia="仿宋"/>
          <w:b w:val="0"/>
          <w:bCs w:val="0"/>
          <w:color w:val="2A2A2A"/>
          <w:sz w:val="32"/>
          <w:szCs w:val="32"/>
          <w:highlight w:val="none"/>
        </w:rPr>
        <w:t>%</w:t>
      </w:r>
      <w:r>
        <w:rPr>
          <w:rFonts w:hint="eastAsia" w:ascii="仿宋" w:hAnsi="仿宋" w:eastAsia="仿宋"/>
          <w:b w:val="0"/>
          <w:bCs w:val="0"/>
          <w:color w:val="2A2A2A"/>
          <w:sz w:val="32"/>
          <w:szCs w:val="32"/>
          <w:highlight w:val="none"/>
          <w:lang w:eastAsia="zh-CN"/>
        </w:rPr>
        <w:t>；</w:t>
      </w:r>
      <w:r>
        <w:rPr>
          <w:rFonts w:ascii="仿宋" w:hAnsi="仿宋" w:eastAsia="仿宋"/>
          <w:b w:val="0"/>
          <w:bCs w:val="0"/>
          <w:color w:val="2A2A2A"/>
          <w:sz w:val="32"/>
          <w:szCs w:val="32"/>
          <w:highlight w:val="none"/>
        </w:rPr>
        <w:t>社会保障和就业支出为</w:t>
      </w:r>
      <w:r>
        <w:rPr>
          <w:rFonts w:hint="eastAsia" w:ascii="仿宋" w:hAnsi="仿宋" w:eastAsia="仿宋"/>
          <w:b w:val="0"/>
          <w:bCs w:val="0"/>
          <w:color w:val="2A2A2A"/>
          <w:sz w:val="32"/>
          <w:szCs w:val="32"/>
          <w:highlight w:val="none"/>
          <w:lang w:val="en-US" w:eastAsia="zh-CN"/>
        </w:rPr>
        <w:t>328.7</w:t>
      </w:r>
      <w:r>
        <w:rPr>
          <w:rFonts w:ascii="仿宋" w:hAnsi="仿宋" w:eastAsia="仿宋"/>
          <w:b w:val="0"/>
          <w:bCs w:val="0"/>
          <w:color w:val="2A2A2A"/>
          <w:sz w:val="32"/>
          <w:szCs w:val="32"/>
          <w:highlight w:val="none"/>
        </w:rPr>
        <w:t>万元</w:t>
      </w:r>
      <w:r>
        <w:rPr>
          <w:rFonts w:hint="eastAsia" w:ascii="仿宋" w:hAnsi="仿宋" w:eastAsia="仿宋"/>
          <w:b w:val="0"/>
          <w:bCs w:val="0"/>
          <w:color w:val="2A2A2A"/>
          <w:sz w:val="32"/>
          <w:szCs w:val="32"/>
          <w:highlight w:val="none"/>
          <w:lang w:eastAsia="zh-CN"/>
        </w:rPr>
        <w:t>，</w:t>
      </w:r>
      <w:r>
        <w:rPr>
          <w:rFonts w:ascii="仿宋" w:hAnsi="仿宋" w:eastAsia="仿宋"/>
          <w:b w:val="0"/>
          <w:bCs w:val="0"/>
          <w:color w:val="2A2A2A"/>
          <w:sz w:val="32"/>
          <w:szCs w:val="32"/>
          <w:highlight w:val="none"/>
        </w:rPr>
        <w:t>占比</w:t>
      </w:r>
      <w:r>
        <w:rPr>
          <w:rFonts w:hint="eastAsia" w:ascii="仿宋" w:hAnsi="仿宋" w:eastAsia="仿宋"/>
          <w:b w:val="0"/>
          <w:bCs w:val="0"/>
          <w:color w:val="2A2A2A"/>
          <w:sz w:val="32"/>
          <w:szCs w:val="32"/>
          <w:highlight w:val="none"/>
          <w:lang w:val="en-US" w:eastAsia="zh-CN"/>
        </w:rPr>
        <w:t>12</w:t>
      </w:r>
      <w:r>
        <w:rPr>
          <w:rFonts w:ascii="仿宋" w:hAnsi="仿宋" w:eastAsia="仿宋"/>
          <w:b w:val="0"/>
          <w:bCs w:val="0"/>
          <w:color w:val="2A2A2A"/>
          <w:sz w:val="32"/>
          <w:szCs w:val="32"/>
          <w:highlight w:val="none"/>
        </w:rPr>
        <w:t>%</w:t>
      </w:r>
      <w:r>
        <w:rPr>
          <w:rFonts w:hint="eastAsia" w:ascii="仿宋" w:hAnsi="仿宋" w:eastAsia="仿宋"/>
          <w:b w:val="0"/>
          <w:bCs w:val="0"/>
          <w:color w:val="2A2A2A"/>
          <w:sz w:val="32"/>
          <w:szCs w:val="32"/>
          <w:highlight w:val="none"/>
          <w:lang w:val="en-US" w:eastAsia="zh-CN"/>
        </w:rPr>
        <w:t>,；</w:t>
      </w:r>
      <w:r>
        <w:rPr>
          <w:rFonts w:ascii="仿宋" w:hAnsi="仿宋" w:eastAsia="仿宋"/>
          <w:b w:val="0"/>
          <w:bCs w:val="0"/>
          <w:color w:val="2A2A2A"/>
          <w:sz w:val="32"/>
          <w:szCs w:val="32"/>
          <w:highlight w:val="none"/>
        </w:rPr>
        <w:t>卫生健康支出为12</w:t>
      </w:r>
      <w:r>
        <w:rPr>
          <w:rFonts w:hint="eastAsia" w:ascii="仿宋" w:hAnsi="仿宋" w:eastAsia="仿宋"/>
          <w:b w:val="0"/>
          <w:bCs w:val="0"/>
          <w:color w:val="2A2A2A"/>
          <w:sz w:val="32"/>
          <w:szCs w:val="32"/>
          <w:highlight w:val="none"/>
          <w:lang w:val="en-US" w:eastAsia="zh-CN"/>
        </w:rPr>
        <w:t>0.6</w:t>
      </w:r>
      <w:r>
        <w:rPr>
          <w:rFonts w:ascii="仿宋" w:hAnsi="仿宋" w:eastAsia="仿宋"/>
          <w:b w:val="0"/>
          <w:bCs w:val="0"/>
          <w:color w:val="2A2A2A"/>
          <w:sz w:val="32"/>
          <w:szCs w:val="32"/>
          <w:highlight w:val="none"/>
        </w:rPr>
        <w:t>万元</w:t>
      </w:r>
      <w:r>
        <w:rPr>
          <w:rFonts w:hint="eastAsia" w:ascii="仿宋" w:hAnsi="仿宋" w:eastAsia="仿宋"/>
          <w:b w:val="0"/>
          <w:bCs w:val="0"/>
          <w:color w:val="2A2A2A"/>
          <w:sz w:val="32"/>
          <w:szCs w:val="32"/>
          <w:highlight w:val="none"/>
          <w:lang w:eastAsia="zh-CN"/>
        </w:rPr>
        <w:t>，</w:t>
      </w:r>
      <w:r>
        <w:rPr>
          <w:rFonts w:ascii="仿宋" w:hAnsi="仿宋" w:eastAsia="仿宋"/>
          <w:b w:val="0"/>
          <w:bCs w:val="0"/>
          <w:color w:val="2A2A2A"/>
          <w:sz w:val="32"/>
          <w:szCs w:val="32"/>
          <w:highlight w:val="none"/>
        </w:rPr>
        <w:t>占比</w:t>
      </w:r>
      <w:r>
        <w:rPr>
          <w:rFonts w:hint="eastAsia" w:ascii="仿宋" w:hAnsi="仿宋" w:eastAsia="仿宋"/>
          <w:b w:val="0"/>
          <w:bCs w:val="0"/>
          <w:color w:val="2A2A2A"/>
          <w:sz w:val="32"/>
          <w:szCs w:val="32"/>
          <w:highlight w:val="none"/>
          <w:lang w:val="en-US" w:eastAsia="zh-CN"/>
        </w:rPr>
        <w:t>4</w:t>
      </w:r>
      <w:r>
        <w:rPr>
          <w:rFonts w:ascii="仿宋" w:hAnsi="仿宋" w:eastAsia="仿宋"/>
          <w:b w:val="0"/>
          <w:bCs w:val="0"/>
          <w:color w:val="2A2A2A"/>
          <w:sz w:val="32"/>
          <w:szCs w:val="32"/>
          <w:highlight w:val="none"/>
        </w:rPr>
        <w:t>%；住房保障支出为</w:t>
      </w:r>
      <w:r>
        <w:rPr>
          <w:rFonts w:hint="eastAsia" w:ascii="仿宋" w:hAnsi="仿宋" w:eastAsia="仿宋"/>
          <w:b w:val="0"/>
          <w:bCs w:val="0"/>
          <w:color w:val="2A2A2A"/>
          <w:sz w:val="32"/>
          <w:szCs w:val="32"/>
          <w:highlight w:val="none"/>
        </w:rPr>
        <w:t>1</w:t>
      </w:r>
      <w:r>
        <w:rPr>
          <w:rFonts w:ascii="仿宋" w:hAnsi="仿宋" w:eastAsia="仿宋"/>
          <w:b w:val="0"/>
          <w:bCs w:val="0"/>
          <w:color w:val="2A2A2A"/>
          <w:sz w:val="32"/>
          <w:szCs w:val="32"/>
          <w:highlight w:val="none"/>
        </w:rPr>
        <w:t>6</w:t>
      </w:r>
      <w:r>
        <w:rPr>
          <w:rFonts w:hint="eastAsia" w:ascii="仿宋" w:hAnsi="仿宋" w:eastAsia="仿宋"/>
          <w:b w:val="0"/>
          <w:bCs w:val="0"/>
          <w:color w:val="2A2A2A"/>
          <w:sz w:val="32"/>
          <w:szCs w:val="32"/>
          <w:highlight w:val="none"/>
          <w:lang w:val="en-US" w:eastAsia="zh-CN"/>
        </w:rPr>
        <w:t>8.4</w:t>
      </w:r>
      <w:r>
        <w:rPr>
          <w:rFonts w:ascii="仿宋" w:hAnsi="仿宋" w:eastAsia="仿宋"/>
          <w:b w:val="0"/>
          <w:bCs w:val="0"/>
          <w:color w:val="2A2A2A"/>
          <w:sz w:val="32"/>
          <w:szCs w:val="32"/>
          <w:highlight w:val="none"/>
        </w:rPr>
        <w:t>万元</w:t>
      </w:r>
      <w:r>
        <w:rPr>
          <w:rFonts w:hint="eastAsia" w:ascii="仿宋" w:hAnsi="仿宋" w:eastAsia="仿宋"/>
          <w:b w:val="0"/>
          <w:bCs w:val="0"/>
          <w:color w:val="2A2A2A"/>
          <w:sz w:val="32"/>
          <w:szCs w:val="32"/>
          <w:highlight w:val="none"/>
          <w:lang w:eastAsia="zh-CN"/>
        </w:rPr>
        <w:t>，</w:t>
      </w:r>
      <w:r>
        <w:rPr>
          <w:rFonts w:ascii="仿宋" w:hAnsi="仿宋" w:eastAsia="仿宋"/>
          <w:b w:val="0"/>
          <w:bCs w:val="0"/>
          <w:color w:val="2A2A2A"/>
          <w:sz w:val="32"/>
          <w:szCs w:val="32"/>
          <w:highlight w:val="none"/>
        </w:rPr>
        <w:t>占比</w:t>
      </w:r>
      <w:r>
        <w:rPr>
          <w:rFonts w:hint="eastAsia" w:ascii="仿宋" w:hAnsi="仿宋" w:eastAsia="仿宋"/>
          <w:b w:val="0"/>
          <w:bCs w:val="0"/>
          <w:color w:val="2A2A2A"/>
          <w:sz w:val="32"/>
          <w:szCs w:val="32"/>
          <w:highlight w:val="none"/>
          <w:lang w:val="en-US" w:eastAsia="zh-CN"/>
        </w:rPr>
        <w:t>6</w:t>
      </w:r>
      <w:r>
        <w:rPr>
          <w:rFonts w:ascii="仿宋" w:hAnsi="仿宋" w:eastAsia="仿宋"/>
          <w:b w:val="0"/>
          <w:bCs w:val="0"/>
          <w:color w:val="2A2A2A"/>
          <w:sz w:val="32"/>
          <w:szCs w:val="32"/>
          <w:highlight w:val="none"/>
        </w:rPr>
        <w:t>%</w:t>
      </w:r>
      <w:r>
        <w:rPr>
          <w:rFonts w:hint="eastAsia" w:ascii="仿宋" w:hAnsi="仿宋" w:eastAsia="仿宋"/>
          <w:b w:val="0"/>
          <w:bCs w:val="0"/>
          <w:color w:val="2A2A2A"/>
          <w:sz w:val="32"/>
          <w:szCs w:val="32"/>
          <w:highlight w:val="none"/>
        </w:rPr>
        <w:t>。</w:t>
      </w:r>
    </w:p>
    <w:p w14:paraId="7F75F17A">
      <w:pPr>
        <w:keepNext w:val="0"/>
        <w:keepLines w:val="0"/>
        <w:pageBreakBefore w:val="0"/>
        <w:widowControl/>
        <w:numPr>
          <w:ilvl w:val="0"/>
          <w:numId w:val="4"/>
        </w:numPr>
        <w:kinsoku/>
        <w:wordWrap/>
        <w:overflowPunct/>
        <w:topLinePunct w:val="0"/>
        <w:autoSpaceDE/>
        <w:autoSpaceDN/>
        <w:bidi w:val="0"/>
        <w:adjustRightInd w:val="0"/>
        <w:snapToGrid w:val="0"/>
        <w:spacing w:afterAutospacing="0" w:line="560" w:lineRule="atLeast"/>
        <w:ind w:left="0" w:leftChars="0" w:firstLine="643" w:firstLineChars="200"/>
        <w:contextualSpacing/>
        <w:jc w:val="left"/>
        <w:textAlignment w:val="auto"/>
        <w:outlineLvl w:val="9"/>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rPr>
        <w:t>结余分配和结转结余情况</w:t>
      </w:r>
    </w:p>
    <w:p w14:paraId="4D0CAE22">
      <w:pPr>
        <w:pStyle w:val="18"/>
        <w:pageBreakBefore w:val="0"/>
        <w:kinsoku/>
        <w:wordWrap/>
        <w:overflowPunct/>
        <w:topLinePunct w:val="0"/>
        <w:bidi w:val="0"/>
        <w:spacing w:before="0" w:beforeAutospacing="0" w:after="0" w:afterAutospacing="0" w:line="560" w:lineRule="atLeast"/>
        <w:ind w:firstLine="640" w:firstLineChars="200"/>
        <w:rPr>
          <w:rFonts w:ascii="仿宋" w:hAnsi="仿宋" w:eastAsia="仿宋"/>
          <w:sz w:val="32"/>
          <w:szCs w:val="32"/>
          <w:highlight w:val="none"/>
        </w:rPr>
      </w:pPr>
      <w:r>
        <w:rPr>
          <w:rFonts w:hint="eastAsia" w:ascii="仿宋" w:hAnsi="仿宋" w:eastAsia="仿宋"/>
          <w:sz w:val="32"/>
          <w:szCs w:val="32"/>
          <w:highlight w:val="none"/>
        </w:rPr>
        <w:t>2</w:t>
      </w:r>
      <w:r>
        <w:rPr>
          <w:rFonts w:ascii="仿宋" w:hAnsi="仿宋" w:eastAsia="仿宋"/>
          <w:sz w:val="32"/>
          <w:szCs w:val="32"/>
          <w:highlight w:val="none"/>
        </w:rPr>
        <w:t>02</w:t>
      </w:r>
      <w:r>
        <w:rPr>
          <w:rFonts w:hint="eastAsia" w:ascii="仿宋" w:hAnsi="仿宋" w:eastAsia="仿宋"/>
          <w:sz w:val="32"/>
          <w:szCs w:val="32"/>
          <w:highlight w:val="none"/>
          <w:lang w:val="en-US" w:eastAsia="zh-CN"/>
        </w:rPr>
        <w:t>5</w:t>
      </w:r>
      <w:r>
        <w:rPr>
          <w:rFonts w:ascii="仿宋" w:hAnsi="仿宋" w:eastAsia="仿宋"/>
          <w:sz w:val="32"/>
          <w:szCs w:val="32"/>
          <w:highlight w:val="none"/>
        </w:rPr>
        <w:t>年年末结转和结余</w:t>
      </w:r>
      <w:r>
        <w:rPr>
          <w:rFonts w:hint="eastAsia" w:ascii="仿宋" w:hAnsi="仿宋" w:eastAsia="仿宋"/>
          <w:sz w:val="32"/>
          <w:szCs w:val="32"/>
          <w:highlight w:val="none"/>
          <w:lang w:val="en-US" w:eastAsia="zh-CN"/>
        </w:rPr>
        <w:t>62.34</w:t>
      </w:r>
      <w:r>
        <w:rPr>
          <w:rFonts w:ascii="仿宋" w:hAnsi="仿宋" w:eastAsia="仿宋"/>
          <w:sz w:val="32"/>
          <w:szCs w:val="32"/>
          <w:highlight w:val="none"/>
        </w:rPr>
        <w:t>万元</w:t>
      </w:r>
      <w:r>
        <w:rPr>
          <w:rFonts w:hint="eastAsia" w:ascii="仿宋" w:hAnsi="仿宋" w:eastAsia="仿宋"/>
          <w:sz w:val="32"/>
          <w:szCs w:val="32"/>
          <w:highlight w:val="none"/>
        </w:rPr>
        <w:t>，</w:t>
      </w:r>
      <w:r>
        <w:rPr>
          <w:rFonts w:ascii="仿宋" w:hAnsi="仿宋" w:eastAsia="仿宋"/>
          <w:sz w:val="32"/>
          <w:szCs w:val="32"/>
          <w:highlight w:val="none"/>
        </w:rPr>
        <w:t xml:space="preserve"> 其中</w:t>
      </w:r>
      <w:r>
        <w:rPr>
          <w:rFonts w:hint="eastAsia" w:ascii="仿宋" w:hAnsi="仿宋" w:eastAsia="仿宋"/>
          <w:sz w:val="32"/>
          <w:szCs w:val="32"/>
          <w:highlight w:val="none"/>
        </w:rPr>
        <w:t>：</w:t>
      </w:r>
      <w:r>
        <w:rPr>
          <w:rFonts w:ascii="仿宋" w:hAnsi="仿宋" w:eastAsia="仿宋"/>
          <w:sz w:val="32"/>
          <w:szCs w:val="32"/>
          <w:highlight w:val="none"/>
        </w:rPr>
        <w:t>一般公共预算拨款结转</w:t>
      </w:r>
      <w:r>
        <w:rPr>
          <w:rFonts w:hint="eastAsia" w:ascii="仿宋" w:hAnsi="仿宋" w:eastAsia="仿宋"/>
          <w:sz w:val="32"/>
          <w:szCs w:val="32"/>
          <w:highlight w:val="none"/>
        </w:rPr>
        <w:t>0万元，非财政拨款结转</w:t>
      </w:r>
      <w:r>
        <w:rPr>
          <w:rFonts w:hint="eastAsia" w:ascii="仿宋" w:hAnsi="仿宋" w:eastAsia="仿宋"/>
          <w:sz w:val="32"/>
          <w:szCs w:val="32"/>
          <w:highlight w:val="none"/>
          <w:lang w:val="en-US" w:eastAsia="zh-CN"/>
        </w:rPr>
        <w:t>62.34</w:t>
      </w:r>
      <w:r>
        <w:rPr>
          <w:rFonts w:ascii="仿宋" w:hAnsi="仿宋" w:eastAsia="仿宋"/>
          <w:sz w:val="32"/>
          <w:szCs w:val="32"/>
          <w:highlight w:val="none"/>
        </w:rPr>
        <w:t>万元</w:t>
      </w:r>
      <w:r>
        <w:rPr>
          <w:rFonts w:hint="eastAsia" w:ascii="仿宋" w:hAnsi="仿宋" w:eastAsia="仿宋"/>
          <w:sz w:val="32"/>
          <w:szCs w:val="32"/>
          <w:highlight w:val="none"/>
        </w:rPr>
        <w:t xml:space="preserve">。 </w:t>
      </w:r>
    </w:p>
    <w:p w14:paraId="2B542B5D">
      <w:pPr>
        <w:keepNext w:val="0"/>
        <w:keepLines w:val="0"/>
        <w:pageBreakBefore w:val="0"/>
        <w:widowControl/>
        <w:kinsoku/>
        <w:wordWrap/>
        <w:overflowPunct/>
        <w:topLinePunct w:val="0"/>
        <w:autoSpaceDE/>
        <w:autoSpaceDN/>
        <w:bidi w:val="0"/>
        <w:adjustRightInd w:val="0"/>
        <w:snapToGrid w:val="0"/>
        <w:spacing w:afterAutospacing="0" w:line="560" w:lineRule="atLeast"/>
        <w:ind w:firstLine="640" w:firstLineChars="200"/>
        <w:contextualSpacing/>
        <w:jc w:val="left"/>
        <w:textAlignment w:val="auto"/>
        <w:outlineLvl w:val="9"/>
        <w:rPr>
          <w:rFonts w:hint="eastAsia" w:ascii="黑体" w:hAnsi="黑体" w:eastAsia="黑体" w:cs="黑体"/>
          <w:color w:val="000000" w:themeColor="text1"/>
          <w:kern w:val="0"/>
          <w:sz w:val="32"/>
          <w:szCs w:val="32"/>
          <w:highlight w:val="none"/>
          <w:shd w:val="clear" w:color="auto" w:fill="FFFFFF"/>
          <w14:textFill>
            <w14:solidFill>
              <w14:schemeClr w14:val="tx1"/>
            </w14:solidFill>
          </w14:textFill>
        </w:rPr>
      </w:pPr>
      <w:r>
        <w:rPr>
          <w:rFonts w:hint="eastAsia" w:ascii="黑体" w:hAnsi="黑体" w:eastAsia="黑体" w:cs="黑体"/>
          <w:color w:val="000000"/>
          <w:kern w:val="0"/>
          <w:sz w:val="32"/>
          <w:szCs w:val="32"/>
          <w:highlight w:val="none"/>
          <w:shd w:val="clear" w:color="auto" w:fill="FFFFFF"/>
        </w:rPr>
        <w:t>三、</w:t>
      </w:r>
      <w:r>
        <w:rPr>
          <w:rFonts w:hint="eastAsia" w:ascii="黑体" w:hAnsi="黑体" w:eastAsia="黑体" w:cs="黑体"/>
          <w:color w:val="000000"/>
          <w:kern w:val="0"/>
          <w:sz w:val="32"/>
          <w:szCs w:val="32"/>
          <w:highlight w:val="none"/>
          <w:u w:val="none"/>
          <w:shd w:val="clear" w:color="auto" w:fill="FFFFFF"/>
        </w:rPr>
        <w:t>部门</w:t>
      </w:r>
      <w:r>
        <w:rPr>
          <w:rFonts w:hint="eastAsia" w:ascii="黑体" w:hAnsi="黑体" w:eastAsia="黑体" w:cs="黑体"/>
          <w:color w:val="000000"/>
          <w:kern w:val="0"/>
          <w:sz w:val="32"/>
          <w:szCs w:val="32"/>
          <w:highlight w:val="none"/>
          <w:u w:val="none"/>
          <w:shd w:val="clear" w:color="auto" w:fill="FFFFFF"/>
          <w:lang w:eastAsia="zh-CN"/>
        </w:rPr>
        <w:t>预算</w:t>
      </w:r>
      <w:r>
        <w:rPr>
          <w:rFonts w:hint="eastAsia" w:ascii="黑体" w:hAnsi="黑体" w:eastAsia="黑体" w:cs="黑体"/>
          <w:color w:val="000000"/>
          <w:kern w:val="0"/>
          <w:sz w:val="32"/>
          <w:szCs w:val="32"/>
          <w:highlight w:val="none"/>
          <w:u w:val="none"/>
          <w:shd w:val="clear" w:color="auto" w:fill="FFFFFF"/>
        </w:rPr>
        <w:t>绩效</w:t>
      </w:r>
      <w:r>
        <w:rPr>
          <w:rFonts w:hint="eastAsia" w:ascii="黑体" w:hAnsi="黑体" w:eastAsia="黑体" w:cs="黑体"/>
          <w:color w:val="000000"/>
          <w:kern w:val="0"/>
          <w:sz w:val="32"/>
          <w:szCs w:val="32"/>
          <w:highlight w:val="none"/>
          <w:u w:val="none"/>
          <w:shd w:val="clear" w:color="auto" w:fill="FFFFFF"/>
          <w:lang w:eastAsia="zh-CN"/>
        </w:rPr>
        <w:t>分析</w:t>
      </w:r>
    </w:p>
    <w:p w14:paraId="0FEE5BC6">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560" w:lineRule="atLeast"/>
        <w:ind w:firstLine="643" w:firstLineChars="200"/>
        <w:contextualSpacing/>
        <w:jc w:val="left"/>
        <w:textAlignment w:val="auto"/>
        <w:outlineLvl w:val="9"/>
        <w:rPr>
          <w:rFonts w:hint="eastAsia" w:ascii="楷体" w:hAnsi="楷体" w:eastAsia="楷体" w:cs="楷体"/>
          <w:color w:val="000000"/>
          <w:kern w:val="0"/>
          <w:sz w:val="32"/>
          <w:szCs w:val="32"/>
          <w:highlight w:val="none"/>
          <w:shd w:val="clear" w:color="auto" w:fill="FFFFFF"/>
          <w:lang w:val="zh-CN"/>
        </w:rPr>
      </w:pPr>
      <w:r>
        <w:rPr>
          <w:rFonts w:hint="eastAsia" w:ascii="楷体" w:hAnsi="楷体" w:eastAsia="楷体" w:cs="楷体"/>
          <w:b/>
          <w:bCs/>
          <w:color w:val="000000"/>
          <w:kern w:val="0"/>
          <w:sz w:val="32"/>
          <w:szCs w:val="32"/>
          <w:highlight w:val="none"/>
          <w:shd w:val="clear" w:color="auto" w:fill="FFFFFF"/>
          <w:lang w:val="zh-CN"/>
        </w:rPr>
        <w:t>（一）部门预算总体绩效分析</w:t>
      </w:r>
    </w:p>
    <w:p w14:paraId="4959D2AB">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atLeast"/>
        <w:ind w:left="0" w:right="0" w:firstLine="643" w:firstLineChars="200"/>
        <w:textAlignment w:val="auto"/>
        <w:rPr>
          <w:rFonts w:hint="eastAsia" w:ascii="仿宋" w:hAnsi="仿宋" w:eastAsia="仿宋" w:cs="仿宋"/>
          <w:i w:val="0"/>
          <w:iCs w:val="0"/>
          <w:caps w:val="0"/>
          <w:color w:val="222222"/>
          <w:spacing w:val="0"/>
          <w:sz w:val="32"/>
          <w:szCs w:val="32"/>
          <w:shd w:val="clear" w:fill="FFFFFF"/>
        </w:rPr>
      </w:pPr>
      <w:r>
        <w:rPr>
          <w:rFonts w:hint="default" w:ascii="Times New Roman" w:hAnsi="Times New Roman" w:eastAsia="楷体_GB2312" w:cs="Times New Roman"/>
          <w:b/>
          <w:bCs/>
          <w:color w:val="000000"/>
          <w:kern w:val="0"/>
          <w:sz w:val="32"/>
          <w:szCs w:val="32"/>
          <w:highlight w:val="none"/>
          <w:shd w:val="clear" w:color="auto" w:fill="FFFFFF"/>
          <w:lang w:val="en-US" w:eastAsia="zh-CN"/>
        </w:rPr>
        <w:t>1.</w:t>
      </w:r>
      <w:r>
        <w:rPr>
          <w:rFonts w:hint="default" w:ascii="Times New Roman" w:hAnsi="Times New Roman" w:eastAsia="楷体_GB2312" w:cs="Times New Roman"/>
          <w:b/>
          <w:bCs/>
          <w:color w:val="000000"/>
          <w:kern w:val="0"/>
          <w:sz w:val="32"/>
          <w:szCs w:val="32"/>
          <w:highlight w:val="none"/>
          <w:shd w:val="clear" w:color="auto" w:fill="FFFFFF"/>
          <w:lang w:val="zh-CN"/>
        </w:rPr>
        <w:t>履职效能</w:t>
      </w:r>
      <w:r>
        <w:rPr>
          <w:rFonts w:hint="eastAsia" w:eastAsia="楷体_GB2312" w:cs="Times New Roman"/>
          <w:b/>
          <w:bCs/>
          <w:color w:val="000000"/>
          <w:kern w:val="0"/>
          <w:sz w:val="32"/>
          <w:szCs w:val="32"/>
          <w:highlight w:val="none"/>
          <w:shd w:val="clear" w:color="auto" w:fill="FFFFFF"/>
          <w:lang w:val="zh-CN"/>
        </w:rPr>
        <w:t>：</w:t>
      </w:r>
      <w:r>
        <w:rPr>
          <w:rFonts w:hint="eastAsia" w:ascii="仿宋" w:hAnsi="仿宋" w:eastAsia="仿宋" w:cs="仿宋"/>
          <w:i w:val="0"/>
          <w:iCs w:val="0"/>
          <w:caps w:val="0"/>
          <w:color w:val="222222"/>
          <w:spacing w:val="0"/>
          <w:sz w:val="32"/>
          <w:szCs w:val="32"/>
          <w:shd w:val="clear" w:fill="FFFFFF"/>
          <w:lang w:val="en-US" w:eastAsia="zh-CN"/>
        </w:rPr>
        <w:t>①</w:t>
      </w:r>
      <w:r>
        <w:rPr>
          <w:rFonts w:hint="eastAsia" w:ascii="仿宋" w:hAnsi="仿宋" w:eastAsia="仿宋" w:cs="仿宋"/>
          <w:i w:val="0"/>
          <w:iCs w:val="0"/>
          <w:caps w:val="0"/>
          <w:color w:val="222222"/>
          <w:spacing w:val="0"/>
          <w:sz w:val="32"/>
          <w:szCs w:val="32"/>
          <w:shd w:val="clear" w:fill="FFFFFF"/>
        </w:rPr>
        <w:t>国际舞台展风采</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第12届成都</w:t>
      </w:r>
      <w:r>
        <w:rPr>
          <w:rFonts w:hint="eastAsia" w:ascii="仿宋" w:hAnsi="仿宋" w:eastAsia="仿宋" w:cs="仿宋"/>
          <w:i w:val="0"/>
          <w:iCs w:val="0"/>
          <w:caps w:val="0"/>
          <w:color w:val="222222"/>
          <w:spacing w:val="0"/>
          <w:sz w:val="32"/>
          <w:szCs w:val="32"/>
          <w:shd w:val="clear" w:fill="FFFFFF"/>
          <w:lang w:val="en-US" w:eastAsia="zh-CN"/>
        </w:rPr>
        <w:t>世界运动</w:t>
      </w:r>
      <w:r>
        <w:rPr>
          <w:rFonts w:hint="eastAsia" w:ascii="仿宋" w:hAnsi="仿宋" w:eastAsia="仿宋" w:cs="仿宋"/>
          <w:i w:val="0"/>
          <w:iCs w:val="0"/>
          <w:caps w:val="0"/>
          <w:color w:val="222222"/>
          <w:spacing w:val="0"/>
          <w:sz w:val="32"/>
          <w:szCs w:val="32"/>
          <w:shd w:val="clear" w:fill="FFFFFF"/>
        </w:rPr>
        <w:t>会</w:t>
      </w:r>
      <w:r>
        <w:rPr>
          <w:rFonts w:hint="eastAsia" w:ascii="仿宋" w:hAnsi="仿宋" w:eastAsia="仿宋" w:cs="仿宋"/>
          <w:i w:val="0"/>
          <w:iCs w:val="0"/>
          <w:caps w:val="0"/>
          <w:color w:val="222222"/>
          <w:spacing w:val="0"/>
          <w:sz w:val="32"/>
          <w:szCs w:val="32"/>
          <w:shd w:val="clear" w:fill="FFFFFF"/>
          <w:lang w:val="en-US" w:eastAsia="zh-CN"/>
        </w:rPr>
        <w:t>上，</w:t>
      </w:r>
      <w:r>
        <w:rPr>
          <w:rFonts w:hint="eastAsia" w:ascii="仿宋" w:hAnsi="仿宋" w:eastAsia="仿宋" w:cs="仿宋"/>
          <w:i w:val="0"/>
          <w:iCs w:val="0"/>
          <w:caps w:val="0"/>
          <w:color w:val="222222"/>
          <w:spacing w:val="0"/>
          <w:sz w:val="32"/>
          <w:szCs w:val="32"/>
          <w:shd w:val="clear" w:fill="FFFFFF"/>
        </w:rPr>
        <w:t>我团“藏韵”组合</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舞蹈</w:t>
      </w:r>
      <w:r>
        <w:rPr>
          <w:rFonts w:hint="eastAsia" w:ascii="仿宋" w:hAnsi="仿宋" w:eastAsia="仿宋" w:cs="仿宋"/>
          <w:i w:val="0"/>
          <w:iCs w:val="0"/>
          <w:caps w:val="0"/>
          <w:color w:val="222222"/>
          <w:spacing w:val="0"/>
          <w:sz w:val="32"/>
          <w:szCs w:val="32"/>
          <w:shd w:val="clear" w:fill="FFFFFF"/>
        </w:rPr>
        <w:t>《瓦尔俄足》等节目，</w:t>
      </w:r>
      <w:r>
        <w:rPr>
          <w:rFonts w:hint="eastAsia" w:ascii="仿宋" w:hAnsi="仿宋" w:eastAsia="仿宋" w:cs="仿宋"/>
          <w:i w:val="0"/>
          <w:iCs w:val="0"/>
          <w:caps w:val="0"/>
          <w:color w:val="222222"/>
          <w:spacing w:val="0"/>
          <w:sz w:val="32"/>
          <w:szCs w:val="32"/>
          <w:shd w:val="clear" w:fill="FFFFFF"/>
          <w:lang w:val="en-US" w:eastAsia="zh-CN"/>
        </w:rPr>
        <w:t>应邀参加，在国际性的舞台上，</w:t>
      </w:r>
      <w:r>
        <w:rPr>
          <w:rFonts w:hint="eastAsia" w:ascii="仿宋" w:hAnsi="仿宋" w:eastAsia="仿宋" w:cs="仿宋"/>
          <w:i w:val="0"/>
          <w:iCs w:val="0"/>
          <w:caps w:val="0"/>
          <w:color w:val="222222"/>
          <w:spacing w:val="0"/>
          <w:sz w:val="32"/>
          <w:szCs w:val="32"/>
          <w:shd w:val="clear" w:fill="FFFFFF"/>
        </w:rPr>
        <w:t>向世界展现阿坝雪山草原之美与开放包容的精神风貌，相关演出获国际嘉宾与现场观众高度赞誉。</w:t>
      </w:r>
    </w:p>
    <w:p w14:paraId="789AA8E8">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atLeast"/>
        <w:ind w:left="0" w:right="0" w:firstLine="640" w:firstLineChars="200"/>
        <w:textAlignment w:val="auto"/>
        <w:rPr>
          <w:rFonts w:hint="eastAsia" w:ascii="仿宋" w:hAnsi="仿宋" w:eastAsia="仿宋" w:cs="仿宋"/>
          <w:i w:val="0"/>
          <w:iCs w:val="0"/>
          <w:caps w:val="0"/>
          <w:color w:val="222222"/>
          <w:spacing w:val="0"/>
          <w:sz w:val="32"/>
          <w:szCs w:val="32"/>
          <w:shd w:val="clear" w:fill="FFFFFF"/>
        </w:rPr>
      </w:pPr>
      <w:r>
        <w:rPr>
          <w:rFonts w:hint="eastAsia" w:ascii="仿宋" w:hAnsi="仿宋" w:eastAsia="仿宋" w:cs="仿宋"/>
          <w:i w:val="0"/>
          <w:iCs w:val="0"/>
          <w:caps w:val="0"/>
          <w:color w:val="222222"/>
          <w:spacing w:val="0"/>
          <w:sz w:val="32"/>
          <w:szCs w:val="32"/>
          <w:shd w:val="clear" w:fill="FFFFFF"/>
          <w:lang w:val="en-US" w:eastAsia="zh-CN"/>
        </w:rPr>
        <w:t>②</w:t>
      </w:r>
      <w:r>
        <w:rPr>
          <w:rFonts w:hint="eastAsia" w:ascii="仿宋" w:hAnsi="仿宋" w:eastAsia="仿宋" w:cs="仿宋"/>
          <w:i w:val="0"/>
          <w:iCs w:val="0"/>
          <w:caps w:val="0"/>
          <w:color w:val="222222"/>
          <w:spacing w:val="0"/>
          <w:sz w:val="32"/>
          <w:szCs w:val="32"/>
          <w:shd w:val="clear" w:fill="FFFFFF"/>
        </w:rPr>
        <w:t>文旅推广树品牌</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本年度随州文广体旅局</w:t>
      </w:r>
      <w:r>
        <w:rPr>
          <w:rFonts w:hint="eastAsia" w:ascii="仿宋" w:hAnsi="仿宋" w:eastAsia="仿宋" w:cs="仿宋"/>
          <w:i w:val="0"/>
          <w:iCs w:val="0"/>
          <w:caps w:val="0"/>
          <w:color w:val="222222"/>
          <w:spacing w:val="0"/>
          <w:sz w:val="32"/>
          <w:szCs w:val="32"/>
          <w:shd w:val="clear" w:fill="FFFFFF"/>
        </w:rPr>
        <w:t>先后赴北京、上海两大</w:t>
      </w:r>
      <w:r>
        <w:rPr>
          <w:rFonts w:hint="eastAsia" w:ascii="仿宋" w:hAnsi="仿宋" w:eastAsia="仿宋" w:cs="仿宋"/>
          <w:i w:val="0"/>
          <w:iCs w:val="0"/>
          <w:caps w:val="0"/>
          <w:color w:val="222222"/>
          <w:spacing w:val="0"/>
          <w:sz w:val="32"/>
          <w:szCs w:val="32"/>
          <w:shd w:val="clear" w:fill="FFFFFF"/>
          <w:lang w:val="en-US" w:eastAsia="zh-CN"/>
        </w:rPr>
        <w:t>一线</w:t>
      </w:r>
      <w:r>
        <w:rPr>
          <w:rFonts w:hint="eastAsia" w:ascii="仿宋" w:hAnsi="仿宋" w:eastAsia="仿宋" w:cs="仿宋"/>
          <w:i w:val="0"/>
          <w:iCs w:val="0"/>
          <w:caps w:val="0"/>
          <w:color w:val="222222"/>
          <w:spacing w:val="0"/>
          <w:sz w:val="32"/>
          <w:szCs w:val="32"/>
          <w:shd w:val="clear" w:fill="FFFFFF"/>
        </w:rPr>
        <w:t>城市开展文旅推介演出</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在北京王府井</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上海外滩等地标，留下了</w:t>
      </w:r>
      <w:r>
        <w:rPr>
          <w:rFonts w:hint="eastAsia" w:ascii="仿宋" w:hAnsi="仿宋" w:eastAsia="仿宋" w:cs="仿宋"/>
          <w:i w:val="0"/>
          <w:iCs w:val="0"/>
          <w:caps w:val="0"/>
          <w:color w:val="222222"/>
          <w:spacing w:val="0"/>
          <w:sz w:val="32"/>
          <w:szCs w:val="32"/>
          <w:shd w:val="clear" w:fill="FFFFFF"/>
        </w:rPr>
        <w:t>“天下九寨沟</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大美阿坝州”</w:t>
      </w:r>
      <w:r>
        <w:rPr>
          <w:rFonts w:hint="eastAsia" w:ascii="仿宋" w:hAnsi="仿宋" w:eastAsia="仿宋" w:cs="仿宋"/>
          <w:i w:val="0"/>
          <w:iCs w:val="0"/>
          <w:caps w:val="0"/>
          <w:color w:val="222222"/>
          <w:spacing w:val="0"/>
          <w:sz w:val="32"/>
          <w:szCs w:val="32"/>
          <w:shd w:val="clear" w:fill="FFFFFF"/>
          <w:lang w:val="en-US" w:eastAsia="zh-CN"/>
        </w:rPr>
        <w:t>文旅品牌的风姿倩影，</w:t>
      </w:r>
      <w:r>
        <w:rPr>
          <w:rFonts w:hint="eastAsia" w:ascii="仿宋" w:hAnsi="仿宋" w:eastAsia="仿宋" w:cs="仿宋"/>
          <w:i w:val="0"/>
          <w:iCs w:val="0"/>
          <w:caps w:val="0"/>
          <w:color w:val="222222"/>
          <w:spacing w:val="0"/>
          <w:sz w:val="32"/>
          <w:szCs w:val="32"/>
          <w:shd w:val="clear" w:fill="FFFFFF"/>
        </w:rPr>
        <w:t>音乐剧《牦牛革命》更登陆北京大学百周年纪念讲堂，成为边远山区剧目走进国家最高学府的成功实践</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参加</w:t>
      </w:r>
      <w:r>
        <w:rPr>
          <w:rFonts w:hint="eastAsia" w:ascii="仿宋" w:hAnsi="仿宋" w:eastAsia="仿宋" w:cs="仿宋"/>
          <w:i w:val="0"/>
          <w:iCs w:val="0"/>
          <w:caps w:val="0"/>
          <w:color w:val="222222"/>
          <w:spacing w:val="0"/>
          <w:sz w:val="32"/>
          <w:szCs w:val="32"/>
          <w:shd w:val="clear" w:fill="FFFFFF"/>
        </w:rPr>
        <w:t>第二十届西博会</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在</w:t>
      </w:r>
      <w:r>
        <w:rPr>
          <w:rFonts w:hint="eastAsia" w:ascii="仿宋" w:hAnsi="仿宋" w:eastAsia="仿宋" w:cs="仿宋"/>
          <w:i w:val="0"/>
          <w:iCs w:val="0"/>
          <w:caps w:val="0"/>
          <w:color w:val="222222"/>
          <w:spacing w:val="0"/>
          <w:sz w:val="32"/>
          <w:szCs w:val="32"/>
          <w:shd w:val="clear" w:fill="FFFFFF"/>
        </w:rPr>
        <w:t>阿坝州展馆连续5天开展演出</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 xml:space="preserve">同时乘风“川超”舞台，助力“体育+文旅”宣传推介，多位面提升阿坝文旅品牌的市场吸引力。                                                                                                                                                                                                                                                                                                                                                                                                                                                                                        </w:t>
      </w:r>
      <w:r>
        <w:rPr>
          <w:rFonts w:hint="eastAsia" w:ascii="仿宋" w:hAnsi="仿宋" w:eastAsia="仿宋" w:cs="仿宋"/>
          <w:i w:val="0"/>
          <w:iCs w:val="0"/>
          <w:caps w:val="0"/>
          <w:color w:val="222222"/>
          <w:spacing w:val="0"/>
          <w:sz w:val="32"/>
          <w:szCs w:val="32"/>
          <w:shd w:val="clear" w:fill="FFFFFF"/>
        </w:rPr>
        <w:t xml:space="preserve"> </w:t>
      </w:r>
    </w:p>
    <w:p w14:paraId="628BAF03">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atLeast"/>
        <w:ind w:left="0" w:right="0" w:firstLine="640" w:firstLineChars="200"/>
        <w:textAlignment w:val="auto"/>
        <w:rPr>
          <w:rFonts w:hint="eastAsia" w:ascii="仿宋" w:hAnsi="仿宋" w:eastAsia="仿宋" w:cs="仿宋"/>
          <w:i w:val="0"/>
          <w:iCs w:val="0"/>
          <w:caps w:val="0"/>
          <w:color w:val="222222"/>
          <w:spacing w:val="0"/>
          <w:sz w:val="32"/>
          <w:szCs w:val="32"/>
          <w:shd w:val="clear" w:fill="FFFFFF"/>
          <w:lang w:eastAsia="zh-CN"/>
        </w:rPr>
      </w:pPr>
      <w:r>
        <w:rPr>
          <w:rFonts w:hint="eastAsia" w:ascii="仿宋" w:hAnsi="仿宋" w:eastAsia="仿宋" w:cs="仿宋"/>
          <w:i w:val="0"/>
          <w:iCs w:val="0"/>
          <w:caps w:val="0"/>
          <w:color w:val="222222"/>
          <w:spacing w:val="0"/>
          <w:sz w:val="32"/>
          <w:szCs w:val="32"/>
          <w:shd w:val="clear" w:fill="FFFFFF"/>
          <w:lang w:val="en-US" w:eastAsia="zh-CN"/>
        </w:rPr>
        <w:t>③</w:t>
      </w:r>
      <w:r>
        <w:rPr>
          <w:rFonts w:hint="eastAsia" w:ascii="仿宋" w:hAnsi="仿宋" w:eastAsia="仿宋" w:cs="仿宋"/>
          <w:i w:val="0"/>
          <w:iCs w:val="0"/>
          <w:caps w:val="0"/>
          <w:color w:val="222222"/>
          <w:spacing w:val="0"/>
          <w:sz w:val="32"/>
          <w:szCs w:val="32"/>
          <w:shd w:val="clear" w:fill="FFFFFF"/>
        </w:rPr>
        <w:t>省</w:t>
      </w:r>
      <w:r>
        <w:rPr>
          <w:rFonts w:hint="eastAsia" w:ascii="仿宋" w:hAnsi="仿宋" w:eastAsia="仿宋" w:cs="仿宋"/>
          <w:i w:val="0"/>
          <w:iCs w:val="0"/>
          <w:caps w:val="0"/>
          <w:color w:val="222222"/>
          <w:spacing w:val="0"/>
          <w:sz w:val="32"/>
          <w:szCs w:val="32"/>
          <w:shd w:val="clear" w:fill="FFFFFF"/>
          <w:lang w:val="en-US" w:eastAsia="zh-CN"/>
        </w:rPr>
        <w:t>级</w:t>
      </w:r>
      <w:r>
        <w:rPr>
          <w:rFonts w:hint="eastAsia" w:ascii="仿宋" w:hAnsi="仿宋" w:eastAsia="仿宋" w:cs="仿宋"/>
          <w:i w:val="0"/>
          <w:iCs w:val="0"/>
          <w:caps w:val="0"/>
          <w:color w:val="222222"/>
          <w:spacing w:val="0"/>
          <w:sz w:val="32"/>
          <w:szCs w:val="32"/>
          <w:shd w:val="clear" w:fill="FFFFFF"/>
        </w:rPr>
        <w:t>活动显担当</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积极响应省</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州</w:t>
      </w:r>
      <w:r>
        <w:rPr>
          <w:rFonts w:hint="eastAsia" w:ascii="仿宋" w:hAnsi="仿宋" w:eastAsia="仿宋" w:cs="仿宋"/>
          <w:i w:val="0"/>
          <w:iCs w:val="0"/>
          <w:caps w:val="0"/>
          <w:color w:val="222222"/>
          <w:spacing w:val="0"/>
          <w:sz w:val="32"/>
          <w:szCs w:val="32"/>
          <w:shd w:val="clear" w:fill="FFFFFF"/>
        </w:rPr>
        <w:t>文化与活动号召，</w:t>
      </w:r>
      <w:r>
        <w:rPr>
          <w:rFonts w:hint="eastAsia" w:ascii="仿宋" w:hAnsi="仿宋" w:eastAsia="仿宋" w:cs="仿宋"/>
          <w:i w:val="0"/>
          <w:iCs w:val="0"/>
          <w:caps w:val="0"/>
          <w:color w:val="222222"/>
          <w:spacing w:val="0"/>
          <w:sz w:val="32"/>
          <w:szCs w:val="32"/>
          <w:shd w:val="clear" w:fill="FFFFFF"/>
          <w:lang w:val="en-US" w:eastAsia="zh-CN"/>
        </w:rPr>
        <w:t>舞蹈</w:t>
      </w:r>
      <w:r>
        <w:rPr>
          <w:rFonts w:hint="eastAsia" w:ascii="仿宋" w:hAnsi="仿宋" w:eastAsia="仿宋" w:cs="仿宋"/>
          <w:i w:val="0"/>
          <w:iCs w:val="0"/>
          <w:caps w:val="0"/>
          <w:color w:val="222222"/>
          <w:spacing w:val="0"/>
          <w:sz w:val="32"/>
          <w:szCs w:val="32"/>
          <w:shd w:val="clear" w:fill="FFFFFF"/>
        </w:rPr>
        <w:t>《雪山脚下》</w:t>
      </w:r>
      <w:r>
        <w:rPr>
          <w:rFonts w:hint="eastAsia" w:ascii="仿宋" w:hAnsi="仿宋" w:eastAsia="仿宋" w:cs="仿宋"/>
          <w:i w:val="0"/>
          <w:iCs w:val="0"/>
          <w:caps w:val="0"/>
          <w:color w:val="222222"/>
          <w:spacing w:val="0"/>
          <w:sz w:val="32"/>
          <w:szCs w:val="32"/>
          <w:shd w:val="clear" w:fill="FFFFFF"/>
          <w:lang w:val="en-US" w:eastAsia="zh-CN"/>
        </w:rPr>
        <w:t>参加</w:t>
      </w:r>
      <w:r>
        <w:rPr>
          <w:rFonts w:hint="eastAsia" w:ascii="仿宋" w:hAnsi="仿宋" w:eastAsia="仿宋" w:cs="仿宋"/>
          <w:i w:val="0"/>
          <w:iCs w:val="0"/>
          <w:caps w:val="0"/>
          <w:color w:val="222222"/>
          <w:spacing w:val="0"/>
          <w:sz w:val="32"/>
          <w:szCs w:val="32"/>
          <w:shd w:val="clear" w:fill="FFFFFF"/>
        </w:rPr>
        <w:t>四川省舞蹈新作比赛</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获</w:t>
      </w:r>
      <w:r>
        <w:rPr>
          <w:rFonts w:hint="eastAsia" w:ascii="仿宋" w:hAnsi="仿宋" w:eastAsia="仿宋" w:cs="仿宋"/>
          <w:i w:val="0"/>
          <w:iCs w:val="0"/>
          <w:caps w:val="0"/>
          <w:color w:val="222222"/>
          <w:spacing w:val="0"/>
          <w:sz w:val="32"/>
          <w:szCs w:val="32"/>
          <w:shd w:val="clear" w:fill="FFFFFF"/>
          <w:lang w:eastAsia="zh-CN"/>
        </w:rPr>
        <w:t>得省级荣誉，</w:t>
      </w:r>
      <w:r>
        <w:rPr>
          <w:rFonts w:hint="eastAsia" w:ascii="仿宋" w:hAnsi="仿宋" w:eastAsia="仿宋" w:cs="仿宋"/>
          <w:i w:val="0"/>
          <w:iCs w:val="0"/>
          <w:caps w:val="0"/>
          <w:color w:val="222222"/>
          <w:spacing w:val="0"/>
          <w:sz w:val="32"/>
          <w:szCs w:val="32"/>
          <w:shd w:val="clear" w:fill="FFFFFF"/>
          <w:lang w:val="en-US" w:eastAsia="zh-CN"/>
        </w:rPr>
        <w:t>音乐剧</w:t>
      </w:r>
      <w:r>
        <w:rPr>
          <w:rFonts w:hint="eastAsia" w:ascii="仿宋" w:hAnsi="仿宋" w:eastAsia="仿宋" w:cs="仿宋"/>
          <w:i w:val="0"/>
          <w:iCs w:val="0"/>
          <w:caps w:val="0"/>
          <w:color w:val="222222"/>
          <w:spacing w:val="0"/>
          <w:sz w:val="32"/>
          <w:szCs w:val="32"/>
          <w:shd w:val="clear" w:fill="FFFFFF"/>
        </w:rPr>
        <w:t>《牦牛革命》入选四川省纪念中国人民抗战胜利80周年优秀文艺作品展映展播，舞蹈《阳光洒满羌寨》参</w:t>
      </w:r>
      <w:r>
        <w:rPr>
          <w:rFonts w:hint="eastAsia" w:ascii="仿宋" w:hAnsi="仿宋" w:eastAsia="仿宋" w:cs="仿宋"/>
          <w:i w:val="0"/>
          <w:iCs w:val="0"/>
          <w:caps w:val="0"/>
          <w:color w:val="222222"/>
          <w:spacing w:val="0"/>
          <w:sz w:val="32"/>
          <w:szCs w:val="32"/>
          <w:shd w:val="clear" w:fill="FFFFFF"/>
          <w:lang w:val="en-US" w:eastAsia="zh-CN"/>
        </w:rPr>
        <w:t>加</w:t>
      </w:r>
      <w:r>
        <w:rPr>
          <w:rFonts w:hint="eastAsia" w:ascii="仿宋" w:hAnsi="仿宋" w:eastAsia="仿宋" w:cs="仿宋"/>
          <w:i w:val="0"/>
          <w:iCs w:val="0"/>
          <w:caps w:val="0"/>
          <w:color w:val="222222"/>
          <w:spacing w:val="0"/>
          <w:sz w:val="32"/>
          <w:szCs w:val="32"/>
          <w:shd w:val="clear" w:fill="FFFFFF"/>
        </w:rPr>
        <w:t>“石榴花开</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舞动天府”四川省首届民族街舞展演</w:t>
      </w:r>
      <w:r>
        <w:rPr>
          <w:rFonts w:hint="eastAsia" w:ascii="仿宋" w:hAnsi="仿宋" w:eastAsia="仿宋" w:cs="仿宋"/>
          <w:i w:val="0"/>
          <w:iCs w:val="0"/>
          <w:caps w:val="0"/>
          <w:color w:val="222222"/>
          <w:spacing w:val="0"/>
          <w:sz w:val="32"/>
          <w:szCs w:val="32"/>
          <w:shd w:val="clear" w:fill="FFFFFF"/>
          <w:lang w:eastAsia="zh-CN"/>
        </w:rPr>
        <w:t>。</w:t>
      </w:r>
    </w:p>
    <w:p w14:paraId="36C8098C">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atLeast"/>
        <w:ind w:left="0" w:right="0" w:firstLine="640" w:firstLineChars="200"/>
        <w:textAlignment w:val="auto"/>
        <w:rPr>
          <w:rFonts w:hint="default" w:ascii="仿宋" w:hAnsi="仿宋" w:eastAsia="仿宋" w:cs="仿宋"/>
          <w:i w:val="0"/>
          <w:iCs w:val="0"/>
          <w:caps w:val="0"/>
          <w:color w:val="222222"/>
          <w:spacing w:val="0"/>
          <w:sz w:val="32"/>
          <w:szCs w:val="32"/>
          <w:shd w:val="clear" w:fill="FFFFFF"/>
          <w:lang w:val="en-US" w:eastAsia="zh-CN"/>
        </w:rPr>
      </w:pPr>
      <w:r>
        <w:rPr>
          <w:rFonts w:hint="eastAsia" w:ascii="仿宋" w:hAnsi="仿宋" w:eastAsia="仿宋" w:cs="仿宋"/>
          <w:i w:val="0"/>
          <w:iCs w:val="0"/>
          <w:caps w:val="0"/>
          <w:color w:val="222222"/>
          <w:spacing w:val="0"/>
          <w:sz w:val="32"/>
          <w:szCs w:val="32"/>
          <w:shd w:val="clear" w:fill="FFFFFF"/>
          <w:lang w:val="en-US" w:eastAsia="zh-CN"/>
        </w:rPr>
        <w:t>④地方活动全奉献。本年度在晶金隆剧场以及各类露天场地，先后创演了群众工作主题晚会《爱润阿坝》，软硬件支持</w:t>
      </w:r>
      <w:r>
        <w:rPr>
          <w:rFonts w:hint="eastAsia" w:ascii="仿宋" w:hAnsi="仿宋" w:eastAsia="仿宋" w:cs="仿宋"/>
          <w:i w:val="0"/>
          <w:iCs w:val="0"/>
          <w:caps w:val="0"/>
          <w:color w:val="222222"/>
          <w:spacing w:val="0"/>
          <w:sz w:val="32"/>
          <w:szCs w:val="32"/>
          <w:shd w:val="clear" w:fill="FFFFFF"/>
        </w:rPr>
        <w:t>马尔康市嘉绒锅庄民俗传统系列活动</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“民族团结进步活动月”</w:t>
      </w:r>
      <w:r>
        <w:rPr>
          <w:rFonts w:hint="eastAsia" w:ascii="仿宋" w:hAnsi="仿宋" w:eastAsia="仿宋" w:cs="仿宋"/>
          <w:i w:val="0"/>
          <w:iCs w:val="0"/>
          <w:caps w:val="0"/>
          <w:color w:val="222222"/>
          <w:spacing w:val="0"/>
          <w:sz w:val="32"/>
          <w:szCs w:val="32"/>
          <w:shd w:val="clear" w:fill="FFFFFF"/>
          <w:lang w:eastAsia="zh-CN"/>
        </w:rPr>
        <w:t>、</w:t>
      </w:r>
      <w:r>
        <w:rPr>
          <w:rFonts w:hint="default" w:ascii="仿宋" w:hAnsi="仿宋" w:eastAsia="仿宋" w:cs="仿宋"/>
          <w:i w:val="0"/>
          <w:iCs w:val="0"/>
          <w:caps w:val="0"/>
          <w:color w:val="222222"/>
          <w:spacing w:val="0"/>
          <w:sz w:val="32"/>
          <w:szCs w:val="32"/>
          <w:shd w:val="clear" w:fill="FFFFFF"/>
          <w:lang w:val="en-US" w:eastAsia="zh-CN"/>
        </w:rPr>
        <w:t>建军98周年联欢会</w:t>
      </w:r>
      <w:r>
        <w:rPr>
          <w:rFonts w:hint="eastAsia" w:ascii="仿宋" w:hAnsi="仿宋" w:eastAsia="仿宋" w:cs="仿宋"/>
          <w:i w:val="0"/>
          <w:iCs w:val="0"/>
          <w:caps w:val="0"/>
          <w:color w:val="222222"/>
          <w:spacing w:val="0"/>
          <w:sz w:val="32"/>
          <w:szCs w:val="32"/>
          <w:shd w:val="clear" w:fill="FFFFFF"/>
          <w:lang w:val="en-US" w:eastAsia="zh-CN"/>
        </w:rPr>
        <w:t>等各类州级、市级活动近20场次，每场活动均结合当地文化特色与群众需求精心策划节目内容，既保留了经典民族舞蹈的原生态魅力，又结合活动主题融入创新元素。全年地方活动累计吸引观众超2万人次，有效促进了基层文化繁荣与民族团结。与四川爱乐乐团合作开展“青春恰似火，我和我的祖国”浙川青少年文化交流活动，以音乐为纽带，促进浙川两地青少年深度交流。</w:t>
      </w:r>
    </w:p>
    <w:p w14:paraId="4E68C795">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atLeast"/>
        <w:ind w:left="0" w:right="0" w:firstLine="640" w:firstLineChars="200"/>
        <w:textAlignment w:val="auto"/>
        <w:rPr>
          <w:rFonts w:hint="default" w:ascii="仿宋" w:hAnsi="仿宋" w:eastAsia="仿宋" w:cs="仿宋"/>
          <w:i w:val="0"/>
          <w:iCs w:val="0"/>
          <w:caps w:val="0"/>
          <w:color w:val="222222"/>
          <w:spacing w:val="0"/>
          <w:sz w:val="32"/>
          <w:szCs w:val="32"/>
          <w:shd w:val="clear" w:fill="FFFFFF"/>
          <w:lang w:val="en-US" w:eastAsia="zh-CN"/>
        </w:rPr>
      </w:pPr>
      <w:r>
        <w:rPr>
          <w:rFonts w:hint="eastAsia" w:ascii="仿宋" w:hAnsi="仿宋" w:eastAsia="仿宋" w:cs="仿宋"/>
          <w:i w:val="0"/>
          <w:iCs w:val="0"/>
          <w:caps w:val="0"/>
          <w:color w:val="222222"/>
          <w:spacing w:val="0"/>
          <w:sz w:val="32"/>
          <w:szCs w:val="32"/>
          <w:shd w:val="clear" w:fill="FFFFFF"/>
          <w:lang w:val="en-US" w:eastAsia="zh-CN"/>
        </w:rPr>
        <w:t>⑤多位</w:t>
      </w:r>
      <w:r>
        <w:rPr>
          <w:rFonts w:hint="eastAsia" w:ascii="仿宋" w:hAnsi="仿宋" w:eastAsia="仿宋" w:cs="仿宋"/>
          <w:i w:val="0"/>
          <w:iCs w:val="0"/>
          <w:caps w:val="0"/>
          <w:color w:val="222222"/>
          <w:spacing w:val="0"/>
          <w:sz w:val="32"/>
          <w:szCs w:val="32"/>
          <w:shd w:val="clear" w:fill="FFFFFF"/>
        </w:rPr>
        <w:t>覆盖“送文化下乡”</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全年围绕“文艺为民”宗旨，深入阿坝州各县（市）开展惠民演出</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先后</w:t>
      </w:r>
      <w:r>
        <w:rPr>
          <w:rFonts w:hint="eastAsia" w:ascii="仿宋" w:hAnsi="仿宋" w:eastAsia="仿宋" w:cs="仿宋"/>
          <w:i w:val="0"/>
          <w:iCs w:val="0"/>
          <w:caps w:val="0"/>
          <w:color w:val="222222"/>
          <w:spacing w:val="0"/>
          <w:sz w:val="32"/>
          <w:szCs w:val="32"/>
          <w:shd w:val="clear" w:fill="FFFFFF"/>
        </w:rPr>
        <w:t>参与州委宣传部牵头的“</w:t>
      </w:r>
      <w:r>
        <w:rPr>
          <w:rFonts w:hint="eastAsia" w:ascii="仿宋" w:hAnsi="仿宋" w:eastAsia="仿宋" w:cs="仿宋"/>
          <w:i w:val="0"/>
          <w:iCs w:val="0"/>
          <w:caps w:val="0"/>
          <w:color w:val="222222"/>
          <w:spacing w:val="0"/>
          <w:sz w:val="32"/>
          <w:szCs w:val="32"/>
          <w:shd w:val="clear" w:fill="FFFFFF"/>
          <w:lang w:val="en-US" w:eastAsia="zh-CN"/>
        </w:rPr>
        <w:t>四</w:t>
      </w:r>
      <w:r>
        <w:rPr>
          <w:rFonts w:hint="eastAsia" w:ascii="仿宋" w:hAnsi="仿宋" w:eastAsia="仿宋" w:cs="仿宋"/>
          <w:i w:val="0"/>
          <w:iCs w:val="0"/>
          <w:caps w:val="0"/>
          <w:color w:val="222222"/>
          <w:spacing w:val="0"/>
          <w:sz w:val="32"/>
          <w:szCs w:val="32"/>
          <w:shd w:val="clear" w:fill="FFFFFF"/>
        </w:rPr>
        <w:t>下乡”集中示范服务</w:t>
      </w:r>
      <w:r>
        <w:rPr>
          <w:rFonts w:hint="eastAsia" w:ascii="仿宋" w:hAnsi="仿宋" w:eastAsia="仿宋" w:cs="仿宋"/>
          <w:i w:val="0"/>
          <w:iCs w:val="0"/>
          <w:caps w:val="0"/>
          <w:color w:val="222222"/>
          <w:spacing w:val="0"/>
          <w:sz w:val="32"/>
          <w:szCs w:val="32"/>
          <w:shd w:val="clear" w:fill="FFFFFF"/>
          <w:lang w:val="en-US" w:eastAsia="zh-CN"/>
        </w:rPr>
        <w:t>活动</w:t>
      </w:r>
      <w:r>
        <w:rPr>
          <w:rFonts w:hint="eastAsia" w:ascii="仿宋" w:hAnsi="仿宋" w:eastAsia="仿宋" w:cs="仿宋"/>
          <w:i w:val="0"/>
          <w:iCs w:val="0"/>
          <w:caps w:val="0"/>
          <w:color w:val="222222"/>
          <w:spacing w:val="0"/>
          <w:sz w:val="32"/>
          <w:szCs w:val="32"/>
          <w:shd w:val="clear" w:fill="FFFFFF"/>
        </w:rPr>
        <w:t>，联合四川爱乐乐团组成文艺小分队</w:t>
      </w:r>
      <w:r>
        <w:rPr>
          <w:rFonts w:hint="eastAsia" w:ascii="仿宋" w:hAnsi="仿宋" w:eastAsia="仿宋" w:cs="仿宋"/>
          <w:i w:val="0"/>
          <w:iCs w:val="0"/>
          <w:caps w:val="0"/>
          <w:color w:val="222222"/>
          <w:spacing w:val="0"/>
          <w:sz w:val="32"/>
          <w:szCs w:val="32"/>
          <w:shd w:val="clear" w:fill="FFFFFF"/>
          <w:lang w:val="en-US" w:eastAsia="zh-CN"/>
        </w:rPr>
        <w:t>开展“我和我的祖国”文化惠民演出</w:t>
      </w:r>
      <w:r>
        <w:rPr>
          <w:rFonts w:hint="eastAsia" w:ascii="仿宋" w:hAnsi="仿宋" w:eastAsia="仿宋" w:cs="仿宋"/>
          <w:i w:val="0"/>
          <w:iCs w:val="0"/>
          <w:caps w:val="0"/>
          <w:color w:val="222222"/>
          <w:spacing w:val="0"/>
          <w:sz w:val="32"/>
          <w:szCs w:val="32"/>
          <w:shd w:val="clear" w:fill="FFFFFF"/>
        </w:rPr>
        <w:t>，</w:t>
      </w:r>
      <w:r>
        <w:rPr>
          <w:rFonts w:hint="eastAsia" w:ascii="仿宋" w:hAnsi="仿宋" w:eastAsia="仿宋" w:cs="仿宋"/>
          <w:i w:val="0"/>
          <w:iCs w:val="0"/>
          <w:caps w:val="0"/>
          <w:color w:val="222222"/>
          <w:spacing w:val="0"/>
          <w:sz w:val="32"/>
          <w:szCs w:val="32"/>
          <w:shd w:val="clear" w:fill="FFFFFF"/>
          <w:lang w:val="en-US" w:eastAsia="zh-CN"/>
        </w:rPr>
        <w:t>以及</w:t>
      </w:r>
      <w:r>
        <w:rPr>
          <w:rFonts w:hint="eastAsia" w:ascii="仿宋" w:hAnsi="仿宋" w:eastAsia="仿宋" w:cs="仿宋"/>
          <w:i w:val="0"/>
          <w:iCs w:val="0"/>
          <w:caps w:val="0"/>
          <w:color w:val="222222"/>
          <w:spacing w:val="0"/>
          <w:sz w:val="32"/>
          <w:szCs w:val="32"/>
          <w:shd w:val="clear" w:fill="FFFFFF"/>
        </w:rPr>
        <w:t>开展“高原金秋送文化下乡”活动</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原计划下乡演出因紧急演出工作中断，全年演出7场次。</w:t>
      </w:r>
    </w:p>
    <w:p w14:paraId="78DC4FB4">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atLeast"/>
        <w:ind w:left="0" w:right="0"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i w:val="0"/>
          <w:iCs w:val="0"/>
          <w:caps w:val="0"/>
          <w:color w:val="222222"/>
          <w:spacing w:val="0"/>
          <w:sz w:val="32"/>
          <w:szCs w:val="32"/>
          <w:shd w:val="clear" w:fill="FFFFFF"/>
          <w:lang w:val="en-US" w:eastAsia="zh-CN"/>
        </w:rPr>
        <w:t>⑥基层驻村得民心。我单位办公室主任张玉徽，自2024年9月在若尔盖县包座乡嘎子村担任驻村第一书记，吃住在村，全脱产开展驻村帮扶相关工作。本年度，张玉徽同志积极协助乡党委政府切实推动村级设施补短提升项目，积极申请明珠寨新建蓄水池项目，推动集体经济（隆州农家乐）室内硬件设施采购及装饰装修项目，积极贯彻落实阿坝州群众工作“石榴籽”工程相关工作。张玉徽本人获得阿坝州群众工作优秀个人称号，嘎子村党支部获得若尔盖县群众工作“石榴籽”工程先进集体称号。</w:t>
      </w:r>
    </w:p>
    <w:p w14:paraId="766EBDA5">
      <w:pPr>
        <w:keepNext w:val="0"/>
        <w:keepLines w:val="0"/>
        <w:pageBreakBefore w:val="0"/>
        <w:kinsoku/>
        <w:wordWrap/>
        <w:overflowPunct/>
        <w:topLinePunct w:val="0"/>
        <w:autoSpaceDN w:val="0"/>
        <w:bidi w:val="0"/>
        <w:spacing w:afterAutospacing="0" w:line="560" w:lineRule="atLeast"/>
        <w:ind w:firstLine="643" w:firstLineChars="200"/>
        <w:textAlignment w:val="auto"/>
        <w:rPr>
          <w:rFonts w:hint="eastAsia" w:ascii="仿宋" w:hAnsi="仿宋" w:eastAsia="仿宋" w:cs="仿宋"/>
          <w:bCs/>
          <w:color w:val="000000"/>
          <w:sz w:val="32"/>
          <w:szCs w:val="32"/>
        </w:rPr>
      </w:pPr>
      <w:r>
        <w:rPr>
          <w:rFonts w:hint="eastAsia" w:ascii="仿宋" w:hAnsi="仿宋" w:eastAsia="仿宋" w:cs="仿宋"/>
          <w:b/>
          <w:bCs/>
          <w:color w:val="000000"/>
          <w:kern w:val="0"/>
          <w:sz w:val="32"/>
          <w:szCs w:val="32"/>
          <w:highlight w:val="none"/>
          <w:shd w:val="clear" w:color="auto" w:fill="FFFFFF"/>
          <w:lang w:val="en-US" w:eastAsia="zh-CN" w:bidi="ar"/>
        </w:rPr>
        <w:t>2.</w:t>
      </w:r>
      <w:r>
        <w:rPr>
          <w:rFonts w:hint="eastAsia" w:ascii="仿宋" w:hAnsi="仿宋" w:eastAsia="仿宋" w:cs="仿宋"/>
          <w:b/>
          <w:bCs/>
          <w:color w:val="000000"/>
          <w:kern w:val="0"/>
          <w:sz w:val="32"/>
          <w:szCs w:val="32"/>
          <w:highlight w:val="none"/>
          <w:shd w:val="clear" w:color="auto" w:fill="FFFFFF"/>
          <w:lang w:val="zh-CN" w:eastAsia="zh-CN" w:bidi="ar"/>
        </w:rPr>
        <w:t>预算管理：</w:t>
      </w:r>
      <w:r>
        <w:rPr>
          <w:rFonts w:hint="eastAsia" w:ascii="仿宋" w:hAnsi="仿宋" w:eastAsia="仿宋" w:cs="仿宋"/>
          <w:color w:val="000000"/>
          <w:sz w:val="32"/>
          <w:szCs w:val="32"/>
          <w:lang w:val="zh-CN"/>
        </w:rPr>
        <w:t>在预算管理方面，</w:t>
      </w:r>
      <w:r>
        <w:rPr>
          <w:rFonts w:hint="eastAsia" w:ascii="仿宋" w:hAnsi="仿宋" w:eastAsia="仿宋" w:cs="仿宋"/>
          <w:color w:val="000000"/>
          <w:sz w:val="32"/>
          <w:szCs w:val="32"/>
          <w:lang w:val="en-US" w:eastAsia="zh-CN"/>
        </w:rPr>
        <w:t>我单位</w:t>
      </w:r>
      <w:r>
        <w:rPr>
          <w:rFonts w:hint="eastAsia" w:ascii="仿宋" w:hAnsi="仿宋" w:eastAsia="仿宋" w:cs="仿宋"/>
          <w:color w:val="000000"/>
          <w:sz w:val="32"/>
          <w:szCs w:val="32"/>
          <w:lang w:val="zh-CN"/>
        </w:rPr>
        <w:t>严格遵循相关财务制度和预算安排，确保资金使用的合规性和有效性。一是强化预算编制的科学性，在编制年度预算时，充分考虑部门职能和业务需求，结合上年度预算执行情况和本年度工作计划，合理确定预算规模和结构，确保预算的准确性和完整性。二是加强预算执行的监控力度，通过建立预算执行动态监控机制，实时掌握预算执行进度和资金使用情况，及时发现并纠正预算执行中的偏差，确保预算执行的规范性和及时性。三是注重预算绩效的评价应用，将预算绩效评价结果作为下一年度预算编制的重要依据，对绩效评价中发现的问题进行深入分析，提出改进措施，不断优化预算安排，提高资金使用效益。</w:t>
      </w:r>
      <w:r>
        <w:rPr>
          <w:rFonts w:hint="eastAsia" w:ascii="仿宋" w:hAnsi="仿宋" w:eastAsia="仿宋" w:cs="仿宋"/>
          <w:color w:val="000000"/>
          <w:sz w:val="32"/>
          <w:szCs w:val="32"/>
          <w:lang w:val="en-US" w:eastAsia="zh-CN"/>
        </w:rPr>
        <w:t>四是</w:t>
      </w:r>
      <w:r>
        <w:rPr>
          <w:rFonts w:hint="eastAsia" w:ascii="仿宋" w:hAnsi="仿宋" w:eastAsia="仿宋" w:cs="仿宋"/>
          <w:color w:val="000000"/>
          <w:sz w:val="32"/>
          <w:szCs w:val="32"/>
        </w:rPr>
        <w:t>建立预算执行责任制，将年度预算支出责任逐一分解落实到具体执行科室和责任人，形成领导重视、各科室联动共同促进预算执行的良好格局。科学准确编制预算，加强预算管理，以项目完成数量为核心，强化预算执行力度，提高资金使用效率。</w:t>
      </w:r>
    </w:p>
    <w:p w14:paraId="0B1BDC52">
      <w:pPr>
        <w:keepNext w:val="0"/>
        <w:keepLines w:val="0"/>
        <w:pageBreakBefore w:val="0"/>
        <w:kinsoku/>
        <w:wordWrap/>
        <w:overflowPunct/>
        <w:topLinePunct w:val="0"/>
        <w:bidi w:val="0"/>
        <w:snapToGrid w:val="0"/>
        <w:spacing w:afterAutospacing="0" w:line="560" w:lineRule="atLeast"/>
        <w:ind w:firstLine="643" w:firstLineChars="200"/>
        <w:textAlignment w:val="auto"/>
        <w:rPr>
          <w:rFonts w:hint="eastAsia" w:ascii="仿宋" w:hAnsi="仿宋" w:eastAsia="仿宋" w:cs="仿宋"/>
          <w:color w:val="000000"/>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en-US" w:eastAsia="zh-CN"/>
        </w:rPr>
        <w:t>3.</w:t>
      </w:r>
      <w:r>
        <w:rPr>
          <w:rFonts w:hint="default" w:ascii="Times New Roman" w:hAnsi="Times New Roman" w:eastAsia="楷体_GB2312" w:cs="Times New Roman"/>
          <w:b/>
          <w:bCs/>
          <w:color w:val="000000"/>
          <w:kern w:val="0"/>
          <w:sz w:val="32"/>
          <w:szCs w:val="32"/>
          <w:highlight w:val="none"/>
          <w:shd w:val="clear" w:color="auto" w:fill="FFFFFF"/>
          <w:lang w:val="zh-CN"/>
        </w:rPr>
        <w:t>财务管理</w:t>
      </w:r>
      <w:r>
        <w:rPr>
          <w:rFonts w:hint="eastAsia" w:eastAsia="楷体_GB2312" w:cs="Times New Roman"/>
          <w:b/>
          <w:bCs/>
          <w:color w:val="000000"/>
          <w:kern w:val="0"/>
          <w:sz w:val="32"/>
          <w:szCs w:val="32"/>
          <w:highlight w:val="none"/>
          <w:shd w:val="clear" w:color="auto" w:fill="FFFFFF"/>
          <w:lang w:val="zh-CN"/>
        </w:rPr>
        <w:t>：</w:t>
      </w:r>
      <w:r>
        <w:rPr>
          <w:rFonts w:hint="eastAsia" w:ascii="仿宋" w:hAnsi="仿宋" w:eastAsia="仿宋" w:cs="仿宋"/>
          <w:color w:val="000000"/>
          <w:sz w:val="32"/>
          <w:szCs w:val="32"/>
          <w:lang w:val="zh-CN"/>
        </w:rPr>
        <w:t>在财务管理方面，</w:t>
      </w:r>
      <w:r>
        <w:rPr>
          <w:rFonts w:hint="eastAsia" w:ascii="仿宋" w:hAnsi="仿宋" w:eastAsia="仿宋" w:cs="仿宋"/>
          <w:color w:val="000000"/>
          <w:sz w:val="32"/>
          <w:szCs w:val="32"/>
          <w:lang w:val="en-US" w:eastAsia="zh-CN"/>
        </w:rPr>
        <w:t>我单位</w:t>
      </w:r>
      <w:r>
        <w:rPr>
          <w:rFonts w:hint="eastAsia" w:ascii="仿宋" w:hAnsi="仿宋" w:eastAsia="仿宋" w:cs="仿宋"/>
          <w:color w:val="000000"/>
          <w:sz w:val="32"/>
          <w:szCs w:val="32"/>
          <w:lang w:val="zh-CN"/>
        </w:rPr>
        <w:t>始终秉持严谨、规范、高效的原则，确保财务工作的有序开展。一是严格执行国家财经法规和财务制度，建立健全内部财务管理体系，明确财务岗位职责，规范财务操作流程，确保财务工作的合规性和准确性。二是加强资金管理，对预算资金实行专款专用，严禁挤占、挪用，确保资金安全。</w:t>
      </w:r>
      <w:r>
        <w:rPr>
          <w:rFonts w:hint="eastAsia" w:ascii="仿宋" w:hAnsi="仿宋" w:eastAsia="仿宋" w:cs="仿宋"/>
          <w:color w:val="000000"/>
          <w:sz w:val="32"/>
          <w:szCs w:val="32"/>
          <w:lang w:val="en-US" w:eastAsia="zh-CN"/>
        </w:rPr>
        <w:t>三是</w:t>
      </w:r>
      <w:r>
        <w:rPr>
          <w:rFonts w:hint="eastAsia" w:ascii="仿宋" w:hAnsi="仿宋" w:eastAsia="仿宋" w:cs="仿宋"/>
          <w:color w:val="000000"/>
          <w:sz w:val="32"/>
          <w:szCs w:val="32"/>
          <w:lang w:val="zh-CN"/>
        </w:rPr>
        <w:t>优化资金使用结构，优先保障重点工作和项目的资金需求，提高资金使用效益。</w:t>
      </w:r>
      <w:r>
        <w:rPr>
          <w:rFonts w:hint="eastAsia" w:ascii="仿宋" w:hAnsi="仿宋" w:eastAsia="仿宋" w:cs="仿宋"/>
          <w:color w:val="000000"/>
          <w:sz w:val="32"/>
          <w:szCs w:val="32"/>
          <w:lang w:val="en-US" w:eastAsia="zh-CN"/>
        </w:rPr>
        <w:t>四</w:t>
      </w:r>
      <w:r>
        <w:rPr>
          <w:rFonts w:hint="eastAsia" w:ascii="仿宋" w:hAnsi="仿宋" w:eastAsia="仿宋" w:cs="仿宋"/>
          <w:color w:val="000000"/>
          <w:sz w:val="32"/>
          <w:szCs w:val="32"/>
          <w:lang w:val="zh-CN"/>
        </w:rPr>
        <w:t>是强化财务监督和审计，定期开展财务自查和内部审计，及时发现并纠正财务管理中存在的问题，确保财务信息的真实性和完整性。五是注重财务人员的培训和教育，定期组织财务人员参加业务培训和继续教育，提高财务人员的专业素养和业务能力，为财务管理工作的顺利开展提供有力保障。</w:t>
      </w:r>
    </w:p>
    <w:p w14:paraId="79E8698A">
      <w:pPr>
        <w:keepNext w:val="0"/>
        <w:keepLines w:val="0"/>
        <w:pageBreakBefore w:val="0"/>
        <w:kinsoku/>
        <w:wordWrap/>
        <w:overflowPunct/>
        <w:topLinePunct w:val="0"/>
        <w:bidi w:val="0"/>
        <w:adjustRightInd w:val="0"/>
        <w:snapToGrid w:val="0"/>
        <w:spacing w:afterAutospacing="0" w:line="560" w:lineRule="atLeast"/>
        <w:ind w:firstLine="643" w:firstLineChars="200"/>
        <w:textAlignment w:val="auto"/>
        <w:rPr>
          <w:rFonts w:hint="eastAsia" w:ascii="仿宋" w:hAnsi="仿宋" w:eastAsia="仿宋" w:cs="仿宋"/>
          <w:color w:val="000000"/>
          <w:sz w:val="32"/>
          <w:szCs w:val="32"/>
        </w:rPr>
      </w:pPr>
      <w:r>
        <w:rPr>
          <w:rFonts w:hint="eastAsia" w:ascii="仿宋" w:hAnsi="仿宋" w:eastAsia="仿宋" w:cs="仿宋"/>
          <w:b/>
          <w:color w:val="000000"/>
          <w:sz w:val="32"/>
          <w:szCs w:val="32"/>
        </w:rPr>
        <w:t>4.资产管理：</w:t>
      </w:r>
      <w:r>
        <w:rPr>
          <w:rFonts w:hint="eastAsia" w:ascii="仿宋" w:hAnsi="仿宋" w:eastAsia="仿宋" w:cs="仿宋"/>
          <w:color w:val="000000"/>
          <w:sz w:val="32"/>
          <w:szCs w:val="32"/>
          <w:lang w:val="zh-CN" w:eastAsia="zh-CN"/>
        </w:rPr>
        <w:t>在资产管理方面，我</w:t>
      </w:r>
      <w:r>
        <w:rPr>
          <w:rFonts w:hint="eastAsia" w:ascii="仿宋" w:hAnsi="仿宋" w:eastAsia="仿宋" w:cs="仿宋"/>
          <w:color w:val="000000"/>
          <w:sz w:val="32"/>
          <w:szCs w:val="32"/>
          <w:lang w:val="en-US" w:eastAsia="zh-CN"/>
        </w:rPr>
        <w:t>单位</w:t>
      </w:r>
      <w:r>
        <w:rPr>
          <w:rFonts w:hint="eastAsia" w:ascii="仿宋" w:hAnsi="仿宋" w:eastAsia="仿宋" w:cs="仿宋"/>
          <w:color w:val="000000"/>
          <w:sz w:val="32"/>
          <w:szCs w:val="32"/>
          <w:lang w:val="zh-CN" w:eastAsia="zh-CN"/>
        </w:rPr>
        <w:t>始终秉持规范、高效、透明的原则，确保国有资产的安全完整和有效利用。一是建立健全资产管理制度，明确资产采购、验收、使用、保管、处置等各环节的管理流程和责任分工，确保资产管理的规范化和制度化。二是加强资产日常管理，定期对资产进行清查盘点，确保账实相符、账账相符，及时发现并处理资产盘盈、盘亏等问题。三是优化资产配置，根据部门职能和业务需求，合理配置资产资源，避免资产闲置和浪费，提高资产使用效益。四是强化资产处置管理，严格按照规定程序对报废、闲置资产进行处置，确保资产处置的公开、公平、公正，防止国有资产流失。五是推进资产管理信息化建设，利用现代信息技术手段，建立资产管理信息系统，实现资产信息的动态管理和实时监控，提高资产管理的效率和水平。</w:t>
      </w:r>
      <w:r>
        <w:rPr>
          <w:rFonts w:hint="eastAsia" w:ascii="仿宋" w:hAnsi="仿宋" w:eastAsia="仿宋" w:cs="仿宋"/>
          <w:color w:val="000000"/>
          <w:sz w:val="32"/>
          <w:szCs w:val="32"/>
          <w:lang w:val="en-US" w:eastAsia="zh-CN"/>
        </w:rPr>
        <w:t>2025年</w:t>
      </w:r>
      <w:r>
        <w:rPr>
          <w:rFonts w:hint="eastAsia" w:ascii="仿宋" w:hAnsi="仿宋" w:eastAsia="仿宋" w:cs="仿宋"/>
          <w:color w:val="000000"/>
          <w:sz w:val="32"/>
          <w:szCs w:val="32"/>
        </w:rPr>
        <w:t>固定资产使用率为100%。</w:t>
      </w:r>
    </w:p>
    <w:p w14:paraId="1CA271D0">
      <w:pPr>
        <w:keepNext w:val="0"/>
        <w:keepLines w:val="0"/>
        <w:pageBreakBefore w:val="0"/>
        <w:widowControl/>
        <w:numPr>
          <w:ilvl w:val="0"/>
          <w:numId w:val="0"/>
        </w:numPr>
        <w:shd w:val="clear" w:color="auto" w:fill="FFFFFF"/>
        <w:kinsoku/>
        <w:wordWrap/>
        <w:overflowPunct/>
        <w:topLinePunct w:val="0"/>
        <w:bidi w:val="0"/>
        <w:spacing w:afterAutospacing="0" w:line="560" w:lineRule="atLeast"/>
        <w:ind w:firstLine="643" w:firstLineChars="200"/>
        <w:jc w:val="left"/>
        <w:textAlignment w:val="auto"/>
        <w:rPr>
          <w:rFonts w:hint="eastAsia" w:ascii="仿宋" w:hAnsi="仿宋" w:eastAsia="仿宋" w:cs="仿宋"/>
          <w:color w:val="000000"/>
          <w:sz w:val="32"/>
          <w:szCs w:val="32"/>
        </w:rPr>
      </w:pPr>
      <w:r>
        <w:rPr>
          <w:rFonts w:hint="eastAsia" w:ascii="仿宋" w:hAnsi="仿宋" w:eastAsia="仿宋" w:cs="仿宋"/>
          <w:b/>
          <w:color w:val="000000"/>
          <w:sz w:val="32"/>
          <w:szCs w:val="32"/>
          <w:lang w:val="en-US" w:eastAsia="zh-CN"/>
        </w:rPr>
        <w:t>5.</w:t>
      </w:r>
      <w:r>
        <w:rPr>
          <w:rFonts w:hint="eastAsia" w:ascii="仿宋" w:hAnsi="仿宋" w:eastAsia="仿宋" w:cs="仿宋"/>
          <w:b/>
          <w:color w:val="000000"/>
          <w:sz w:val="32"/>
          <w:szCs w:val="32"/>
        </w:rPr>
        <w:t>采购管理：</w:t>
      </w:r>
      <w:r>
        <w:rPr>
          <w:rFonts w:hint="eastAsia" w:ascii="仿宋" w:hAnsi="仿宋" w:eastAsia="仿宋" w:cs="仿宋"/>
          <w:color w:val="000000"/>
          <w:sz w:val="32"/>
          <w:szCs w:val="32"/>
          <w:lang w:val="zh-CN" w:eastAsia="zh-CN"/>
        </w:rPr>
        <w:t>在采购管理方面，我单位严格遵循政府采购相关法律法规及内部采购管理制度，确保采购活动的公开、公平、公正和高效。一是强化采购计划管理，根据部门预算和实际工作需求，科学编制年度采购计划，明确采购项目、数量、预算金额及资金来源，确保采购计划的合理性和准确性。二是规范采购流程，严格按照规定的采购方式和程序进行采购，对于达到公开招标数额标准的项目，一律实行公开招标；对于未达到公开招标数额标准的项目，根据项目特点选择合适的采购方式，如竞争性谈判、单一来源采购等，并确保采购过程透明、可追溯。三是加强采购合同管理，与供应商签订采购合同时，明确双方的权利和义务，确保合同条款合法、合规、合理，并严格按照合同约定履行付款义务，维护单位合法权益。四是注重采购绩效评价，对采购项目的实施效果进行跟踪评估，分析采购成本、质量、效率等方面的绩效指标，总结经验教训，为后续采购活动提供参考和借鉴。通过加强采购管理，我单位有效提高了资金使用效益，保障了部门职能的顺利履行。</w:t>
      </w:r>
      <w:r>
        <w:rPr>
          <w:rFonts w:hint="eastAsia" w:ascii="仿宋" w:hAnsi="仿宋" w:eastAsia="仿宋" w:cs="仿宋"/>
          <w:color w:val="000000"/>
          <w:sz w:val="32"/>
          <w:szCs w:val="32"/>
          <w:lang w:val="en-US" w:eastAsia="zh-CN"/>
        </w:rPr>
        <w:t>2025年</w:t>
      </w:r>
      <w:r>
        <w:rPr>
          <w:rFonts w:hint="eastAsia" w:ascii="仿宋" w:hAnsi="仿宋" w:eastAsia="仿宋" w:cs="仿宋"/>
          <w:color w:val="000000"/>
          <w:sz w:val="32"/>
          <w:szCs w:val="32"/>
        </w:rPr>
        <w:t>采购执行率为100%</w:t>
      </w:r>
    </w:p>
    <w:p w14:paraId="7B0B68F1">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560" w:lineRule="atLeast"/>
        <w:ind w:firstLine="643" w:firstLineChars="200"/>
        <w:contextualSpacing/>
        <w:jc w:val="left"/>
        <w:textAlignment w:val="auto"/>
        <w:outlineLvl w:val="9"/>
        <w:rPr>
          <w:rFonts w:hint="eastAsia" w:ascii="楷体" w:hAnsi="楷体" w:eastAsia="楷体" w:cs="楷体"/>
          <w:b/>
          <w:bCs/>
          <w:color w:val="000000"/>
          <w:kern w:val="0"/>
          <w:sz w:val="32"/>
          <w:szCs w:val="32"/>
          <w:highlight w:val="none"/>
          <w:shd w:val="clear" w:color="auto" w:fill="FFFFFF"/>
          <w:lang w:val="zh-CN"/>
        </w:rPr>
      </w:pPr>
      <w:r>
        <w:rPr>
          <w:rFonts w:hint="eastAsia" w:ascii="楷体" w:hAnsi="楷体" w:eastAsia="楷体" w:cs="楷体"/>
          <w:b/>
          <w:bCs/>
          <w:color w:val="000000"/>
          <w:kern w:val="0"/>
          <w:sz w:val="32"/>
          <w:szCs w:val="32"/>
          <w:highlight w:val="none"/>
          <w:shd w:val="clear" w:color="auto" w:fill="FFFFFF"/>
          <w:lang w:val="zh-CN"/>
        </w:rPr>
        <w:t>（二）部门预算项目绩效分析</w:t>
      </w:r>
    </w:p>
    <w:p w14:paraId="750915EE">
      <w:pPr>
        <w:keepNext w:val="0"/>
        <w:keepLines w:val="0"/>
        <w:pageBreakBefore w:val="0"/>
        <w:widowControl/>
        <w:shd w:val="clear" w:color="auto" w:fill="FFFFFF"/>
        <w:kinsoku/>
        <w:wordWrap/>
        <w:overflowPunct/>
        <w:topLinePunct w:val="0"/>
        <w:bidi w:val="0"/>
        <w:spacing w:afterAutospacing="0" w:line="560" w:lineRule="atLeast"/>
        <w:ind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州歌舞团共涉及</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个项目，常年项目</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个，阶段性项目</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个。</w:t>
      </w:r>
    </w:p>
    <w:p w14:paraId="08D7DCB8">
      <w:pPr>
        <w:keepNext w:val="0"/>
        <w:keepLines w:val="0"/>
        <w:pageBreakBefore w:val="0"/>
        <w:kinsoku/>
        <w:wordWrap/>
        <w:overflowPunct/>
        <w:topLinePunct w:val="0"/>
        <w:bidi w:val="0"/>
        <w:adjustRightInd w:val="0"/>
        <w:snapToGrid w:val="0"/>
        <w:spacing w:afterAutospacing="0" w:line="560" w:lineRule="atLeast"/>
        <w:ind w:firstLine="640" w:firstLineChars="200"/>
        <w:contextualSpacing/>
        <w:jc w:val="left"/>
        <w:textAlignment w:val="auto"/>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sz w:val="32"/>
          <w:szCs w:val="32"/>
        </w:rPr>
        <w:t>常年项目：该类项目总计</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个，涉及预算金额为</w:t>
      </w:r>
      <w:r>
        <w:rPr>
          <w:rFonts w:hint="eastAsia" w:ascii="仿宋" w:hAnsi="仿宋" w:eastAsia="仿宋" w:cs="仿宋"/>
          <w:color w:val="000000"/>
          <w:sz w:val="32"/>
          <w:szCs w:val="32"/>
          <w:lang w:val="en-US" w:eastAsia="zh-CN"/>
        </w:rPr>
        <w:t>65.1</w:t>
      </w:r>
      <w:r>
        <w:rPr>
          <w:rFonts w:hint="eastAsia" w:ascii="仿宋" w:hAnsi="仿宋" w:eastAsia="仿宋" w:cs="仿宋"/>
          <w:color w:val="000000"/>
          <w:sz w:val="32"/>
          <w:szCs w:val="32"/>
        </w:rPr>
        <w:t>万元</w:t>
      </w:r>
      <w:r>
        <w:rPr>
          <w:rFonts w:hint="eastAsia" w:ascii="仿宋" w:hAnsi="仿宋" w:eastAsia="仿宋" w:cs="仿宋"/>
          <w:color w:val="000000"/>
          <w:kern w:val="0"/>
          <w:sz w:val="32"/>
          <w:szCs w:val="32"/>
          <w:shd w:val="clear" w:color="auto" w:fill="FFFFFF"/>
          <w:lang w:val="zh-CN"/>
        </w:rPr>
        <w:t>，支付数为</w:t>
      </w:r>
      <w:r>
        <w:rPr>
          <w:rFonts w:hint="eastAsia" w:ascii="仿宋" w:hAnsi="仿宋" w:eastAsia="仿宋" w:cs="仿宋"/>
          <w:color w:val="000000"/>
          <w:sz w:val="32"/>
          <w:szCs w:val="32"/>
          <w:lang w:val="en-US" w:eastAsia="zh-CN"/>
        </w:rPr>
        <w:t>64.76</w:t>
      </w:r>
      <w:r>
        <w:rPr>
          <w:rFonts w:hint="eastAsia" w:ascii="仿宋" w:hAnsi="仿宋" w:eastAsia="仿宋" w:cs="仿宋"/>
          <w:color w:val="000000"/>
          <w:kern w:val="0"/>
          <w:sz w:val="32"/>
          <w:szCs w:val="32"/>
          <w:shd w:val="clear" w:color="auto" w:fill="FFFFFF"/>
          <w:lang w:val="zh-CN"/>
        </w:rPr>
        <w:t>，1—1</w:t>
      </w:r>
      <w:r>
        <w:rPr>
          <w:rFonts w:hint="eastAsia" w:ascii="仿宋" w:hAnsi="仿宋" w:eastAsia="仿宋" w:cs="仿宋"/>
          <w:color w:val="000000"/>
          <w:kern w:val="0"/>
          <w:sz w:val="32"/>
          <w:szCs w:val="32"/>
          <w:shd w:val="clear" w:color="auto" w:fill="FFFFFF"/>
        </w:rPr>
        <w:t>2</w:t>
      </w:r>
      <w:r>
        <w:rPr>
          <w:rFonts w:hint="eastAsia" w:ascii="仿宋" w:hAnsi="仿宋" w:eastAsia="仿宋" w:cs="仿宋"/>
          <w:color w:val="000000"/>
          <w:kern w:val="0"/>
          <w:sz w:val="32"/>
          <w:szCs w:val="32"/>
          <w:shd w:val="clear" w:color="auto" w:fill="FFFFFF"/>
          <w:lang w:val="zh-CN"/>
        </w:rPr>
        <w:t>月预算执行总体进度为</w:t>
      </w:r>
      <w:r>
        <w:rPr>
          <w:rFonts w:hint="eastAsia" w:ascii="仿宋" w:hAnsi="仿宋" w:eastAsia="仿宋" w:cs="仿宋"/>
          <w:color w:val="000000"/>
          <w:kern w:val="0"/>
          <w:sz w:val="32"/>
          <w:szCs w:val="32"/>
          <w:shd w:val="clear" w:color="auto" w:fill="FFFFFF"/>
          <w:lang w:val="en-US" w:eastAsia="zh-CN"/>
        </w:rPr>
        <w:t>99</w:t>
      </w:r>
      <w:r>
        <w:rPr>
          <w:rFonts w:hint="eastAsia" w:ascii="仿宋" w:hAnsi="仿宋" w:eastAsia="仿宋" w:cs="仿宋"/>
          <w:color w:val="000000"/>
          <w:kern w:val="0"/>
          <w:sz w:val="32"/>
          <w:szCs w:val="32"/>
          <w:shd w:val="clear" w:color="auto" w:fill="FFFFFF"/>
          <w:lang w:val="zh-CN"/>
        </w:rPr>
        <w:t>%，其中预算结余率大于</w:t>
      </w:r>
      <w:r>
        <w:rPr>
          <w:rFonts w:hint="eastAsia" w:ascii="仿宋" w:hAnsi="仿宋" w:eastAsia="仿宋" w:cs="仿宋"/>
          <w:color w:val="000000"/>
          <w:kern w:val="0"/>
          <w:sz w:val="32"/>
          <w:szCs w:val="32"/>
          <w:shd w:val="clear" w:color="auto" w:fill="FFFFFF"/>
        </w:rPr>
        <w:t>10%</w:t>
      </w:r>
      <w:r>
        <w:rPr>
          <w:rFonts w:hint="eastAsia" w:ascii="仿宋" w:hAnsi="仿宋" w:eastAsia="仿宋" w:cs="仿宋"/>
          <w:color w:val="000000"/>
          <w:kern w:val="0"/>
          <w:sz w:val="32"/>
          <w:szCs w:val="32"/>
          <w:shd w:val="clear" w:color="auto" w:fill="FFFFFF"/>
          <w:lang w:val="zh-CN"/>
        </w:rPr>
        <w:t>的项目共计</w:t>
      </w:r>
      <w:r>
        <w:rPr>
          <w:rFonts w:hint="eastAsia" w:ascii="仿宋" w:hAnsi="仿宋" w:eastAsia="仿宋" w:cs="仿宋"/>
          <w:color w:val="000000"/>
          <w:kern w:val="0"/>
          <w:sz w:val="32"/>
          <w:szCs w:val="32"/>
          <w:shd w:val="clear" w:color="auto" w:fill="FFFFFF"/>
          <w:lang w:val="en-US" w:eastAsia="zh-CN"/>
        </w:rPr>
        <w:t>0</w:t>
      </w:r>
      <w:r>
        <w:rPr>
          <w:rFonts w:hint="eastAsia" w:ascii="仿宋" w:hAnsi="仿宋" w:eastAsia="仿宋" w:cs="仿宋"/>
          <w:color w:val="000000"/>
          <w:kern w:val="0"/>
          <w:sz w:val="32"/>
          <w:szCs w:val="32"/>
          <w:shd w:val="clear" w:color="auto" w:fill="FFFFFF"/>
          <w:lang w:val="zh-CN"/>
        </w:rPr>
        <w:t>个。</w:t>
      </w:r>
    </w:p>
    <w:p w14:paraId="54702653">
      <w:pPr>
        <w:keepNext w:val="0"/>
        <w:keepLines w:val="0"/>
        <w:pageBreakBefore w:val="0"/>
        <w:kinsoku/>
        <w:wordWrap/>
        <w:overflowPunct/>
        <w:topLinePunct w:val="0"/>
        <w:bidi w:val="0"/>
        <w:adjustRightInd w:val="0"/>
        <w:snapToGrid w:val="0"/>
        <w:spacing w:afterAutospacing="0" w:line="560" w:lineRule="atLeast"/>
        <w:ind w:firstLine="640" w:firstLineChars="200"/>
        <w:contextualSpacing/>
        <w:jc w:val="left"/>
        <w:textAlignment w:val="auto"/>
        <w:rPr>
          <w:rFonts w:hint="default" w:ascii="Times New Roman" w:hAnsi="Times New Roman" w:eastAsia="楷体_GB2312" w:cs="Times New Roman"/>
          <w:b/>
          <w:bCs/>
          <w:color w:val="000000"/>
          <w:kern w:val="0"/>
          <w:szCs w:val="32"/>
          <w:highlight w:val="none"/>
          <w:shd w:val="clear" w:color="auto" w:fill="FFFFFF"/>
          <w:lang w:val="zh-CN" w:eastAsia="zh-CN"/>
        </w:rPr>
      </w:pPr>
      <w:r>
        <w:rPr>
          <w:rFonts w:hint="eastAsia" w:ascii="仿宋" w:hAnsi="仿宋" w:eastAsia="仿宋" w:cs="仿宋"/>
          <w:color w:val="000000"/>
          <w:kern w:val="0"/>
          <w:sz w:val="32"/>
          <w:szCs w:val="32"/>
          <w:shd w:val="clear" w:color="auto" w:fill="FFFFFF"/>
        </w:rPr>
        <w:t>阶段（一次性）项目绩效分析。</w:t>
      </w:r>
      <w:r>
        <w:rPr>
          <w:rFonts w:hint="eastAsia" w:ascii="仿宋" w:hAnsi="仿宋" w:eastAsia="仿宋" w:cs="仿宋"/>
          <w:color w:val="000000"/>
          <w:kern w:val="0"/>
          <w:sz w:val="32"/>
          <w:szCs w:val="32"/>
          <w:shd w:val="clear" w:color="auto" w:fill="FFFFFF"/>
          <w:lang w:val="zh-CN"/>
        </w:rPr>
        <w:t>该类项目总数</w:t>
      </w:r>
      <w:r>
        <w:rPr>
          <w:rFonts w:hint="eastAsia" w:ascii="仿宋" w:hAnsi="仿宋" w:eastAsia="仿宋" w:cs="仿宋"/>
          <w:color w:val="000000"/>
          <w:kern w:val="0"/>
          <w:sz w:val="32"/>
          <w:szCs w:val="32"/>
          <w:shd w:val="clear" w:color="auto" w:fill="FFFFFF"/>
          <w:lang w:val="en-US" w:eastAsia="zh-CN"/>
        </w:rPr>
        <w:t>6</w:t>
      </w:r>
      <w:r>
        <w:rPr>
          <w:rFonts w:hint="eastAsia" w:ascii="仿宋" w:hAnsi="仿宋" w:eastAsia="仿宋" w:cs="仿宋"/>
          <w:color w:val="000000"/>
          <w:kern w:val="0"/>
          <w:sz w:val="32"/>
          <w:szCs w:val="32"/>
          <w:shd w:val="clear" w:color="auto" w:fill="FFFFFF"/>
          <w:lang w:val="zh-CN"/>
        </w:rPr>
        <w:t>个，涉及预算总金额</w:t>
      </w:r>
      <w:r>
        <w:rPr>
          <w:rFonts w:hint="eastAsia" w:ascii="仿宋" w:hAnsi="仿宋" w:eastAsia="仿宋" w:cs="仿宋"/>
          <w:color w:val="000000"/>
          <w:kern w:val="0"/>
          <w:sz w:val="32"/>
          <w:szCs w:val="32"/>
          <w:shd w:val="clear" w:color="auto" w:fill="FFFFFF"/>
          <w:lang w:val="en-US" w:eastAsia="zh-CN"/>
        </w:rPr>
        <w:t>244.38</w:t>
      </w:r>
      <w:r>
        <w:rPr>
          <w:rFonts w:hint="eastAsia" w:ascii="仿宋" w:hAnsi="仿宋" w:eastAsia="仿宋" w:cs="仿宋"/>
          <w:color w:val="000000"/>
          <w:kern w:val="0"/>
          <w:sz w:val="32"/>
          <w:szCs w:val="32"/>
          <w:shd w:val="clear" w:color="auto" w:fill="FFFFFF"/>
          <w:lang w:val="zh-CN"/>
        </w:rPr>
        <w:t>万元，支付数为</w:t>
      </w:r>
      <w:r>
        <w:rPr>
          <w:rFonts w:hint="eastAsia" w:ascii="仿宋" w:hAnsi="仿宋" w:eastAsia="仿宋" w:cs="仿宋"/>
          <w:color w:val="000000"/>
          <w:kern w:val="0"/>
          <w:sz w:val="32"/>
          <w:szCs w:val="32"/>
          <w:shd w:val="clear" w:color="auto" w:fill="FFFFFF"/>
          <w:lang w:val="en-US" w:eastAsia="zh-CN"/>
        </w:rPr>
        <w:t>243.6</w:t>
      </w:r>
      <w:r>
        <w:rPr>
          <w:rFonts w:hint="eastAsia" w:ascii="仿宋" w:hAnsi="仿宋" w:eastAsia="仿宋" w:cs="仿宋"/>
          <w:color w:val="000000"/>
          <w:kern w:val="0"/>
          <w:sz w:val="32"/>
          <w:szCs w:val="32"/>
          <w:shd w:val="clear" w:color="auto" w:fill="FFFFFF"/>
          <w:lang w:val="zh-CN"/>
        </w:rPr>
        <w:t>万元，1—1</w:t>
      </w:r>
      <w:r>
        <w:rPr>
          <w:rFonts w:hint="eastAsia" w:ascii="仿宋" w:hAnsi="仿宋" w:eastAsia="仿宋" w:cs="仿宋"/>
          <w:color w:val="000000"/>
          <w:kern w:val="0"/>
          <w:sz w:val="32"/>
          <w:szCs w:val="32"/>
          <w:shd w:val="clear" w:color="auto" w:fill="FFFFFF"/>
        </w:rPr>
        <w:t>2</w:t>
      </w:r>
      <w:r>
        <w:rPr>
          <w:rFonts w:hint="eastAsia" w:ascii="仿宋" w:hAnsi="仿宋" w:eastAsia="仿宋" w:cs="仿宋"/>
          <w:color w:val="000000"/>
          <w:kern w:val="0"/>
          <w:sz w:val="32"/>
          <w:szCs w:val="32"/>
          <w:shd w:val="clear" w:color="auto" w:fill="FFFFFF"/>
          <w:lang w:val="zh-CN"/>
        </w:rPr>
        <w:t>月预算执行总体进度为</w:t>
      </w:r>
      <w:r>
        <w:rPr>
          <w:rFonts w:hint="eastAsia" w:ascii="仿宋" w:hAnsi="仿宋" w:eastAsia="仿宋" w:cs="仿宋"/>
          <w:color w:val="000000"/>
          <w:kern w:val="0"/>
          <w:sz w:val="32"/>
          <w:szCs w:val="32"/>
          <w:shd w:val="clear" w:color="auto" w:fill="FFFFFF"/>
        </w:rPr>
        <w:t>9</w:t>
      </w:r>
      <w:r>
        <w:rPr>
          <w:rFonts w:hint="eastAsia" w:ascii="仿宋" w:hAnsi="仿宋" w:eastAsia="仿宋" w:cs="仿宋"/>
          <w:color w:val="000000"/>
          <w:kern w:val="0"/>
          <w:sz w:val="32"/>
          <w:szCs w:val="32"/>
          <w:shd w:val="clear" w:color="auto" w:fill="FFFFFF"/>
          <w:lang w:val="en-US" w:eastAsia="zh-CN"/>
        </w:rPr>
        <w:t>9</w:t>
      </w: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kern w:val="0"/>
          <w:sz w:val="32"/>
          <w:szCs w:val="32"/>
          <w:shd w:val="clear" w:color="auto" w:fill="FFFFFF"/>
          <w:lang w:val="zh-CN"/>
        </w:rPr>
        <w:t>，其中：预算结余率大于</w:t>
      </w:r>
      <w:r>
        <w:rPr>
          <w:rFonts w:hint="eastAsia" w:ascii="仿宋" w:hAnsi="仿宋" w:eastAsia="仿宋" w:cs="仿宋"/>
          <w:color w:val="000000"/>
          <w:kern w:val="0"/>
          <w:sz w:val="32"/>
          <w:szCs w:val="32"/>
          <w:shd w:val="clear" w:color="auto" w:fill="FFFFFF"/>
        </w:rPr>
        <w:t>10%</w:t>
      </w:r>
      <w:r>
        <w:rPr>
          <w:rFonts w:hint="eastAsia" w:ascii="仿宋" w:hAnsi="仿宋" w:eastAsia="仿宋" w:cs="仿宋"/>
          <w:color w:val="000000"/>
          <w:kern w:val="0"/>
          <w:sz w:val="32"/>
          <w:szCs w:val="32"/>
          <w:shd w:val="clear" w:color="auto" w:fill="FFFFFF"/>
          <w:lang w:val="zh-CN"/>
        </w:rPr>
        <w:t>的项目共计</w:t>
      </w:r>
      <w:r>
        <w:rPr>
          <w:rFonts w:hint="eastAsia" w:ascii="仿宋" w:hAnsi="仿宋" w:eastAsia="仿宋" w:cs="仿宋"/>
          <w:color w:val="000000"/>
          <w:kern w:val="0"/>
          <w:sz w:val="32"/>
          <w:szCs w:val="32"/>
          <w:shd w:val="clear" w:color="auto" w:fill="FFFFFF"/>
        </w:rPr>
        <w:t>0</w:t>
      </w:r>
      <w:r>
        <w:rPr>
          <w:rFonts w:hint="eastAsia" w:ascii="仿宋" w:hAnsi="仿宋" w:eastAsia="仿宋" w:cs="仿宋"/>
          <w:color w:val="000000"/>
          <w:kern w:val="0"/>
          <w:sz w:val="32"/>
          <w:szCs w:val="32"/>
          <w:shd w:val="clear" w:color="auto" w:fill="FFFFFF"/>
          <w:lang w:val="zh-CN"/>
        </w:rPr>
        <w:t>个。</w:t>
      </w:r>
    </w:p>
    <w:p w14:paraId="18B8DC80">
      <w:pPr>
        <w:pStyle w:val="18"/>
        <w:keepNext w:val="0"/>
        <w:keepLines w:val="0"/>
        <w:pageBreakBefore w:val="0"/>
        <w:widowControl/>
        <w:shd w:val="clear" w:color="auto" w:fill="FFFFFF"/>
        <w:kinsoku/>
        <w:wordWrap/>
        <w:overflowPunct/>
        <w:topLinePunct w:val="0"/>
        <w:bidi w:val="0"/>
        <w:spacing w:before="0" w:after="0" w:afterAutospacing="0" w:line="560" w:lineRule="atLeast"/>
        <w:ind w:firstLine="643" w:firstLineChars="200"/>
        <w:jc w:val="both"/>
        <w:textAlignment w:val="auto"/>
        <w:rPr>
          <w:rFonts w:hint="eastAsia" w:ascii="仿宋" w:hAnsi="仿宋" w:eastAsia="仿宋" w:cs="仿宋"/>
          <w:color w:val="000000"/>
          <w:kern w:val="0"/>
          <w:sz w:val="32"/>
          <w:szCs w:val="32"/>
          <w:shd w:val="clear" w:color="auto" w:fill="FFFFFF"/>
          <w:lang w:val="zh-CN" w:eastAsia="zh-CN" w:bidi="ar-SA"/>
        </w:rPr>
      </w:pPr>
      <w:r>
        <w:rPr>
          <w:rFonts w:hint="eastAsia" w:ascii="仿宋" w:hAnsi="仿宋" w:eastAsia="仿宋" w:cs="仿宋"/>
          <w:b/>
          <w:color w:val="000000"/>
          <w:sz w:val="32"/>
          <w:szCs w:val="32"/>
          <w:shd w:val="clear" w:color="auto" w:fill="FFFFFF"/>
        </w:rPr>
        <w:t>1.项目决策</w:t>
      </w:r>
      <w:r>
        <w:rPr>
          <w:rFonts w:hint="eastAsia" w:ascii="仿宋" w:hAnsi="仿宋" w:eastAsia="仿宋" w:cs="仿宋"/>
          <w:b/>
          <w:color w:val="000000"/>
          <w:sz w:val="32"/>
          <w:szCs w:val="32"/>
          <w:shd w:val="clear" w:color="auto" w:fill="FFFFFF"/>
          <w:lang w:eastAsia="zh-CN"/>
        </w:rPr>
        <w:t>：</w:t>
      </w:r>
      <w:r>
        <w:rPr>
          <w:rFonts w:hint="eastAsia" w:ascii="仿宋" w:hAnsi="仿宋" w:eastAsia="仿宋" w:cs="仿宋"/>
          <w:color w:val="000000"/>
          <w:kern w:val="0"/>
          <w:sz w:val="32"/>
          <w:szCs w:val="32"/>
          <w:shd w:val="clear" w:color="auto" w:fill="FFFFFF"/>
          <w:lang w:val="zh-CN" w:eastAsia="zh-CN" w:bidi="ar-SA"/>
        </w:rPr>
        <w:t>在项目决策环节，我单位始终秉持科学、合理、高效的原则，确保每一个项目都能紧密围绕部门职能和业务需求展开，为阿坝州文化文艺事业的繁荣发展贡献力量。具体而言，我们注重以下几个方面：一是项目立项的严谨性。在项目立项前，我们组织专业团队进行深入的市场调研和需求分析，确保项目符合阿坝州文化发展的实际需求和长远规划。同时，我们严格按照相关程序进行项目申报和审批，确保项目的合法性和合规性。二是项目目标的明确性。在项目立项后，我们明确项目的具体目标和预期成果，制定详细的项目实施方案和时间表，确保项目能够按计划有序推进。同时，我们注重项目目标的可衡量性和可达成性，以便在项目实施过程中进行实时监控和评估。三是项目决策的民主性。在项目决策过程中，我们充分发扬民主精神，广泛征求各方面意见和建议，确保项目决策的科学性和合理性。我们组织专家论证会、座谈会等，邀请相关领域的专家学者和业界人士对项目进行论证和评估，为项目决策提供有力支持。四是项目风险的可控性。在项目决策时，我们充分考虑项目可能面临的风险和挑战，制定相应的风险应对措施和预案。我们注重项目风险的识别和评估，及时调整项目实施方案和策略，确保项目能够顺利推进并取得预期成果。</w:t>
      </w:r>
    </w:p>
    <w:p w14:paraId="4BB88F54">
      <w:pPr>
        <w:pStyle w:val="18"/>
        <w:keepNext w:val="0"/>
        <w:keepLines w:val="0"/>
        <w:pageBreakBefore w:val="0"/>
        <w:widowControl/>
        <w:shd w:val="clear" w:color="auto" w:fill="FFFFFF"/>
        <w:kinsoku/>
        <w:wordWrap/>
        <w:overflowPunct/>
        <w:topLinePunct w:val="0"/>
        <w:bidi w:val="0"/>
        <w:spacing w:before="0" w:after="0" w:afterAutospacing="0" w:line="560" w:lineRule="atLeast"/>
        <w:ind w:firstLine="643" w:firstLineChars="200"/>
        <w:jc w:val="both"/>
        <w:textAlignment w:val="auto"/>
        <w:rPr>
          <w:rFonts w:hint="eastAsia" w:ascii="仿宋" w:hAnsi="仿宋" w:eastAsia="仿宋" w:cs="仿宋"/>
          <w:color w:val="000000"/>
          <w:kern w:val="0"/>
          <w:sz w:val="32"/>
          <w:szCs w:val="32"/>
          <w:shd w:val="clear" w:color="auto" w:fill="FFFFFF"/>
          <w:lang w:val="zh-CN" w:eastAsia="zh-CN" w:bidi="ar-SA"/>
        </w:rPr>
      </w:pPr>
      <w:r>
        <w:rPr>
          <w:rFonts w:hint="eastAsia" w:ascii="仿宋" w:hAnsi="仿宋" w:eastAsia="仿宋" w:cs="仿宋"/>
          <w:b/>
          <w:color w:val="000000"/>
          <w:sz w:val="32"/>
          <w:szCs w:val="32"/>
          <w:shd w:val="clear" w:color="auto" w:fill="FFFFFF"/>
        </w:rPr>
        <w:t>2.项目执行</w:t>
      </w:r>
      <w:r>
        <w:rPr>
          <w:rFonts w:hint="eastAsia" w:ascii="仿宋" w:hAnsi="仿宋" w:eastAsia="仿宋" w:cs="仿宋"/>
          <w:b/>
          <w:color w:val="000000"/>
          <w:sz w:val="32"/>
          <w:szCs w:val="32"/>
          <w:shd w:val="clear" w:color="auto" w:fill="FFFFFF"/>
          <w:lang w:eastAsia="zh-CN"/>
        </w:rPr>
        <w:t>：</w:t>
      </w:r>
      <w:r>
        <w:rPr>
          <w:rFonts w:hint="eastAsia" w:ascii="仿宋" w:hAnsi="仿宋" w:eastAsia="仿宋" w:cs="仿宋"/>
          <w:color w:val="000000"/>
          <w:kern w:val="0"/>
          <w:sz w:val="32"/>
          <w:szCs w:val="32"/>
          <w:shd w:val="clear" w:color="auto" w:fill="FFFFFF"/>
          <w:lang w:val="zh-CN" w:eastAsia="zh-CN" w:bidi="ar-SA"/>
        </w:rPr>
        <w:t>在项目执行环节，我单位严格按照既定的项目实施方案和时间表推进各项工作，确保项目能够高效、有序地完成。对于常年项目，我们注重持续性和稳定性，通过定期调度和检查，及时解决项目执行过程中遇到的问题和困难，确保项目按计划推进。同时，我们加强与相关部门的沟通协调，争取更多的支持和资源，为项目的顺利实施提供有力保障。对于阶段性项目，我们则注重时效性和针对性，根据项目特点和实际需求，合理安排工作进度和资源投入，确保项目能够在规定时间内高质量完成。在项目执行过程中，我们还注重加强项目管理和监督，建立健全项目管理制度和监督机制，对项目进度、质量、成本等方面进行实时监控和评估，确保项目能够达到预期目标和效果。</w:t>
      </w:r>
    </w:p>
    <w:p w14:paraId="248F6C4E">
      <w:pPr>
        <w:keepNext w:val="0"/>
        <w:keepLines w:val="0"/>
        <w:pageBreakBefore w:val="0"/>
        <w:kinsoku/>
        <w:wordWrap/>
        <w:overflowPunct/>
        <w:topLinePunct w:val="0"/>
        <w:autoSpaceDN w:val="0"/>
        <w:bidi w:val="0"/>
        <w:spacing w:afterAutospacing="0" w:line="560" w:lineRule="atLeast"/>
        <w:ind w:firstLine="643" w:firstLineChars="200"/>
        <w:textAlignment w:val="auto"/>
        <w:rPr>
          <w:rFonts w:hint="eastAsia" w:ascii="仿宋" w:hAnsi="仿宋" w:eastAsia="仿宋" w:cs="仿宋"/>
          <w:bCs/>
          <w:color w:val="000000"/>
          <w:sz w:val="32"/>
          <w:szCs w:val="32"/>
        </w:rPr>
      </w:pPr>
      <w:r>
        <w:rPr>
          <w:rFonts w:hint="eastAsia" w:ascii="仿宋" w:hAnsi="仿宋" w:eastAsia="仿宋" w:cs="仿宋"/>
          <w:b/>
          <w:color w:val="000000"/>
          <w:kern w:val="0"/>
          <w:sz w:val="32"/>
          <w:szCs w:val="32"/>
          <w:shd w:val="clear" w:color="auto" w:fill="FFFFFF"/>
        </w:rPr>
        <w:t>3.</w:t>
      </w:r>
      <w:r>
        <w:rPr>
          <w:rFonts w:hint="eastAsia" w:ascii="仿宋" w:hAnsi="仿宋" w:eastAsia="仿宋" w:cs="仿宋"/>
          <w:b/>
          <w:color w:val="000000"/>
          <w:kern w:val="0"/>
          <w:sz w:val="32"/>
          <w:szCs w:val="32"/>
          <w:shd w:val="clear" w:color="auto" w:fill="FFFFFF"/>
          <w:lang w:val="zh-CN"/>
        </w:rPr>
        <w:t>目标实现：</w:t>
      </w:r>
      <w:r>
        <w:rPr>
          <w:rFonts w:hint="eastAsia" w:ascii="仿宋" w:hAnsi="仿宋" w:eastAsia="仿宋" w:cs="仿宋"/>
          <w:color w:val="000000"/>
          <w:kern w:val="0"/>
          <w:sz w:val="32"/>
          <w:szCs w:val="32"/>
          <w:shd w:val="clear" w:color="auto" w:fill="FFFFFF"/>
          <w:lang w:val="zh-CN"/>
        </w:rPr>
        <w:t>完成了</w:t>
      </w:r>
      <w:r>
        <w:rPr>
          <w:rFonts w:hint="eastAsia" w:ascii="仿宋" w:hAnsi="仿宋" w:eastAsia="仿宋" w:cs="仿宋"/>
          <w:b/>
          <w:bCs/>
          <w:color w:val="000000"/>
          <w:sz w:val="32"/>
          <w:szCs w:val="32"/>
        </w:rPr>
        <w:t>一是</w:t>
      </w:r>
      <w:r>
        <w:rPr>
          <w:rFonts w:hint="eastAsia" w:ascii="仿宋" w:hAnsi="仿宋" w:eastAsia="仿宋" w:cs="仿宋"/>
          <w:bCs/>
          <w:color w:val="000000"/>
          <w:kern w:val="0"/>
          <w:sz w:val="32"/>
          <w:szCs w:val="32"/>
          <w:lang w:bidi="ar"/>
        </w:rPr>
        <w:t>开展</w:t>
      </w:r>
      <w:r>
        <w:rPr>
          <w:rFonts w:hint="eastAsia" w:ascii="仿宋" w:hAnsi="仿宋" w:eastAsia="仿宋" w:cs="仿宋"/>
          <w:bCs/>
          <w:color w:val="000000"/>
          <w:sz w:val="32"/>
          <w:szCs w:val="32"/>
        </w:rPr>
        <w:t>送文化下乡活动，全年完成演出</w:t>
      </w:r>
      <w:r>
        <w:rPr>
          <w:rFonts w:hint="eastAsia" w:ascii="仿宋" w:hAnsi="仿宋" w:eastAsia="仿宋" w:cs="仿宋"/>
          <w:bCs/>
          <w:color w:val="000000"/>
          <w:sz w:val="32"/>
          <w:szCs w:val="32"/>
          <w:lang w:val="en-US" w:eastAsia="zh-CN"/>
        </w:rPr>
        <w:t>10</w:t>
      </w:r>
      <w:r>
        <w:rPr>
          <w:rFonts w:hint="eastAsia" w:ascii="仿宋" w:hAnsi="仿宋" w:eastAsia="仿宋" w:cs="仿宋"/>
          <w:bCs/>
          <w:color w:val="000000"/>
          <w:sz w:val="32"/>
          <w:szCs w:val="32"/>
        </w:rPr>
        <w:t>场次；</w:t>
      </w:r>
      <w:r>
        <w:rPr>
          <w:rFonts w:hint="eastAsia" w:ascii="仿宋" w:hAnsi="仿宋" w:eastAsia="仿宋" w:cs="仿宋"/>
          <w:b/>
          <w:bCs/>
          <w:color w:val="000000"/>
          <w:sz w:val="32"/>
          <w:szCs w:val="32"/>
        </w:rPr>
        <w:t>二是</w:t>
      </w:r>
      <w:r>
        <w:rPr>
          <w:rFonts w:hint="eastAsia" w:ascii="仿宋" w:hAnsi="仿宋" w:eastAsia="仿宋" w:cs="仿宋"/>
          <w:i w:val="0"/>
          <w:iCs w:val="0"/>
          <w:caps w:val="0"/>
          <w:color w:val="222222"/>
          <w:spacing w:val="0"/>
          <w:sz w:val="32"/>
          <w:szCs w:val="32"/>
          <w:shd w:val="clear" w:fill="FFFFFF"/>
          <w:lang w:val="en-US" w:eastAsia="zh-CN"/>
        </w:rPr>
        <w:t>完成</w:t>
      </w:r>
      <w:r>
        <w:rPr>
          <w:rFonts w:hint="eastAsia" w:ascii="仿宋" w:hAnsi="仿宋" w:eastAsia="仿宋" w:cs="仿宋"/>
          <w:i w:val="0"/>
          <w:iCs w:val="0"/>
          <w:caps w:val="0"/>
          <w:color w:val="222222"/>
          <w:spacing w:val="0"/>
          <w:sz w:val="32"/>
          <w:szCs w:val="32"/>
          <w:shd w:val="clear" w:fill="FFFFFF"/>
        </w:rPr>
        <w:t>“天下九寨沟</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大美阿坝州</w:t>
      </w:r>
      <w:r>
        <w:rPr>
          <w:rFonts w:hint="eastAsia" w:ascii="仿宋" w:hAnsi="仿宋" w:eastAsia="仿宋" w:cs="仿宋"/>
          <w:i w:val="0"/>
          <w:iCs w:val="0"/>
          <w:caps w:val="0"/>
          <w:color w:val="222222"/>
          <w:spacing w:val="0"/>
          <w:sz w:val="32"/>
          <w:szCs w:val="32"/>
          <w:shd w:val="clear" w:fill="FFFFFF"/>
          <w:lang w:eastAsia="zh-CN"/>
        </w:rPr>
        <w:t>及上海演出活动，</w:t>
      </w:r>
      <w:r>
        <w:rPr>
          <w:rFonts w:hint="eastAsia" w:ascii="仿宋" w:hAnsi="仿宋" w:eastAsia="仿宋" w:cs="仿宋"/>
          <w:bCs/>
          <w:color w:val="000000"/>
          <w:sz w:val="32"/>
          <w:szCs w:val="32"/>
          <w:lang w:val="en-US" w:eastAsia="zh-CN"/>
        </w:rPr>
        <w:t>四川城市足球超级联赛等文旅活动</w:t>
      </w:r>
      <w:r>
        <w:rPr>
          <w:rFonts w:hint="eastAsia" w:ascii="仿宋" w:hAnsi="仿宋" w:eastAsia="仿宋" w:cs="仿宋"/>
          <w:bCs/>
          <w:snapToGrid w:val="0"/>
          <w:color w:val="000000"/>
          <w:spacing w:val="-11"/>
          <w:kern w:val="0"/>
          <w:sz w:val="32"/>
          <w:szCs w:val="32"/>
        </w:rPr>
        <w:t>；</w:t>
      </w:r>
      <w:r>
        <w:rPr>
          <w:rFonts w:hint="eastAsia" w:ascii="仿宋" w:hAnsi="仿宋" w:eastAsia="仿宋" w:cs="仿宋"/>
          <w:b/>
          <w:bCs/>
          <w:color w:val="000000"/>
          <w:sz w:val="32"/>
          <w:szCs w:val="32"/>
        </w:rPr>
        <w:t>三是</w:t>
      </w:r>
      <w:r>
        <w:rPr>
          <w:rFonts w:hint="eastAsia" w:ascii="仿宋" w:hAnsi="仿宋" w:eastAsia="仿宋" w:cs="仿宋"/>
          <w:bCs/>
          <w:color w:val="000000"/>
          <w:sz w:val="32"/>
          <w:szCs w:val="32"/>
        </w:rPr>
        <w:t>组织选派30余人次开展剧目观摩和培训学习；</w:t>
      </w:r>
      <w:r>
        <w:rPr>
          <w:rFonts w:hint="eastAsia" w:ascii="仿宋" w:hAnsi="仿宋" w:eastAsia="仿宋" w:cs="仿宋"/>
          <w:b/>
          <w:bCs/>
          <w:color w:val="000000"/>
          <w:sz w:val="32"/>
          <w:szCs w:val="32"/>
        </w:rPr>
        <w:t>四是</w:t>
      </w:r>
      <w:r>
        <w:rPr>
          <w:rFonts w:hint="eastAsia" w:ascii="仿宋_GB2312" w:hAnsi="Times New Roman" w:eastAsia="仿宋_GB2312" w:cs="Times New Roman"/>
          <w:sz w:val="32"/>
          <w:szCs w:val="32"/>
          <w:lang w:val="en-US" w:eastAsia="zh-CN"/>
        </w:rPr>
        <w:t>开展群众工作主题晚会</w:t>
      </w:r>
      <w:r>
        <w:rPr>
          <w:rFonts w:hint="eastAsia" w:ascii="仿宋" w:hAnsi="仿宋" w:eastAsia="仿宋" w:cs="仿宋"/>
          <w:i w:val="0"/>
          <w:iCs w:val="0"/>
          <w:caps w:val="0"/>
          <w:color w:val="222222"/>
          <w:spacing w:val="0"/>
          <w:sz w:val="32"/>
          <w:szCs w:val="32"/>
          <w:shd w:val="clear" w:fill="FFFFFF"/>
          <w:lang w:val="en-US" w:eastAsia="zh-CN"/>
        </w:rPr>
        <w:t>《爱润阿坝》，</w:t>
      </w:r>
      <w:r>
        <w:rPr>
          <w:rFonts w:hint="eastAsia" w:ascii="Times New Roman" w:hAnsi="Times New Roman" w:eastAsia="仿宋_GB2312"/>
          <w:w w:val="98"/>
          <w:sz w:val="32"/>
          <w:szCs w:val="32"/>
          <w:lang w:val="en-US" w:eastAsia="zh-CN" w:bidi="ar-SA"/>
        </w:rPr>
        <w:t>软硬件支持</w:t>
      </w:r>
      <w:r>
        <w:rPr>
          <w:rFonts w:hint="eastAsia" w:ascii="仿宋" w:hAnsi="仿宋" w:eastAsia="仿宋" w:cs="仿宋"/>
          <w:i w:val="0"/>
          <w:iCs w:val="0"/>
          <w:caps w:val="0"/>
          <w:color w:val="222222"/>
          <w:spacing w:val="0"/>
          <w:sz w:val="32"/>
          <w:szCs w:val="32"/>
          <w:shd w:val="clear" w:fill="FFFFFF"/>
        </w:rPr>
        <w:t>马尔康市嘉绒锅庄民俗传统系列活动</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“民族团结进步活动月”</w:t>
      </w:r>
      <w:r>
        <w:rPr>
          <w:rFonts w:hint="eastAsia" w:ascii="仿宋" w:hAnsi="仿宋" w:eastAsia="仿宋" w:cs="仿宋"/>
          <w:i w:val="0"/>
          <w:iCs w:val="0"/>
          <w:caps w:val="0"/>
          <w:color w:val="222222"/>
          <w:spacing w:val="0"/>
          <w:sz w:val="32"/>
          <w:szCs w:val="32"/>
          <w:shd w:val="clear" w:fill="FFFFFF"/>
          <w:lang w:eastAsia="zh-CN"/>
        </w:rPr>
        <w:t>、</w:t>
      </w:r>
      <w:r>
        <w:rPr>
          <w:rFonts w:hint="default" w:ascii="Times New Roman" w:hAnsi="Times New Roman" w:eastAsia="仿宋_GB2312"/>
          <w:w w:val="98"/>
          <w:sz w:val="32"/>
          <w:szCs w:val="32"/>
          <w:lang w:val="en-US" w:eastAsia="zh-CN" w:bidi="ar-SA"/>
        </w:rPr>
        <w:t>建军98周年联欢会</w:t>
      </w:r>
      <w:r>
        <w:rPr>
          <w:rFonts w:hint="eastAsia" w:ascii="Times New Roman" w:hAnsi="Times New Roman" w:eastAsia="仿宋_GB2312"/>
          <w:w w:val="98"/>
          <w:sz w:val="32"/>
          <w:szCs w:val="32"/>
          <w:lang w:val="en-US" w:eastAsia="zh-CN" w:bidi="ar-SA"/>
        </w:rPr>
        <w:t>等各类州级、市级</w:t>
      </w:r>
      <w:r>
        <w:rPr>
          <w:rFonts w:hint="eastAsia" w:ascii="仿宋" w:hAnsi="仿宋" w:eastAsia="仿宋" w:cs="仿宋"/>
          <w:i w:val="0"/>
          <w:iCs w:val="0"/>
          <w:caps w:val="0"/>
          <w:color w:val="222222"/>
          <w:spacing w:val="0"/>
          <w:sz w:val="32"/>
          <w:szCs w:val="32"/>
          <w:shd w:val="clear" w:fill="FFFFFF"/>
          <w:lang w:val="en-US" w:eastAsia="zh-CN"/>
        </w:rPr>
        <w:t>活动近20场次。</w:t>
      </w:r>
    </w:p>
    <w:p w14:paraId="2F853630">
      <w:pPr>
        <w:keepNext w:val="0"/>
        <w:keepLines w:val="0"/>
        <w:pageBreakBefore w:val="0"/>
        <w:widowControl w:val="0"/>
        <w:kinsoku/>
        <w:wordWrap/>
        <w:overflowPunct/>
        <w:topLinePunct w:val="0"/>
        <w:autoSpaceDE/>
        <w:autoSpaceDN/>
        <w:bidi w:val="0"/>
        <w:snapToGrid w:val="0"/>
        <w:spacing w:afterAutospacing="0" w:line="560" w:lineRule="atLeast"/>
        <w:ind w:firstLine="643" w:firstLineChars="200"/>
        <w:textAlignment w:val="auto"/>
        <w:rPr>
          <w:rFonts w:hint="default" w:ascii="Times New Roman" w:hAnsi="Times New Roman" w:eastAsia="楷体_GB2312" w:cs="Times New Roman"/>
          <w:b/>
          <w:bCs/>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sz w:val="32"/>
          <w:szCs w:val="32"/>
          <w:lang w:val="zh-CN"/>
        </w:rPr>
        <w:t>绩效结果应用情况</w:t>
      </w:r>
    </w:p>
    <w:p w14:paraId="698B2CF2">
      <w:pPr>
        <w:keepNext w:val="0"/>
        <w:keepLines w:val="0"/>
        <w:pageBreakBefore w:val="0"/>
        <w:kinsoku/>
        <w:wordWrap/>
        <w:overflowPunct/>
        <w:topLinePunct w:val="0"/>
        <w:bidi w:val="0"/>
        <w:spacing w:afterAutospacing="0" w:line="560" w:lineRule="atLeast"/>
        <w:ind w:firstLine="643" w:firstLineChars="200"/>
        <w:textAlignment w:val="auto"/>
        <w:rPr>
          <w:rFonts w:hint="eastAsia" w:ascii="仿宋" w:hAnsi="仿宋" w:eastAsia="仿宋" w:cs="仿宋"/>
          <w:color w:val="000000"/>
          <w:sz w:val="32"/>
          <w:szCs w:val="32"/>
        </w:rPr>
      </w:pPr>
      <w:r>
        <w:rPr>
          <w:rFonts w:hint="eastAsia" w:ascii="仿宋" w:hAnsi="仿宋" w:eastAsia="仿宋" w:cs="仿宋"/>
          <w:b/>
          <w:color w:val="000000"/>
          <w:sz w:val="32"/>
          <w:szCs w:val="32"/>
        </w:rPr>
        <w:t>信息公开方面：</w:t>
      </w:r>
      <w:r>
        <w:rPr>
          <w:rFonts w:hint="eastAsia" w:ascii="仿宋" w:hAnsi="仿宋" w:eastAsia="仿宋" w:cs="仿宋"/>
          <w:color w:val="000000"/>
          <w:sz w:val="32"/>
          <w:szCs w:val="32"/>
        </w:rPr>
        <w:t>我单位严格按照相关文件规定对预决算在上级部门门户网站及相关网站进行了公开。部门预算公开内容包括一般公共预算、财政拨款收支预算、政府性基金收支预算；同级财政部门批复的部门预算报表及相关说明全部公开；本部门“三公经费"财政拨款预算总额和分项数额等全部公开。公开的所有数据、文字内容等全部真实。</w:t>
      </w:r>
    </w:p>
    <w:p w14:paraId="31A13843">
      <w:pPr>
        <w:keepNext w:val="0"/>
        <w:keepLines w:val="0"/>
        <w:pageBreakBefore w:val="0"/>
        <w:kinsoku/>
        <w:wordWrap/>
        <w:overflowPunct/>
        <w:topLinePunct w:val="0"/>
        <w:bidi w:val="0"/>
        <w:spacing w:afterAutospacing="0" w:line="560" w:lineRule="atLeast"/>
        <w:ind w:firstLine="635" w:firstLineChars="200"/>
        <w:jc w:val="left"/>
        <w:textAlignment w:val="auto"/>
        <w:rPr>
          <w:rFonts w:hint="eastAsia" w:ascii="仿宋" w:hAnsi="仿宋" w:eastAsia="仿宋" w:cs="仿宋"/>
          <w:b/>
          <w:color w:val="000000"/>
          <w:spacing w:val="-2"/>
          <w:kern w:val="0"/>
          <w:sz w:val="32"/>
          <w:szCs w:val="32"/>
        </w:rPr>
      </w:pPr>
      <w:r>
        <w:rPr>
          <w:rFonts w:hint="eastAsia" w:ascii="仿宋" w:hAnsi="仿宋" w:eastAsia="仿宋" w:cs="仿宋"/>
          <w:b/>
          <w:color w:val="000000"/>
          <w:spacing w:val="-2"/>
          <w:kern w:val="0"/>
          <w:sz w:val="32"/>
          <w:szCs w:val="32"/>
        </w:rPr>
        <w:t>整改反馈方面：</w:t>
      </w:r>
      <w:r>
        <w:rPr>
          <w:rFonts w:hint="eastAsia" w:ascii="仿宋" w:hAnsi="仿宋" w:eastAsia="仿宋" w:cs="仿宋"/>
          <w:color w:val="000000"/>
          <w:kern w:val="0"/>
          <w:sz w:val="32"/>
          <w:szCs w:val="32"/>
          <w:shd w:val="clear" w:color="auto" w:fill="FFFFFF"/>
          <w:lang w:val="zh-CN" w:eastAsia="zh-CN" w:bidi="ar-SA"/>
        </w:rPr>
        <w:t>针对绩效评价过程中发现的问题，我单位高度重视，迅速组织相关部门和人员进行深入分析，制定并落实了一系列切实可行的整改措施。对于预算执行进度不够理想的项目，加强了项目进度跟踪和督促，明确各阶段的时间节点和责任人，确保项目按计划推进，提高资金使用效率；对于部分项目绩效目标设定不够精准的问题，组织业务人员和财务人员共同研究，结合实际情况和未来发展规划，重新修订了绩效目标，使其更具科学性和可操作性；在信息公开方面，进一步完善了信息公开流程和审核机制，加强对公开内容的审核把关，确保公开信息的准确性、完整性和及时性。同时，将整改情况及时向上级部门反馈，并接受上级部门的监督检查，形成整改闭环管理，不断提升部门预算绩效管理水平。</w:t>
      </w:r>
    </w:p>
    <w:p w14:paraId="682C7FE2">
      <w:pPr>
        <w:keepNext w:val="0"/>
        <w:keepLines w:val="0"/>
        <w:pageBreakBefore w:val="0"/>
        <w:widowControl/>
        <w:kinsoku/>
        <w:wordWrap/>
        <w:overflowPunct/>
        <w:topLinePunct w:val="0"/>
        <w:autoSpaceDE/>
        <w:autoSpaceDN/>
        <w:bidi w:val="0"/>
        <w:adjustRightInd w:val="0"/>
        <w:snapToGrid w:val="0"/>
        <w:spacing w:afterAutospacing="0" w:line="560" w:lineRule="atLeas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14:paraId="06E614E2">
      <w:pPr>
        <w:keepNext w:val="0"/>
        <w:keepLines w:val="0"/>
        <w:pageBreakBefore w:val="0"/>
        <w:kinsoku/>
        <w:wordWrap/>
        <w:overflowPunct/>
        <w:topLinePunct w:val="0"/>
        <w:bidi w:val="0"/>
        <w:snapToGrid w:val="0"/>
        <w:spacing w:afterAutospacing="0" w:line="560" w:lineRule="atLeast"/>
        <w:ind w:firstLine="643" w:firstLineChars="200"/>
        <w:textAlignment w:val="auto"/>
        <w:rPr>
          <w:rFonts w:hint="eastAsia" w:ascii="楷体" w:hAnsi="楷体" w:eastAsia="楷体" w:cs="楷体"/>
          <w:b/>
          <w:bCs/>
          <w:color w:val="000000"/>
          <w:kern w:val="0"/>
          <w:sz w:val="32"/>
          <w:szCs w:val="32"/>
          <w:shd w:val="clear" w:color="auto" w:fill="FFFFFF"/>
        </w:rPr>
      </w:pPr>
      <w:r>
        <w:rPr>
          <w:rFonts w:hint="eastAsia" w:ascii="楷体" w:hAnsi="楷体" w:eastAsia="楷体" w:cs="楷体"/>
          <w:b/>
          <w:bCs/>
          <w:color w:val="000000"/>
          <w:kern w:val="0"/>
          <w:sz w:val="32"/>
          <w:szCs w:val="32"/>
          <w:shd w:val="clear" w:color="auto" w:fill="FFFFFF"/>
        </w:rPr>
        <w:t>（一）评价结论</w:t>
      </w:r>
    </w:p>
    <w:p w14:paraId="15E10AA7">
      <w:pPr>
        <w:pStyle w:val="18"/>
        <w:keepNext w:val="0"/>
        <w:keepLines w:val="0"/>
        <w:pageBreakBefore w:val="0"/>
        <w:widowControl/>
        <w:kinsoku/>
        <w:wordWrap/>
        <w:overflowPunct/>
        <w:topLinePunct w:val="0"/>
        <w:bidi w:val="0"/>
        <w:spacing w:before="0" w:after="0" w:afterAutospacing="0" w:line="560" w:lineRule="atLeast"/>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从整体上看，202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年我团资金运行维护决策正确，资金管理规范，项目管理到位，政策执行有力，有效发挥了财政资金的使用效率，顺利完成了各项任务。三公经费严格控制在预算范围内，严格落实了厉行节约的原则。</w:t>
      </w:r>
      <w:r>
        <w:rPr>
          <w:rFonts w:hint="eastAsia" w:ascii="仿宋" w:hAnsi="仿宋" w:eastAsia="仿宋" w:cs="仿宋"/>
          <w:color w:val="000000"/>
          <w:sz w:val="32"/>
          <w:szCs w:val="32"/>
          <w:lang w:eastAsia="zh-CN"/>
        </w:rPr>
        <w:t>参照专项预算项目支出绩效评价指标体系计算，</w:t>
      </w:r>
      <w:r>
        <w:rPr>
          <w:rFonts w:hint="eastAsia" w:ascii="仿宋" w:hAnsi="仿宋" w:eastAsia="仿宋" w:cs="仿宋"/>
          <w:color w:val="000000"/>
          <w:sz w:val="32"/>
          <w:szCs w:val="32"/>
          <w:lang w:val="en-US" w:eastAsia="zh-CN"/>
        </w:rPr>
        <w:t>2025年整体绩效评价得分是：90分。</w:t>
      </w:r>
    </w:p>
    <w:p w14:paraId="503396AB">
      <w:pPr>
        <w:keepNext w:val="0"/>
        <w:keepLines w:val="0"/>
        <w:pageBreakBefore w:val="0"/>
        <w:numPr>
          <w:ilvl w:val="0"/>
          <w:numId w:val="5"/>
        </w:numPr>
        <w:kinsoku/>
        <w:wordWrap/>
        <w:overflowPunct/>
        <w:topLinePunct w:val="0"/>
        <w:bidi w:val="0"/>
        <w:snapToGrid w:val="0"/>
        <w:spacing w:afterAutospacing="0" w:line="560" w:lineRule="atLeast"/>
        <w:ind w:firstLine="643" w:firstLineChars="200"/>
        <w:textAlignment w:val="auto"/>
        <w:rPr>
          <w:rFonts w:hint="eastAsia" w:ascii="楷体" w:hAnsi="楷体" w:eastAsia="楷体" w:cs="楷体"/>
          <w:b/>
          <w:bCs/>
          <w:color w:val="000000"/>
          <w:kern w:val="0"/>
          <w:sz w:val="32"/>
          <w:szCs w:val="32"/>
          <w:shd w:val="clear" w:color="auto" w:fill="FFFFFF"/>
        </w:rPr>
      </w:pPr>
      <w:r>
        <w:rPr>
          <w:rFonts w:hint="eastAsia" w:ascii="楷体" w:hAnsi="楷体" w:eastAsia="楷体" w:cs="楷体"/>
          <w:b/>
          <w:bCs/>
          <w:color w:val="000000"/>
          <w:kern w:val="0"/>
          <w:sz w:val="32"/>
          <w:szCs w:val="32"/>
          <w:shd w:val="clear" w:color="auto" w:fill="FFFFFF"/>
        </w:rPr>
        <w:t>存在问题</w:t>
      </w:r>
    </w:p>
    <w:p w14:paraId="0FAB8782">
      <w:pPr>
        <w:keepNext w:val="0"/>
        <w:keepLines w:val="0"/>
        <w:pageBreakBefore w:val="0"/>
        <w:numPr>
          <w:ilvl w:val="0"/>
          <w:numId w:val="0"/>
        </w:numPr>
        <w:kinsoku/>
        <w:wordWrap/>
        <w:overflowPunct/>
        <w:topLinePunct w:val="0"/>
        <w:bidi w:val="0"/>
        <w:snapToGrid w:val="0"/>
        <w:spacing w:afterAutospacing="0" w:line="560" w:lineRule="atLeast"/>
        <w:textAlignment w:val="auto"/>
        <w:rPr>
          <w:rFonts w:hint="eastAsia" w:ascii="仿宋" w:hAnsi="仿宋" w:eastAsia="仿宋" w:cs="仿宋"/>
          <w:b w:val="0"/>
          <w:bCs w:val="0"/>
          <w:color w:val="000000"/>
          <w:kern w:val="0"/>
          <w:sz w:val="32"/>
          <w:szCs w:val="32"/>
          <w:shd w:val="clear" w:color="auto" w:fill="FFFFFF"/>
          <w:lang w:val="en-US" w:eastAsia="zh-CN"/>
        </w:rPr>
      </w:pPr>
      <w:r>
        <w:rPr>
          <w:rFonts w:hint="eastAsia" w:ascii="楷体" w:hAnsi="楷体" w:eastAsia="楷体" w:cs="楷体"/>
          <w:b/>
          <w:bCs/>
          <w:color w:val="000000"/>
          <w:kern w:val="0"/>
          <w:sz w:val="32"/>
          <w:szCs w:val="32"/>
          <w:shd w:val="clear" w:color="auto" w:fill="FFFFFF"/>
          <w:lang w:val="en-US" w:eastAsia="zh-CN"/>
        </w:rPr>
        <w:t xml:space="preserve">    </w:t>
      </w:r>
      <w:r>
        <w:rPr>
          <w:rFonts w:hint="eastAsia" w:ascii="仿宋" w:hAnsi="仿宋" w:eastAsia="仿宋" w:cs="仿宋"/>
          <w:b/>
          <w:bCs/>
          <w:color w:val="000000"/>
          <w:kern w:val="0"/>
          <w:sz w:val="32"/>
          <w:szCs w:val="32"/>
          <w:shd w:val="clear" w:color="auto" w:fill="FFFFFF"/>
          <w:lang w:val="en-US" w:eastAsia="zh-CN"/>
        </w:rPr>
        <w:t xml:space="preserve"> </w:t>
      </w:r>
      <w:r>
        <w:rPr>
          <w:rFonts w:hint="eastAsia" w:ascii="仿宋" w:hAnsi="仿宋" w:eastAsia="仿宋" w:cs="仿宋"/>
          <w:b w:val="0"/>
          <w:bCs w:val="0"/>
          <w:color w:val="000000"/>
          <w:kern w:val="0"/>
          <w:sz w:val="32"/>
          <w:szCs w:val="32"/>
          <w:shd w:val="clear" w:color="auto" w:fill="FFFFFF"/>
          <w:lang w:val="en-US" w:eastAsia="zh-CN"/>
        </w:rPr>
        <w:t>经费使用与预算执行的精细化水平需进一步加强；文旅融合深度与广度仍需不断拓展；新媒体宣传及对外文化交流渠道仍可进一步丰富，传播效力有待继续提升。</w:t>
      </w:r>
    </w:p>
    <w:p w14:paraId="7D4A9B83">
      <w:pPr>
        <w:keepNext w:val="0"/>
        <w:keepLines w:val="0"/>
        <w:pageBreakBefore w:val="0"/>
        <w:numPr>
          <w:ilvl w:val="0"/>
          <w:numId w:val="5"/>
        </w:numPr>
        <w:kinsoku/>
        <w:wordWrap/>
        <w:overflowPunct/>
        <w:topLinePunct w:val="0"/>
        <w:bidi w:val="0"/>
        <w:snapToGrid w:val="0"/>
        <w:spacing w:afterAutospacing="0" w:line="560" w:lineRule="atLeast"/>
        <w:ind w:firstLine="643" w:firstLineChars="200"/>
        <w:textAlignment w:val="auto"/>
        <w:rPr>
          <w:rFonts w:hint="eastAsia" w:ascii="楷体" w:hAnsi="楷体" w:eastAsia="楷体" w:cs="楷体"/>
          <w:b/>
          <w:bCs/>
          <w:color w:val="000000"/>
          <w:kern w:val="0"/>
          <w:sz w:val="32"/>
          <w:szCs w:val="32"/>
          <w:shd w:val="clear" w:color="auto" w:fill="FFFFFF"/>
          <w:lang w:val="zh-CN" w:eastAsia="zh-CN"/>
        </w:rPr>
      </w:pPr>
      <w:r>
        <w:rPr>
          <w:rFonts w:hint="eastAsia" w:ascii="楷体" w:hAnsi="楷体" w:eastAsia="楷体" w:cs="楷体"/>
          <w:b/>
          <w:bCs/>
          <w:color w:val="000000"/>
          <w:kern w:val="0"/>
          <w:sz w:val="32"/>
          <w:szCs w:val="32"/>
          <w:shd w:val="clear" w:color="auto" w:fill="FFFFFF"/>
          <w:lang w:val="zh-CN" w:eastAsia="zh-CN"/>
        </w:rPr>
        <w:t>改进建议</w:t>
      </w:r>
    </w:p>
    <w:p w14:paraId="5B626BDB">
      <w:pPr>
        <w:pageBreakBefore w:val="0"/>
        <w:kinsoku/>
        <w:wordWrap/>
        <w:overflowPunct/>
        <w:topLinePunct w:val="0"/>
        <w:bidi w:val="0"/>
        <w:snapToGrid w:val="0"/>
        <w:spacing w:line="560" w:lineRule="atLeast"/>
        <w:ind w:firstLine="640" w:firstLineChars="200"/>
        <w:rPr>
          <w:rFonts w:hint="default" w:ascii="仿宋" w:hAnsi="仿宋" w:eastAsia="仿宋" w:cs="仿宋"/>
          <w:b w:val="0"/>
          <w:bCs w:val="0"/>
          <w:color w:val="000000"/>
          <w:kern w:val="0"/>
          <w:sz w:val="32"/>
          <w:szCs w:val="32"/>
          <w:shd w:val="clear" w:color="auto" w:fill="FFFFFF"/>
          <w:lang w:val="en-US" w:eastAsia="zh-CN"/>
        </w:rPr>
      </w:pPr>
      <w:r>
        <w:rPr>
          <w:rFonts w:hint="eastAsia" w:ascii="仿宋" w:hAnsi="仿宋" w:eastAsia="仿宋" w:cs="仿宋"/>
          <w:b w:val="0"/>
          <w:bCs w:val="0"/>
          <w:color w:val="000000"/>
          <w:kern w:val="0"/>
          <w:sz w:val="32"/>
          <w:szCs w:val="32"/>
          <w:shd w:val="clear" w:color="auto" w:fill="FFFFFF"/>
          <w:lang w:val="en-US" w:eastAsia="zh-CN"/>
        </w:rPr>
        <w:t xml:space="preserve">  严格按照财政管理要求，加快预算执行进度，加强项目资金使用全过程管控，加强绩效目标管理，将预算执行与绩效目标实现情况紧密结合，提升资金使用效益；加大在新媒体领域的投入力度，拓展短视频等线上传播渠道，运用数字化技术赋能文艺展演，积极对接省内外优质文化资源，主动参与各类艺术交流活动与赛事，学习先进经验，拓展视野，在交流中促进民族文化的传播与弘扬。</w:t>
      </w:r>
    </w:p>
    <w:p w14:paraId="06C3E3C0">
      <w:pPr>
        <w:pStyle w:val="16"/>
        <w:keepNext w:val="0"/>
        <w:keepLines w:val="0"/>
        <w:pageBreakBefore w:val="0"/>
        <w:numPr>
          <w:ilvl w:val="0"/>
          <w:numId w:val="0"/>
        </w:numPr>
        <w:kinsoku/>
        <w:wordWrap/>
        <w:overflowPunct/>
        <w:topLinePunct w:val="0"/>
        <w:autoSpaceDE/>
        <w:autoSpaceDN/>
        <w:bidi w:val="0"/>
        <w:spacing w:line="560" w:lineRule="atLeas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4E9CCF21">
      <w:pPr>
        <w:pStyle w:val="16"/>
        <w:keepNext w:val="0"/>
        <w:keepLines w:val="0"/>
        <w:pageBreakBefore w:val="0"/>
        <w:numPr>
          <w:ilvl w:val="0"/>
          <w:numId w:val="0"/>
        </w:numPr>
        <w:kinsoku/>
        <w:wordWrap/>
        <w:overflowPunct/>
        <w:topLinePunct w:val="0"/>
        <w:autoSpaceDE/>
        <w:autoSpaceDN/>
        <w:bidi w:val="0"/>
        <w:spacing w:line="560" w:lineRule="atLeast"/>
        <w:textAlignment w:val="auto"/>
        <w:rPr>
          <w:rFonts w:hint="eastAsia" w:ascii="Times New Roman" w:hAnsi="Times New Roman" w:cs="Times New Roman"/>
          <w:sz w:val="32"/>
          <w:szCs w:val="32"/>
          <w:highlight w:val="yellow"/>
          <w:lang w:val="zh-CN" w:eastAsia="zh-CN"/>
        </w:rPr>
      </w:pPr>
    </w:p>
    <w:tbl>
      <w:tblPr>
        <w:tblStyle w:val="19"/>
        <w:tblW w:w="105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32"/>
        <w:gridCol w:w="1652"/>
        <w:gridCol w:w="1245"/>
        <w:gridCol w:w="28"/>
        <w:gridCol w:w="1665"/>
        <w:gridCol w:w="551"/>
        <w:gridCol w:w="315"/>
        <w:gridCol w:w="1003"/>
        <w:gridCol w:w="1058"/>
        <w:gridCol w:w="926"/>
        <w:gridCol w:w="999"/>
        <w:gridCol w:w="28"/>
      </w:tblGrid>
      <w:tr w14:paraId="72BDA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After w:val="1"/>
          <w:wAfter w:w="28" w:type="dxa"/>
          <w:trHeight w:val="762" w:hRule="exact"/>
          <w:jc w:val="center"/>
        </w:trPr>
        <w:tc>
          <w:tcPr>
            <w:tcW w:w="10474" w:type="dxa"/>
            <w:gridSpan w:val="11"/>
            <w:shd w:val="clear" w:color="auto" w:fill="auto"/>
            <w:vAlign w:val="center"/>
          </w:tcPr>
          <w:p w14:paraId="5DBD00E6">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黑体" w:cs="Times New Roman"/>
                <w:i w:val="0"/>
                <w:color w:val="000000"/>
                <w:sz w:val="28"/>
                <w:szCs w:val="28"/>
                <w:u w:val="none"/>
              </w:rPr>
            </w:pPr>
            <w:r>
              <w:rPr>
                <w:rFonts w:hint="eastAsia" w:ascii="Times New Roman" w:hAnsi="Times New Roman" w:eastAsia="方正小标宋简体" w:cs="Times New Roman"/>
                <w:i w:val="0"/>
                <w:color w:val="000000"/>
                <w:kern w:val="0"/>
                <w:sz w:val="44"/>
                <w:szCs w:val="44"/>
                <w:u w:val="none"/>
                <w:lang w:val="en-US" w:eastAsia="zh-CN" w:bidi="ar"/>
              </w:rPr>
              <w:t>阿坝州</w:t>
            </w:r>
            <w:r>
              <w:rPr>
                <w:rFonts w:hint="default" w:ascii="Times New Roman" w:hAnsi="Times New Roman" w:eastAsia="方正小标宋简体" w:cs="Times New Roman"/>
                <w:i w:val="0"/>
                <w:color w:val="000000"/>
                <w:kern w:val="0"/>
                <w:sz w:val="44"/>
                <w:szCs w:val="44"/>
                <w:u w:val="none"/>
                <w:lang w:val="en-US" w:eastAsia="zh-CN" w:bidi="ar"/>
              </w:rPr>
              <w:t>部门整体绩效目标完成情况自评表</w:t>
            </w:r>
          </w:p>
        </w:tc>
      </w:tr>
      <w:tr w14:paraId="09CEA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23" w:hRule="atLeast"/>
          <w:jc w:val="center"/>
        </w:trPr>
        <w:tc>
          <w:tcPr>
            <w:tcW w:w="10474" w:type="dxa"/>
            <w:gridSpan w:val="11"/>
            <w:shd w:val="clear" w:color="auto" w:fill="auto"/>
            <w:vAlign w:val="center"/>
          </w:tcPr>
          <w:p w14:paraId="4F70F1FB">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eastAsia" w:eastAsia="宋体" w:cs="Times New Roman"/>
                <w:i w:val="0"/>
                <w:color w:val="000000"/>
                <w:kern w:val="0"/>
                <w:sz w:val="28"/>
                <w:szCs w:val="28"/>
                <w:u w:val="none"/>
                <w:lang w:val="en-US" w:eastAsia="zh-CN" w:bidi="ar"/>
              </w:rPr>
              <w:t>5</w:t>
            </w:r>
            <w:r>
              <w:rPr>
                <w:rFonts w:hint="default" w:ascii="Times New Roman" w:hAnsi="Times New Roman" w:eastAsia="宋体" w:cs="Times New Roman"/>
                <w:i w:val="0"/>
                <w:color w:val="000000"/>
                <w:kern w:val="0"/>
                <w:sz w:val="28"/>
                <w:szCs w:val="28"/>
                <w:u w:val="none"/>
                <w:lang w:val="en-US" w:eastAsia="zh-CN" w:bidi="ar"/>
              </w:rPr>
              <w:t>年度）</w:t>
            </w:r>
          </w:p>
        </w:tc>
      </w:tr>
      <w:tr w14:paraId="39A04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23" w:hRule="atLeast"/>
          <w:jc w:val="center"/>
        </w:trPr>
        <w:tc>
          <w:tcPr>
            <w:tcW w:w="10474" w:type="dxa"/>
            <w:gridSpan w:val="11"/>
            <w:tcBorders>
              <w:bottom w:val="single" w:color="000000" w:sz="4" w:space="0"/>
            </w:tcBorders>
            <w:shd w:val="clear" w:color="auto" w:fill="auto"/>
            <w:vAlign w:val="center"/>
          </w:tcPr>
          <w:p w14:paraId="511832F7">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1EFFA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771"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431876">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5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26465F">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阿坝州民族歌舞团</w:t>
            </w:r>
          </w:p>
        </w:tc>
      </w:tr>
      <w:tr w14:paraId="5CAF0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620" w:hRule="atLeast"/>
          <w:jc w:val="center"/>
        </w:trPr>
        <w:tc>
          <w:tcPr>
            <w:tcW w:w="10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7BFE98">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6E370">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2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2AF636">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3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039975">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14:paraId="05698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695"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61109">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2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23661">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2829.4</w:t>
            </w:r>
          </w:p>
        </w:tc>
        <w:tc>
          <w:tcPr>
            <w:tcW w:w="22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930126">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2799.6</w:t>
            </w:r>
          </w:p>
        </w:tc>
        <w:tc>
          <w:tcPr>
            <w:tcW w:w="43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B34DEF">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29.8</w:t>
            </w:r>
          </w:p>
        </w:tc>
      </w:tr>
      <w:tr w14:paraId="28ADB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1729" w:hRule="atLeast"/>
          <w:jc w:val="center"/>
        </w:trPr>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E6DC">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14:paraId="5C4FFE1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44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F1BDFC">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1.及时完成2025年的工作任务及目标2.根据2025年预算下达资金对单位各项经济活动进行资金合理合规支出。</w:t>
            </w:r>
          </w:p>
        </w:tc>
      </w:tr>
      <w:tr w14:paraId="1E5BB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903" w:hRule="atLeast"/>
          <w:jc w:val="center"/>
        </w:trPr>
        <w:tc>
          <w:tcPr>
            <w:tcW w:w="10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441E45">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14:paraId="48865A9A">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E6AC2">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5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FAD0FE3">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14:paraId="7E12E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1541"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8C23F">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2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2A08B0">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文艺演出、文艺作品创作</w:t>
            </w:r>
          </w:p>
        </w:tc>
        <w:tc>
          <w:tcPr>
            <w:tcW w:w="65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95D455">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jc w:val="left"/>
              <w:textAlignment w:val="auto"/>
              <w:rPr>
                <w:rFonts w:hint="eastAsia" w:asciiTheme="minorEastAsia" w:hAnsiTheme="minorEastAsia" w:eastAsiaTheme="minorEastAsia" w:cstheme="minorEastAsia"/>
                <w:i w:val="0"/>
                <w:iCs w:val="0"/>
                <w:caps w:val="0"/>
                <w:color w:val="222222"/>
                <w:spacing w:val="0"/>
                <w:sz w:val="24"/>
                <w:szCs w:val="24"/>
              </w:rPr>
            </w:pP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1.本年度随州文广体旅局</w:t>
            </w:r>
            <w:r>
              <w:rPr>
                <w:rFonts w:hint="eastAsia" w:asciiTheme="minorEastAsia" w:hAnsiTheme="minorEastAsia" w:eastAsiaTheme="minorEastAsia" w:cstheme="minorEastAsia"/>
                <w:i w:val="0"/>
                <w:iCs w:val="0"/>
                <w:caps w:val="0"/>
                <w:color w:val="222222"/>
                <w:spacing w:val="0"/>
                <w:sz w:val="24"/>
                <w:szCs w:val="24"/>
                <w:shd w:val="clear" w:fill="FFFFFF"/>
              </w:rPr>
              <w:t>先后赴北京、上海两大</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一线</w:t>
            </w:r>
            <w:r>
              <w:rPr>
                <w:rFonts w:hint="eastAsia" w:asciiTheme="minorEastAsia" w:hAnsiTheme="minorEastAsia" w:eastAsiaTheme="minorEastAsia" w:cstheme="minorEastAsia"/>
                <w:i w:val="0"/>
                <w:iCs w:val="0"/>
                <w:caps w:val="0"/>
                <w:color w:val="222222"/>
                <w:spacing w:val="0"/>
                <w:sz w:val="24"/>
                <w:szCs w:val="24"/>
                <w:shd w:val="clear" w:fill="FFFFFF"/>
              </w:rPr>
              <w:t>城市开展文旅推介演出</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rPr>
              <w:t>在北京王府井</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上海外滩等地标，留下了</w:t>
            </w:r>
            <w:r>
              <w:rPr>
                <w:rFonts w:hint="eastAsia" w:asciiTheme="minorEastAsia" w:hAnsiTheme="minorEastAsia" w:eastAsiaTheme="minorEastAsia" w:cstheme="minorEastAsia"/>
                <w:i w:val="0"/>
                <w:iCs w:val="0"/>
                <w:caps w:val="0"/>
                <w:color w:val="222222"/>
                <w:spacing w:val="0"/>
                <w:sz w:val="24"/>
                <w:szCs w:val="24"/>
                <w:shd w:val="clear" w:fill="FFFFFF"/>
              </w:rPr>
              <w:t>“天下九寨沟</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rPr>
              <w:t>大美阿坝州”</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文旅品牌的风姿倩影，</w:t>
            </w:r>
            <w:r>
              <w:rPr>
                <w:rFonts w:hint="eastAsia" w:asciiTheme="minorEastAsia" w:hAnsiTheme="minorEastAsia" w:eastAsiaTheme="minorEastAsia" w:cstheme="minorEastAsia"/>
                <w:i w:val="0"/>
                <w:iCs w:val="0"/>
                <w:caps w:val="0"/>
                <w:color w:val="222222"/>
                <w:spacing w:val="0"/>
                <w:sz w:val="24"/>
                <w:szCs w:val="24"/>
                <w:shd w:val="clear" w:fill="FFFFFF"/>
              </w:rPr>
              <w:t>音乐剧《牦牛革命》更登陆北京大学百周年纪念讲堂，成为边远山区剧目走进国家最高学府的成功实践</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参加</w:t>
            </w:r>
            <w:r>
              <w:rPr>
                <w:rFonts w:hint="eastAsia" w:asciiTheme="minorEastAsia" w:hAnsiTheme="minorEastAsia" w:eastAsiaTheme="minorEastAsia" w:cstheme="minorEastAsia"/>
                <w:i w:val="0"/>
                <w:iCs w:val="0"/>
                <w:caps w:val="0"/>
                <w:color w:val="222222"/>
                <w:spacing w:val="0"/>
                <w:sz w:val="24"/>
                <w:szCs w:val="24"/>
                <w:shd w:val="clear" w:fill="FFFFFF"/>
              </w:rPr>
              <w:t>第二十届西博会</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在</w:t>
            </w:r>
            <w:r>
              <w:rPr>
                <w:rFonts w:hint="eastAsia" w:asciiTheme="minorEastAsia" w:hAnsiTheme="minorEastAsia" w:eastAsiaTheme="minorEastAsia" w:cstheme="minorEastAsia"/>
                <w:i w:val="0"/>
                <w:iCs w:val="0"/>
                <w:caps w:val="0"/>
                <w:color w:val="222222"/>
                <w:spacing w:val="0"/>
                <w:sz w:val="24"/>
                <w:szCs w:val="24"/>
                <w:shd w:val="clear" w:fill="FFFFFF"/>
              </w:rPr>
              <w:t>阿坝州展馆连续5天开展演出</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 xml:space="preserve">同时乘风“川超”舞台，助力“体育+文旅”宣传推介，多位面提升阿坝文旅品牌的市场吸引力。                                                                                                                                                                                                                                                                                                                                                                                                                                                                                     </w:t>
            </w:r>
            <w:r>
              <w:rPr>
                <w:rFonts w:hint="eastAsia" w:asciiTheme="minorEastAsia" w:hAnsiTheme="minorEastAsia" w:eastAsiaTheme="minorEastAsia" w:cstheme="minorEastAsia"/>
                <w:i w:val="0"/>
                <w:iCs w:val="0"/>
                <w:caps w:val="0"/>
                <w:color w:val="222222"/>
                <w:spacing w:val="0"/>
                <w:sz w:val="24"/>
                <w:szCs w:val="24"/>
                <w:shd w:val="clear" w:fill="FFFFFF"/>
              </w:rPr>
              <w:t xml:space="preserve"> </w:t>
            </w:r>
          </w:p>
          <w:p w14:paraId="3AD1B4FC">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jc w:val="left"/>
              <w:textAlignment w:val="auto"/>
              <w:rPr>
                <w:rFonts w:hint="eastAsia" w:asciiTheme="minorEastAsia" w:hAnsiTheme="minorEastAsia" w:eastAsiaTheme="minorEastAsia" w:cstheme="minorEastAsia"/>
                <w:i w:val="0"/>
                <w:iCs w:val="0"/>
                <w:caps w:val="0"/>
                <w:color w:val="222222"/>
                <w:spacing w:val="0"/>
                <w:sz w:val="24"/>
                <w:szCs w:val="24"/>
                <w:shd w:val="clear" w:fill="FFFFFF"/>
                <w:lang w:val="en-US" w:eastAsia="zh-CN"/>
              </w:rPr>
            </w:pP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2.</w:t>
            </w:r>
            <w:r>
              <w:rPr>
                <w:rFonts w:hint="eastAsia" w:asciiTheme="minorEastAsia" w:hAnsiTheme="minorEastAsia" w:eastAsiaTheme="minorEastAsia" w:cstheme="minorEastAsia"/>
                <w:i w:val="0"/>
                <w:iCs w:val="0"/>
                <w:caps w:val="0"/>
                <w:color w:val="222222"/>
                <w:spacing w:val="0"/>
                <w:sz w:val="24"/>
                <w:szCs w:val="24"/>
                <w:shd w:val="clear" w:fill="FFFFFF"/>
              </w:rPr>
              <w:t>积极响应省</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州</w:t>
            </w:r>
            <w:r>
              <w:rPr>
                <w:rFonts w:hint="eastAsia" w:asciiTheme="minorEastAsia" w:hAnsiTheme="minorEastAsia" w:eastAsiaTheme="minorEastAsia" w:cstheme="minorEastAsia"/>
                <w:i w:val="0"/>
                <w:iCs w:val="0"/>
                <w:caps w:val="0"/>
                <w:color w:val="222222"/>
                <w:spacing w:val="0"/>
                <w:sz w:val="24"/>
                <w:szCs w:val="24"/>
                <w:shd w:val="clear" w:fill="FFFFFF"/>
              </w:rPr>
              <w:t>文化与活动号召，</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舞蹈</w:t>
            </w:r>
            <w:r>
              <w:rPr>
                <w:rFonts w:hint="eastAsia" w:asciiTheme="minorEastAsia" w:hAnsiTheme="minorEastAsia" w:eastAsiaTheme="minorEastAsia" w:cstheme="minorEastAsia"/>
                <w:i w:val="0"/>
                <w:iCs w:val="0"/>
                <w:caps w:val="0"/>
                <w:color w:val="222222"/>
                <w:spacing w:val="0"/>
                <w:sz w:val="24"/>
                <w:szCs w:val="24"/>
                <w:shd w:val="clear" w:fill="FFFFFF"/>
              </w:rPr>
              <w:t>《雪山脚下》</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参加</w:t>
            </w:r>
            <w:r>
              <w:rPr>
                <w:rFonts w:hint="eastAsia" w:asciiTheme="minorEastAsia" w:hAnsiTheme="minorEastAsia" w:eastAsiaTheme="minorEastAsia" w:cstheme="minorEastAsia"/>
                <w:i w:val="0"/>
                <w:iCs w:val="0"/>
                <w:caps w:val="0"/>
                <w:color w:val="222222"/>
                <w:spacing w:val="0"/>
                <w:sz w:val="24"/>
                <w:szCs w:val="24"/>
                <w:shd w:val="clear" w:fill="FFFFFF"/>
              </w:rPr>
              <w:t>四川省舞蹈新作比赛</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获</w:t>
            </w:r>
            <w:r>
              <w:rPr>
                <w:rFonts w:hint="eastAsia" w:asciiTheme="minorEastAsia" w:hAnsiTheme="minorEastAsia" w:eastAsiaTheme="minorEastAsia" w:cstheme="minorEastAsia"/>
                <w:i w:val="0"/>
                <w:iCs w:val="0"/>
                <w:caps w:val="0"/>
                <w:color w:val="222222"/>
                <w:spacing w:val="0"/>
                <w:sz w:val="24"/>
                <w:szCs w:val="24"/>
                <w:shd w:val="clear" w:fill="FFFFFF"/>
                <w:lang w:eastAsia="zh-CN"/>
              </w:rPr>
              <w:t>得省级荣誉，</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音乐剧</w:t>
            </w:r>
            <w:r>
              <w:rPr>
                <w:rFonts w:hint="eastAsia" w:asciiTheme="minorEastAsia" w:hAnsiTheme="minorEastAsia" w:eastAsiaTheme="minorEastAsia" w:cstheme="minorEastAsia"/>
                <w:i w:val="0"/>
                <w:iCs w:val="0"/>
                <w:caps w:val="0"/>
                <w:color w:val="222222"/>
                <w:spacing w:val="0"/>
                <w:sz w:val="24"/>
                <w:szCs w:val="24"/>
                <w:shd w:val="clear" w:fill="FFFFFF"/>
              </w:rPr>
              <w:t>《牦牛革命》入选四川省纪念中国人民抗战胜利80周年优秀文艺作品展映</w:t>
            </w:r>
            <w:r>
              <w:rPr>
                <w:rFonts w:hint="eastAsia" w:ascii="仿宋" w:hAnsi="仿宋" w:eastAsia="仿宋" w:cs="仿宋"/>
                <w:i w:val="0"/>
                <w:iCs w:val="0"/>
                <w:caps w:val="0"/>
                <w:color w:val="222222"/>
                <w:spacing w:val="0"/>
                <w:sz w:val="24"/>
                <w:szCs w:val="24"/>
                <w:shd w:val="clear" w:fill="FFFFFF"/>
              </w:rPr>
              <w:t>展</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播，舞蹈《阳光洒满羌寨》参加“石榴花开•舞动天府”四川省首届民族街舞展演。</w:t>
            </w:r>
          </w:p>
          <w:p w14:paraId="0A47533F">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jc w:val="left"/>
              <w:textAlignment w:val="auto"/>
              <w:rPr>
                <w:rFonts w:hint="eastAsia" w:asciiTheme="minorEastAsia" w:hAnsiTheme="minorEastAsia" w:eastAsiaTheme="minorEastAsia" w:cstheme="minorEastAsia"/>
                <w:i w:val="0"/>
                <w:iCs w:val="0"/>
                <w:caps w:val="0"/>
                <w:color w:val="222222"/>
                <w:spacing w:val="0"/>
                <w:sz w:val="24"/>
                <w:szCs w:val="24"/>
                <w:shd w:val="clear" w:fill="FFFFFF"/>
                <w:lang w:val="en-US" w:eastAsia="zh-CN"/>
              </w:rPr>
            </w:pP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3.本年度在晶金隆剧场以及各类露天场地，先后创演了群众工作主题晚会《爱润阿坝》，软硬件支持马尔康市嘉绒锅庄民俗传统系列活动、“民族团结进步活动月”、建军98周年联欢会等各类州级、市级活动近20场次，每场活动均结合当地文化特色与群众需求精心策划节目内容，既保留了经典民族舞蹈的原生态魅力，又结合活动主题融入创新元素。全年地方活动累计吸引观众超2万人次，有效促进了基层文化繁荣与民族团结。与四川爱乐乐团合作开展“青春恰似火，我和我的祖国”浙川青少年文化交流活动，以音乐为纽带，促进浙川两地青少年深度交流。</w:t>
            </w:r>
          </w:p>
          <w:p w14:paraId="10326EF4">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jc w:val="left"/>
              <w:textAlignment w:val="auto"/>
              <w:rPr>
                <w:rFonts w:hint="eastAsia" w:asciiTheme="minorEastAsia" w:hAnsiTheme="minorEastAsia" w:eastAsiaTheme="minorEastAsia" w:cstheme="minorEastAsia"/>
                <w:i w:val="0"/>
                <w:iCs w:val="0"/>
                <w:caps w:val="0"/>
                <w:color w:val="222222"/>
                <w:spacing w:val="0"/>
                <w:sz w:val="24"/>
                <w:szCs w:val="24"/>
                <w:shd w:val="clear" w:fill="FFFFFF"/>
                <w:lang w:val="en-US" w:eastAsia="zh-CN"/>
              </w:rPr>
            </w:pP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4.全年围绕“文艺为民”宗旨，深入阿坝州各县（市）开展惠民演出。先后参与州委宣传部牵头的“四下乡”集中示范服务活动，联合四川爱乐乐团组成文艺小分队开展“我和我的祖国”文化惠民演出，以及开展“高原金秋送文化下乡”活动。原计划下乡演出因紧急演出工作中断，全年演出7场次。</w:t>
            </w:r>
          </w:p>
          <w:p w14:paraId="4BB3A38A">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jc w:val="left"/>
              <w:textAlignment w:val="auto"/>
              <w:rPr>
                <w:rFonts w:hint="eastAsia" w:ascii="仿宋" w:hAnsi="仿宋" w:eastAsia="仿宋" w:cs="仿宋"/>
                <w:i w:val="0"/>
                <w:iCs w:val="0"/>
                <w:caps w:val="0"/>
                <w:color w:val="222222"/>
                <w:spacing w:val="0"/>
                <w:sz w:val="24"/>
                <w:szCs w:val="24"/>
                <w:shd w:val="clear" w:fill="FFFFFF"/>
                <w:lang w:val="en-US" w:eastAsia="zh-CN"/>
              </w:rPr>
            </w:pP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5.聚焦民族文化与红色历史，推进重点剧目创作。一是持续打磨红色音乐剧《牦牛革命》，先后在北京、马尔康等地公演，通过演绎历史故事与塑造鲜活人物，成为传承革命精神、铸牢中华民族共同体意识的重要载体；二是启动大型原创舞台剧《岷山导江》创作，完成导演组组建工作，组织剧目导演组赴汶川、理县实地采风，完成主要演员选拔及新演员招聘。目前剧目已进入实质性排演阶段，力争打造展现阿坝文明自信的扛鼎之作，同时剧目完成国家艺术基金和四川艺术基金申报；三是围绕主题需求创排节目，全年新增《向着世界放歌》《田野里的歌与舞》等原创作品，其中《向着世界放歌》融合嘉绒锅庄、羌族多声部民歌等非遗元素，先后在“童话公路”自行车赛开幕式、“川超”足球赛场、“八一”联欢会等多个重要场合演出，成为年度代表性节目。</w:t>
            </w:r>
          </w:p>
          <w:p w14:paraId="0E9A3487">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textAlignment w:val="auto"/>
              <w:rPr>
                <w:rFonts w:hint="default" w:ascii="仿宋" w:hAnsi="仿宋" w:eastAsia="仿宋" w:cs="仿宋"/>
                <w:i w:val="0"/>
                <w:iCs w:val="0"/>
                <w:caps w:val="0"/>
                <w:color w:val="222222"/>
                <w:spacing w:val="0"/>
                <w:sz w:val="24"/>
                <w:szCs w:val="24"/>
                <w:shd w:val="clear" w:fill="FFFFFF"/>
                <w:lang w:val="en-US" w:eastAsia="zh-CN"/>
              </w:rPr>
            </w:pPr>
          </w:p>
          <w:p w14:paraId="3C6455DF">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left"/>
              <w:textAlignment w:val="auto"/>
              <w:outlineLvl w:val="9"/>
              <w:rPr>
                <w:rFonts w:hint="eastAsia" w:ascii="宋体" w:hAnsi="宋体" w:eastAsia="宋体" w:cs="宋体"/>
                <w:i w:val="0"/>
                <w:color w:val="000000"/>
                <w:sz w:val="24"/>
                <w:szCs w:val="24"/>
                <w:u w:val="none"/>
              </w:rPr>
            </w:pPr>
          </w:p>
        </w:tc>
      </w:tr>
      <w:tr w14:paraId="00CC2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9020"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BFF1C">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2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88D1A">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文化宣传</w:t>
            </w:r>
          </w:p>
        </w:tc>
        <w:tc>
          <w:tcPr>
            <w:tcW w:w="65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B85601">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jc w:val="left"/>
              <w:textAlignment w:val="auto"/>
              <w:rPr>
                <w:rFonts w:hint="eastAsia" w:asciiTheme="minorEastAsia" w:hAnsiTheme="minorEastAsia" w:eastAsiaTheme="minorEastAsia" w:cstheme="minorEastAsia"/>
                <w:i w:val="0"/>
                <w:iCs w:val="0"/>
                <w:caps w:val="0"/>
                <w:color w:val="222222"/>
                <w:spacing w:val="0"/>
                <w:sz w:val="24"/>
                <w:szCs w:val="24"/>
                <w:shd w:val="clear" w:fill="FFFFFF"/>
                <w:lang w:val="en-US" w:eastAsia="zh-CN"/>
              </w:rPr>
            </w:pP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1.第12届成都世界运动会上，我团“藏韵”组合，舞蹈《瓦尔俄足》等节目，应邀参加，在国际性的舞台上，向世界展现阿坝雪山草原之美与开放包容的精神风貌，相关演出获国际嘉宾与现场观众高度赞誉。</w:t>
            </w:r>
          </w:p>
          <w:p w14:paraId="69DCAFDE">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jc w:val="left"/>
              <w:textAlignment w:val="auto"/>
              <w:rPr>
                <w:rFonts w:hint="eastAsia" w:asciiTheme="minorEastAsia" w:hAnsiTheme="minorEastAsia" w:eastAsiaTheme="minorEastAsia" w:cstheme="minorEastAsia"/>
                <w:i w:val="0"/>
                <w:iCs w:val="0"/>
                <w:caps w:val="0"/>
                <w:color w:val="222222"/>
                <w:spacing w:val="0"/>
                <w:sz w:val="24"/>
                <w:szCs w:val="24"/>
                <w:shd w:val="clear" w:fill="FFFFFF"/>
                <w:lang w:val="en-US" w:eastAsia="zh-CN"/>
              </w:rPr>
            </w:pP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2.本年度随州文广体旅局先后赴北京、上海两大一线城市开展文旅推介演出，在北京王府井、上海外滩等地标，留下了“天下九寨沟•大美阿坝州”文旅品牌的风姿倩影，音乐剧《牦牛革命》更登陆北京大学百周年纪念讲堂，成为边远山区剧目走进国家最高学府的成功实践；参加第二十届西博会，在阿坝州展馆连续5天开展演出，同时乘风“川超”舞台，助力“体育+文旅”宣传推介，多位面提升阿坝文旅品牌的市场吸引力。</w:t>
            </w:r>
          </w:p>
          <w:p w14:paraId="2CAF2C00">
            <w:pPr>
              <w:keepNext w:val="0"/>
              <w:keepLines w:val="0"/>
              <w:pageBreakBefore w:val="0"/>
              <w:widowControl w:val="0"/>
              <w:kinsoku/>
              <w:wordWrap/>
              <w:overflowPunct/>
              <w:topLinePunct w:val="0"/>
              <w:autoSpaceDE/>
              <w:autoSpaceDN/>
              <w:bidi w:val="0"/>
              <w:adjustRightInd/>
              <w:snapToGrid/>
              <w:spacing w:afterAutospacing="0" w:line="560" w:lineRule="atLeast"/>
              <w:ind w:firstLine="480" w:firstLineChars="200"/>
              <w:textAlignment w:val="auto"/>
              <w:rPr>
                <w:rFonts w:hint="eastAsia" w:ascii="宋体" w:hAnsi="宋体" w:eastAsia="宋体" w:cs="宋体"/>
                <w:b w:val="0"/>
                <w:bCs w:val="0"/>
                <w:sz w:val="24"/>
                <w:szCs w:val="24"/>
                <w:lang w:val="en-US" w:eastAsia="zh-CN"/>
              </w:rPr>
            </w:pPr>
          </w:p>
          <w:p w14:paraId="7857FEAF">
            <w:pPr>
              <w:keepNext w:val="0"/>
              <w:keepLines w:val="0"/>
              <w:pageBreakBefore w:val="0"/>
              <w:widowControl w:val="0"/>
              <w:kinsoku/>
              <w:wordWrap/>
              <w:overflowPunct/>
              <w:topLinePunct w:val="0"/>
              <w:autoSpaceDE/>
              <w:autoSpaceDN/>
              <w:bidi w:val="0"/>
              <w:adjustRightInd/>
              <w:snapToGrid/>
              <w:spacing w:afterAutospacing="0" w:line="560" w:lineRule="atLeast"/>
              <w:ind w:firstLine="480" w:firstLineChars="200"/>
              <w:textAlignment w:val="auto"/>
              <w:rPr>
                <w:rFonts w:hint="eastAsia" w:ascii="宋体" w:hAnsi="宋体" w:eastAsia="宋体" w:cs="宋体"/>
                <w:sz w:val="24"/>
                <w:szCs w:val="24"/>
                <w:lang w:val="en-US" w:eastAsia="zh-CN"/>
              </w:rPr>
            </w:pPr>
          </w:p>
          <w:p w14:paraId="4EE1CAC0">
            <w:pPr>
              <w:keepNext w:val="0"/>
              <w:keepLines w:val="0"/>
              <w:pageBreakBefore w:val="0"/>
              <w:widowControl/>
              <w:kinsoku/>
              <w:wordWrap/>
              <w:overflowPunct/>
              <w:topLinePunct w:val="0"/>
              <w:autoSpaceDE/>
              <w:autoSpaceDN/>
              <w:bidi w:val="0"/>
              <w:adjustRightInd/>
              <w:snapToGrid/>
              <w:spacing w:afterAutospacing="0" w:line="560" w:lineRule="atLeast"/>
              <w:jc w:val="left"/>
              <w:textAlignment w:val="auto"/>
              <w:outlineLvl w:val="9"/>
              <w:rPr>
                <w:rFonts w:hint="eastAsia" w:ascii="宋体" w:hAnsi="宋体" w:eastAsia="宋体" w:cs="宋体"/>
                <w:i w:val="0"/>
                <w:color w:val="000000"/>
                <w:sz w:val="24"/>
                <w:szCs w:val="24"/>
                <w:u w:val="none"/>
              </w:rPr>
            </w:pPr>
          </w:p>
        </w:tc>
      </w:tr>
      <w:tr w14:paraId="6578F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AFA0CB">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14:paraId="2040C3B7">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F312C">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43A74">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631B">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A6DA0">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14:paraId="36FDC5F8">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247AC">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8A6BB">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14:paraId="0F0D33CB">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48A71B">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14:paraId="0C5A2FE4">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14:paraId="61397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72"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70911">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24EA8">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14:paraId="6405CD04">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741E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57F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C666D">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2FF0">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14:paraId="7C540813">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rPr>
            </w:pPr>
            <w:r>
              <w:rPr>
                <w:rFonts w:hint="default" w:ascii="Times New Roman" w:hAnsi="Times New Roman" w:eastAsia="宋体" w:cs="Times New Roman"/>
                <w:i w:val="0"/>
                <w:color w:val="000000"/>
                <w:kern w:val="0"/>
                <w:sz w:val="24"/>
                <w:szCs w:val="24"/>
                <w:u w:val="none"/>
                <w:lang w:val="en-US" w:eastAsia="zh-CN" w:bidi="ar"/>
              </w:rPr>
              <w:t>性质</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8EF3A">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C1DC">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1027" w:type="dxa"/>
            <w:gridSpan w:val="2"/>
            <w:tcBorders>
              <w:left w:val="single" w:color="000000" w:sz="4" w:space="0"/>
              <w:bottom w:val="single" w:color="000000" w:sz="4" w:space="0"/>
              <w:right w:val="single" w:color="000000" w:sz="4" w:space="0"/>
            </w:tcBorders>
            <w:shd w:val="clear" w:color="auto" w:fill="auto"/>
            <w:vAlign w:val="center"/>
          </w:tcPr>
          <w:p w14:paraId="43F1522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kern w:val="0"/>
                <w:sz w:val="24"/>
                <w:szCs w:val="24"/>
                <w:u w:val="none"/>
                <w:lang w:val="en-US" w:eastAsia="zh-CN" w:bidi="ar"/>
              </w:rPr>
              <w:t>权重</w:t>
            </w:r>
          </w:p>
        </w:tc>
      </w:tr>
      <w:tr w14:paraId="7FFD1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5"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7C123">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81AF0">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2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7F46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D58D1">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50D8A9">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eastAsia="zh-CN"/>
              </w:rPr>
              <w:t>单位项目数</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61AD2">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EFDA">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8</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079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项</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3D9E1">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15%</w:t>
            </w:r>
          </w:p>
        </w:tc>
      </w:tr>
      <w:tr w14:paraId="707FD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65"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3C0BB">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5B2B1">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2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48038">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8938D">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6037C">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val="en-US" w:eastAsia="zh-CN"/>
              </w:rPr>
              <w:t>安全生产2025年歌舞团文艺演出等相关工作</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8A93">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E3357">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100</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ECE1">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8CFB6">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15%</w:t>
            </w:r>
          </w:p>
        </w:tc>
      </w:tr>
      <w:tr w14:paraId="542DD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535"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38BA7">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AE2EE">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273" w:type="dxa"/>
            <w:gridSpan w:val="2"/>
            <w:vMerge w:val="continue"/>
            <w:tcBorders>
              <w:top w:val="single" w:color="000000" w:sz="4" w:space="0"/>
              <w:left w:val="single" w:color="000000" w:sz="4" w:space="0"/>
              <w:right w:val="single" w:color="000000" w:sz="4" w:space="0"/>
            </w:tcBorders>
            <w:shd w:val="clear" w:color="auto" w:fill="auto"/>
            <w:vAlign w:val="center"/>
          </w:tcPr>
          <w:p w14:paraId="2AA36C80">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AE0D5">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27041">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及时完成</w:t>
            </w:r>
            <w:r>
              <w:rPr>
                <w:rFonts w:hint="eastAsia" w:eastAsia="宋体" w:cs="Times New Roman"/>
                <w:i w:val="0"/>
                <w:color w:val="000000"/>
                <w:sz w:val="24"/>
                <w:szCs w:val="24"/>
                <w:u w:val="none"/>
                <w:lang w:val="en-US" w:eastAsia="zh-CN"/>
              </w:rPr>
              <w:t>2025年</w:t>
            </w:r>
            <w:r>
              <w:rPr>
                <w:rFonts w:hint="eastAsia" w:eastAsia="宋体" w:cs="Times New Roman"/>
                <w:i w:val="0"/>
                <w:color w:val="000000"/>
                <w:sz w:val="24"/>
                <w:szCs w:val="24"/>
                <w:u w:val="none"/>
                <w:lang w:eastAsia="zh-CN"/>
              </w:rPr>
              <w:t>文艺演出及文艺作品创作</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3522">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sz w:val="24"/>
                <w:szCs w:val="24"/>
                <w:u w:val="none"/>
                <w:lang w:eastAsia="zh-CN"/>
              </w:rPr>
              <w:t>≥</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A183">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90</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6540">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08A63">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r>
      <w:tr w14:paraId="1B1B4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0"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9983A">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CDCD5">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2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36EE01">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AC22">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79F8DFC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kern w:val="0"/>
                <w:sz w:val="24"/>
                <w:szCs w:val="24"/>
                <w:u w:val="none"/>
                <w:lang w:val="en-US" w:eastAsia="zh-CN" w:bidi="ar"/>
              </w:rPr>
              <w:t>指标</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6B325">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丰富广大群众文化生活增加幸福感</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C518E">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A589">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85</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2CDE">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B72D4A">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r>
      <w:tr w14:paraId="59338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8"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C28C0">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521B9">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2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B1268">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385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val="en-US" w:eastAsia="zh-CN"/>
              </w:rPr>
              <w:t>可持续影响指标</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ED9F4">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eastAsia="zh-CN"/>
              </w:rPr>
              <w:t>文化保护宣传力度</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F946">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定性</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D010">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eastAsia="zh-CN"/>
              </w:rPr>
              <w:t>成效显著</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05AC4">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项</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FC9943">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r>
    </w:tbl>
    <w:p w14:paraId="39765017">
      <w:pPr>
        <w:pStyle w:val="6"/>
        <w:pageBreakBefore w:val="0"/>
        <w:kinsoku/>
        <w:wordWrap/>
        <w:overflowPunct/>
        <w:topLinePunct w:val="0"/>
        <w:bidi w:val="0"/>
        <w:spacing w:line="560" w:lineRule="atLeast"/>
        <w:rPr>
          <w:rFonts w:hint="eastAsia" w:ascii="Times New Roman" w:hAnsi="Times New Roman" w:cs="宋体"/>
          <w:color w:val="FF0000"/>
          <w:kern w:val="0"/>
          <w:sz w:val="32"/>
          <w:szCs w:val="32"/>
          <w:highlight w:val="yellow"/>
          <w:shd w:val="clear" w:color="auto" w:fill="FFFFFF"/>
          <w:lang w:val="zh-CN"/>
        </w:rPr>
      </w:pPr>
    </w:p>
    <w:p w14:paraId="1ED98E4E">
      <w:pPr>
        <w:pageBreakBefore w:val="0"/>
        <w:kinsoku/>
        <w:wordWrap/>
        <w:overflowPunct/>
        <w:topLinePunct w:val="0"/>
        <w:bidi w:val="0"/>
        <w:spacing w:line="560" w:lineRule="atLeast"/>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09835892">
      <w:pPr>
        <w:pStyle w:val="6"/>
        <w:pageBreakBefore w:val="0"/>
        <w:kinsoku/>
        <w:wordWrap/>
        <w:overflowPunct/>
        <w:topLinePunct w:val="0"/>
        <w:bidi w:val="0"/>
        <w:spacing w:line="560" w:lineRule="atLeast"/>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r>
        <w:rPr>
          <w:rFonts w:hint="eastAsia" w:ascii="Times New Roman" w:eastAsia="黑体" w:cs="黑体"/>
          <w:color w:val="auto"/>
          <w:kern w:val="0"/>
          <w:sz w:val="32"/>
          <w:szCs w:val="32"/>
          <w:highlight w:val="none"/>
          <w:shd w:val="clear" w:color="auto" w:fill="FFFFFF"/>
          <w:lang w:val="en-US" w:eastAsia="zh-CN"/>
        </w:rPr>
        <w:t>：</w:t>
      </w:r>
    </w:p>
    <w:p w14:paraId="0A7D0BB0">
      <w:pPr>
        <w:pStyle w:val="37"/>
        <w:keepNext w:val="0"/>
        <w:keepLines w:val="0"/>
        <w:pageBreakBefore w:val="0"/>
        <w:widowControl w:val="0"/>
        <w:kinsoku/>
        <w:wordWrap/>
        <w:overflowPunct/>
        <w:topLinePunct w:val="0"/>
        <w:autoSpaceDE/>
        <w:autoSpaceDN/>
        <w:bidi w:val="0"/>
        <w:spacing w:line="560" w:lineRule="atLeas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64D1D74D">
      <w:pPr>
        <w:pStyle w:val="37"/>
        <w:pageBreakBefore w:val="0"/>
        <w:kinsoku/>
        <w:wordWrap/>
        <w:overflowPunct/>
        <w:topLinePunct w:val="0"/>
        <w:bidi w:val="0"/>
        <w:spacing w:line="560" w:lineRule="atLeast"/>
        <w:jc w:val="center"/>
        <w:rPr>
          <w:rFonts w:hint="eastAsia" w:ascii="Times New Roman" w:hAnsi="Times New Roman" w:eastAsia="方正小标宋简体"/>
          <w:color w:val="auto"/>
          <w:kern w:val="2"/>
          <w:sz w:val="44"/>
          <w:szCs w:val="44"/>
          <w:lang w:val="en-US"/>
        </w:rPr>
      </w:pPr>
      <w:bookmarkStart w:id="47" w:name="_Toc15396618"/>
      <w:r>
        <w:rPr>
          <w:rFonts w:hint="eastAsia" w:ascii="Times New Roman" w:hAnsi="Times New Roman" w:eastAsia="方正小标宋简体"/>
          <w:color w:val="auto"/>
          <w:kern w:val="2"/>
          <w:sz w:val="44"/>
          <w:szCs w:val="44"/>
          <w:lang w:val="en-US"/>
        </w:rPr>
        <w:t>阿坝州民族歌舞团</w:t>
      </w:r>
    </w:p>
    <w:p w14:paraId="715878DA">
      <w:pPr>
        <w:pStyle w:val="37"/>
        <w:pageBreakBefore w:val="0"/>
        <w:kinsoku/>
        <w:wordWrap/>
        <w:overflowPunct/>
        <w:topLinePunct w:val="0"/>
        <w:bidi w:val="0"/>
        <w:spacing w:line="560" w:lineRule="atLeast"/>
        <w:jc w:val="center"/>
        <w:rPr>
          <w:rFonts w:ascii="Times New Roman" w:hAnsi="Times New Roman" w:eastAsia="方正小标宋简体"/>
          <w:color w:val="auto"/>
          <w:kern w:val="2"/>
          <w:sz w:val="44"/>
          <w:szCs w:val="44"/>
          <w:lang w:val="en-US"/>
        </w:rPr>
      </w:pPr>
      <w:r>
        <w:rPr>
          <w:rFonts w:hint="eastAsia" w:ascii="Times New Roman" w:hAnsi="Times New Roman" w:eastAsia="方正小标宋简体"/>
          <w:color w:val="auto"/>
          <w:kern w:val="2"/>
          <w:sz w:val="44"/>
          <w:szCs w:val="44"/>
          <w:lang w:val="en-US"/>
        </w:rPr>
        <w:t>关于2025年《牦牛革命》北京大学演出剧场服务费项目</w:t>
      </w:r>
      <w:r>
        <w:rPr>
          <w:rFonts w:ascii="Times New Roman" w:hAnsi="Times New Roman" w:eastAsia="方正小标宋简体"/>
          <w:color w:val="auto"/>
          <w:kern w:val="2"/>
          <w:sz w:val="44"/>
          <w:szCs w:val="44"/>
          <w:lang w:val="en-US"/>
        </w:rPr>
        <w:t>绩效自评报告</w:t>
      </w:r>
    </w:p>
    <w:p w14:paraId="6697DCEC">
      <w:pPr>
        <w:pageBreakBefore w:val="0"/>
        <w:kinsoku/>
        <w:wordWrap/>
        <w:overflowPunct/>
        <w:topLinePunct w:val="0"/>
        <w:bidi w:val="0"/>
        <w:adjustRightInd w:val="0"/>
        <w:snapToGrid w:val="0"/>
        <w:spacing w:line="560" w:lineRule="atLeast"/>
        <w:rPr>
          <w:rFonts w:hint="eastAsia" w:ascii="仿宋" w:hAnsi="仿宋" w:eastAsia="仿宋" w:cs="仿宋"/>
          <w:color w:val="000000"/>
          <w:sz w:val="32"/>
          <w:szCs w:val="32"/>
        </w:rPr>
      </w:pPr>
    </w:p>
    <w:p w14:paraId="47ABC1D6">
      <w:pPr>
        <w:pageBreakBefore w:val="0"/>
        <w:kinsoku/>
        <w:wordWrap/>
        <w:overflowPunct/>
        <w:topLinePunct w:val="0"/>
        <w:autoSpaceDE/>
        <w:autoSpaceDN/>
        <w:bidi w:val="0"/>
        <w:adjustRightInd w:val="0"/>
        <w:snapToGrid w:val="0"/>
        <w:spacing w:line="560" w:lineRule="atLeast"/>
        <w:ind w:firstLine="640" w:firstLineChars="200"/>
        <w:rPr>
          <w:rFonts w:eastAsia="黑体"/>
          <w:sz w:val="32"/>
          <w:szCs w:val="32"/>
          <w:lang w:val="zh-CN"/>
        </w:rPr>
      </w:pPr>
      <w:r>
        <w:rPr>
          <w:rFonts w:eastAsia="黑体"/>
          <w:sz w:val="32"/>
          <w:szCs w:val="32"/>
        </w:rPr>
        <w:t>一、</w:t>
      </w:r>
      <w:r>
        <w:rPr>
          <w:rFonts w:eastAsia="黑体"/>
          <w:sz w:val="32"/>
          <w:szCs w:val="32"/>
          <w:lang w:val="zh-CN"/>
        </w:rPr>
        <w:t>项目概况</w:t>
      </w:r>
    </w:p>
    <w:p w14:paraId="1906E647">
      <w:pPr>
        <w:pageBreakBefore w:val="0"/>
        <w:widowControl/>
        <w:kinsoku/>
        <w:wordWrap/>
        <w:overflowPunct/>
        <w:topLinePunct w:val="0"/>
        <w:autoSpaceDE/>
        <w:autoSpaceDN/>
        <w:bidi w:val="0"/>
        <w:adjustRightInd w:val="0"/>
        <w:snapToGrid w:val="0"/>
        <w:spacing w:line="560" w:lineRule="atLeast"/>
        <w:ind w:firstLine="321" w:firstLineChars="100"/>
        <w:contextualSpacing/>
        <w:jc w:val="left"/>
        <w:rPr>
          <w:rFonts w:hint="eastAsia" w:ascii="楷体" w:hAnsi="楷体" w:eastAsia="楷体" w:cs="楷体"/>
          <w:b/>
          <w:sz w:val="32"/>
          <w:szCs w:val="32"/>
          <w:lang w:val="zh-CN"/>
        </w:rPr>
      </w:pPr>
      <w:r>
        <w:rPr>
          <w:rFonts w:hint="eastAsia" w:ascii="楷体" w:hAnsi="楷体" w:eastAsia="楷体" w:cs="楷体"/>
          <w:b/>
          <w:sz w:val="32"/>
          <w:szCs w:val="32"/>
          <w:lang w:val="zh-CN"/>
        </w:rPr>
        <w:t>（一）设立背景及基本情况</w:t>
      </w:r>
    </w:p>
    <w:p w14:paraId="332C8FF0">
      <w:pPr>
        <w:pageBreakBefore w:val="0"/>
        <w:widowControl/>
        <w:kinsoku/>
        <w:wordWrap/>
        <w:overflowPunct/>
        <w:topLinePunct w:val="0"/>
        <w:autoSpaceDE/>
        <w:autoSpaceDN/>
        <w:bidi w:val="0"/>
        <w:adjustRightInd w:val="0"/>
        <w:snapToGrid w:val="0"/>
        <w:spacing w:line="560" w:lineRule="atLeast"/>
        <w:ind w:firstLine="640" w:firstLineChars="200"/>
        <w:contextualSpacing/>
        <w:rPr>
          <w:rFonts w:hint="eastAsia" w:ascii="仿宋" w:hAnsi="仿宋" w:eastAsia="仿宋" w:cs="仿宋"/>
          <w:b/>
          <w:sz w:val="32"/>
          <w:szCs w:val="32"/>
          <w:lang w:val="zh-CN"/>
        </w:rPr>
      </w:pPr>
      <w:r>
        <w:rPr>
          <w:rFonts w:hint="eastAsia" w:ascii="仿宋" w:hAnsi="仿宋" w:eastAsia="仿宋" w:cs="仿宋"/>
          <w:sz w:val="32"/>
          <w:szCs w:val="32"/>
        </w:rPr>
        <w:t>2025年4月28日在北京大学百周年纪念讲堂演出剧目《牦牛革命》，</w:t>
      </w:r>
      <w:r>
        <w:rPr>
          <w:rFonts w:hint="eastAsia" w:ascii="仿宋" w:hAnsi="仿宋" w:eastAsia="仿宋" w:cs="仿宋"/>
          <w:color w:val="1F2329"/>
          <w:sz w:val="32"/>
          <w:szCs w:val="32"/>
        </w:rPr>
        <w:t>以音乐剧形式在北大这一顶尖学府再现 “牦牛革命” 历史，让长征精神、雪山草地精神可看可感。展现阿坝各族群众倾其所有支援红军的军民鱼水情，铸牢中华民族共同体意识。</w:t>
      </w:r>
      <w:r>
        <w:rPr>
          <w:rFonts w:hint="eastAsia" w:ascii="仿宋" w:hAnsi="仿宋" w:eastAsia="仿宋" w:cs="仿宋"/>
          <w:sz w:val="32"/>
          <w:szCs w:val="32"/>
        </w:rPr>
        <w:t xml:space="preserve"> </w:t>
      </w:r>
      <w:r>
        <w:rPr>
          <w:rFonts w:hint="eastAsia" w:ascii="仿宋" w:hAnsi="仿宋" w:eastAsia="仿宋" w:cs="仿宋"/>
          <w:color w:val="1F2329"/>
          <w:sz w:val="32"/>
          <w:szCs w:val="32"/>
        </w:rPr>
        <w:t>推动阿坝红色文化走出高原，走进国家最高学府。提升《牦牛革命》与阿坝红色文旅的全国知名度。填补高校红色艺术展演的地域空白，让边远民族地区的优秀红色文艺作品获得更广泛传播。以音乐剧这一青年喜爱的艺术形式，让红色历史更具感染力与传播力，适配高校美育与思政教育需求。搭建民族文化与高校文化交流的桥梁，促进藏羌民族艺术与主流文化的融合传播。</w:t>
      </w:r>
      <w:r>
        <w:rPr>
          <w:rFonts w:hint="eastAsia" w:ascii="仿宋" w:hAnsi="仿宋" w:eastAsia="仿宋" w:cs="仿宋"/>
          <w:sz w:val="32"/>
          <w:szCs w:val="32"/>
        </w:rPr>
        <w:t>北大百周年纪念讲堂为国家级专业演出场地，此次演出需支付剧场租赁费29.8万元，项目资金来源为国家艺术基金；</w:t>
      </w:r>
      <w:r>
        <w:rPr>
          <w:rFonts w:hint="eastAsia" w:ascii="仿宋" w:hAnsi="仿宋" w:eastAsia="仿宋" w:cs="仿宋"/>
          <w:bCs/>
          <w:sz w:val="32"/>
          <w:szCs w:val="32"/>
        </w:rPr>
        <w:t>单位职能为</w:t>
      </w:r>
      <w:r>
        <w:rPr>
          <w:rFonts w:hint="eastAsia" w:ascii="仿宋" w:hAnsi="仿宋" w:eastAsia="仿宋" w:cs="仿宋"/>
          <w:kern w:val="0"/>
          <w:sz w:val="32"/>
          <w:szCs w:val="32"/>
          <w:shd w:val="clear" w:color="auto" w:fill="FFFFFF"/>
          <w:lang w:val="zh-CN"/>
        </w:rPr>
        <w:t>创作演出优秀民族歌舞剧目，为群众服务，舞台艺术作品创作，演出艺术普及推广，艺术创作表演人才培养</w:t>
      </w:r>
      <w:r>
        <w:rPr>
          <w:rFonts w:hint="eastAsia" w:ascii="仿宋" w:hAnsi="仿宋" w:eastAsia="仿宋" w:cs="仿宋"/>
          <w:kern w:val="0"/>
          <w:sz w:val="32"/>
          <w:szCs w:val="32"/>
          <w:shd w:val="clear" w:color="auto" w:fill="FFFFFF"/>
        </w:rPr>
        <w:t>.</w:t>
      </w:r>
    </w:p>
    <w:p w14:paraId="6D6863FD">
      <w:pPr>
        <w:pageBreakBefore w:val="0"/>
        <w:widowControl/>
        <w:numPr>
          <w:ilvl w:val="0"/>
          <w:numId w:val="6"/>
        </w:numPr>
        <w:kinsoku/>
        <w:wordWrap/>
        <w:overflowPunct/>
        <w:topLinePunct w:val="0"/>
        <w:autoSpaceDE/>
        <w:autoSpaceDN/>
        <w:bidi w:val="0"/>
        <w:adjustRightInd w:val="0"/>
        <w:snapToGrid w:val="0"/>
        <w:spacing w:line="560" w:lineRule="atLeast"/>
        <w:ind w:firstLine="321" w:firstLineChars="100"/>
        <w:contextualSpacing/>
        <w:rPr>
          <w:rFonts w:hint="eastAsia" w:ascii="楷体" w:hAnsi="楷体" w:eastAsia="楷体" w:cs="楷体"/>
          <w:b/>
          <w:sz w:val="32"/>
          <w:szCs w:val="32"/>
        </w:rPr>
      </w:pPr>
      <w:r>
        <w:rPr>
          <w:rFonts w:hint="eastAsia" w:ascii="楷体" w:hAnsi="楷体" w:eastAsia="楷体" w:cs="楷体"/>
          <w:b/>
          <w:sz w:val="32"/>
          <w:szCs w:val="32"/>
        </w:rPr>
        <w:t>实施目的及支持方向</w:t>
      </w:r>
    </w:p>
    <w:p w14:paraId="5397FE1B">
      <w:pPr>
        <w:pageBreakBefore w:val="0"/>
        <w:widowControl/>
        <w:kinsoku/>
        <w:wordWrap/>
        <w:overflowPunct/>
        <w:topLinePunct w:val="0"/>
        <w:autoSpaceDE/>
        <w:autoSpaceDN/>
        <w:bidi w:val="0"/>
        <w:adjustRightInd w:val="0"/>
        <w:snapToGrid w:val="0"/>
        <w:spacing w:line="560" w:lineRule="atLeast"/>
        <w:ind w:firstLine="640" w:firstLineChars="200"/>
        <w:contextualSpacing/>
        <w:rPr>
          <w:rFonts w:hint="eastAsia" w:ascii="仿宋" w:hAnsi="仿宋" w:eastAsia="仿宋" w:cs="仿宋"/>
          <w:sz w:val="32"/>
          <w:szCs w:val="32"/>
          <w:lang w:val="zh-CN"/>
        </w:rPr>
      </w:pPr>
      <w:r>
        <w:rPr>
          <w:rFonts w:hint="eastAsia" w:ascii="仿宋" w:hAnsi="仿宋" w:eastAsia="仿宋" w:cs="仿宋"/>
          <w:sz w:val="32"/>
          <w:szCs w:val="32"/>
        </w:rPr>
        <w:t>依托北大平台，以红色音乐剧为载体，实现四大核心目标：传承红色基因向北大青年师生再现“牦牛革命”历史与雪山草地精神，强化思政教育，筑牢青年理想信念。借助北大影响力，提升《牦牛革命》及阿坝红色文化知名度，打造特色红色文化IP。作为阿坝北京推介核心环节，联动文旅资源，吸引青年关注阿坝，推动革命老区振兴。落实高雅艺术进校园政策，丰富师生文化生活，搭建民族文化与高校文化交流桥梁。规范使用专项经费，保障演出各环节有序推进，彰显项目精品定位与品牌价值。围绕四大维度，保障演出顺利实施、价值落地：剧场服务费：支付北大百周年纪念讲堂租赁及配套服务29.8万元，应对演出突发情协调讲堂场地交付与调度，配合完成装拆台、彩排等工作。提供灯光、音响等技术调试与维护，保障演出声画质量。落实安保、消防工作，保障人员安全与演出秩序。进行北大校内渠道宣传，组织师生观看，扩大校内影响力。联动阿坝文旅及北京媒体，提升演出与阿坝文旅全国关注度。现场设置宣传物料，强化文化传播与文旅推介效果。</w:t>
      </w:r>
    </w:p>
    <w:p w14:paraId="4E78A8AF">
      <w:pPr>
        <w:pageBreakBefore w:val="0"/>
        <w:widowControl/>
        <w:numPr>
          <w:ilvl w:val="0"/>
          <w:numId w:val="6"/>
        </w:numPr>
        <w:kinsoku/>
        <w:wordWrap/>
        <w:overflowPunct/>
        <w:topLinePunct w:val="0"/>
        <w:autoSpaceDE/>
        <w:autoSpaceDN/>
        <w:bidi w:val="0"/>
        <w:adjustRightInd w:val="0"/>
        <w:snapToGrid w:val="0"/>
        <w:spacing w:line="560" w:lineRule="atLeast"/>
        <w:ind w:firstLine="321" w:firstLineChars="100"/>
        <w:contextualSpacing/>
        <w:jc w:val="left"/>
        <w:rPr>
          <w:rFonts w:eastAsia="楷体_GB2312"/>
          <w:b/>
          <w:sz w:val="32"/>
          <w:szCs w:val="32"/>
          <w:lang w:val="zh-CN"/>
        </w:rPr>
      </w:pPr>
      <w:r>
        <w:rPr>
          <w:rFonts w:eastAsia="楷体_GB2312"/>
          <w:b/>
          <w:sz w:val="32"/>
          <w:szCs w:val="32"/>
        </w:rPr>
        <w:t>预算安排及分配管理</w:t>
      </w:r>
    </w:p>
    <w:p w14:paraId="0A8D46DB">
      <w:pPr>
        <w:pageBreakBefore w:val="0"/>
        <w:widowControl/>
        <w:kinsoku/>
        <w:wordWrap/>
        <w:overflowPunct/>
        <w:topLinePunct w:val="0"/>
        <w:autoSpaceDE/>
        <w:autoSpaceDN/>
        <w:bidi w:val="0"/>
        <w:adjustRightInd w:val="0"/>
        <w:snapToGrid w:val="0"/>
        <w:spacing w:line="560" w:lineRule="atLeast"/>
        <w:ind w:firstLine="640" w:firstLineChars="200"/>
        <w:contextualSpacing/>
        <w:rPr>
          <w:rFonts w:hint="eastAsia" w:ascii="仿宋" w:hAnsi="仿宋" w:eastAsia="仿宋" w:cs="仿宋"/>
          <w:sz w:val="32"/>
          <w:szCs w:val="32"/>
        </w:rPr>
      </w:pPr>
      <w:r>
        <w:rPr>
          <w:rFonts w:hint="eastAsia" w:ascii="仿宋" w:hAnsi="仿宋" w:eastAsia="仿宋" w:cs="仿宋"/>
          <w:sz w:val="32"/>
          <w:szCs w:val="32"/>
        </w:rPr>
        <w:t>剧场服务费29.8万元，资金来源为国家艺术基金，2025年支付28.9万元，资金支付率100%。</w:t>
      </w:r>
    </w:p>
    <w:p w14:paraId="5EE0E697">
      <w:pPr>
        <w:pageBreakBefore w:val="0"/>
        <w:numPr>
          <w:ilvl w:val="0"/>
          <w:numId w:val="6"/>
        </w:numPr>
        <w:kinsoku/>
        <w:wordWrap/>
        <w:overflowPunct/>
        <w:topLinePunct w:val="0"/>
        <w:autoSpaceDE/>
        <w:autoSpaceDN/>
        <w:bidi w:val="0"/>
        <w:adjustRightInd w:val="0"/>
        <w:snapToGrid w:val="0"/>
        <w:spacing w:line="560" w:lineRule="atLeast"/>
        <w:ind w:firstLine="321" w:firstLineChars="100"/>
        <w:rPr>
          <w:rFonts w:eastAsia="楷体_GB2312"/>
          <w:b/>
          <w:sz w:val="32"/>
          <w:szCs w:val="32"/>
          <w:lang w:val="zh-CN"/>
        </w:rPr>
      </w:pPr>
      <w:r>
        <w:rPr>
          <w:rFonts w:eastAsia="楷体_GB2312"/>
          <w:b/>
          <w:sz w:val="32"/>
          <w:szCs w:val="32"/>
          <w:lang w:val="zh-CN"/>
        </w:rPr>
        <w:t>项目绩效目标设置</w:t>
      </w:r>
    </w:p>
    <w:p w14:paraId="79A9D386">
      <w:pPr>
        <w:pStyle w:val="2"/>
        <w:pageBreakBefore w:val="0"/>
        <w:kinsoku/>
        <w:wordWrap/>
        <w:overflowPunct/>
        <w:topLinePunct w:val="0"/>
        <w:autoSpaceDE/>
        <w:autoSpaceDN/>
        <w:bidi w:val="0"/>
        <w:spacing w:line="560" w:lineRule="atLeast"/>
        <w:jc w:val="cente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2025年《牦牛革命》北京大学演出剧场服务费项目绩效目标表</w:t>
      </w:r>
    </w:p>
    <w:tbl>
      <w:tblPr>
        <w:tblStyle w:val="19"/>
        <w:tblW w:w="9016" w:type="dxa"/>
        <w:tblInd w:w="96" w:type="dxa"/>
        <w:tblLayout w:type="autofit"/>
        <w:tblCellMar>
          <w:top w:w="0" w:type="dxa"/>
          <w:left w:w="108" w:type="dxa"/>
          <w:bottom w:w="0" w:type="dxa"/>
          <w:right w:w="108" w:type="dxa"/>
        </w:tblCellMar>
      </w:tblPr>
      <w:tblGrid>
        <w:gridCol w:w="1283"/>
        <w:gridCol w:w="1283"/>
        <w:gridCol w:w="2599"/>
        <w:gridCol w:w="1283"/>
        <w:gridCol w:w="1283"/>
        <w:gridCol w:w="1285"/>
      </w:tblGrid>
      <w:tr w14:paraId="4BEE6C77">
        <w:tblPrEx>
          <w:tblCellMar>
            <w:top w:w="0" w:type="dxa"/>
            <w:left w:w="108" w:type="dxa"/>
            <w:bottom w:w="0" w:type="dxa"/>
            <w:right w:w="108" w:type="dxa"/>
          </w:tblCellMar>
        </w:tblPrEx>
        <w:trPr>
          <w:trHeight w:val="646"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2FCA1C31">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43EA108C">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二级指标</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44672812">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三级指标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14DC1AB4">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指标性质</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039834BA">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指标值</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36EF043D">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度量单位</w:t>
            </w:r>
          </w:p>
        </w:tc>
      </w:tr>
      <w:tr w14:paraId="26051E81">
        <w:tblPrEx>
          <w:tblCellMar>
            <w:top w:w="0" w:type="dxa"/>
            <w:left w:w="108" w:type="dxa"/>
            <w:bottom w:w="0" w:type="dxa"/>
            <w:right w:w="108" w:type="dxa"/>
          </w:tblCellMar>
        </w:tblPrEx>
        <w:trPr>
          <w:trHeight w:val="464" w:hRule="atLeast"/>
        </w:trPr>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E5E160E">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2133F58">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数量指标</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6C569517">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完成北京大学牦牛革命演出</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2E585E8B">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1F83EFF0">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3884C253">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场</w:t>
            </w:r>
          </w:p>
        </w:tc>
      </w:tr>
      <w:tr w14:paraId="5432B1B7">
        <w:tblPrEx>
          <w:tblCellMar>
            <w:top w:w="0" w:type="dxa"/>
            <w:left w:w="108" w:type="dxa"/>
            <w:bottom w:w="0" w:type="dxa"/>
            <w:right w:w="108" w:type="dxa"/>
          </w:tblCellMar>
        </w:tblPrEx>
        <w:trPr>
          <w:trHeight w:val="464" w:hRule="atLeast"/>
        </w:trPr>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67F16D">
            <w:pPr>
              <w:pageBreakBefore w:val="0"/>
              <w:kinsoku/>
              <w:wordWrap/>
              <w:overflowPunct/>
              <w:topLinePunct w:val="0"/>
              <w:autoSpaceDE/>
              <w:autoSpaceDN/>
              <w:bidi w:val="0"/>
              <w:spacing w:line="560" w:lineRule="atLeast"/>
              <w:jc w:val="center"/>
              <w:rPr>
                <w:rFonts w:hint="eastAsia" w:ascii="宋体" w:hAnsi="宋体" w:eastAsia="宋体" w:cs="宋体"/>
                <w:color w:val="000000"/>
                <w:sz w:val="18"/>
                <w:szCs w:val="18"/>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E48B6">
            <w:pPr>
              <w:pageBreakBefore w:val="0"/>
              <w:kinsoku/>
              <w:wordWrap/>
              <w:overflowPunct/>
              <w:topLinePunct w:val="0"/>
              <w:autoSpaceDE/>
              <w:autoSpaceDN/>
              <w:bidi w:val="0"/>
              <w:spacing w:line="560" w:lineRule="atLeast"/>
              <w:jc w:val="center"/>
              <w:rPr>
                <w:rFonts w:hint="eastAsia" w:ascii="宋体" w:hAnsi="宋体" w:eastAsia="宋体" w:cs="宋体"/>
                <w:color w:val="000000"/>
                <w:sz w:val="18"/>
                <w:szCs w:val="18"/>
              </w:rPr>
            </w:pP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44EFE577">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完成演出舞台拆台</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0576B960">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2C7F0223">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07BA78CD">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次</w:t>
            </w:r>
          </w:p>
        </w:tc>
      </w:tr>
      <w:tr w14:paraId="31346FA2">
        <w:tblPrEx>
          <w:tblCellMar>
            <w:top w:w="0" w:type="dxa"/>
            <w:left w:w="108" w:type="dxa"/>
            <w:bottom w:w="0" w:type="dxa"/>
            <w:right w:w="108" w:type="dxa"/>
          </w:tblCellMar>
        </w:tblPrEx>
        <w:trPr>
          <w:trHeight w:val="464" w:hRule="atLeast"/>
        </w:trPr>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BD9BAC">
            <w:pPr>
              <w:pageBreakBefore w:val="0"/>
              <w:kinsoku/>
              <w:wordWrap/>
              <w:overflowPunct/>
              <w:topLinePunct w:val="0"/>
              <w:autoSpaceDE/>
              <w:autoSpaceDN/>
              <w:bidi w:val="0"/>
              <w:spacing w:line="560" w:lineRule="atLeast"/>
              <w:jc w:val="center"/>
              <w:rPr>
                <w:rFonts w:hint="eastAsia" w:ascii="宋体" w:hAnsi="宋体" w:eastAsia="宋体" w:cs="宋体"/>
                <w:color w:val="000000"/>
                <w:sz w:val="18"/>
                <w:szCs w:val="18"/>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D505DF">
            <w:pPr>
              <w:pageBreakBefore w:val="0"/>
              <w:kinsoku/>
              <w:wordWrap/>
              <w:overflowPunct/>
              <w:topLinePunct w:val="0"/>
              <w:autoSpaceDE/>
              <w:autoSpaceDN/>
              <w:bidi w:val="0"/>
              <w:spacing w:line="560" w:lineRule="atLeast"/>
              <w:jc w:val="center"/>
              <w:rPr>
                <w:rFonts w:hint="eastAsia" w:ascii="宋体" w:hAnsi="宋体" w:eastAsia="宋体" w:cs="宋体"/>
                <w:color w:val="000000"/>
                <w:sz w:val="18"/>
                <w:szCs w:val="18"/>
              </w:rPr>
            </w:pP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2A5CBE77">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完成演出舞台装台</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348E130F">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10806BD5">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12E1979A">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次</w:t>
            </w:r>
          </w:p>
        </w:tc>
      </w:tr>
      <w:tr w14:paraId="65766608">
        <w:tblPrEx>
          <w:tblCellMar>
            <w:top w:w="0" w:type="dxa"/>
            <w:left w:w="108" w:type="dxa"/>
            <w:bottom w:w="0" w:type="dxa"/>
            <w:right w:w="108" w:type="dxa"/>
          </w:tblCellMar>
        </w:tblPrEx>
        <w:trPr>
          <w:trHeight w:val="464" w:hRule="atLeast"/>
        </w:trPr>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A2C0C">
            <w:pPr>
              <w:pageBreakBefore w:val="0"/>
              <w:kinsoku/>
              <w:wordWrap/>
              <w:overflowPunct/>
              <w:topLinePunct w:val="0"/>
              <w:autoSpaceDE/>
              <w:autoSpaceDN/>
              <w:bidi w:val="0"/>
              <w:spacing w:line="560" w:lineRule="atLeast"/>
              <w:jc w:val="center"/>
              <w:rPr>
                <w:rFonts w:hint="eastAsia" w:ascii="宋体" w:hAnsi="宋体" w:eastAsia="宋体" w:cs="宋体"/>
                <w:color w:val="000000"/>
                <w:sz w:val="18"/>
                <w:szCs w:val="18"/>
              </w:rPr>
            </w:pP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6AAEAB7D">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质量指标</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69BC9891">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演出舞台装台合格率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4B754C73">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0810B655">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100</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5D0FC9D1">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r>
      <w:tr w14:paraId="2148A600">
        <w:tblPrEx>
          <w:tblCellMar>
            <w:top w:w="0" w:type="dxa"/>
            <w:left w:w="108" w:type="dxa"/>
            <w:bottom w:w="0" w:type="dxa"/>
            <w:right w:w="108" w:type="dxa"/>
          </w:tblCellMar>
        </w:tblPrEx>
        <w:trPr>
          <w:trHeight w:val="89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2EB296E7">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效益指标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234061DC">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社会效益指标</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10521CC7">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推广民族文化，让更多的人了解牦牛革命的伟大事迹</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749BA114">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定性</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74781C6A">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效果显著</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1531BB9E">
            <w:pPr>
              <w:pageBreakBefore w:val="0"/>
              <w:kinsoku/>
              <w:wordWrap/>
              <w:overflowPunct/>
              <w:topLinePunct w:val="0"/>
              <w:autoSpaceDE/>
              <w:autoSpaceDN/>
              <w:bidi w:val="0"/>
              <w:spacing w:line="560" w:lineRule="atLeast"/>
              <w:jc w:val="center"/>
              <w:rPr>
                <w:rFonts w:hint="eastAsia" w:ascii="宋体" w:hAnsi="宋体" w:eastAsia="宋体" w:cs="宋体"/>
                <w:color w:val="000000"/>
                <w:sz w:val="18"/>
                <w:szCs w:val="18"/>
              </w:rPr>
            </w:pPr>
          </w:p>
        </w:tc>
      </w:tr>
      <w:tr w14:paraId="6CCF4DB1">
        <w:tblPrEx>
          <w:tblCellMar>
            <w:top w:w="0" w:type="dxa"/>
            <w:left w:w="108" w:type="dxa"/>
            <w:bottom w:w="0" w:type="dxa"/>
            <w:right w:w="108" w:type="dxa"/>
          </w:tblCellMar>
        </w:tblPrEx>
        <w:trPr>
          <w:trHeight w:val="718"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7BDFAAC7">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满意度指标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49168918">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服务对象满意度指标</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164A4B53">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观看群众满意度</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7F314C51">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447269F1">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80</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52C0E0B0">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r>
      <w:tr w14:paraId="0E73B280">
        <w:tblPrEx>
          <w:tblCellMar>
            <w:top w:w="0" w:type="dxa"/>
            <w:left w:w="108" w:type="dxa"/>
            <w:bottom w:w="0" w:type="dxa"/>
            <w:right w:w="108" w:type="dxa"/>
          </w:tblCellMar>
        </w:tblPrEx>
        <w:trPr>
          <w:trHeight w:val="729"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016CAEFE">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成本指标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7987D38A">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经济成本指标</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4659B75F">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项目总价</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573A4781">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7B499A78">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29.8</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6CA9EA65">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万元</w:t>
            </w:r>
          </w:p>
        </w:tc>
      </w:tr>
    </w:tbl>
    <w:p w14:paraId="5F59F1D1">
      <w:pPr>
        <w:pageBreakBefore w:val="0"/>
        <w:kinsoku/>
        <w:wordWrap/>
        <w:overflowPunct/>
        <w:topLinePunct w:val="0"/>
        <w:autoSpaceDE/>
        <w:autoSpaceDN/>
        <w:bidi w:val="0"/>
        <w:spacing w:line="560" w:lineRule="atLeast"/>
        <w:rPr>
          <w:lang w:val="zh-CN"/>
        </w:rPr>
      </w:pPr>
    </w:p>
    <w:p w14:paraId="1F299C0A">
      <w:pPr>
        <w:pageBreakBefore w:val="0"/>
        <w:kinsoku/>
        <w:wordWrap/>
        <w:overflowPunct/>
        <w:topLinePunct w:val="0"/>
        <w:autoSpaceDE/>
        <w:autoSpaceDN/>
        <w:bidi w:val="0"/>
        <w:adjustRightInd w:val="0"/>
        <w:snapToGrid w:val="0"/>
        <w:spacing w:line="560" w:lineRule="atLeast"/>
        <w:ind w:firstLine="640" w:firstLineChars="200"/>
        <w:rPr>
          <w:rFonts w:eastAsia="黑体"/>
          <w:sz w:val="32"/>
          <w:szCs w:val="32"/>
        </w:rPr>
      </w:pPr>
    </w:p>
    <w:p w14:paraId="7D91C74A">
      <w:pPr>
        <w:pageBreakBefore w:val="0"/>
        <w:kinsoku/>
        <w:wordWrap/>
        <w:overflowPunct/>
        <w:topLinePunct w:val="0"/>
        <w:autoSpaceDE/>
        <w:autoSpaceDN/>
        <w:bidi w:val="0"/>
        <w:adjustRightInd w:val="0"/>
        <w:snapToGrid w:val="0"/>
        <w:spacing w:line="560" w:lineRule="atLeast"/>
        <w:ind w:firstLine="640" w:firstLineChars="200"/>
        <w:rPr>
          <w:rFonts w:eastAsia="黑体"/>
          <w:sz w:val="32"/>
          <w:szCs w:val="32"/>
        </w:rPr>
      </w:pPr>
      <w:r>
        <w:rPr>
          <w:rFonts w:eastAsia="黑体"/>
          <w:sz w:val="32"/>
          <w:szCs w:val="32"/>
        </w:rPr>
        <w:t>二、评价实施</w:t>
      </w:r>
    </w:p>
    <w:p w14:paraId="08BD0A50">
      <w:pPr>
        <w:pageBreakBefore w:val="0"/>
        <w:kinsoku/>
        <w:wordWrap/>
        <w:overflowPunct/>
        <w:topLinePunct w:val="0"/>
        <w:autoSpaceDE/>
        <w:autoSpaceDN/>
        <w:bidi w:val="0"/>
        <w:adjustRightInd w:val="0"/>
        <w:snapToGrid w:val="0"/>
        <w:spacing w:line="560" w:lineRule="atLeast"/>
        <w:ind w:firstLine="643" w:firstLineChars="200"/>
        <w:rPr>
          <w:rFonts w:eastAsia="楷体_GB2312"/>
          <w:b/>
          <w:sz w:val="32"/>
          <w:szCs w:val="32"/>
          <w:lang w:val="zh-CN"/>
        </w:rPr>
      </w:pPr>
      <w:r>
        <w:rPr>
          <w:rFonts w:eastAsia="楷体_GB2312"/>
          <w:b/>
          <w:sz w:val="32"/>
          <w:szCs w:val="32"/>
          <w:lang w:val="zh-CN"/>
        </w:rPr>
        <w:t>（一）评价目的</w:t>
      </w:r>
    </w:p>
    <w:p w14:paraId="6D4DAAFB">
      <w:pPr>
        <w:pageBreakBefore w:val="0"/>
        <w:kinsoku/>
        <w:wordWrap/>
        <w:overflowPunct/>
        <w:topLinePunct w:val="0"/>
        <w:autoSpaceDE/>
        <w:autoSpaceDN/>
        <w:bidi w:val="0"/>
        <w:adjustRightInd w:val="0"/>
        <w:snapToGrid w:val="0"/>
        <w:spacing w:line="560" w:lineRule="atLeast"/>
        <w:ind w:firstLine="640" w:firstLineChars="200"/>
        <w:rPr>
          <w:rFonts w:hint="eastAsia" w:ascii="仿宋" w:hAnsi="仿宋" w:eastAsia="仿宋" w:cs="仿宋"/>
          <w:sz w:val="32"/>
          <w:szCs w:val="32"/>
        </w:rPr>
      </w:pPr>
      <w:r>
        <w:rPr>
          <w:rFonts w:hint="eastAsia" w:ascii="仿宋" w:hAnsi="仿宋" w:eastAsia="仿宋" w:cs="仿宋"/>
          <w:kern w:val="0"/>
          <w:sz w:val="32"/>
          <w:szCs w:val="32"/>
          <w:lang w:bidi="ar"/>
        </w:rPr>
        <w:t>全面评估本次北大演出目标达成情况，核查实施目的、支持方向及预算执行的落地效果。规范管理：排查预算使用、流程执行中的不足，完善经费管理、流程衔接等相关机制，提升项目管理水平。总结演出实施中的经验与问题，为后续《牦牛革命》巡演及高校展演提供参考，提升项目质量与成效。确保项目资金使用合规、绩效达标，落实专款专用要求，接受监督，保障项目公益价值与品牌价值落地。</w:t>
      </w:r>
    </w:p>
    <w:p w14:paraId="65E02B53">
      <w:pPr>
        <w:pageBreakBefore w:val="0"/>
        <w:kinsoku/>
        <w:wordWrap/>
        <w:overflowPunct/>
        <w:topLinePunct w:val="0"/>
        <w:autoSpaceDE/>
        <w:autoSpaceDN/>
        <w:bidi w:val="0"/>
        <w:adjustRightInd w:val="0"/>
        <w:snapToGrid w:val="0"/>
        <w:spacing w:line="560" w:lineRule="atLeast"/>
        <w:ind w:firstLine="643" w:firstLineChars="200"/>
        <w:rPr>
          <w:rFonts w:hint="eastAsia"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（二）</w:t>
      </w:r>
      <w:r>
        <w:rPr>
          <w:rFonts w:ascii="Times New Roman" w:hAnsi="Times New Roman" w:eastAsia="楷体_GB2312" w:cs="Times New Roman"/>
          <w:b/>
          <w:sz w:val="32"/>
          <w:szCs w:val="32"/>
          <w:lang w:val="zh-CN"/>
        </w:rPr>
        <w:t>预设问题及评价重点</w:t>
      </w:r>
    </w:p>
    <w:p w14:paraId="7BBA90D1">
      <w:pPr>
        <w:pageBreakBefore w:val="0"/>
        <w:numPr>
          <w:ilvl w:val="0"/>
          <w:numId w:val="0"/>
        </w:numPr>
        <w:kinsoku/>
        <w:wordWrap/>
        <w:overflowPunct/>
        <w:topLinePunct w:val="0"/>
        <w:autoSpaceDE/>
        <w:autoSpaceDN/>
        <w:bidi w:val="0"/>
        <w:adjustRightInd w:val="0"/>
        <w:snapToGrid w:val="0"/>
        <w:spacing w:line="560" w:lineRule="atLeast"/>
        <w:ind w:firstLine="640" w:firstLineChars="200"/>
        <w:rPr>
          <w:rFonts w:hint="eastAsia" w:ascii="仿宋" w:hAnsi="仿宋" w:eastAsia="仿宋" w:cs="仿宋"/>
          <w:b w:val="0"/>
          <w:bCs/>
          <w:sz w:val="32"/>
          <w:szCs w:val="32"/>
          <w:lang w:val="zh-CN"/>
        </w:rPr>
      </w:pPr>
      <w:r>
        <w:rPr>
          <w:rFonts w:hint="eastAsia" w:ascii="仿宋" w:hAnsi="仿宋" w:eastAsia="仿宋" w:cs="仿宋"/>
          <w:b w:val="0"/>
          <w:bCs/>
          <w:sz w:val="32"/>
          <w:szCs w:val="32"/>
          <w:lang w:val="zh-CN"/>
        </w:rPr>
        <w:t>按照绩效评价指标体系，对资金支出使用全过程及其实施效果进行综合评价和判断。</w:t>
      </w:r>
    </w:p>
    <w:p w14:paraId="6ACC6AEA">
      <w:pPr>
        <w:pageBreakBefore w:val="0"/>
        <w:kinsoku/>
        <w:wordWrap/>
        <w:overflowPunct/>
        <w:topLinePunct w:val="0"/>
        <w:autoSpaceDE/>
        <w:autoSpaceDN/>
        <w:bidi w:val="0"/>
        <w:adjustRightInd w:val="0"/>
        <w:snapToGrid w:val="0"/>
        <w:spacing w:line="560" w:lineRule="atLeast"/>
        <w:ind w:firstLine="643" w:firstLineChars="200"/>
        <w:rPr>
          <w:rFonts w:hint="eastAsia"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（三）评价选点</w:t>
      </w:r>
    </w:p>
    <w:p w14:paraId="085F6803">
      <w:pPr>
        <w:pStyle w:val="2"/>
        <w:pageBreakBefore w:val="0"/>
        <w:kinsoku/>
        <w:wordWrap/>
        <w:overflowPunct/>
        <w:topLinePunct w:val="0"/>
        <w:autoSpaceDE/>
        <w:autoSpaceDN/>
        <w:bidi w:val="0"/>
        <w:spacing w:line="560" w:lineRule="atLeast"/>
        <w:rPr>
          <w:rFonts w:hint="eastAsia" w:ascii="仿宋" w:hAnsi="仿宋" w:eastAsia="仿宋"/>
          <w:sz w:val="32"/>
          <w:szCs w:val="32"/>
          <w:lang w:val="zh-CN"/>
        </w:rPr>
      </w:pPr>
      <w:r>
        <w:rPr>
          <w:rFonts w:hint="eastAsia"/>
          <w:lang w:val="zh-CN"/>
        </w:rPr>
        <w:t xml:space="preserve"> </w:t>
      </w:r>
      <w:r>
        <w:rPr>
          <w:lang w:val="zh-CN"/>
        </w:rPr>
        <w:t xml:space="preserve">       </w:t>
      </w:r>
      <w:r>
        <w:rPr>
          <w:rFonts w:ascii="仿宋" w:hAnsi="仿宋" w:eastAsia="仿宋"/>
          <w:sz w:val="32"/>
          <w:szCs w:val="32"/>
          <w:lang w:val="zh-CN"/>
        </w:rPr>
        <w:t xml:space="preserve">     </w:t>
      </w:r>
      <w:r>
        <w:rPr>
          <w:rFonts w:hint="eastAsia" w:ascii="仿宋" w:hAnsi="仿宋" w:eastAsia="仿宋"/>
          <w:b w:val="0"/>
          <w:bCs/>
          <w:sz w:val="32"/>
          <w:szCs w:val="32"/>
          <w:lang w:val="zh-CN"/>
        </w:rPr>
        <w:t>无</w:t>
      </w:r>
    </w:p>
    <w:p w14:paraId="2E14760F">
      <w:pPr>
        <w:pageBreakBefore w:val="0"/>
        <w:kinsoku/>
        <w:wordWrap/>
        <w:overflowPunct/>
        <w:topLinePunct w:val="0"/>
        <w:autoSpaceDE/>
        <w:autoSpaceDN/>
        <w:bidi w:val="0"/>
        <w:adjustRightInd w:val="0"/>
        <w:snapToGrid w:val="0"/>
        <w:spacing w:line="560" w:lineRule="atLeast"/>
        <w:ind w:firstLine="643" w:firstLineChars="200"/>
        <w:rPr>
          <w:rFonts w:hint="eastAsia"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（四）评价方法</w:t>
      </w:r>
    </w:p>
    <w:p w14:paraId="00C66ADC">
      <w:pPr>
        <w:pageBreakBefore w:val="0"/>
        <w:kinsoku/>
        <w:wordWrap/>
        <w:overflowPunct/>
        <w:topLinePunct w:val="0"/>
        <w:autoSpaceDE/>
        <w:autoSpaceDN/>
        <w:bidi w:val="0"/>
        <w:spacing w:line="560" w:lineRule="atLeast"/>
        <w:ind w:firstLine="960" w:firstLineChars="300"/>
        <w:rPr>
          <w:rFonts w:hint="eastAsia" w:ascii="仿宋" w:hAnsi="仿宋" w:eastAsia="仿宋" w:cs="仿宋"/>
          <w:sz w:val="32"/>
          <w:szCs w:val="32"/>
        </w:rPr>
      </w:pPr>
      <w:r>
        <w:rPr>
          <w:rFonts w:hint="eastAsia" w:ascii="仿宋" w:hAnsi="仿宋" w:eastAsia="仿宋" w:cs="仿宋"/>
          <w:sz w:val="32"/>
          <w:szCs w:val="32"/>
        </w:rPr>
        <w:t>该项目用单位自评法进行评价（项目绩效自评）。</w:t>
      </w:r>
    </w:p>
    <w:p w14:paraId="4ED6EFDD">
      <w:pPr>
        <w:pageBreakBefore w:val="0"/>
        <w:kinsoku/>
        <w:wordWrap/>
        <w:overflowPunct/>
        <w:topLinePunct w:val="0"/>
        <w:autoSpaceDE/>
        <w:autoSpaceDN/>
        <w:bidi w:val="0"/>
        <w:adjustRightInd w:val="0"/>
        <w:snapToGrid w:val="0"/>
        <w:spacing w:line="560" w:lineRule="atLeast"/>
        <w:ind w:firstLine="643" w:firstLineChars="200"/>
        <w:rPr>
          <w:rFonts w:hint="eastAsia"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（五）评价组织</w:t>
      </w:r>
    </w:p>
    <w:p w14:paraId="3B0C45AB">
      <w:pPr>
        <w:pStyle w:val="18"/>
        <w:pageBreakBefore w:val="0"/>
        <w:widowControl/>
        <w:shd w:val="clear" w:color="auto" w:fill="FFFFFF"/>
        <w:kinsoku/>
        <w:wordWrap/>
        <w:overflowPunct/>
        <w:topLinePunct w:val="0"/>
        <w:autoSpaceDE/>
        <w:autoSpaceDN/>
        <w:bidi w:val="0"/>
        <w:spacing w:line="560" w:lineRule="atLeast"/>
        <w:ind w:firstLine="320" w:firstLineChars="100"/>
        <w:rPr>
          <w:rFonts w:hint="eastAsia"/>
        </w:rPr>
      </w:pPr>
      <w:r>
        <w:rPr>
          <w:rFonts w:hint="eastAsia" w:ascii="仿宋" w:hAnsi="仿宋" w:eastAsia="仿宋" w:cs="微软雅黑"/>
          <w:sz w:val="32"/>
          <w:shd w:val="clear" w:color="auto" w:fill="FFFFFF"/>
        </w:rPr>
        <w:t>我单位成立了以团长为组长、分管领导为副组长，相关科室负责人为成员的自评领导小组。通过查阅资料和实地走访对项目完成情况和满意度进行自评。</w:t>
      </w:r>
      <w:r>
        <w:rPr>
          <w:rFonts w:hint="eastAsia"/>
        </w:rPr>
        <w:t xml:space="preserve"> </w:t>
      </w:r>
    </w:p>
    <w:p w14:paraId="3F3D49BE">
      <w:pPr>
        <w:pageBreakBefore w:val="0"/>
        <w:kinsoku/>
        <w:wordWrap/>
        <w:overflowPunct/>
        <w:topLinePunct w:val="0"/>
        <w:autoSpaceDE/>
        <w:autoSpaceDN/>
        <w:bidi w:val="0"/>
        <w:adjustRightInd w:val="0"/>
        <w:snapToGrid w:val="0"/>
        <w:spacing w:line="560" w:lineRule="atLeast"/>
        <w:ind w:firstLine="640" w:firstLineChars="200"/>
        <w:rPr>
          <w:sz w:val="32"/>
          <w:szCs w:val="32"/>
          <w:lang w:val="zh-CN"/>
        </w:rPr>
      </w:pPr>
      <w:r>
        <w:rPr>
          <w:rFonts w:eastAsia="黑体"/>
          <w:sz w:val="32"/>
          <w:szCs w:val="32"/>
        </w:rPr>
        <w:t>三、绩效分析</w:t>
      </w:r>
      <w:r>
        <w:rPr>
          <w:sz w:val="32"/>
          <w:szCs w:val="32"/>
          <w:lang w:val="zh-CN"/>
        </w:rPr>
        <w:tab/>
      </w:r>
    </w:p>
    <w:p w14:paraId="56579F39">
      <w:pPr>
        <w:pStyle w:val="4"/>
        <w:pageBreakBefore w:val="0"/>
        <w:widowControl/>
        <w:kinsoku/>
        <w:wordWrap/>
        <w:overflowPunct/>
        <w:topLinePunct w:val="0"/>
        <w:autoSpaceDE/>
        <w:autoSpaceDN/>
        <w:bidi w:val="0"/>
        <w:spacing w:line="560" w:lineRule="atLeast"/>
        <w:ind w:firstLine="643" w:firstLineChars="200"/>
        <w:rPr>
          <w:rFonts w:ascii="楷体" w:hAnsi="楷体" w:eastAsia="楷体" w:cs="楷体"/>
          <w:sz w:val="32"/>
          <w:szCs w:val="32"/>
        </w:rPr>
      </w:pPr>
      <w:r>
        <w:rPr>
          <w:rFonts w:ascii="楷体" w:hAnsi="楷体" w:eastAsia="楷体" w:cs="楷体"/>
          <w:sz w:val="32"/>
          <w:szCs w:val="32"/>
        </w:rPr>
        <w:t>（一）通用指标绩效分析</w:t>
      </w:r>
    </w:p>
    <w:p w14:paraId="36AECA95">
      <w:pPr>
        <w:pageBreakBefore w:val="0"/>
        <w:widowControl/>
        <w:kinsoku/>
        <w:wordWrap/>
        <w:overflowPunct/>
        <w:topLinePunct w:val="0"/>
        <w:autoSpaceDE/>
        <w:autoSpaceDN/>
        <w:bidi w:val="0"/>
        <w:spacing w:line="560" w:lineRule="atLeast"/>
        <w:ind w:firstLine="643" w:firstLineChars="200"/>
        <w:jc w:val="left"/>
        <w:rPr>
          <w:rFonts w:hint="eastAsia" w:ascii="仿宋" w:hAnsi="仿宋" w:eastAsia="仿宋" w:cs="仿宋"/>
          <w:sz w:val="32"/>
          <w:szCs w:val="32"/>
        </w:rPr>
      </w:pPr>
      <w:r>
        <w:rPr>
          <w:rFonts w:hint="eastAsia" w:ascii="仿宋" w:hAnsi="仿宋" w:eastAsia="仿宋" w:cs="仿宋"/>
          <w:b/>
          <w:bCs/>
          <w:kern w:val="0"/>
          <w:sz w:val="32"/>
          <w:szCs w:val="32"/>
          <w:lang w:bidi="ar"/>
        </w:rPr>
        <w:t>1.项目决策</w:t>
      </w:r>
      <w:r>
        <w:rPr>
          <w:rFonts w:hint="eastAsia" w:ascii="仿宋" w:hAnsi="仿宋" w:eastAsia="仿宋" w:cs="仿宋"/>
          <w:kern w:val="0"/>
          <w:sz w:val="32"/>
          <w:szCs w:val="32"/>
          <w:lang w:bidi="ar"/>
        </w:rPr>
        <w:t>：本次项目决策符合国家红色文化传播、高雅艺术进校园相关政策要求，经过充分论证，规划合理，资金投向与项目实施目的高度契合，决策程序合规。</w:t>
      </w:r>
    </w:p>
    <w:p w14:paraId="0D12CD15">
      <w:pPr>
        <w:pageBreakBefore w:val="0"/>
        <w:widowControl/>
        <w:kinsoku/>
        <w:wordWrap/>
        <w:overflowPunct/>
        <w:topLinePunct w:val="0"/>
        <w:autoSpaceDE/>
        <w:autoSpaceDN/>
        <w:bidi w:val="0"/>
        <w:spacing w:line="560" w:lineRule="atLeast"/>
        <w:ind w:firstLine="643" w:firstLineChars="200"/>
        <w:jc w:val="left"/>
        <w:rPr>
          <w:rFonts w:hint="eastAsia" w:ascii="仿宋" w:hAnsi="仿宋" w:eastAsia="仿宋" w:cs="仿宋"/>
          <w:sz w:val="32"/>
          <w:szCs w:val="32"/>
        </w:rPr>
      </w:pPr>
      <w:r>
        <w:rPr>
          <w:rFonts w:hint="eastAsia" w:ascii="仿宋" w:hAnsi="仿宋" w:eastAsia="仿宋" w:cs="仿宋"/>
          <w:b/>
          <w:bCs/>
          <w:kern w:val="0"/>
          <w:sz w:val="32"/>
          <w:szCs w:val="32"/>
          <w:lang w:bidi="ar"/>
        </w:rPr>
        <w:t>2.项目管理：</w:t>
      </w:r>
      <w:r>
        <w:rPr>
          <w:rFonts w:hint="eastAsia" w:ascii="仿宋" w:hAnsi="仿宋" w:eastAsia="仿宋" w:cs="仿宋"/>
          <w:kern w:val="0"/>
          <w:sz w:val="32"/>
          <w:szCs w:val="32"/>
          <w:lang w:bidi="ar"/>
        </w:rPr>
        <w:t>项目实施过程中，严格执行单位财务管理制度、项目管理制度，资金分配规范，建立了有效的绩效监管机制，确保项目有序推进。</w:t>
      </w:r>
    </w:p>
    <w:p w14:paraId="1CE1AB31">
      <w:pPr>
        <w:pageBreakBefore w:val="0"/>
        <w:widowControl/>
        <w:kinsoku/>
        <w:wordWrap/>
        <w:overflowPunct/>
        <w:topLinePunct w:val="0"/>
        <w:autoSpaceDE/>
        <w:autoSpaceDN/>
        <w:bidi w:val="0"/>
        <w:spacing w:line="560" w:lineRule="atLeast"/>
        <w:ind w:firstLine="643" w:firstLineChars="200"/>
        <w:jc w:val="left"/>
        <w:rPr>
          <w:rFonts w:hint="eastAsia" w:ascii="仿宋" w:hAnsi="仿宋" w:eastAsia="仿宋" w:cs="仿宋"/>
          <w:sz w:val="32"/>
          <w:szCs w:val="32"/>
        </w:rPr>
      </w:pPr>
      <w:r>
        <w:rPr>
          <w:rFonts w:hint="eastAsia" w:ascii="仿宋" w:hAnsi="仿宋" w:eastAsia="仿宋" w:cs="仿宋"/>
          <w:b/>
          <w:bCs/>
          <w:kern w:val="0"/>
          <w:sz w:val="32"/>
          <w:szCs w:val="32"/>
          <w:lang w:bidi="ar"/>
        </w:rPr>
        <w:t>3.项目实施：</w:t>
      </w:r>
      <w:r>
        <w:rPr>
          <w:rFonts w:hint="eastAsia" w:ascii="仿宋" w:hAnsi="仿宋" w:eastAsia="仿宋" w:cs="仿宋"/>
          <w:kern w:val="0"/>
          <w:sz w:val="32"/>
          <w:szCs w:val="32"/>
          <w:lang w:bidi="ar"/>
        </w:rPr>
        <w:t>项目预算总额29.8万元，实际支付28.9万元，支付率100%，预算执行规范；资金全部用于剧场租赁及配套服务，专款专用，无挪用、截留、挤占等情况，资金使用合理高效。</w:t>
      </w:r>
    </w:p>
    <w:p w14:paraId="54B4186B">
      <w:pPr>
        <w:pageBreakBefore w:val="0"/>
        <w:widowControl/>
        <w:kinsoku/>
        <w:wordWrap/>
        <w:overflowPunct/>
        <w:topLinePunct w:val="0"/>
        <w:autoSpaceDE/>
        <w:autoSpaceDN/>
        <w:bidi w:val="0"/>
        <w:spacing w:line="560" w:lineRule="atLeast"/>
        <w:ind w:firstLine="643" w:firstLineChars="200"/>
        <w:jc w:val="left"/>
        <w:rPr>
          <w:rFonts w:hint="eastAsia" w:ascii="仿宋" w:hAnsi="仿宋" w:eastAsia="仿宋" w:cs="仿宋"/>
          <w:sz w:val="32"/>
          <w:szCs w:val="32"/>
        </w:rPr>
      </w:pPr>
      <w:r>
        <w:rPr>
          <w:rFonts w:hint="eastAsia" w:ascii="仿宋" w:hAnsi="仿宋" w:eastAsia="仿宋" w:cs="仿宋"/>
          <w:b/>
          <w:bCs/>
          <w:kern w:val="0"/>
          <w:sz w:val="32"/>
          <w:szCs w:val="32"/>
          <w:lang w:bidi="ar"/>
        </w:rPr>
        <w:t>4.项目结果：</w:t>
      </w:r>
      <w:r>
        <w:rPr>
          <w:rFonts w:hint="eastAsia" w:ascii="仿宋" w:hAnsi="仿宋" w:eastAsia="仿宋" w:cs="仿宋"/>
          <w:kern w:val="0"/>
          <w:sz w:val="32"/>
          <w:szCs w:val="32"/>
          <w:lang w:bidi="ar"/>
        </w:rPr>
        <w:t>项目按计划完成1场演出、1次装台、1次拆台，装台合率100%，全部达成预设数量、质量指标；演出按时完成，无延误情况，完成时效达标。</w:t>
      </w:r>
    </w:p>
    <w:p w14:paraId="399762B3">
      <w:pPr>
        <w:pStyle w:val="4"/>
        <w:pageBreakBefore w:val="0"/>
        <w:widowControl/>
        <w:kinsoku/>
        <w:wordWrap/>
        <w:overflowPunct/>
        <w:topLinePunct w:val="0"/>
        <w:autoSpaceDE/>
        <w:autoSpaceDN/>
        <w:bidi w:val="0"/>
        <w:spacing w:line="560" w:lineRule="atLeast"/>
        <w:ind w:firstLine="643" w:firstLineChars="200"/>
        <w:rPr>
          <w:rFonts w:ascii="楷体" w:hAnsi="楷体" w:eastAsia="楷体" w:cs="楷体"/>
          <w:sz w:val="32"/>
          <w:szCs w:val="32"/>
        </w:rPr>
      </w:pPr>
      <w:r>
        <w:rPr>
          <w:rFonts w:ascii="楷体" w:hAnsi="楷体" w:eastAsia="楷体" w:cs="楷体"/>
          <w:sz w:val="32"/>
          <w:szCs w:val="32"/>
        </w:rPr>
        <w:t>（二）专用指标绩效分析</w:t>
      </w:r>
    </w:p>
    <w:p w14:paraId="36A62D9B">
      <w:pPr>
        <w:pageBreakBefore w:val="0"/>
        <w:widowControl/>
        <w:kinsoku/>
        <w:wordWrap/>
        <w:overflowPunct/>
        <w:topLinePunct w:val="0"/>
        <w:autoSpaceDE/>
        <w:autoSpaceDN/>
        <w:bidi w:val="0"/>
        <w:spacing w:before="100" w:beforeAutospacing="1" w:after="100" w:afterAutospacing="1" w:line="560" w:lineRule="atLeast"/>
        <w:ind w:firstLine="643" w:firstLineChars="200"/>
        <w:jc w:val="left"/>
        <w:rPr>
          <w:rFonts w:hint="eastAsia" w:ascii="仿宋" w:hAnsi="仿宋" w:eastAsia="仿宋" w:cs="仿宋"/>
          <w:sz w:val="32"/>
          <w:szCs w:val="32"/>
        </w:rPr>
      </w:pPr>
      <w:r>
        <w:rPr>
          <w:rFonts w:hint="eastAsia" w:ascii="楷体" w:hAnsi="楷体" w:eastAsia="楷体" w:cs="楷体"/>
          <w:b/>
          <w:bCs/>
          <w:sz w:val="32"/>
          <w:szCs w:val="32"/>
        </w:rPr>
        <w:t>1.产业发展类</w:t>
      </w:r>
      <w:r>
        <w:rPr>
          <w:rFonts w:hint="eastAsia" w:ascii="楷体" w:hAnsi="楷体" w:eastAsia="楷体" w:cs="楷体"/>
          <w:b/>
          <w:bCs/>
          <w:sz w:val="32"/>
          <w:szCs w:val="32"/>
          <w:lang w:eastAsia="zh-CN"/>
        </w:rPr>
        <w:t>：</w:t>
      </w:r>
      <w:r>
        <w:rPr>
          <w:rFonts w:hint="eastAsia" w:ascii="仿宋" w:hAnsi="仿宋" w:eastAsia="仿宋" w:cs="仿宋"/>
          <w:kern w:val="0"/>
          <w:sz w:val="32"/>
          <w:szCs w:val="32"/>
          <w:lang w:bidi="ar"/>
        </w:rPr>
        <w:t>项目实施符合国家艺术基金支持方向，符合阿坝州红色文化传播、民族艺术推广的工作部署，符合单位职能定位，各项工作开展贴合项目预设目标。通过本次北大演出，有效提升了《牦牛革命》剧目及阿坝红色文化的全国影响力，为后续巡演及高校展演奠定了良好基础，推动红色文化与民族艺术持续传播，成长性良好。项目预算编制科学合理，资金使用规范，在保障演出品质的前提下，严格控制成本，无浪费、超支情况，经济性达标。无浪费、超支情况，以合理投入实现舞台效果提升、演出保障增强的目标，资金使用性价比高，经济效益与社会效益兼顾。</w:t>
      </w:r>
    </w:p>
    <w:p w14:paraId="2DAC1CA3">
      <w:pPr>
        <w:pageBreakBefore w:val="0"/>
        <w:kinsoku/>
        <w:wordWrap/>
        <w:overflowPunct/>
        <w:topLinePunct w:val="0"/>
        <w:autoSpaceDE/>
        <w:autoSpaceDN/>
        <w:bidi w:val="0"/>
        <w:spacing w:line="560" w:lineRule="atLeast"/>
        <w:ind w:firstLine="643" w:firstLineChars="200"/>
        <w:jc w:val="left"/>
        <w:rPr>
          <w:rFonts w:eastAsia="楷体_GB2312"/>
        </w:rPr>
      </w:pPr>
      <w:r>
        <w:rPr>
          <w:rFonts w:hint="eastAsia" w:ascii="楷体" w:hAnsi="楷体" w:eastAsia="楷体" w:cs="楷体"/>
          <w:b/>
          <w:bCs/>
          <w:sz w:val="32"/>
          <w:szCs w:val="32"/>
        </w:rPr>
        <w:t>2.</w:t>
      </w:r>
      <w:r>
        <w:rPr>
          <w:rFonts w:hint="eastAsia" w:ascii="楷体" w:hAnsi="楷体" w:eastAsia="楷体" w:cs="楷体"/>
          <w:b/>
          <w:bCs/>
          <w:sz w:val="32"/>
          <w:szCs w:val="32"/>
          <w:lang w:val="zh-CN"/>
        </w:rPr>
        <w:t>民生保障</w:t>
      </w:r>
      <w:r>
        <w:rPr>
          <w:rFonts w:hint="eastAsia" w:ascii="楷体" w:hAnsi="楷体" w:eastAsia="楷体" w:cs="楷体"/>
          <w:b/>
          <w:bCs/>
          <w:sz w:val="32"/>
          <w:szCs w:val="32"/>
        </w:rPr>
        <w:t>类：</w:t>
      </w:r>
      <w:r>
        <w:rPr>
          <w:rFonts w:hint="eastAsia" w:ascii="楷体" w:hAnsi="楷体" w:eastAsia="楷体" w:cs="楷体"/>
          <w:sz w:val="32"/>
          <w:szCs w:val="32"/>
        </w:rPr>
        <w:t>无</w:t>
      </w:r>
    </w:p>
    <w:p w14:paraId="194F53AB">
      <w:pPr>
        <w:pageBreakBefore w:val="0"/>
        <w:kinsoku/>
        <w:wordWrap/>
        <w:overflowPunct/>
        <w:topLinePunct w:val="0"/>
        <w:autoSpaceDE/>
        <w:autoSpaceDN/>
        <w:bidi w:val="0"/>
        <w:spacing w:line="560" w:lineRule="atLeast"/>
        <w:ind w:firstLine="643" w:firstLineChars="200"/>
        <w:jc w:val="left"/>
        <w:rPr>
          <w:rFonts w:hint="eastAsia" w:ascii="楷体" w:hAnsi="楷体" w:eastAsia="楷体" w:cs="楷体"/>
          <w:b/>
          <w:bCs/>
          <w:sz w:val="32"/>
          <w:szCs w:val="32"/>
        </w:rPr>
      </w:pPr>
      <w:r>
        <w:rPr>
          <w:rFonts w:hint="eastAsia" w:ascii="楷体" w:hAnsi="楷体" w:eastAsia="楷体" w:cs="楷体"/>
          <w:b/>
          <w:bCs/>
          <w:sz w:val="32"/>
          <w:szCs w:val="32"/>
        </w:rPr>
        <w:t>3.基础设施类：</w:t>
      </w:r>
      <w:r>
        <w:rPr>
          <w:rFonts w:hint="eastAsia" w:ascii="楷体" w:hAnsi="楷体" w:eastAsia="楷体" w:cs="楷体"/>
          <w:b w:val="0"/>
          <w:bCs w:val="0"/>
          <w:sz w:val="32"/>
          <w:szCs w:val="32"/>
        </w:rPr>
        <w:t>无</w:t>
      </w:r>
    </w:p>
    <w:p w14:paraId="573A6974">
      <w:pPr>
        <w:pageBreakBefore w:val="0"/>
        <w:kinsoku/>
        <w:wordWrap/>
        <w:overflowPunct/>
        <w:topLinePunct w:val="0"/>
        <w:autoSpaceDE/>
        <w:autoSpaceDN/>
        <w:bidi w:val="0"/>
        <w:spacing w:line="560" w:lineRule="atLeast"/>
        <w:ind w:firstLine="643" w:firstLineChars="200"/>
        <w:jc w:val="left"/>
        <w:rPr>
          <w:rFonts w:hint="eastAsia" w:ascii="楷体" w:hAnsi="楷体" w:eastAsia="楷体" w:cs="楷体"/>
          <w:b/>
          <w:bCs/>
          <w:sz w:val="32"/>
          <w:szCs w:val="32"/>
        </w:rPr>
      </w:pPr>
      <w:r>
        <w:rPr>
          <w:rFonts w:hint="eastAsia" w:ascii="楷体" w:hAnsi="楷体" w:eastAsia="楷体" w:cs="楷体"/>
          <w:b/>
          <w:bCs/>
          <w:sz w:val="32"/>
          <w:szCs w:val="32"/>
        </w:rPr>
        <w:t>4.</w:t>
      </w:r>
      <w:r>
        <w:rPr>
          <w:rFonts w:hint="eastAsia" w:ascii="楷体" w:hAnsi="楷体" w:eastAsia="楷体" w:cs="楷体"/>
          <w:b/>
          <w:bCs/>
          <w:sz w:val="32"/>
          <w:szCs w:val="32"/>
          <w:lang w:val="zh-CN"/>
        </w:rPr>
        <w:t>行政运转</w:t>
      </w:r>
      <w:r>
        <w:rPr>
          <w:rFonts w:hint="eastAsia" w:ascii="楷体" w:hAnsi="楷体" w:eastAsia="楷体" w:cs="楷体"/>
          <w:b/>
          <w:bCs/>
          <w:sz w:val="32"/>
          <w:szCs w:val="32"/>
        </w:rPr>
        <w:t>类：</w:t>
      </w:r>
      <w:r>
        <w:rPr>
          <w:rFonts w:hint="eastAsia" w:ascii="楷体" w:hAnsi="楷体" w:eastAsia="楷体" w:cs="楷体"/>
          <w:b w:val="0"/>
          <w:bCs w:val="0"/>
          <w:sz w:val="32"/>
          <w:szCs w:val="32"/>
        </w:rPr>
        <w:t>无</w:t>
      </w:r>
    </w:p>
    <w:p w14:paraId="096593C3">
      <w:pPr>
        <w:pStyle w:val="4"/>
        <w:pageBreakBefore w:val="0"/>
        <w:widowControl/>
        <w:numPr>
          <w:ilvl w:val="0"/>
          <w:numId w:val="7"/>
        </w:numPr>
        <w:kinsoku/>
        <w:wordWrap/>
        <w:overflowPunct/>
        <w:topLinePunct w:val="0"/>
        <w:autoSpaceDE/>
        <w:autoSpaceDN/>
        <w:bidi w:val="0"/>
        <w:spacing w:line="560" w:lineRule="atLeast"/>
        <w:rPr>
          <w:rFonts w:ascii="楷体" w:hAnsi="楷体" w:eastAsia="楷体" w:cs="楷体"/>
          <w:sz w:val="32"/>
          <w:szCs w:val="32"/>
        </w:rPr>
      </w:pPr>
      <w:r>
        <w:rPr>
          <w:rFonts w:ascii="楷体" w:hAnsi="楷体" w:eastAsia="楷体" w:cs="楷体"/>
          <w:sz w:val="32"/>
          <w:szCs w:val="32"/>
        </w:rPr>
        <w:t>个性指标绩效分析</w:t>
      </w:r>
    </w:p>
    <w:p w14:paraId="222686E3">
      <w:pPr>
        <w:pStyle w:val="4"/>
        <w:pageBreakBefore w:val="0"/>
        <w:widowControl/>
        <w:kinsoku/>
        <w:wordWrap/>
        <w:overflowPunct/>
        <w:topLinePunct w:val="0"/>
        <w:autoSpaceDE/>
        <w:autoSpaceDN/>
        <w:bidi w:val="0"/>
        <w:spacing w:line="560" w:lineRule="atLeast"/>
        <w:ind w:firstLine="640" w:firstLineChars="200"/>
        <w:rPr>
          <w:rFonts w:ascii="仿宋" w:hAnsi="仿宋" w:eastAsia="仿宋" w:cs="仿宋"/>
          <w:b w:val="0"/>
          <w:bCs w:val="0"/>
          <w:sz w:val="32"/>
          <w:szCs w:val="32"/>
        </w:rPr>
      </w:pPr>
      <w:r>
        <w:rPr>
          <w:rFonts w:ascii="仿宋" w:hAnsi="仿宋" w:eastAsia="仿宋" w:cs="仿宋"/>
          <w:b w:val="0"/>
          <w:bCs w:val="0"/>
          <w:sz w:val="32"/>
          <w:szCs w:val="32"/>
          <w:lang w:bidi="ar"/>
        </w:rPr>
        <w:t>红色文化传播覆盖率：通过校内宣传、媒体报道、现场展示等多种形式，覆盖北大师生及北京各界群众，传播效果良好，达成预设传播目标。民族文化融合成效：演出融入藏羌民族艺术元素，搭建了民族文化与高校文化的交流桥梁，促进了民族艺术与主流文化的融合，成效显著。</w:t>
      </w:r>
    </w:p>
    <w:p w14:paraId="255A5BE0">
      <w:pPr>
        <w:pStyle w:val="3"/>
        <w:pageBreakBefore w:val="0"/>
        <w:widowControl/>
        <w:numPr>
          <w:ilvl w:val="0"/>
          <w:numId w:val="8"/>
        </w:numPr>
        <w:kinsoku/>
        <w:wordWrap/>
        <w:overflowPunct/>
        <w:topLinePunct w:val="0"/>
        <w:autoSpaceDE/>
        <w:autoSpaceDN/>
        <w:bidi w:val="0"/>
        <w:spacing w:line="560" w:lineRule="atLeast"/>
        <w:ind w:firstLine="321" w:firstLineChars="100"/>
        <w:rPr>
          <w:rFonts w:hint="eastAsia" w:ascii="黑体" w:hAnsi="黑体" w:eastAsia="黑体" w:cs="黑体"/>
          <w:sz w:val="32"/>
          <w:szCs w:val="32"/>
        </w:rPr>
      </w:pPr>
      <w:r>
        <w:rPr>
          <w:rFonts w:hint="eastAsia" w:ascii="黑体" w:hAnsi="黑体" w:eastAsia="黑体" w:cs="黑体"/>
          <w:sz w:val="32"/>
          <w:szCs w:val="32"/>
        </w:rPr>
        <w:t>评价结论</w:t>
      </w:r>
    </w:p>
    <w:p w14:paraId="7AA6A8C2">
      <w:pPr>
        <w:pStyle w:val="3"/>
        <w:pageBreakBefore w:val="0"/>
        <w:widowControl/>
        <w:numPr>
          <w:ilvl w:val="0"/>
          <w:numId w:val="0"/>
        </w:numPr>
        <w:kinsoku/>
        <w:wordWrap/>
        <w:overflowPunct/>
        <w:topLinePunct w:val="0"/>
        <w:autoSpaceDE/>
        <w:autoSpaceDN/>
        <w:bidi w:val="0"/>
        <w:spacing w:line="560" w:lineRule="atLeast"/>
        <w:ind w:firstLine="640" w:firstLineChars="200"/>
        <w:rPr>
          <w:rFonts w:hint="eastAsia" w:ascii="仿宋" w:hAnsi="仿宋" w:eastAsia="仿宋" w:cs="仿宋"/>
          <w:b w:val="0"/>
          <w:bCs w:val="0"/>
          <w:sz w:val="32"/>
          <w:szCs w:val="32"/>
        </w:rPr>
      </w:pPr>
      <w:r>
        <w:rPr>
          <w:rFonts w:hint="eastAsia" w:ascii="仿宋" w:hAnsi="仿宋" w:eastAsia="仿宋" w:cs="仿宋"/>
          <w:b w:val="0"/>
          <w:bCs w:val="0"/>
          <w:kern w:val="0"/>
          <w:sz w:val="32"/>
          <w:szCs w:val="32"/>
          <w:lang w:bidi="ar"/>
        </w:rPr>
        <w:t>2025年《牦牛革命》北京大学演出剧场服务费项目绩效自评综合得分为96分（满分100分）。项目整体实施规范，严格按照预设目标、预算及流程推进，顺利完成了1场演出及相关配套工作，各项绩效指标基本达成；资金使用合规、专款专用，预算执行率100%；有效实现了红色基因传承、红色文化传播、文旅推介及文化融合的核心目标，社会效益显著，达到了项目设立的预期效果。同时，项目实施过程中也存在部分细节问题，需在后续工作中加以改进完善。</w:t>
      </w:r>
    </w:p>
    <w:p w14:paraId="4EB05509">
      <w:pPr>
        <w:pStyle w:val="3"/>
        <w:pageBreakBefore w:val="0"/>
        <w:widowControl/>
        <w:numPr>
          <w:ilvl w:val="0"/>
          <w:numId w:val="8"/>
        </w:numPr>
        <w:kinsoku/>
        <w:wordWrap/>
        <w:overflowPunct/>
        <w:topLinePunct w:val="0"/>
        <w:autoSpaceDE/>
        <w:autoSpaceDN/>
        <w:bidi w:val="0"/>
        <w:spacing w:line="560" w:lineRule="atLeast"/>
        <w:ind w:firstLine="321" w:firstLineChars="100"/>
        <w:rPr>
          <w:rFonts w:hint="eastAsia" w:ascii="黑体" w:hAnsi="黑体" w:eastAsia="黑体" w:cs="黑体"/>
          <w:sz w:val="32"/>
          <w:szCs w:val="32"/>
        </w:rPr>
      </w:pPr>
      <w:r>
        <w:rPr>
          <w:rFonts w:hint="eastAsia" w:ascii="黑体" w:hAnsi="黑体" w:eastAsia="黑体" w:cs="黑体"/>
          <w:sz w:val="32"/>
          <w:szCs w:val="32"/>
        </w:rPr>
        <w:t>存在主要问题</w:t>
      </w:r>
    </w:p>
    <w:p w14:paraId="3D8587BB">
      <w:pPr>
        <w:rPr>
          <w:rFonts w:hint="default" w:eastAsia="黑体"/>
          <w:lang w:val="en-US" w:eastAsia="zh-CN"/>
        </w:rPr>
      </w:pPr>
      <w:r>
        <w:rPr>
          <w:rFonts w:hint="eastAsia" w:ascii="黑体" w:hAnsi="黑体" w:eastAsia="黑体" w:cs="黑体"/>
          <w:sz w:val="32"/>
          <w:szCs w:val="32"/>
          <w:lang w:val="en-US" w:eastAsia="zh-CN"/>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无</w:t>
      </w:r>
    </w:p>
    <w:p w14:paraId="57559DF6">
      <w:pPr>
        <w:pageBreakBefore w:val="0"/>
        <w:kinsoku/>
        <w:wordWrap/>
        <w:overflowPunct/>
        <w:topLinePunct w:val="0"/>
        <w:autoSpaceDE/>
        <w:autoSpaceDN/>
        <w:bidi w:val="0"/>
        <w:spacing w:line="560" w:lineRule="atLeast"/>
        <w:rPr>
          <w:rFonts w:hint="eastAsia" w:ascii="仿宋" w:hAnsi="仿宋" w:eastAsia="仿宋" w:cs="仿宋"/>
          <w:sz w:val="32"/>
          <w:szCs w:val="32"/>
        </w:rPr>
      </w:pPr>
      <w:r>
        <w:rPr>
          <w:rFonts w:hint="eastAsia"/>
        </w:rPr>
        <w:t xml:space="preserve"> </w:t>
      </w:r>
      <w:r>
        <w:rPr>
          <w:rFonts w:hint="eastAsia" w:ascii="仿宋" w:hAnsi="仿宋" w:eastAsia="仿宋" w:cs="仿宋"/>
          <w:sz w:val="32"/>
          <w:szCs w:val="32"/>
        </w:rPr>
        <w:t xml:space="preserve">  </w:t>
      </w:r>
    </w:p>
    <w:p w14:paraId="2ABA173F">
      <w:pPr>
        <w:pageBreakBefore w:val="0"/>
        <w:kinsoku/>
        <w:wordWrap/>
        <w:overflowPunct/>
        <w:topLinePunct w:val="0"/>
        <w:autoSpaceDE/>
        <w:autoSpaceDN/>
        <w:bidi w:val="0"/>
        <w:spacing w:line="560" w:lineRule="atLeast"/>
        <w:rPr>
          <w:rFonts w:hint="eastAsia" w:ascii="仿宋" w:hAnsi="仿宋" w:eastAsia="仿宋" w:cs="仿宋"/>
          <w:sz w:val="32"/>
          <w:szCs w:val="32"/>
        </w:rPr>
      </w:pPr>
    </w:p>
    <w:p w14:paraId="5A4A6C85">
      <w:pPr>
        <w:pageBreakBefore w:val="0"/>
        <w:kinsoku/>
        <w:wordWrap/>
        <w:overflowPunct/>
        <w:topLinePunct w:val="0"/>
        <w:autoSpaceDE/>
        <w:autoSpaceDN/>
        <w:bidi w:val="0"/>
        <w:spacing w:line="560" w:lineRule="atLeas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p>
    <w:tbl>
      <w:tblPr>
        <w:tblStyle w:val="19"/>
        <w:tblW w:w="93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2"/>
        <w:gridCol w:w="833"/>
        <w:gridCol w:w="833"/>
        <w:gridCol w:w="1322"/>
        <w:gridCol w:w="830"/>
        <w:gridCol w:w="536"/>
        <w:gridCol w:w="831"/>
        <w:gridCol w:w="839"/>
        <w:gridCol w:w="831"/>
        <w:gridCol w:w="831"/>
        <w:gridCol w:w="862"/>
      </w:tblGrid>
      <w:tr w14:paraId="6E033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5" w:hRule="atLeast"/>
        </w:trPr>
        <w:tc>
          <w:tcPr>
            <w:tcW w:w="938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6963F33">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4989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6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E8786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项目名称</w:t>
            </w:r>
          </w:p>
        </w:tc>
        <w:tc>
          <w:tcPr>
            <w:tcW w:w="770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2CAA74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51320025T000013860894-2025年《牦牛革命》北京大学演出剧场服务费</w:t>
            </w:r>
          </w:p>
        </w:tc>
      </w:tr>
      <w:tr w14:paraId="656DC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6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7331D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主管部门</w:t>
            </w:r>
          </w:p>
        </w:tc>
        <w:tc>
          <w:tcPr>
            <w:tcW w:w="431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E50AEF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州文广旅局部门</w:t>
            </w:r>
          </w:p>
        </w:tc>
        <w:tc>
          <w:tcPr>
            <w:tcW w:w="840" w:type="dxa"/>
            <w:tcBorders>
              <w:top w:val="nil"/>
              <w:left w:val="nil"/>
              <w:bottom w:val="nil"/>
              <w:right w:val="nil"/>
            </w:tcBorders>
            <w:shd w:val="clear" w:color="auto" w:fill="FFFFFF"/>
            <w:vAlign w:val="center"/>
          </w:tcPr>
          <w:p w14:paraId="2FFCAA4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实施单位 （盖章）</w:t>
            </w: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C717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州民族歌舞团</w:t>
            </w:r>
          </w:p>
        </w:tc>
      </w:tr>
      <w:tr w14:paraId="272F3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8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C8B33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项目基本情况</w:t>
            </w: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6DCA7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1.项目年度目标完成情况</w:t>
            </w:r>
          </w:p>
        </w:tc>
        <w:tc>
          <w:tcPr>
            <w:tcW w:w="431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27629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项目年度目标</w:t>
            </w:r>
          </w:p>
        </w:tc>
        <w:tc>
          <w:tcPr>
            <w:tcW w:w="339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10E12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年度目标完成情况</w:t>
            </w:r>
          </w:p>
        </w:tc>
      </w:tr>
      <w:tr w14:paraId="5D1A0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5"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8EB34B">
            <w:pPr>
              <w:rPr>
                <w:rFonts w:hint="eastAsia" w:ascii="宋体" w:hAnsi="宋体" w:eastAsia="宋体" w:cs="宋体"/>
                <w:i w:val="0"/>
                <w:iCs w:val="0"/>
                <w:color w:val="000000"/>
                <w:sz w:val="16"/>
                <w:szCs w:val="16"/>
                <w:u w:val="none"/>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E83826">
            <w:pPr>
              <w:rPr>
                <w:rFonts w:hint="eastAsia" w:ascii="宋体" w:hAnsi="宋体" w:eastAsia="宋体" w:cs="宋体"/>
                <w:i w:val="0"/>
                <w:iCs w:val="0"/>
                <w:color w:val="000000"/>
                <w:sz w:val="16"/>
                <w:szCs w:val="16"/>
                <w:u w:val="none"/>
              </w:rPr>
            </w:pPr>
          </w:p>
        </w:tc>
        <w:tc>
          <w:tcPr>
            <w:tcW w:w="431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7EDBC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完成2025年在北京大学演出《牦牛革命》工作，支付剧场租赁费29.8万元。</w:t>
            </w:r>
          </w:p>
        </w:tc>
        <w:tc>
          <w:tcPr>
            <w:tcW w:w="339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1F8484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完成2025年在北京大学演出《牦牛革命》工作，支付剧场租赁费29.8万元。</w:t>
            </w:r>
          </w:p>
        </w:tc>
      </w:tr>
      <w:tr w14:paraId="0E738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2"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618ED4">
            <w:pP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E9D3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2.项目实施内容及过程概述</w:t>
            </w:r>
          </w:p>
        </w:tc>
        <w:tc>
          <w:tcPr>
            <w:tcW w:w="770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EEA456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传承红色文化，弘扬革命精神，2025年我单位赴北京大学开展《牦牛革命》演出工作，通过歌舞，情景演绎等艺术形式，生动再现革命战争年代，当地各族群众在中国共产党的领导下，以牦牛为重要运输载体，踊跃支援前线，保障物资供给，坚守革命信念，共同抵御艰险的光辉历程。演出聚焦军民同心，民族团结，艰苦奋斗的精神内核，还原了高原地区艰苦斗争的场景，展现各族人民坚定不移跟党走，众志成城，支援革命的家国情怀与奉献精神，兼具历史厚重感与艺术感染力。演出既是一次民族团结教育实践，也是引导广大师生铭记红色历史，传承革命基因，进一步坚定理想信念，凝聚奋进力量。</w:t>
            </w:r>
          </w:p>
        </w:tc>
      </w:tr>
      <w:tr w14:paraId="5D39C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8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F05A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预算执行情况（10分）</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3DC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年度预算数（万元）</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9124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年初预算</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757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调整后预算数</w:t>
            </w:r>
          </w:p>
        </w:tc>
        <w:tc>
          <w:tcPr>
            <w:tcW w:w="21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DA1B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预算执行数</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920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B719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权重</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1F5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得分</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355F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原因</w:t>
            </w:r>
          </w:p>
        </w:tc>
      </w:tr>
      <w:tr w14:paraId="0302A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11C67A">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8E0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总额</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F22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443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29.80</w:t>
            </w:r>
          </w:p>
        </w:tc>
        <w:tc>
          <w:tcPr>
            <w:tcW w:w="21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3F8F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29.80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683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100.00%</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B58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36D8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2CEAC2">
            <w:pPr>
              <w:rPr>
                <w:rFonts w:hint="eastAsia" w:ascii="宋体" w:hAnsi="宋体" w:eastAsia="宋体" w:cs="宋体"/>
                <w:i w:val="0"/>
                <w:iCs w:val="0"/>
                <w:color w:val="000000"/>
                <w:sz w:val="16"/>
                <w:szCs w:val="16"/>
                <w:u w:val="none"/>
              </w:rPr>
            </w:pPr>
          </w:p>
        </w:tc>
      </w:tr>
      <w:tr w14:paraId="2B396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ED6410">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9F2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2E50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099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21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A7D7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3816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964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A26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D30672">
            <w:pPr>
              <w:rPr>
                <w:rFonts w:hint="eastAsia" w:ascii="宋体" w:hAnsi="宋体" w:eastAsia="宋体" w:cs="宋体"/>
                <w:i w:val="0"/>
                <w:iCs w:val="0"/>
                <w:color w:val="000000"/>
                <w:sz w:val="16"/>
                <w:szCs w:val="16"/>
                <w:u w:val="none"/>
              </w:rPr>
            </w:pPr>
          </w:p>
        </w:tc>
      </w:tr>
      <w:tr w14:paraId="5D96B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29C68F">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98CB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财政专户管理资金</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62D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06E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21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B10C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6C77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339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573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02A276">
            <w:pPr>
              <w:rPr>
                <w:rFonts w:hint="eastAsia" w:ascii="宋体" w:hAnsi="宋体" w:eastAsia="宋体" w:cs="宋体"/>
                <w:i w:val="0"/>
                <w:iCs w:val="0"/>
                <w:color w:val="000000"/>
                <w:sz w:val="16"/>
                <w:szCs w:val="16"/>
                <w:u w:val="none"/>
              </w:rPr>
            </w:pPr>
          </w:p>
        </w:tc>
      </w:tr>
      <w:tr w14:paraId="0B61C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9"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52E314">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F55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单位资金</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4D0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976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29.80</w:t>
            </w:r>
          </w:p>
        </w:tc>
        <w:tc>
          <w:tcPr>
            <w:tcW w:w="21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498D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29.80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8C2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100.00%</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E1B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D3C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D9F0C0">
            <w:pPr>
              <w:rPr>
                <w:rFonts w:hint="eastAsia" w:ascii="宋体" w:hAnsi="宋体" w:eastAsia="宋体" w:cs="宋体"/>
                <w:i w:val="0"/>
                <w:iCs w:val="0"/>
                <w:color w:val="000000"/>
                <w:sz w:val="16"/>
                <w:szCs w:val="16"/>
                <w:u w:val="none"/>
              </w:rPr>
            </w:pPr>
          </w:p>
        </w:tc>
      </w:tr>
      <w:tr w14:paraId="75462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7F4194">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4470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其他资金</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D8221">
            <w:pPr>
              <w:jc w:val="center"/>
              <w:rPr>
                <w:rFonts w:hint="eastAsia" w:ascii="宋体" w:hAnsi="宋体" w:eastAsia="宋体" w:cs="宋体"/>
                <w:i w:val="0"/>
                <w:iCs w:val="0"/>
                <w:color w:val="000000"/>
                <w:sz w:val="16"/>
                <w:szCs w:val="16"/>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09986">
            <w:pPr>
              <w:jc w:val="center"/>
              <w:rPr>
                <w:rFonts w:hint="eastAsia" w:ascii="宋体" w:hAnsi="宋体" w:eastAsia="宋体" w:cs="宋体"/>
                <w:i w:val="0"/>
                <w:iCs w:val="0"/>
                <w:color w:val="000000"/>
                <w:sz w:val="16"/>
                <w:szCs w:val="16"/>
                <w:u w:val="none"/>
              </w:rPr>
            </w:pPr>
          </w:p>
        </w:tc>
        <w:tc>
          <w:tcPr>
            <w:tcW w:w="21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B8422B">
            <w:pPr>
              <w:jc w:val="center"/>
              <w:rPr>
                <w:rFonts w:hint="eastAsia" w:ascii="宋体" w:hAnsi="宋体" w:eastAsia="宋体" w:cs="宋体"/>
                <w:i w:val="0"/>
                <w:iCs w:val="0"/>
                <w:color w:val="000000"/>
                <w:sz w:val="16"/>
                <w:szCs w:val="16"/>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3A742">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28D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AAF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A3C967">
            <w:pPr>
              <w:rPr>
                <w:rFonts w:hint="eastAsia" w:ascii="宋体" w:hAnsi="宋体" w:eastAsia="宋体" w:cs="宋体"/>
                <w:i w:val="0"/>
                <w:iCs w:val="0"/>
                <w:color w:val="000000"/>
                <w:sz w:val="16"/>
                <w:szCs w:val="16"/>
                <w:u w:val="none"/>
              </w:rPr>
            </w:pPr>
          </w:p>
        </w:tc>
      </w:tr>
      <w:tr w14:paraId="4C9E3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994C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绩效指标（90分）</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0EE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一级指标</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358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二级指标</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D4D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三级指标</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D57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指标性质</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D3E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指标值</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9E6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度量单位</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E41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完成值</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C78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权重</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9FF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得分</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D34E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未完成原因分析</w:t>
            </w:r>
          </w:p>
        </w:tc>
      </w:tr>
      <w:tr w14:paraId="21856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03B977">
            <w:pPr>
              <w:jc w:val="center"/>
              <w:rPr>
                <w:rFonts w:hint="eastAsia" w:ascii="宋体" w:hAnsi="宋体" w:eastAsia="宋体" w:cs="宋体"/>
                <w:i w:val="0"/>
                <w:iCs w:val="0"/>
                <w:color w:val="000000"/>
                <w:sz w:val="16"/>
                <w:szCs w:val="16"/>
                <w:u w:val="none"/>
              </w:rPr>
            </w:pP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A138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w:t>
            </w: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258F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数量指标</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27C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完成北京大学牦牛革命演出</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73FA0">
            <w:pPr>
              <w:keepNext w:val="0"/>
              <w:keepLines w:val="0"/>
              <w:widowControl/>
              <w:suppressLineNumbers w:val="0"/>
              <w:jc w:val="center"/>
              <w:textAlignment w:val="center"/>
              <w:rPr>
                <w:rFonts w:hint="default"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983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2CA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场</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069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1场</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22F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D5A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2877C">
            <w:pPr>
              <w:jc w:val="center"/>
              <w:rPr>
                <w:rFonts w:hint="eastAsia" w:ascii="宋体" w:hAnsi="宋体" w:eastAsia="宋体" w:cs="宋体"/>
                <w:i w:val="0"/>
                <w:iCs w:val="0"/>
                <w:color w:val="000000"/>
                <w:sz w:val="16"/>
                <w:szCs w:val="16"/>
                <w:u w:val="none"/>
              </w:rPr>
            </w:pPr>
          </w:p>
        </w:tc>
      </w:tr>
      <w:tr w14:paraId="185B6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D29E3A">
            <w:pPr>
              <w:jc w:val="center"/>
              <w:rPr>
                <w:rFonts w:hint="eastAsia" w:ascii="宋体" w:hAnsi="宋体" w:eastAsia="宋体" w:cs="宋体"/>
                <w:i w:val="0"/>
                <w:iCs w:val="0"/>
                <w:color w:val="000000"/>
                <w:sz w:val="16"/>
                <w:szCs w:val="16"/>
                <w:u w:val="none"/>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1C32D7">
            <w:pPr>
              <w:jc w:val="center"/>
              <w:rPr>
                <w:rFonts w:hint="eastAsia" w:ascii="宋体" w:hAnsi="宋体" w:eastAsia="宋体" w:cs="宋体"/>
                <w:i w:val="0"/>
                <w:iCs w:val="0"/>
                <w:color w:val="000000"/>
                <w:sz w:val="16"/>
                <w:szCs w:val="16"/>
                <w:u w:val="none"/>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5476FA">
            <w:pPr>
              <w:jc w:val="center"/>
              <w:rPr>
                <w:rFonts w:hint="eastAsia" w:ascii="宋体" w:hAnsi="宋体" w:eastAsia="宋体" w:cs="宋体"/>
                <w:i w:val="0"/>
                <w:iCs w:val="0"/>
                <w:color w:val="000000"/>
                <w:sz w:val="16"/>
                <w:szCs w:val="16"/>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812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完成演出舞台拆台</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BD7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lang w:val="en-US" w:eastAsia="zh-CN"/>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F8E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AB5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次</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754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1次</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F4E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909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AD679">
            <w:pPr>
              <w:jc w:val="center"/>
              <w:rPr>
                <w:rFonts w:hint="eastAsia" w:ascii="宋体" w:hAnsi="宋体" w:eastAsia="宋体" w:cs="宋体"/>
                <w:i w:val="0"/>
                <w:iCs w:val="0"/>
                <w:color w:val="000000"/>
                <w:sz w:val="16"/>
                <w:szCs w:val="16"/>
                <w:u w:val="none"/>
              </w:rPr>
            </w:pPr>
          </w:p>
        </w:tc>
      </w:tr>
      <w:tr w14:paraId="0A007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29AA3">
            <w:pPr>
              <w:jc w:val="center"/>
              <w:rPr>
                <w:rFonts w:hint="eastAsia" w:ascii="宋体" w:hAnsi="宋体" w:eastAsia="宋体" w:cs="宋体"/>
                <w:i w:val="0"/>
                <w:iCs w:val="0"/>
                <w:color w:val="000000"/>
                <w:sz w:val="16"/>
                <w:szCs w:val="16"/>
                <w:u w:val="none"/>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69AE8E">
            <w:pPr>
              <w:jc w:val="center"/>
              <w:rPr>
                <w:rFonts w:hint="eastAsia" w:ascii="宋体" w:hAnsi="宋体" w:eastAsia="宋体" w:cs="宋体"/>
                <w:i w:val="0"/>
                <w:iCs w:val="0"/>
                <w:color w:val="000000"/>
                <w:sz w:val="16"/>
                <w:szCs w:val="16"/>
                <w:u w:val="none"/>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1C19A">
            <w:pPr>
              <w:jc w:val="center"/>
              <w:rPr>
                <w:rFonts w:hint="eastAsia" w:ascii="宋体" w:hAnsi="宋体" w:eastAsia="宋体" w:cs="宋体"/>
                <w:i w:val="0"/>
                <w:iCs w:val="0"/>
                <w:color w:val="000000"/>
                <w:sz w:val="16"/>
                <w:szCs w:val="16"/>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0C5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完成演出舞台装台</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A4C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lang w:val="en-US" w:eastAsia="zh-CN"/>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056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876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次</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310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1次</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CF5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E58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0E427">
            <w:pPr>
              <w:jc w:val="center"/>
              <w:rPr>
                <w:rFonts w:hint="eastAsia" w:ascii="宋体" w:hAnsi="宋体" w:eastAsia="宋体" w:cs="宋体"/>
                <w:i w:val="0"/>
                <w:iCs w:val="0"/>
                <w:color w:val="000000"/>
                <w:sz w:val="16"/>
                <w:szCs w:val="16"/>
                <w:u w:val="none"/>
              </w:rPr>
            </w:pPr>
          </w:p>
        </w:tc>
      </w:tr>
      <w:tr w14:paraId="51236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850D9D">
            <w:pPr>
              <w:jc w:val="center"/>
              <w:rPr>
                <w:rFonts w:hint="eastAsia" w:ascii="宋体" w:hAnsi="宋体" w:eastAsia="宋体" w:cs="宋体"/>
                <w:i w:val="0"/>
                <w:iCs w:val="0"/>
                <w:color w:val="000000"/>
                <w:sz w:val="16"/>
                <w:szCs w:val="16"/>
                <w:u w:val="none"/>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7EDF1E">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88E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质量指标</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7FA4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演出舞台装台合格率</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067B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lang w:val="en-US" w:eastAsia="zh-CN"/>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988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994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3EF4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F8E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D7EB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6AB7B">
            <w:pPr>
              <w:jc w:val="center"/>
              <w:rPr>
                <w:rFonts w:hint="eastAsia" w:ascii="宋体" w:hAnsi="宋体" w:eastAsia="宋体" w:cs="宋体"/>
                <w:i w:val="0"/>
                <w:iCs w:val="0"/>
                <w:color w:val="000000"/>
                <w:sz w:val="16"/>
                <w:szCs w:val="16"/>
                <w:u w:val="none"/>
              </w:rPr>
            </w:pPr>
          </w:p>
        </w:tc>
      </w:tr>
      <w:tr w14:paraId="2FB9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AA7A03">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2B7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效益指标</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B9A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8C2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推广民族文化，让更多的人了解牦牛革命的伟大事迹</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6FF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定性</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A4E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效果显著</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F15DF">
            <w:pPr>
              <w:jc w:val="center"/>
              <w:rPr>
                <w:rFonts w:hint="eastAsia" w:ascii="宋体" w:hAnsi="宋体" w:eastAsia="宋体" w:cs="宋体"/>
                <w:i w:val="0"/>
                <w:iCs w:val="0"/>
                <w:color w:val="000000"/>
                <w:sz w:val="16"/>
                <w:szCs w:val="16"/>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3F3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效果显著</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C1CC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AD8C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16F5E">
            <w:pPr>
              <w:jc w:val="center"/>
              <w:rPr>
                <w:rFonts w:hint="eastAsia" w:ascii="宋体" w:hAnsi="宋体" w:eastAsia="宋体" w:cs="宋体"/>
                <w:i w:val="0"/>
                <w:iCs w:val="0"/>
                <w:color w:val="000000"/>
                <w:sz w:val="16"/>
                <w:szCs w:val="16"/>
                <w:u w:val="none"/>
              </w:rPr>
            </w:pPr>
          </w:p>
        </w:tc>
      </w:tr>
      <w:tr w14:paraId="49AD9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2F77E">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133D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3AD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服务对象满意度指标</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853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观看群众满意度</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99B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476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402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C3DB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3A5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89B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39403">
            <w:pPr>
              <w:jc w:val="center"/>
              <w:rPr>
                <w:rFonts w:hint="eastAsia" w:ascii="宋体" w:hAnsi="宋体" w:eastAsia="宋体" w:cs="宋体"/>
                <w:i w:val="0"/>
                <w:iCs w:val="0"/>
                <w:color w:val="000000"/>
                <w:sz w:val="16"/>
                <w:szCs w:val="16"/>
                <w:u w:val="none"/>
              </w:rPr>
            </w:pPr>
          </w:p>
        </w:tc>
      </w:tr>
      <w:tr w14:paraId="12DE9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09B50B">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97D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成本指标</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DAF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经济成本指标</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A62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项目总价</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821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lang w:val="en-US" w:eastAsia="zh-CN"/>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40C9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29.8</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C558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万元</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48F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29.8万元</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AAA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034F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E0609">
            <w:pPr>
              <w:jc w:val="center"/>
              <w:rPr>
                <w:rFonts w:hint="eastAsia" w:ascii="宋体" w:hAnsi="宋体" w:eastAsia="宋体" w:cs="宋体"/>
                <w:i w:val="0"/>
                <w:iCs w:val="0"/>
                <w:color w:val="000000"/>
                <w:sz w:val="16"/>
                <w:szCs w:val="16"/>
                <w:u w:val="none"/>
              </w:rPr>
            </w:pPr>
          </w:p>
        </w:tc>
      </w:tr>
      <w:tr w14:paraId="62150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2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EAC76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F55C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F868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BC4A5">
            <w:pPr>
              <w:rPr>
                <w:rFonts w:hint="eastAsia" w:ascii="宋体" w:hAnsi="宋体" w:eastAsia="宋体" w:cs="宋体"/>
                <w:i w:val="0"/>
                <w:iCs w:val="0"/>
                <w:color w:val="000000"/>
                <w:sz w:val="16"/>
                <w:szCs w:val="16"/>
                <w:u w:val="none"/>
              </w:rPr>
            </w:pPr>
          </w:p>
        </w:tc>
      </w:tr>
      <w:tr w14:paraId="0060F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016C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评价结论</w:t>
            </w:r>
          </w:p>
        </w:tc>
        <w:tc>
          <w:tcPr>
            <w:tcW w:w="8541"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A62737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本次“牦牛革命”主题演出圆满完成，思想政治引领与红色教育成效显著，有效增强师生爱国情怀与民族共同体意识，自评得分96分。</w:t>
            </w:r>
          </w:p>
        </w:tc>
      </w:tr>
      <w:tr w14:paraId="7C8EF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44EF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存在问题</w:t>
            </w:r>
          </w:p>
        </w:tc>
        <w:tc>
          <w:tcPr>
            <w:tcW w:w="8541"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4B503C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线上观看渠道较少与互动形式较少，演出传播效果未实现最大化。</w:t>
            </w:r>
          </w:p>
        </w:tc>
      </w:tr>
      <w:tr w14:paraId="59494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600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改进措施</w:t>
            </w:r>
          </w:p>
        </w:tc>
        <w:tc>
          <w:tcPr>
            <w:tcW w:w="8541"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376152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拓展线上传播渠道，丰富观看与互动形式，提升演出传播力与影响力。</w:t>
            </w:r>
          </w:p>
        </w:tc>
      </w:tr>
      <w:tr w14:paraId="27DDF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69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3265C0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项目负责人：陈晓东</w:t>
            </w:r>
          </w:p>
        </w:tc>
        <w:tc>
          <w:tcPr>
            <w:tcW w:w="468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33F59C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财务负责人：杨芳</w:t>
            </w:r>
          </w:p>
        </w:tc>
      </w:tr>
    </w:tbl>
    <w:p w14:paraId="0C733274">
      <w:pPr>
        <w:pageBreakBefore w:val="0"/>
        <w:kinsoku/>
        <w:wordWrap/>
        <w:overflowPunct/>
        <w:topLinePunct w:val="0"/>
        <w:autoSpaceDE/>
        <w:autoSpaceDN/>
        <w:bidi w:val="0"/>
        <w:spacing w:line="560" w:lineRule="atLeast"/>
      </w:pP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val="en-US" w:eastAsia="zh-CN"/>
        </w:rPr>
        <w:t xml:space="preserve">  </w:t>
      </w:r>
    </w:p>
    <w:p w14:paraId="3E0A631E">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10F423ED">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6B30EE0E">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49CBE6E9">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293C7CDC">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112FAF9F">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6C79D934">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3B60429D">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7816265C">
      <w:pPr>
        <w:keepNext w:val="0"/>
        <w:keepLines w:val="0"/>
        <w:pageBreakBefore w:val="0"/>
        <w:kinsoku/>
        <w:wordWrap/>
        <w:overflowPunct/>
        <w:topLinePunct w:val="0"/>
        <w:autoSpaceDE/>
        <w:autoSpaceDN/>
        <w:bidi w:val="0"/>
        <w:spacing w:line="560" w:lineRule="atLeast"/>
        <w:jc w:val="left"/>
        <w:textAlignment w:val="auto"/>
        <w:outlineLvl w:val="0"/>
        <w:rPr>
          <w:lang w:val="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3</w:t>
      </w:r>
    </w:p>
    <w:p w14:paraId="0E4ADBE3">
      <w:pPr>
        <w:widowControl w:val="0"/>
        <w:spacing w:line="578" w:lineRule="exact"/>
        <w:jc w:val="center"/>
        <w:rPr>
          <w:rFonts w:hint="eastAsia" w:ascii="Times New Roman" w:hAnsi="Times New Roman" w:eastAsia="方正小标宋简体" w:cs="Times New Roman"/>
          <w:color w:val="auto"/>
          <w:kern w:val="2"/>
          <w:sz w:val="44"/>
          <w:szCs w:val="44"/>
          <w:lang w:val="en-US" w:eastAsia="zh-CN" w:bidi="ar-SA"/>
        </w:rPr>
      </w:pPr>
    </w:p>
    <w:p w14:paraId="52657E37">
      <w:pPr>
        <w:widowControl w:val="0"/>
        <w:spacing w:line="578" w:lineRule="exact"/>
        <w:jc w:val="center"/>
        <w:rPr>
          <w:rFonts w:hint="eastAsia" w:ascii="Times New Roman" w:hAnsi="Times New Roman" w:eastAsia="方正小标宋简体" w:cs="Times New Roman"/>
          <w:color w:val="auto"/>
          <w:kern w:val="2"/>
          <w:sz w:val="44"/>
          <w:szCs w:val="44"/>
          <w:lang w:val="en-US" w:eastAsia="zh-CN" w:bidi="ar-SA"/>
        </w:rPr>
      </w:pPr>
      <w:r>
        <w:rPr>
          <w:rFonts w:hint="eastAsia" w:ascii="Times New Roman" w:hAnsi="Times New Roman" w:eastAsia="方正小标宋简体" w:cs="Times New Roman"/>
          <w:color w:val="auto"/>
          <w:kern w:val="2"/>
          <w:sz w:val="44"/>
          <w:szCs w:val="44"/>
          <w:lang w:val="en-US" w:eastAsia="zh-CN" w:bidi="ar-SA"/>
        </w:rPr>
        <w:t>阿坝州民族歌舞团</w:t>
      </w:r>
    </w:p>
    <w:p w14:paraId="34C6103E">
      <w:pPr>
        <w:widowControl w:val="0"/>
        <w:spacing w:line="578" w:lineRule="exact"/>
        <w:jc w:val="center"/>
        <w:rPr>
          <w:rFonts w:hint="eastAsia" w:ascii="Times New Roman" w:hAnsi="Times New Roman" w:eastAsia="方正小标宋简体" w:cs="Times New Roman"/>
          <w:color w:val="auto"/>
          <w:kern w:val="2"/>
          <w:sz w:val="44"/>
          <w:szCs w:val="44"/>
          <w:lang w:val="en-US" w:eastAsia="zh-CN" w:bidi="ar-SA"/>
        </w:rPr>
      </w:pPr>
      <w:r>
        <w:rPr>
          <w:rFonts w:hint="eastAsia" w:ascii="Times New Roman" w:hAnsi="Times New Roman" w:eastAsia="方正小标宋简体" w:cs="Times New Roman"/>
          <w:color w:val="auto"/>
          <w:kern w:val="2"/>
          <w:sz w:val="44"/>
          <w:szCs w:val="44"/>
          <w:lang w:val="en-US" w:eastAsia="zh-CN" w:bidi="ar-SA"/>
        </w:rPr>
        <w:t>关于“青春恰似火，我和我的祖国”浙川</w:t>
      </w:r>
    </w:p>
    <w:p w14:paraId="16D68605">
      <w:pPr>
        <w:widowControl w:val="0"/>
        <w:spacing w:line="578" w:lineRule="exact"/>
        <w:jc w:val="center"/>
        <w:rPr>
          <w:rFonts w:ascii="Times New Roman" w:hAnsi="Times New Roman" w:eastAsia="方正小标宋简体" w:cs="Times New Roman"/>
          <w:color w:val="auto"/>
          <w:kern w:val="2"/>
          <w:sz w:val="44"/>
          <w:szCs w:val="44"/>
          <w:lang w:val="en-US" w:eastAsia="zh-CN" w:bidi="ar-SA"/>
        </w:rPr>
      </w:pPr>
      <w:r>
        <w:rPr>
          <w:rFonts w:hint="eastAsia" w:ascii="Times New Roman" w:hAnsi="Times New Roman" w:eastAsia="方正小标宋简体" w:cs="Times New Roman"/>
          <w:color w:val="auto"/>
          <w:kern w:val="2"/>
          <w:sz w:val="44"/>
          <w:szCs w:val="44"/>
          <w:lang w:val="en-US" w:eastAsia="zh-CN" w:bidi="ar-SA"/>
        </w:rPr>
        <w:t>青少年文化交流活动经费项目</w:t>
      </w:r>
      <w:r>
        <w:rPr>
          <w:rFonts w:ascii="Times New Roman" w:hAnsi="Times New Roman" w:eastAsia="方正小标宋简体" w:cs="Times New Roman"/>
          <w:color w:val="auto"/>
          <w:kern w:val="2"/>
          <w:sz w:val="44"/>
          <w:szCs w:val="44"/>
          <w:lang w:val="en-US" w:eastAsia="zh-CN" w:bidi="ar-SA"/>
        </w:rPr>
        <w:t>绩效</w:t>
      </w:r>
    </w:p>
    <w:p w14:paraId="2403877C">
      <w:pPr>
        <w:widowControl w:val="0"/>
        <w:spacing w:line="578" w:lineRule="exact"/>
        <w:jc w:val="center"/>
        <w:rPr>
          <w:rFonts w:ascii="Times New Roman" w:hAnsi="Times New Roman" w:eastAsia="方正小标宋简体" w:cs="Times New Roman"/>
          <w:color w:val="auto"/>
          <w:kern w:val="2"/>
          <w:sz w:val="44"/>
          <w:szCs w:val="44"/>
          <w:lang w:val="en-US" w:eastAsia="zh-CN" w:bidi="ar-SA"/>
        </w:rPr>
      </w:pPr>
      <w:r>
        <w:rPr>
          <w:rFonts w:hint="eastAsia" w:ascii="Times New Roman" w:hAnsi="Times New Roman" w:eastAsia="方正小标宋简体" w:cs="Times New Roman"/>
          <w:color w:val="auto"/>
          <w:kern w:val="2"/>
          <w:sz w:val="44"/>
          <w:szCs w:val="44"/>
          <w:lang w:val="en-US" w:eastAsia="zh-CN" w:bidi="ar-SA"/>
        </w:rPr>
        <w:t>的</w:t>
      </w:r>
      <w:r>
        <w:rPr>
          <w:rFonts w:ascii="Times New Roman" w:hAnsi="Times New Roman" w:eastAsia="方正小标宋简体" w:cs="Times New Roman"/>
          <w:color w:val="auto"/>
          <w:kern w:val="2"/>
          <w:sz w:val="44"/>
          <w:szCs w:val="44"/>
          <w:lang w:val="en-US" w:eastAsia="zh-CN" w:bidi="ar-SA"/>
        </w:rPr>
        <w:t>自评报告</w:t>
      </w:r>
    </w:p>
    <w:p w14:paraId="59871198">
      <w:pPr>
        <w:pageBreakBefore w:val="0"/>
        <w:kinsoku/>
        <w:wordWrap/>
        <w:overflowPunct/>
        <w:topLinePunct w:val="0"/>
        <w:autoSpaceDE/>
        <w:autoSpaceDN/>
        <w:bidi w:val="0"/>
        <w:adjustRightInd w:val="0"/>
        <w:snapToGrid w:val="0"/>
        <w:spacing w:line="560" w:lineRule="exact"/>
        <w:ind w:firstLine="640" w:firstLineChars="200"/>
        <w:rPr>
          <w:rFonts w:ascii="Times New Roman" w:hAnsi="Times New Roman" w:eastAsia="黑体" w:cs="Times New Roman"/>
          <w:sz w:val="32"/>
          <w:szCs w:val="32"/>
          <w:lang w:val="zh-CN"/>
        </w:rPr>
      </w:pPr>
      <w:r>
        <w:rPr>
          <w:rFonts w:ascii="Times New Roman" w:hAnsi="Times New Roman" w:eastAsia="黑体" w:cs="Times New Roman"/>
          <w:sz w:val="32"/>
          <w:szCs w:val="32"/>
        </w:rPr>
        <w:t>一、</w:t>
      </w:r>
      <w:r>
        <w:rPr>
          <w:rFonts w:ascii="Times New Roman" w:hAnsi="Times New Roman" w:eastAsia="黑体" w:cs="Times New Roman"/>
          <w:sz w:val="32"/>
          <w:szCs w:val="32"/>
          <w:lang w:val="zh-CN"/>
        </w:rPr>
        <w:t>项目概况</w:t>
      </w:r>
    </w:p>
    <w:p w14:paraId="6EAFADCA">
      <w:pPr>
        <w:pageBreakBefore w:val="0"/>
        <w:widowControl/>
        <w:kinsoku/>
        <w:wordWrap/>
        <w:overflowPunct/>
        <w:topLinePunct w:val="0"/>
        <w:autoSpaceDE/>
        <w:autoSpaceDN/>
        <w:bidi w:val="0"/>
        <w:adjustRightInd w:val="0"/>
        <w:snapToGrid w:val="0"/>
        <w:spacing w:line="560" w:lineRule="exact"/>
        <w:ind w:firstLine="321" w:firstLineChars="100"/>
        <w:contextualSpacing/>
        <w:jc w:val="left"/>
        <w:rPr>
          <w:rFonts w:hint="eastAsia" w:ascii="楷体" w:hAnsi="楷体" w:eastAsia="楷体" w:cs="楷体"/>
          <w:kern w:val="0"/>
          <w:sz w:val="32"/>
          <w:szCs w:val="32"/>
          <w:shd w:val="clear" w:color="auto" w:fill="FFFFFF"/>
          <w:lang w:val="zh-CN"/>
        </w:rPr>
      </w:pPr>
      <w:r>
        <w:rPr>
          <w:rFonts w:hint="eastAsia" w:ascii="楷体" w:hAnsi="楷体" w:eastAsia="楷体" w:cs="楷体"/>
          <w:b/>
          <w:sz w:val="32"/>
          <w:szCs w:val="32"/>
          <w:lang w:val="zh-CN"/>
        </w:rPr>
        <w:t>（一）设立背景及基本情况</w:t>
      </w:r>
    </w:p>
    <w:p w14:paraId="7F735A25">
      <w:pPr>
        <w:pageBreakBefore w:val="0"/>
        <w:kinsoku/>
        <w:wordWrap/>
        <w:overflowPunct/>
        <w:topLinePunct w:val="0"/>
        <w:autoSpaceDE/>
        <w:autoSpaceDN/>
        <w:bidi w:val="0"/>
        <w:spacing w:line="560" w:lineRule="exact"/>
        <w:ind w:firstLine="640" w:firstLineChars="200"/>
        <w:rPr>
          <w:rFonts w:hint="eastAsia" w:ascii="仿宋" w:hAnsi="仿宋" w:eastAsia="仿宋" w:cs="仿宋"/>
          <w:kern w:val="0"/>
          <w:sz w:val="32"/>
          <w:szCs w:val="32"/>
          <w:shd w:val="clear" w:color="auto" w:fill="FFFFFF"/>
          <w:lang w:val="zh-CN"/>
        </w:rPr>
      </w:pPr>
      <w:r>
        <w:rPr>
          <w:rFonts w:hint="eastAsia" w:ascii="仿宋" w:hAnsi="仿宋" w:eastAsia="仿宋" w:cs="仿宋"/>
          <w:kern w:val="0"/>
          <w:sz w:val="32"/>
          <w:szCs w:val="32"/>
          <w:lang w:bidi="ar"/>
        </w:rPr>
        <w:t>立足浙川协作基础，弥补两地青少年文化交流短板，强化其家国情怀与民族团结意识，助力东西部协作向文化教育领域延伸。人文交流相关政策及浙川东西部协作规划，契合青少年全面发展与素质教育要求；结合两地成熟的协作机制、符合国家及浙川两地东西部协作结合项目实施实际需求申报资金，制定规范资金使用方案，确保资金合规高效使用；演出内容为，深化爱国主义教育，筑牢中华民族共同意体意识，阿坝州歌舞团联合四川爱乐乐团举办“青春恰似火，我和我的祖国”主题文化交流活动，活动以交响演奏，民族文艺融合，由四川爱乐乐团专业演奏团队与阿坝州民族歌舞团联合演出，赴马尔康市，小金县，映秀镇举办3场演出，每次演出派出不少于4人的专业演出，完成不少于5个节目表演，演出时场不低于20分钟。摄制《我和我的祖国》快闪视频；</w:t>
      </w:r>
      <w:r>
        <w:rPr>
          <w:rFonts w:hint="eastAsia" w:ascii="仿宋" w:hAnsi="仿宋" w:eastAsia="仿宋" w:cs="仿宋"/>
          <w:kern w:val="0"/>
          <w:sz w:val="32"/>
          <w:szCs w:val="32"/>
          <w:shd w:val="clear" w:color="auto" w:fill="FFFFFF"/>
          <w:lang w:val="zh-CN"/>
        </w:rPr>
        <w:t>单位职能为，创作演出优秀民族歌舞剧目，为群众服务，舞台艺术作品创作，演出艺术普及推广，艺术创作表演人才培养。</w:t>
      </w:r>
    </w:p>
    <w:p w14:paraId="78A5060F">
      <w:pPr>
        <w:pageBreakBefore w:val="0"/>
        <w:numPr>
          <w:ilvl w:val="0"/>
          <w:numId w:val="0"/>
        </w:numPr>
        <w:kinsoku/>
        <w:wordWrap/>
        <w:overflowPunct/>
        <w:topLinePunct w:val="0"/>
        <w:autoSpaceDE/>
        <w:autoSpaceDN/>
        <w:bidi w:val="0"/>
        <w:adjustRightInd w:val="0"/>
        <w:snapToGrid w:val="0"/>
        <w:spacing w:line="560" w:lineRule="exact"/>
        <w:ind w:firstLine="643" w:firstLineChars="200"/>
        <w:rPr>
          <w:rFonts w:hint="eastAsia" w:ascii="楷体" w:hAnsi="楷体" w:eastAsia="楷体" w:cs="楷体"/>
          <w:kern w:val="0"/>
          <w:sz w:val="32"/>
          <w:szCs w:val="32"/>
          <w:shd w:val="clear" w:color="auto" w:fill="FFFFFF"/>
          <w:lang w:val="zh-CN"/>
        </w:rPr>
      </w:pPr>
      <w:r>
        <w:rPr>
          <w:rFonts w:hint="eastAsia" w:ascii="楷体" w:hAnsi="楷体" w:eastAsia="楷体" w:cs="楷体"/>
          <w:b/>
          <w:sz w:val="32"/>
          <w:szCs w:val="32"/>
          <w:lang w:eastAsia="zh-CN"/>
        </w:rPr>
        <w:t>（二）</w:t>
      </w:r>
      <w:r>
        <w:rPr>
          <w:rFonts w:hint="eastAsia" w:ascii="楷体" w:hAnsi="楷体" w:eastAsia="楷体" w:cs="楷体"/>
          <w:b/>
          <w:sz w:val="32"/>
          <w:szCs w:val="32"/>
        </w:rPr>
        <w:t>实施目的及支持方向</w:t>
      </w:r>
    </w:p>
    <w:p w14:paraId="0FBFA98C">
      <w:pPr>
        <w:pageBreakBefore w:val="0"/>
        <w:widowControl/>
        <w:kinsoku/>
        <w:wordWrap/>
        <w:overflowPunct/>
        <w:topLinePunct w:val="0"/>
        <w:autoSpaceDE/>
        <w:autoSpaceDN/>
        <w:bidi w:val="0"/>
        <w:spacing w:line="560" w:lineRule="exact"/>
        <w:ind w:firstLine="640" w:firstLineChars="200"/>
        <w:jc w:val="left"/>
        <w:rPr>
          <w:rFonts w:hint="eastAsia" w:ascii="仿宋" w:hAnsi="仿宋" w:eastAsia="仿宋" w:cs="仿宋"/>
          <w:kern w:val="0"/>
          <w:sz w:val="32"/>
          <w:szCs w:val="32"/>
          <w:lang w:bidi="ar"/>
        </w:rPr>
      </w:pPr>
      <w:r>
        <w:rPr>
          <w:rFonts w:hint="eastAsia" w:ascii="仿宋" w:hAnsi="仿宋" w:eastAsia="仿宋" w:cs="仿宋"/>
          <w:sz w:val="32"/>
          <w:szCs w:val="32"/>
        </w:rPr>
        <w:t>根据</w:t>
      </w:r>
      <w:r>
        <w:rPr>
          <w:rFonts w:hint="eastAsia" w:ascii="仿宋" w:hAnsi="仿宋" w:eastAsia="仿宋" w:cs="仿宋"/>
          <w:kern w:val="0"/>
          <w:sz w:val="32"/>
          <w:szCs w:val="32"/>
          <w:lang w:bidi="ar"/>
        </w:rPr>
        <w:t>专项资金管理办法，明确资金使用、预算、支付及监督规则，专款专用、全程可追溯，强化风险防控。实施目的为深化爱国主义教育，筑牢中华民族共同意体意识，搭建交流平台，深化浙川情谊，传承文化、厚植家国情怀，推动协作走深；工作任务为：阿坝州歌舞团联合四川爱乐乐团举办“青春恰似火，我和我的祖国”主题文化交流活动，活动以交响演奏，民族文艺融合，由四川爱乐乐团专业演奏团队与阿坝州民族歌舞团联合演出，赴马尔康市，小金县，映秀镇举办3场演出，每次演出派出不少于4人的专业演出，完成不少于5个节目表演，演出时长不低于20分钟。摄制《我和我的祖国》快闪视频。</w:t>
      </w:r>
    </w:p>
    <w:p w14:paraId="30C1140F">
      <w:pPr>
        <w:pageBreakBefore w:val="0"/>
        <w:numPr>
          <w:ilvl w:val="0"/>
          <w:numId w:val="0"/>
        </w:numPr>
        <w:kinsoku/>
        <w:wordWrap/>
        <w:overflowPunct/>
        <w:topLinePunct w:val="0"/>
        <w:autoSpaceDE/>
        <w:autoSpaceDN/>
        <w:bidi w:val="0"/>
        <w:adjustRightInd w:val="0"/>
        <w:snapToGrid w:val="0"/>
        <w:spacing w:line="560" w:lineRule="exact"/>
        <w:ind w:firstLine="643" w:firstLineChars="200"/>
        <w:rPr>
          <w:rFonts w:hint="eastAsia" w:ascii="楷体" w:hAnsi="楷体" w:eastAsia="楷体" w:cs="楷体"/>
          <w:b/>
          <w:sz w:val="32"/>
          <w:szCs w:val="32"/>
          <w:lang w:eastAsia="zh-CN"/>
        </w:rPr>
      </w:pPr>
      <w:r>
        <w:rPr>
          <w:rFonts w:hint="eastAsia" w:ascii="楷体" w:hAnsi="楷体" w:eastAsia="楷体" w:cs="楷体"/>
          <w:b/>
          <w:sz w:val="32"/>
          <w:szCs w:val="32"/>
          <w:lang w:val="zh-CN" w:eastAsia="zh-CN"/>
        </w:rPr>
        <w:t>（三）</w:t>
      </w:r>
      <w:r>
        <w:rPr>
          <w:rFonts w:hint="eastAsia" w:ascii="楷体" w:hAnsi="楷体" w:eastAsia="楷体" w:cs="楷体"/>
          <w:b/>
          <w:sz w:val="32"/>
          <w:szCs w:val="32"/>
          <w:lang w:eastAsia="zh-CN"/>
        </w:rPr>
        <w:t>预算安排及分配管理</w:t>
      </w:r>
    </w:p>
    <w:p w14:paraId="63A5D457">
      <w:pPr>
        <w:pageBreakBefore w:val="0"/>
        <w:widowControl/>
        <w:kinsoku/>
        <w:wordWrap/>
        <w:overflowPunct/>
        <w:topLinePunct w:val="0"/>
        <w:autoSpaceDE/>
        <w:autoSpaceDN/>
        <w:bidi w:val="0"/>
        <w:adjustRightInd w:val="0"/>
        <w:snapToGrid w:val="0"/>
        <w:spacing w:line="560" w:lineRule="exact"/>
        <w:ind w:firstLine="640" w:firstLineChars="200"/>
        <w:contextualSpacing/>
        <w:jc w:val="left"/>
        <w:rPr>
          <w:rFonts w:ascii="宋体" w:hAnsi="宋体" w:eastAsia="宋体" w:cs="宋体"/>
          <w:bCs/>
          <w:sz w:val="28"/>
          <w:szCs w:val="28"/>
        </w:rPr>
      </w:pPr>
      <w:r>
        <w:rPr>
          <w:rFonts w:hint="eastAsia" w:ascii="仿宋" w:hAnsi="仿宋" w:eastAsia="仿宋" w:cs="仿宋"/>
          <w:bCs/>
          <w:sz w:val="32"/>
          <w:szCs w:val="32"/>
        </w:rPr>
        <w:t>2025年下达资金50万元，资金下达及时率100%，截止2025年末资金支出49.8万元，结余0.02万元，资金支付率99.6%，严格控制项目支出成本，实际支出低于预算安排，有效节约财政资金。</w:t>
      </w:r>
    </w:p>
    <w:p w14:paraId="2682ABC7">
      <w:pPr>
        <w:pageBreakBefore w:val="0"/>
        <w:numPr>
          <w:ilvl w:val="0"/>
          <w:numId w:val="0"/>
        </w:numPr>
        <w:kinsoku/>
        <w:wordWrap/>
        <w:overflowPunct/>
        <w:topLinePunct w:val="0"/>
        <w:autoSpaceDE/>
        <w:autoSpaceDN/>
        <w:bidi w:val="0"/>
        <w:adjustRightInd w:val="0"/>
        <w:snapToGrid w:val="0"/>
        <w:spacing w:line="560" w:lineRule="exact"/>
        <w:ind w:firstLine="643" w:firstLineChars="200"/>
        <w:rPr>
          <w:rFonts w:hint="eastAsia" w:ascii="楷体" w:hAnsi="楷体" w:eastAsia="楷体" w:cs="楷体"/>
          <w:b/>
          <w:sz w:val="32"/>
          <w:szCs w:val="32"/>
          <w:lang w:val="zh-CN" w:eastAsia="zh-CN"/>
        </w:rPr>
      </w:pPr>
      <w:r>
        <w:rPr>
          <w:rFonts w:hint="eastAsia" w:ascii="楷体" w:hAnsi="楷体" w:eastAsia="楷体" w:cs="楷体"/>
          <w:b/>
          <w:sz w:val="32"/>
          <w:szCs w:val="32"/>
          <w:lang w:val="zh-CN" w:eastAsia="zh-CN"/>
        </w:rPr>
        <w:t>（四）项目绩效目标设置</w:t>
      </w:r>
    </w:p>
    <w:p w14:paraId="1ADD9A02">
      <w:pPr>
        <w:keepNext/>
        <w:keepLines/>
        <w:pageBreakBefore w:val="0"/>
        <w:widowControl w:val="0"/>
        <w:kinsoku/>
        <w:wordWrap/>
        <w:overflowPunct/>
        <w:topLinePunct w:val="0"/>
        <w:autoSpaceDE/>
        <w:autoSpaceDN/>
        <w:bidi w:val="0"/>
        <w:spacing w:before="280" w:after="156" w:line="560" w:lineRule="exact"/>
        <w:jc w:val="center"/>
        <w:outlineLvl w:val="4"/>
        <w:rPr>
          <w:rFonts w:hint="eastAsia" w:ascii="仿宋" w:hAnsi="仿宋" w:eastAsia="仿宋" w:cs="仿宋"/>
          <w:b/>
          <w:kern w:val="2"/>
          <w:sz w:val="28"/>
          <w:szCs w:val="28"/>
          <w:lang w:val="en-US" w:eastAsia="zh-CN" w:bidi="ar-SA"/>
        </w:rPr>
      </w:pPr>
      <w:r>
        <w:rPr>
          <w:rFonts w:hint="eastAsia" w:ascii="仿宋" w:hAnsi="仿宋" w:eastAsia="仿宋" w:cs="仿宋"/>
          <w:b/>
          <w:kern w:val="2"/>
          <w:sz w:val="28"/>
          <w:szCs w:val="28"/>
          <w:lang w:val="en-US" w:eastAsia="zh-CN" w:bidi="ar-SA"/>
        </w:rPr>
        <w:t>2025年青春恰似火，我和我的祖国”浙川青少年文化交流活动经费项目绩效目标表</w:t>
      </w:r>
    </w:p>
    <w:tbl>
      <w:tblPr>
        <w:tblStyle w:val="19"/>
        <w:tblW w:w="9015" w:type="dxa"/>
        <w:tblInd w:w="96" w:type="dxa"/>
        <w:tblLayout w:type="autofit"/>
        <w:tblCellMar>
          <w:top w:w="0" w:type="dxa"/>
          <w:left w:w="108" w:type="dxa"/>
          <w:bottom w:w="0" w:type="dxa"/>
          <w:right w:w="108" w:type="dxa"/>
        </w:tblCellMar>
      </w:tblPr>
      <w:tblGrid>
        <w:gridCol w:w="1388"/>
        <w:gridCol w:w="1388"/>
        <w:gridCol w:w="2075"/>
        <w:gridCol w:w="1388"/>
        <w:gridCol w:w="1388"/>
        <w:gridCol w:w="1388"/>
      </w:tblGrid>
      <w:tr w14:paraId="028E5D72">
        <w:tblPrEx>
          <w:tblCellMar>
            <w:top w:w="0" w:type="dxa"/>
            <w:left w:w="108" w:type="dxa"/>
            <w:bottom w:w="0" w:type="dxa"/>
            <w:right w:w="108" w:type="dxa"/>
          </w:tblCellMar>
        </w:tblPrEx>
        <w:trPr>
          <w:trHeight w:val="643" w:hRule="atLeast"/>
        </w:trPr>
        <w:tc>
          <w:tcPr>
            <w:tcW w:w="1388" w:type="dxa"/>
            <w:tcBorders>
              <w:top w:val="single" w:color="000000" w:sz="4" w:space="0"/>
              <w:left w:val="single" w:color="000000" w:sz="4" w:space="0"/>
              <w:bottom w:val="single" w:color="000000" w:sz="4" w:space="0"/>
              <w:right w:val="single" w:color="000000" w:sz="4" w:space="0"/>
            </w:tcBorders>
            <w:noWrap w:val="0"/>
            <w:vAlign w:val="center"/>
          </w:tcPr>
          <w:p w14:paraId="48231DA0">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一级指标</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0C66B79">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二级指标</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7530B6B2">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三级指标</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6C4457AC">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指标性质</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1146497">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指标值</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1D708B1">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度量单位</w:t>
            </w:r>
          </w:p>
        </w:tc>
      </w:tr>
      <w:tr w14:paraId="412543E5">
        <w:tblPrEx>
          <w:tblCellMar>
            <w:top w:w="0" w:type="dxa"/>
            <w:left w:w="108" w:type="dxa"/>
            <w:bottom w:w="0" w:type="dxa"/>
            <w:right w:w="108" w:type="dxa"/>
          </w:tblCellMar>
        </w:tblPrEx>
        <w:trPr>
          <w:trHeight w:val="878" w:hRule="atLeast"/>
        </w:trPr>
        <w:tc>
          <w:tcPr>
            <w:tcW w:w="1388" w:type="dxa"/>
            <w:vMerge w:val="restart"/>
            <w:tcBorders>
              <w:top w:val="single" w:color="000000" w:sz="4" w:space="0"/>
              <w:left w:val="single" w:color="000000" w:sz="4" w:space="0"/>
              <w:bottom w:val="single" w:color="000000" w:sz="4" w:space="0"/>
              <w:right w:val="single" w:color="000000" w:sz="4" w:space="0"/>
            </w:tcBorders>
            <w:noWrap w:val="0"/>
            <w:vAlign w:val="center"/>
          </w:tcPr>
          <w:p w14:paraId="3619D4D7">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产出指标</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0119E72">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数量指标</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2232E216">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2025完成音乐交流活动</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77EFD1A">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505CDA2">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AB334D1">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次</w:t>
            </w:r>
          </w:p>
        </w:tc>
      </w:tr>
      <w:tr w14:paraId="67013741">
        <w:tblPrEx>
          <w:tblCellMar>
            <w:top w:w="0" w:type="dxa"/>
            <w:left w:w="108" w:type="dxa"/>
            <w:bottom w:w="0" w:type="dxa"/>
            <w:right w:w="108" w:type="dxa"/>
          </w:tblCellMar>
        </w:tblPrEx>
        <w:trPr>
          <w:trHeight w:val="949" w:hRule="atLeast"/>
        </w:trPr>
        <w:tc>
          <w:tcPr>
            <w:tcW w:w="13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95B2C">
            <w:pPr>
              <w:pageBreakBefore w:val="0"/>
              <w:kinsoku/>
              <w:wordWrap/>
              <w:overflowPunct/>
              <w:topLinePunct w:val="0"/>
              <w:autoSpaceDE/>
              <w:autoSpaceDN/>
              <w:bidi w:val="0"/>
              <w:spacing w:line="560" w:lineRule="exact"/>
              <w:jc w:val="center"/>
              <w:rPr>
                <w:rFonts w:hint="eastAsia" w:ascii="宋体" w:hAnsi="宋体" w:eastAsia="宋体" w:cs="宋体"/>
                <w:color w:val="000000"/>
                <w:sz w:val="22"/>
                <w:szCs w:val="22"/>
              </w:rPr>
            </w:pP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F0E7096">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质量指标</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406A3A85">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2025年音乐交流活动质量</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4C5DD97">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F53AA91">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90</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BA62027">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r>
      <w:tr w14:paraId="7B0E7829">
        <w:tblPrEx>
          <w:tblCellMar>
            <w:top w:w="0" w:type="dxa"/>
            <w:left w:w="108" w:type="dxa"/>
            <w:bottom w:w="0" w:type="dxa"/>
            <w:right w:w="108" w:type="dxa"/>
          </w:tblCellMar>
        </w:tblPrEx>
        <w:trPr>
          <w:trHeight w:val="1445" w:hRule="atLeast"/>
        </w:trPr>
        <w:tc>
          <w:tcPr>
            <w:tcW w:w="13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8CEFA1">
            <w:pPr>
              <w:pageBreakBefore w:val="0"/>
              <w:kinsoku/>
              <w:wordWrap/>
              <w:overflowPunct/>
              <w:topLinePunct w:val="0"/>
              <w:autoSpaceDE/>
              <w:autoSpaceDN/>
              <w:bidi w:val="0"/>
              <w:spacing w:line="560" w:lineRule="exact"/>
              <w:jc w:val="center"/>
              <w:rPr>
                <w:rFonts w:hint="eastAsia" w:ascii="宋体" w:hAnsi="宋体" w:eastAsia="宋体" w:cs="宋体"/>
                <w:color w:val="000000"/>
                <w:sz w:val="22"/>
                <w:szCs w:val="22"/>
              </w:rPr>
            </w:pP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23FA6C6">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时效指标</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35E12D78">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2025年完成及时完成音乐交流合作工作</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8CCFFD2">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62F1266">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2025</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6C70FF3D">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年</w:t>
            </w:r>
          </w:p>
        </w:tc>
      </w:tr>
      <w:tr w14:paraId="53D5EE2A">
        <w:tblPrEx>
          <w:tblCellMar>
            <w:top w:w="0" w:type="dxa"/>
            <w:left w:w="108" w:type="dxa"/>
            <w:bottom w:w="0" w:type="dxa"/>
            <w:right w:w="108" w:type="dxa"/>
          </w:tblCellMar>
        </w:tblPrEx>
        <w:trPr>
          <w:trHeight w:val="1445" w:hRule="atLeast"/>
        </w:trPr>
        <w:tc>
          <w:tcPr>
            <w:tcW w:w="1388" w:type="dxa"/>
            <w:tcBorders>
              <w:top w:val="single" w:color="000000" w:sz="4" w:space="0"/>
              <w:left w:val="single" w:color="000000" w:sz="4" w:space="0"/>
              <w:bottom w:val="single" w:color="000000" w:sz="4" w:space="0"/>
              <w:right w:val="single" w:color="000000" w:sz="4" w:space="0"/>
            </w:tcBorders>
            <w:noWrap w:val="0"/>
            <w:vAlign w:val="center"/>
          </w:tcPr>
          <w:p w14:paraId="35F13ACC">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效益指标</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9DC6722">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可持续发展指标</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7A60839A">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为我州未来音乐文艺事业工作发展奠定基础</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2388E43">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AFB97F8">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60</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9458E70">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r>
      <w:tr w14:paraId="73A17B9D">
        <w:tblPrEx>
          <w:tblCellMar>
            <w:top w:w="0" w:type="dxa"/>
            <w:left w:w="108" w:type="dxa"/>
            <w:bottom w:w="0" w:type="dxa"/>
            <w:right w:w="108" w:type="dxa"/>
          </w:tblCellMar>
        </w:tblPrEx>
        <w:trPr>
          <w:trHeight w:val="949" w:hRule="atLeast"/>
        </w:trPr>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D905106">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满意度指标</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403674FE">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服务对象满意度指标</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518C0BF8">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服务对象满意度</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0839BA4">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047B34F">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80</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605C8887">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r>
      <w:tr w14:paraId="02058FA6">
        <w:tblPrEx>
          <w:tblCellMar>
            <w:top w:w="0" w:type="dxa"/>
            <w:left w:w="108" w:type="dxa"/>
            <w:bottom w:w="0" w:type="dxa"/>
            <w:right w:w="108" w:type="dxa"/>
          </w:tblCellMar>
        </w:tblPrEx>
        <w:trPr>
          <w:trHeight w:val="826" w:hRule="atLeast"/>
        </w:trPr>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2E12E14">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成本指标</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F00DDD1">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经济成本指标</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270DB1D6">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项目总价</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4670DCE">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07C9DFC">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50</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637FF3B3">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万元</w:t>
            </w:r>
          </w:p>
        </w:tc>
      </w:tr>
    </w:tbl>
    <w:p w14:paraId="7B979DFF">
      <w:pPr>
        <w:pageBreakBefore w:val="0"/>
        <w:kinsoku/>
        <w:wordWrap/>
        <w:overflowPunct/>
        <w:topLinePunct w:val="0"/>
        <w:autoSpaceDE/>
        <w:autoSpaceDN/>
        <w:bidi w:val="0"/>
        <w:adjustRightInd w:val="0"/>
        <w:snapToGrid w:val="0"/>
        <w:spacing w:line="560" w:lineRule="exact"/>
        <w:ind w:firstLine="320" w:firstLineChars="100"/>
        <w:rPr>
          <w:rFonts w:ascii="Times New Roman" w:hAnsi="Times New Roman" w:eastAsia="黑体" w:cs="Times New Roman"/>
          <w:sz w:val="32"/>
          <w:szCs w:val="32"/>
        </w:rPr>
      </w:pPr>
    </w:p>
    <w:p w14:paraId="0DD80532">
      <w:pPr>
        <w:pageBreakBefore w:val="0"/>
        <w:kinsoku/>
        <w:wordWrap/>
        <w:overflowPunct/>
        <w:topLinePunct w:val="0"/>
        <w:autoSpaceDE/>
        <w:autoSpaceDN/>
        <w:bidi w:val="0"/>
        <w:adjustRightInd w:val="0"/>
        <w:snapToGrid w:val="0"/>
        <w:spacing w:line="560" w:lineRule="exact"/>
        <w:ind w:firstLine="320" w:firstLineChars="100"/>
        <w:rPr>
          <w:rFonts w:ascii="Times New Roman" w:hAnsi="Times New Roman" w:eastAsia="黑体" w:cs="Times New Roman"/>
          <w:sz w:val="32"/>
          <w:szCs w:val="32"/>
        </w:rPr>
      </w:pPr>
      <w:r>
        <w:rPr>
          <w:rFonts w:ascii="Times New Roman" w:hAnsi="Times New Roman" w:eastAsia="黑体" w:cs="Times New Roman"/>
          <w:sz w:val="32"/>
          <w:szCs w:val="32"/>
        </w:rPr>
        <w:t>二、评价实施</w:t>
      </w:r>
    </w:p>
    <w:p w14:paraId="52AE8F18">
      <w:pPr>
        <w:pageBreakBefore w:val="0"/>
        <w:widowControl/>
        <w:kinsoku/>
        <w:wordWrap/>
        <w:overflowPunct/>
        <w:topLinePunct w:val="0"/>
        <w:autoSpaceDE/>
        <w:autoSpaceDN/>
        <w:bidi w:val="0"/>
        <w:spacing w:line="560" w:lineRule="exact"/>
        <w:jc w:val="left"/>
        <w:rPr>
          <w:rFonts w:hint="eastAsia" w:ascii="仿宋" w:hAnsi="仿宋" w:eastAsia="仿宋" w:cs="仿宋"/>
          <w:sz w:val="32"/>
          <w:szCs w:val="32"/>
        </w:rPr>
      </w:pPr>
      <w:r>
        <w:rPr>
          <w:rFonts w:ascii="Times New Roman" w:hAnsi="Times New Roman" w:eastAsia="楷体_GB2312" w:cs="Times New Roman"/>
          <w:b/>
          <w:sz w:val="32"/>
          <w:szCs w:val="32"/>
          <w:lang w:val="zh-CN"/>
        </w:rPr>
        <w:t>（一）评价目的</w:t>
      </w:r>
      <w:r>
        <w:rPr>
          <w:rFonts w:hint="eastAsia" w:ascii="Times New Roman" w:hAnsi="Times New Roman" w:eastAsia="楷体_GB2312" w:cs="Times New Roman"/>
          <w:b/>
          <w:sz w:val="32"/>
          <w:szCs w:val="32"/>
          <w:lang w:val="zh-CN"/>
        </w:rPr>
        <w:t>：</w:t>
      </w:r>
      <w:r>
        <w:rPr>
          <w:rFonts w:hint="eastAsia" w:ascii="仿宋" w:hAnsi="仿宋" w:eastAsia="仿宋" w:cs="仿宋"/>
          <w:kern w:val="0"/>
          <w:sz w:val="32"/>
          <w:szCs w:val="32"/>
          <w:lang w:bidi="ar"/>
        </w:rPr>
        <w:t>检验项目实施成效，总结经验、查找不足，优化活动流程与资金使用，保障项目达成预期目标，推动交流活动常态化、规范化开展。</w:t>
      </w:r>
    </w:p>
    <w:p w14:paraId="4A9FCF84">
      <w:pPr>
        <w:pageBreakBefore w:val="0"/>
        <w:widowControl/>
        <w:kinsoku/>
        <w:wordWrap/>
        <w:overflowPunct/>
        <w:topLinePunct w:val="0"/>
        <w:autoSpaceDE/>
        <w:autoSpaceDN/>
        <w:bidi w:val="0"/>
        <w:spacing w:line="560" w:lineRule="exact"/>
        <w:jc w:val="left"/>
        <w:rPr>
          <w:rFonts w:hint="eastAsia" w:ascii="仿宋" w:hAnsi="仿宋" w:eastAsia="仿宋" w:cs="仿宋"/>
          <w:sz w:val="32"/>
          <w:szCs w:val="32"/>
        </w:rPr>
      </w:pPr>
      <w:r>
        <w:rPr>
          <w:rFonts w:ascii="Times New Roman" w:hAnsi="Times New Roman" w:eastAsia="楷体_GB2312" w:cs="Times New Roman"/>
          <w:b/>
          <w:sz w:val="32"/>
          <w:szCs w:val="32"/>
          <w:lang w:val="zh-CN"/>
        </w:rPr>
        <w:t>（二）预设问题及评价重点</w:t>
      </w:r>
      <w:r>
        <w:rPr>
          <w:rFonts w:hint="eastAsia" w:ascii="仿宋" w:hAnsi="仿宋" w:eastAsia="仿宋" w:cs="仿宋"/>
          <w:b/>
          <w:sz w:val="32"/>
          <w:szCs w:val="32"/>
          <w:lang w:val="zh-CN"/>
        </w:rPr>
        <w:t>：</w:t>
      </w:r>
      <w:r>
        <w:rPr>
          <w:rFonts w:hint="eastAsia" w:ascii="仿宋" w:hAnsi="仿宋" w:eastAsia="仿宋" w:cs="仿宋"/>
          <w:kern w:val="0"/>
          <w:sz w:val="32"/>
          <w:szCs w:val="32"/>
          <w:lang w:bidi="ar"/>
        </w:rPr>
        <w:t>活动成效是否达标、资金使用是否合规、流程是否顺畅、青少年参与体验及反馈如何。评价重点：活动对青少年家国情怀的培育成效、浙川文化互鉴落地情况、资金使用效率、流程规范性及活动常态化可行性。</w:t>
      </w:r>
    </w:p>
    <w:p w14:paraId="42AA1AFE">
      <w:pPr>
        <w:pageBreakBefore w:val="0"/>
        <w:kinsoku/>
        <w:wordWrap/>
        <w:overflowPunct/>
        <w:topLinePunct w:val="0"/>
        <w:autoSpaceDE/>
        <w:autoSpaceDN/>
        <w:bidi w:val="0"/>
        <w:adjustRightInd w:val="0"/>
        <w:snapToGrid w:val="0"/>
        <w:spacing w:line="560" w:lineRule="exact"/>
        <w:jc w:val="both"/>
        <w:rPr>
          <w:rFonts w:hint="eastAsia" w:ascii="Times New Roman" w:hAnsi="Times New Roman" w:eastAsia="仿宋_GB2312" w:cs="Times New Roman"/>
          <w:sz w:val="32"/>
          <w:szCs w:val="32"/>
        </w:rPr>
      </w:pPr>
      <w:r>
        <w:rPr>
          <w:rFonts w:ascii="Times New Roman" w:hAnsi="Times New Roman" w:eastAsia="楷体_GB2312" w:cs="Times New Roman"/>
          <w:b/>
          <w:sz w:val="32"/>
          <w:szCs w:val="32"/>
          <w:lang w:val="zh-CN"/>
        </w:rPr>
        <w:t>（三）评价选点</w:t>
      </w:r>
    </w:p>
    <w:p w14:paraId="2B9966CC">
      <w:pPr>
        <w:keepNext/>
        <w:keepLines/>
        <w:pageBreakBefore w:val="0"/>
        <w:widowControl w:val="0"/>
        <w:kinsoku/>
        <w:wordWrap/>
        <w:overflowPunct/>
        <w:topLinePunct w:val="0"/>
        <w:autoSpaceDE/>
        <w:autoSpaceDN/>
        <w:bidi w:val="0"/>
        <w:spacing w:before="280" w:after="156" w:line="560" w:lineRule="exact"/>
        <w:ind w:firstLine="1600" w:firstLineChars="500"/>
        <w:outlineLvl w:val="4"/>
        <w:rPr>
          <w:rFonts w:hint="eastAsia" w:ascii="仿宋" w:hAnsi="仿宋" w:eastAsia="仿宋" w:cs="仿宋"/>
          <w:b w:val="0"/>
          <w:bCs/>
          <w:kern w:val="2"/>
          <w:sz w:val="32"/>
          <w:szCs w:val="32"/>
          <w:lang w:val="zh-CN" w:eastAsia="zh-CN" w:bidi="ar-SA"/>
        </w:rPr>
      </w:pPr>
      <w:r>
        <w:rPr>
          <w:rFonts w:hint="eastAsia" w:ascii="仿宋" w:hAnsi="仿宋" w:eastAsia="仿宋" w:cs="仿宋"/>
          <w:b w:val="0"/>
          <w:bCs/>
          <w:kern w:val="2"/>
          <w:sz w:val="32"/>
          <w:szCs w:val="32"/>
          <w:lang w:val="zh-CN" w:eastAsia="zh-CN" w:bidi="ar-SA"/>
        </w:rPr>
        <w:t>无</w:t>
      </w:r>
    </w:p>
    <w:p w14:paraId="39AD0DC8">
      <w:pPr>
        <w:pageBreakBefore w:val="0"/>
        <w:kinsoku/>
        <w:wordWrap/>
        <w:overflowPunct/>
        <w:topLinePunct w:val="0"/>
        <w:autoSpaceDE/>
        <w:autoSpaceDN/>
        <w:bidi w:val="0"/>
        <w:spacing w:line="560" w:lineRule="exact"/>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w:t>
      </w:r>
      <w:r>
        <w:rPr>
          <w:rFonts w:hint="eastAsia" w:ascii="Times New Roman" w:hAnsi="Times New Roman" w:eastAsia="楷体_GB2312" w:cs="Times New Roman"/>
          <w:b/>
          <w:sz w:val="32"/>
          <w:szCs w:val="32"/>
          <w:lang w:val="zh-CN"/>
        </w:rPr>
        <w:t>四</w:t>
      </w:r>
      <w:r>
        <w:rPr>
          <w:rFonts w:ascii="Times New Roman" w:hAnsi="Times New Roman" w:eastAsia="楷体_GB2312" w:cs="Times New Roman"/>
          <w:b/>
          <w:sz w:val="32"/>
          <w:szCs w:val="32"/>
          <w:lang w:val="zh-CN"/>
        </w:rPr>
        <w:t>）评价方法</w:t>
      </w:r>
    </w:p>
    <w:p w14:paraId="1919AB5C">
      <w:pPr>
        <w:keepNext/>
        <w:keepLines/>
        <w:pageBreakBefore w:val="0"/>
        <w:widowControl w:val="0"/>
        <w:kinsoku/>
        <w:wordWrap/>
        <w:overflowPunct/>
        <w:topLinePunct w:val="0"/>
        <w:autoSpaceDE/>
        <w:autoSpaceDN/>
        <w:bidi w:val="0"/>
        <w:spacing w:before="280" w:after="156" w:line="560" w:lineRule="exact"/>
        <w:outlineLvl w:val="4"/>
        <w:rPr>
          <w:rFonts w:ascii="Arial" w:hAnsi="Arial" w:eastAsia="黑体" w:cs="Times New Roman"/>
          <w:b/>
          <w:kern w:val="2"/>
          <w:sz w:val="24"/>
          <w:szCs w:val="28"/>
          <w:lang w:val="en-US" w:eastAsia="zh-CN" w:bidi="ar-SA"/>
        </w:rPr>
      </w:pPr>
      <w:r>
        <w:rPr>
          <w:rFonts w:hint="eastAsia" w:ascii="Arial" w:hAnsi="Arial" w:eastAsia="黑体" w:cs="Times New Roman"/>
          <w:b/>
          <w:kern w:val="2"/>
          <w:sz w:val="24"/>
          <w:szCs w:val="28"/>
          <w:lang w:val="en-US" w:eastAsia="zh-CN" w:bidi="ar-SA"/>
        </w:rPr>
        <w:t xml:space="preserve">  </w:t>
      </w:r>
      <w:r>
        <w:rPr>
          <w:rFonts w:hint="eastAsia" w:ascii="Times New Roman" w:hAnsi="Times New Roman" w:eastAsia="楷体_GB2312" w:cs="Times New Roman"/>
          <w:b/>
          <w:kern w:val="2"/>
          <w:sz w:val="32"/>
          <w:szCs w:val="32"/>
          <w:lang w:val="en-US" w:eastAsia="zh-CN" w:bidi="ar-SA"/>
        </w:rPr>
        <w:t xml:space="preserve">  </w:t>
      </w:r>
      <w:r>
        <w:rPr>
          <w:rFonts w:hint="eastAsia" w:ascii="Times New Roman" w:hAnsi="Times New Roman" w:eastAsia="仿宋_GB2312" w:cs="Times New Roman"/>
          <w:b w:val="0"/>
          <w:bCs/>
          <w:kern w:val="2"/>
          <w:sz w:val="32"/>
          <w:szCs w:val="32"/>
          <w:lang w:val="en-US" w:eastAsia="zh-CN" w:bidi="ar-SA"/>
        </w:rPr>
        <w:t>该项目使用自评法进行评价（项目预算支出绩效自评）。</w:t>
      </w:r>
    </w:p>
    <w:p w14:paraId="375FF7B2">
      <w:pPr>
        <w:pageBreakBefore w:val="0"/>
        <w:widowControl/>
        <w:shd w:val="clear" w:color="auto" w:fill="FFFFFF"/>
        <w:kinsoku/>
        <w:wordWrap/>
        <w:overflowPunct/>
        <w:topLinePunct w:val="0"/>
        <w:autoSpaceDE/>
        <w:autoSpaceDN/>
        <w:bidi w:val="0"/>
        <w:spacing w:line="560" w:lineRule="exact"/>
        <w:ind w:firstLine="321" w:firstLineChars="100"/>
        <w:jc w:val="both"/>
        <w:rPr>
          <w:rFonts w:ascii="Times New Roman" w:hAnsi="Times New Roman" w:eastAsia="楷体_GB2312" w:cs="Times New Roman"/>
          <w:b/>
          <w:kern w:val="2"/>
          <w:sz w:val="32"/>
          <w:szCs w:val="32"/>
          <w:lang w:val="zh-CN" w:eastAsia="zh-CN" w:bidi="ar-SA"/>
        </w:rPr>
      </w:pPr>
      <w:r>
        <w:rPr>
          <w:rFonts w:ascii="Times New Roman" w:hAnsi="Times New Roman" w:eastAsia="楷体_GB2312" w:cs="Times New Roman"/>
          <w:b/>
          <w:kern w:val="2"/>
          <w:sz w:val="32"/>
          <w:szCs w:val="32"/>
          <w:lang w:val="zh-CN" w:eastAsia="zh-CN" w:bidi="ar-SA"/>
        </w:rPr>
        <w:t>（</w:t>
      </w:r>
      <w:r>
        <w:rPr>
          <w:rFonts w:hint="eastAsia" w:ascii="Times New Roman" w:hAnsi="Times New Roman" w:eastAsia="楷体_GB2312" w:cs="Times New Roman"/>
          <w:b/>
          <w:kern w:val="2"/>
          <w:sz w:val="32"/>
          <w:szCs w:val="32"/>
          <w:lang w:val="zh-CN" w:eastAsia="zh-CN" w:bidi="ar-SA"/>
        </w:rPr>
        <w:t>五</w:t>
      </w:r>
      <w:r>
        <w:rPr>
          <w:rFonts w:ascii="Times New Roman" w:hAnsi="Times New Roman" w:eastAsia="楷体_GB2312" w:cs="Times New Roman"/>
          <w:b/>
          <w:kern w:val="2"/>
          <w:sz w:val="32"/>
          <w:szCs w:val="32"/>
          <w:lang w:val="zh-CN" w:eastAsia="zh-CN" w:bidi="ar-SA"/>
        </w:rPr>
        <w:t>）评价组织</w:t>
      </w:r>
    </w:p>
    <w:p w14:paraId="74A240D4">
      <w:pPr>
        <w:pageBreakBefore w:val="0"/>
        <w:widowControl/>
        <w:shd w:val="clear" w:color="auto" w:fill="FFFFFF"/>
        <w:kinsoku/>
        <w:wordWrap/>
        <w:overflowPunct/>
        <w:topLinePunct w:val="0"/>
        <w:autoSpaceDE/>
        <w:autoSpaceDN/>
        <w:bidi w:val="0"/>
        <w:spacing w:line="560" w:lineRule="exact"/>
        <w:ind w:firstLine="640" w:firstLineChars="200"/>
        <w:jc w:val="both"/>
        <w:rPr>
          <w:rFonts w:ascii="Times New Roman" w:hAnsi="Times New Roman" w:eastAsia="仿宋_GB2312" w:cs="Times New Roman"/>
          <w:kern w:val="2"/>
          <w:sz w:val="24"/>
          <w:szCs w:val="32"/>
          <w:lang w:val="en-US" w:eastAsia="zh-CN" w:bidi="ar-SA"/>
        </w:rPr>
      </w:pPr>
      <w:r>
        <w:rPr>
          <w:rFonts w:hint="eastAsia" w:ascii="仿宋" w:hAnsi="仿宋" w:eastAsia="仿宋" w:cs="微软雅黑"/>
          <w:kern w:val="2"/>
          <w:sz w:val="32"/>
          <w:szCs w:val="32"/>
          <w:shd w:val="clear" w:color="auto" w:fill="FFFFFF"/>
          <w:lang w:val="en-US" w:eastAsia="zh-CN" w:bidi="ar-SA"/>
        </w:rPr>
        <w:t>我单位成立了以团长为组长、分管领导为副组长，相关科室负责人为成员的自评领导小组。通过查阅资料和实地走访对项目完成情况和满意度进行自评。</w:t>
      </w:r>
      <w:r>
        <w:rPr>
          <w:rFonts w:hint="eastAsia" w:ascii="Times New Roman" w:hAnsi="Times New Roman" w:eastAsia="仿宋_GB2312" w:cs="Times New Roman"/>
          <w:kern w:val="2"/>
          <w:sz w:val="24"/>
          <w:szCs w:val="32"/>
          <w:lang w:val="en-US" w:eastAsia="zh-CN" w:bidi="ar-SA"/>
        </w:rPr>
        <w:t xml:space="preserve"> </w:t>
      </w:r>
    </w:p>
    <w:p w14:paraId="22E706D6">
      <w:pPr>
        <w:pageBreakBefore w:val="0"/>
        <w:kinsoku/>
        <w:wordWrap/>
        <w:overflowPunct/>
        <w:topLinePunct w:val="0"/>
        <w:autoSpaceDE/>
        <w:autoSpaceDN/>
        <w:bidi w:val="0"/>
        <w:spacing w:line="560" w:lineRule="exact"/>
        <w:ind w:firstLine="640"/>
        <w:rPr>
          <w:rFonts w:ascii="Times New Roman" w:hAnsi="Times New Roman" w:eastAsia="仿宋_GB2312" w:cs="Times New Roman"/>
          <w:bCs/>
          <w:sz w:val="32"/>
          <w:szCs w:val="32"/>
        </w:rPr>
      </w:pPr>
    </w:p>
    <w:p w14:paraId="7B2A8754">
      <w:pPr>
        <w:pageBreakBefore w:val="0"/>
        <w:kinsoku/>
        <w:wordWrap/>
        <w:overflowPunct/>
        <w:topLinePunct w:val="0"/>
        <w:autoSpaceDE/>
        <w:autoSpaceDN/>
        <w:bidi w:val="0"/>
        <w:adjustRightInd w:val="0"/>
        <w:snapToGrid w:val="0"/>
        <w:spacing w:line="560" w:lineRule="exact"/>
        <w:ind w:firstLine="960" w:firstLineChars="300"/>
        <w:rPr>
          <w:rFonts w:ascii="Times New Roman" w:hAnsi="Times New Roman" w:eastAsia="仿宋_GB2312" w:cs="Times New Roman"/>
          <w:sz w:val="32"/>
          <w:szCs w:val="32"/>
        </w:rPr>
      </w:pPr>
      <w:r>
        <w:rPr>
          <w:rFonts w:ascii="Times New Roman" w:hAnsi="Times New Roman" w:eastAsia="黑体" w:cs="Times New Roman"/>
          <w:sz w:val="32"/>
          <w:szCs w:val="32"/>
        </w:rPr>
        <w:t>三、绩效分析</w:t>
      </w:r>
      <w:r>
        <w:rPr>
          <w:rFonts w:ascii="Times New Roman" w:hAnsi="Times New Roman" w:eastAsia="仿宋_GB2312" w:cs="Times New Roman"/>
          <w:sz w:val="32"/>
          <w:szCs w:val="32"/>
          <w:lang w:val="zh-CN"/>
        </w:rPr>
        <w:tab/>
      </w:r>
    </w:p>
    <w:p w14:paraId="0DA5F856">
      <w:pPr>
        <w:pageBreakBefore w:val="0"/>
        <w:kinsoku/>
        <w:wordWrap/>
        <w:overflowPunct/>
        <w:topLinePunct w:val="0"/>
        <w:autoSpaceDE/>
        <w:autoSpaceDN/>
        <w:bidi w:val="0"/>
        <w:spacing w:line="560" w:lineRule="exact"/>
        <w:ind w:firstLine="640"/>
        <w:rPr>
          <w:rFonts w:ascii="Times New Roman" w:hAnsi="Times New Roman" w:eastAsia="楷体_GB2312" w:cs="Times New Roman"/>
          <w:b/>
          <w:sz w:val="32"/>
          <w:szCs w:val="32"/>
        </w:rPr>
      </w:pPr>
      <w:r>
        <w:rPr>
          <w:rFonts w:ascii="Times New Roman" w:hAnsi="Times New Roman" w:eastAsia="楷体_GB2312" w:cs="Times New Roman"/>
          <w:b/>
          <w:sz w:val="32"/>
          <w:szCs w:val="32"/>
          <w:lang w:val="zh-CN"/>
        </w:rPr>
        <w:t>（一）</w:t>
      </w:r>
      <w:r>
        <w:rPr>
          <w:rFonts w:ascii="Times New Roman" w:hAnsi="Times New Roman" w:eastAsia="楷体_GB2312" w:cs="Times New Roman"/>
          <w:b/>
          <w:sz w:val="32"/>
          <w:szCs w:val="32"/>
        </w:rPr>
        <w:t>通用指标</w:t>
      </w:r>
      <w:r>
        <w:rPr>
          <w:rFonts w:ascii="Times New Roman" w:hAnsi="Times New Roman" w:eastAsia="楷体_GB2312" w:cs="Times New Roman"/>
          <w:b/>
          <w:bCs/>
          <w:color w:val="000000"/>
          <w:kern w:val="0"/>
          <w:sz w:val="32"/>
          <w:szCs w:val="32"/>
          <w:shd w:val="clear" w:color="auto" w:fill="FFFFFF"/>
          <w:lang w:val="zh-CN"/>
        </w:rPr>
        <w:t>绩效分析。</w:t>
      </w:r>
    </w:p>
    <w:p w14:paraId="421D37DA">
      <w:pPr>
        <w:pageBreakBefore w:val="0"/>
        <w:widowControl/>
        <w:kinsoku/>
        <w:wordWrap/>
        <w:overflowPunct/>
        <w:topLinePunct w:val="0"/>
        <w:autoSpaceDE/>
        <w:autoSpaceDN/>
        <w:bidi w:val="0"/>
        <w:spacing w:line="560" w:lineRule="exact"/>
        <w:ind w:firstLine="643" w:firstLineChars="200"/>
        <w:jc w:val="left"/>
        <w:rPr>
          <w:rFonts w:hint="eastAsia" w:ascii="仿宋" w:hAnsi="仿宋" w:eastAsia="仿宋" w:cs="仿宋"/>
          <w:kern w:val="0"/>
          <w:sz w:val="32"/>
          <w:szCs w:val="32"/>
          <w:lang w:bidi="ar"/>
        </w:rPr>
      </w:pPr>
      <w:r>
        <w:rPr>
          <w:rFonts w:hint="eastAsia" w:ascii="仿宋" w:hAnsi="仿宋" w:eastAsia="仿宋" w:cs="仿宋"/>
          <w:b/>
          <w:bCs/>
          <w:sz w:val="32"/>
          <w:szCs w:val="32"/>
        </w:rPr>
        <w:t>1.项目决策：</w:t>
      </w:r>
      <w:r>
        <w:rPr>
          <w:rFonts w:hint="eastAsia" w:ascii="仿宋" w:hAnsi="仿宋" w:eastAsia="仿宋" w:cs="仿宋"/>
          <w:kern w:val="0"/>
          <w:sz w:val="32"/>
          <w:szCs w:val="32"/>
          <w:lang w:bidi="ar"/>
        </w:rPr>
        <w:t>结合青少年交流需求及活动可行性，经多方研讨、论证，确定项目实施方向、活动内容及预算安排，明确各相关单位职责，确保项目贴合政策要求、契合预期目标，保障项目有序推进、落地见效。</w:t>
      </w:r>
    </w:p>
    <w:p w14:paraId="1E6869DC">
      <w:pPr>
        <w:pageBreakBefore w:val="0"/>
        <w:widowControl/>
        <w:kinsoku/>
        <w:wordWrap/>
        <w:overflowPunct/>
        <w:topLinePunct w:val="0"/>
        <w:autoSpaceDE/>
        <w:autoSpaceDN/>
        <w:bidi w:val="0"/>
        <w:spacing w:line="560" w:lineRule="exact"/>
        <w:ind w:firstLine="643" w:firstLineChars="200"/>
        <w:jc w:val="left"/>
        <w:rPr>
          <w:rFonts w:ascii="Times New Roman" w:hAnsi="Times New Roman" w:eastAsia="仿宋_GB2312" w:cs="Times New Roman"/>
          <w:sz w:val="32"/>
          <w:szCs w:val="32"/>
        </w:rPr>
      </w:pPr>
      <w:r>
        <w:rPr>
          <w:rFonts w:hint="eastAsia" w:ascii="仿宋" w:hAnsi="仿宋" w:eastAsia="仿宋" w:cs="仿宋"/>
          <w:b/>
          <w:bCs/>
          <w:sz w:val="32"/>
          <w:szCs w:val="32"/>
        </w:rPr>
        <w:t>2.项目管理：</w:t>
      </w:r>
      <w:r>
        <w:rPr>
          <w:rFonts w:hint="eastAsia" w:ascii="仿宋" w:hAnsi="仿宋" w:eastAsia="仿宋" w:cs="仿宋"/>
          <w:kern w:val="0"/>
          <w:sz w:val="32"/>
          <w:szCs w:val="32"/>
          <w:lang w:bidi="ar"/>
        </w:rPr>
        <w:t>明确项目管理责任分工，统筹协调各参与单位（浙川相关部门、阿坝州歌舞团、四川爱乐乐团），负责活动组织、安全保障、资金管控、宣传推广及成效反馈；建立常态化沟通机制，及时解决实施中的各类问题，规范流程管理，确保项目按计划推进、达成预期目标。</w:t>
      </w:r>
    </w:p>
    <w:p w14:paraId="41AAA449">
      <w:pPr>
        <w:pageBreakBefore w:val="0"/>
        <w:widowControl/>
        <w:kinsoku/>
        <w:wordWrap/>
        <w:overflowPunct/>
        <w:topLinePunct w:val="0"/>
        <w:autoSpaceDE/>
        <w:autoSpaceDN/>
        <w:bidi w:val="0"/>
        <w:spacing w:line="56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rPr>
        <w:t>3.项目实施：</w:t>
      </w:r>
      <w:r>
        <w:rPr>
          <w:rFonts w:hint="eastAsia" w:ascii="仿宋" w:hAnsi="仿宋" w:eastAsia="仿宋" w:cs="仿宋"/>
          <w:kern w:val="0"/>
          <w:sz w:val="32"/>
          <w:szCs w:val="32"/>
          <w:lang w:bidi="ar"/>
        </w:rPr>
        <w:t>按既定方案推进主题演出、快闪视频摄制等活动，统筹各参与单位落实演出安排、人员组织、安全保障；严格执行资金管理办法，规范流程，及时跟进活动进度，妥善处理实施中的各类问题，确保各项任务落地，达成项目预期目标。</w:t>
      </w:r>
    </w:p>
    <w:p w14:paraId="7077ABD1">
      <w:pPr>
        <w:pageBreakBefore w:val="0"/>
        <w:widowControl/>
        <w:kinsoku/>
        <w:wordWrap/>
        <w:overflowPunct/>
        <w:topLinePunct w:val="0"/>
        <w:autoSpaceDE/>
        <w:autoSpaceDN/>
        <w:bidi w:val="0"/>
        <w:spacing w:line="56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rPr>
        <w:t>4.项目结果：</w:t>
      </w:r>
      <w:r>
        <w:rPr>
          <w:rFonts w:hint="eastAsia" w:ascii="仿宋" w:hAnsi="仿宋" w:eastAsia="仿宋" w:cs="仿宋"/>
          <w:kern w:val="0"/>
          <w:sz w:val="32"/>
          <w:szCs w:val="32"/>
          <w:lang w:bidi="ar"/>
        </w:rPr>
        <w:t>顺利完成3场主题演出及快闪视频摄制，达成文化交流、家国情怀培育目标；浙川青少年交流加深，两地文化互鉴成效显著，资金使用合规，项目整体落地见效，为后续常态化交流奠定基础。</w:t>
      </w:r>
    </w:p>
    <w:p w14:paraId="08C5E92B">
      <w:pPr>
        <w:pageBreakBefore w:val="0"/>
        <w:kinsoku/>
        <w:wordWrap/>
        <w:overflowPunct/>
        <w:topLinePunct w:val="0"/>
        <w:autoSpaceDE/>
        <w:autoSpaceDN/>
        <w:bidi w:val="0"/>
        <w:spacing w:line="560" w:lineRule="exact"/>
        <w:ind w:firstLine="643" w:firstLineChars="200"/>
        <w:rPr>
          <w:rFonts w:ascii="Times New Roman" w:hAnsi="Times New Roman" w:eastAsia="楷体_GB2312" w:cs="Times New Roman"/>
          <w:sz w:val="32"/>
          <w:szCs w:val="32"/>
          <w:lang w:val="zh-CN"/>
        </w:rPr>
      </w:pPr>
      <w:r>
        <w:rPr>
          <w:rFonts w:ascii="Times New Roman" w:hAnsi="Times New Roman" w:eastAsia="楷体_GB2312" w:cs="Times New Roman"/>
          <w:b/>
          <w:sz w:val="32"/>
          <w:szCs w:val="32"/>
          <w:lang w:val="zh-CN"/>
        </w:rPr>
        <w:t>（二）</w:t>
      </w:r>
      <w:r>
        <w:rPr>
          <w:rFonts w:ascii="Times New Roman" w:hAnsi="Times New Roman" w:eastAsia="楷体_GB2312" w:cs="Times New Roman"/>
          <w:b/>
          <w:sz w:val="32"/>
          <w:szCs w:val="32"/>
        </w:rPr>
        <w:t>专用指标</w:t>
      </w:r>
      <w:r>
        <w:rPr>
          <w:rFonts w:ascii="Times New Roman" w:hAnsi="Times New Roman" w:eastAsia="楷体_GB2312" w:cs="Times New Roman"/>
          <w:b/>
          <w:bCs/>
          <w:color w:val="000000"/>
          <w:kern w:val="0"/>
          <w:sz w:val="32"/>
          <w:szCs w:val="32"/>
          <w:shd w:val="clear" w:color="auto" w:fill="FFFFFF"/>
          <w:lang w:val="zh-CN"/>
        </w:rPr>
        <w:t>绩效分析</w:t>
      </w:r>
    </w:p>
    <w:p w14:paraId="647A6D11">
      <w:pPr>
        <w:pageBreakBefore w:val="0"/>
        <w:kinsoku/>
        <w:wordWrap/>
        <w:overflowPunct/>
        <w:topLinePunct w:val="0"/>
        <w:autoSpaceDE/>
        <w:autoSpaceDN/>
        <w:bidi w:val="0"/>
        <w:spacing w:line="560" w:lineRule="exact"/>
        <w:ind w:firstLine="643" w:firstLineChars="200"/>
        <w:rPr>
          <w:rFonts w:ascii="Times New Roman" w:hAnsi="Times New Roman" w:eastAsia="楷体_GB2312" w:cs="Times New Roman"/>
          <w:sz w:val="32"/>
          <w:szCs w:val="32"/>
        </w:rPr>
      </w:pPr>
      <w:r>
        <w:rPr>
          <w:rFonts w:hint="eastAsia" w:ascii="仿宋" w:hAnsi="仿宋" w:eastAsia="仿宋" w:cs="仿宋"/>
          <w:b/>
          <w:bCs/>
          <w:sz w:val="32"/>
          <w:szCs w:val="32"/>
        </w:rPr>
        <w:t>1.产业发展类：</w:t>
      </w:r>
      <w:r>
        <w:rPr>
          <w:rFonts w:hint="eastAsia" w:ascii="Times New Roman" w:hAnsi="Times New Roman" w:eastAsia="楷体_GB2312" w:cs="Times New Roman"/>
          <w:sz w:val="32"/>
          <w:szCs w:val="32"/>
        </w:rPr>
        <w:t>无</w:t>
      </w:r>
    </w:p>
    <w:p w14:paraId="679921B9">
      <w:pPr>
        <w:pageBreakBefore w:val="0"/>
        <w:kinsoku/>
        <w:wordWrap/>
        <w:overflowPunct/>
        <w:topLinePunct w:val="0"/>
        <w:autoSpaceDE/>
        <w:autoSpaceDN/>
        <w:bidi w:val="0"/>
        <w:spacing w:before="120" w:after="120" w:line="560" w:lineRule="exact"/>
        <w:ind w:firstLine="643" w:firstLineChars="200"/>
        <w:jc w:val="left"/>
        <w:rPr>
          <w:rFonts w:ascii="仿宋" w:hAnsi="仿宋" w:eastAsia="仿宋" w:cs="Times New Roman"/>
          <w:sz w:val="30"/>
          <w:szCs w:val="30"/>
        </w:rPr>
      </w:pPr>
      <w:r>
        <w:rPr>
          <w:rFonts w:hint="eastAsia" w:ascii="仿宋" w:hAnsi="仿宋" w:eastAsia="仿宋" w:cs="仿宋"/>
          <w:b/>
          <w:bCs/>
          <w:sz w:val="32"/>
          <w:szCs w:val="32"/>
        </w:rPr>
        <w:t>2.</w:t>
      </w:r>
      <w:r>
        <w:rPr>
          <w:rFonts w:hint="eastAsia" w:ascii="仿宋" w:hAnsi="仿宋" w:eastAsia="仿宋" w:cs="仿宋"/>
          <w:b/>
          <w:bCs/>
          <w:sz w:val="32"/>
          <w:szCs w:val="32"/>
          <w:lang w:val="zh-CN"/>
        </w:rPr>
        <w:t>民生保障</w:t>
      </w:r>
      <w:r>
        <w:rPr>
          <w:rFonts w:hint="eastAsia" w:ascii="仿宋" w:hAnsi="仿宋" w:eastAsia="仿宋" w:cs="仿宋"/>
          <w:b/>
          <w:bCs/>
          <w:sz w:val="32"/>
          <w:szCs w:val="32"/>
        </w:rPr>
        <w:t>类：</w:t>
      </w:r>
      <w:r>
        <w:rPr>
          <w:rFonts w:ascii="仿宋" w:hAnsi="仿宋" w:eastAsia="仿宋" w:cs="Arial"/>
          <w:sz w:val="30"/>
          <w:szCs w:val="30"/>
        </w:rPr>
        <w:t>项目属于民生保障类（公共文化服务范畴），聚焦青少年精神文化素养提升、文化交流互鉴，有效填补浙川青少年文化交流短板，丰富青少年精神文化生活，切实发挥民生保障职能，相关成效符合民生保障类项目核心要求。</w:t>
      </w:r>
    </w:p>
    <w:p w14:paraId="4255A085">
      <w:pPr>
        <w:pageBreakBefore w:val="0"/>
        <w:kinsoku/>
        <w:wordWrap/>
        <w:overflowPunct/>
        <w:topLinePunct w:val="0"/>
        <w:autoSpaceDE/>
        <w:autoSpaceDN/>
        <w:bidi w:val="0"/>
        <w:spacing w:line="560" w:lineRule="exact"/>
        <w:ind w:firstLine="643" w:firstLineChars="200"/>
        <w:rPr>
          <w:rFonts w:ascii="Times New Roman" w:hAnsi="Times New Roman" w:eastAsia="楷体_GB2312" w:cs="Times New Roman"/>
          <w:sz w:val="32"/>
          <w:szCs w:val="32"/>
        </w:rPr>
      </w:pPr>
      <w:r>
        <w:rPr>
          <w:rFonts w:hint="eastAsia" w:ascii="仿宋" w:hAnsi="仿宋" w:eastAsia="仿宋" w:cs="仿宋"/>
          <w:b/>
          <w:bCs/>
          <w:sz w:val="32"/>
          <w:szCs w:val="32"/>
        </w:rPr>
        <w:t>3.基础设施类：</w:t>
      </w:r>
      <w:r>
        <w:rPr>
          <w:rFonts w:hint="eastAsia" w:ascii="Times New Roman" w:hAnsi="Times New Roman" w:eastAsia="楷体_GB2312" w:cs="Times New Roman"/>
          <w:sz w:val="32"/>
          <w:szCs w:val="32"/>
        </w:rPr>
        <w:t>无</w:t>
      </w:r>
    </w:p>
    <w:p w14:paraId="45DF61DD">
      <w:pPr>
        <w:pageBreakBefore w:val="0"/>
        <w:kinsoku/>
        <w:wordWrap/>
        <w:overflowPunct/>
        <w:topLinePunct w:val="0"/>
        <w:autoSpaceDE/>
        <w:autoSpaceDN/>
        <w:bidi w:val="0"/>
        <w:spacing w:line="560" w:lineRule="exact"/>
        <w:ind w:firstLine="643" w:firstLineChars="200"/>
        <w:rPr>
          <w:rFonts w:ascii="Times New Roman" w:hAnsi="Times New Roman" w:eastAsia="楷体_GB2312" w:cs="Times New Roman"/>
          <w:sz w:val="32"/>
          <w:szCs w:val="32"/>
        </w:rPr>
      </w:pPr>
      <w:r>
        <w:rPr>
          <w:rFonts w:hint="eastAsia" w:ascii="仿宋" w:hAnsi="仿宋" w:eastAsia="仿宋" w:cs="仿宋"/>
          <w:b/>
          <w:bCs/>
          <w:sz w:val="32"/>
          <w:szCs w:val="32"/>
        </w:rPr>
        <w:t>4.</w:t>
      </w:r>
      <w:r>
        <w:rPr>
          <w:rFonts w:hint="eastAsia" w:ascii="仿宋" w:hAnsi="仿宋" w:eastAsia="仿宋" w:cs="仿宋"/>
          <w:b/>
          <w:bCs/>
          <w:sz w:val="32"/>
          <w:szCs w:val="32"/>
          <w:lang w:val="zh-CN"/>
        </w:rPr>
        <w:t>行政运转</w:t>
      </w:r>
      <w:r>
        <w:rPr>
          <w:rFonts w:hint="eastAsia" w:ascii="仿宋" w:hAnsi="仿宋" w:eastAsia="仿宋" w:cs="仿宋"/>
          <w:b/>
          <w:bCs/>
          <w:sz w:val="32"/>
          <w:szCs w:val="32"/>
        </w:rPr>
        <w:t>类</w:t>
      </w:r>
      <w:r>
        <w:rPr>
          <w:rFonts w:hint="eastAsia" w:ascii="仿宋" w:hAnsi="仿宋" w:eastAsia="仿宋" w:cs="仿宋"/>
          <w:b/>
          <w:bCs/>
          <w:sz w:val="32"/>
          <w:szCs w:val="32"/>
          <w:lang w:val="zh-CN"/>
        </w:rPr>
        <w:t>：</w:t>
      </w:r>
      <w:r>
        <w:rPr>
          <w:rFonts w:hint="eastAsia" w:ascii="Times New Roman" w:hAnsi="Times New Roman" w:eastAsia="楷体_GB2312" w:cs="Times New Roman"/>
          <w:sz w:val="32"/>
          <w:szCs w:val="32"/>
        </w:rPr>
        <w:t>无</w:t>
      </w:r>
    </w:p>
    <w:p w14:paraId="6A72763E">
      <w:pPr>
        <w:pageBreakBefore w:val="0"/>
        <w:kinsoku/>
        <w:wordWrap/>
        <w:overflowPunct/>
        <w:topLinePunct w:val="0"/>
        <w:autoSpaceDE/>
        <w:autoSpaceDN/>
        <w:bidi w:val="0"/>
        <w:spacing w:line="560" w:lineRule="exact"/>
        <w:ind w:firstLine="640" w:firstLineChars="200"/>
        <w:rPr>
          <w:rFonts w:ascii="Times New Roman" w:hAnsi="Times New Roman" w:eastAsia="仿宋_GB2312" w:cs="Times New Roman"/>
          <w:sz w:val="32"/>
          <w:szCs w:val="32"/>
        </w:rPr>
      </w:pPr>
    </w:p>
    <w:p w14:paraId="50D9A153">
      <w:pPr>
        <w:pageBreakBefore w:val="0"/>
        <w:kinsoku/>
        <w:wordWrap/>
        <w:overflowPunct/>
        <w:topLinePunct w:val="0"/>
        <w:autoSpaceDE/>
        <w:autoSpaceDN/>
        <w:bidi w:val="0"/>
        <w:spacing w:line="560" w:lineRule="exact"/>
        <w:ind w:firstLine="640"/>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sz w:val="32"/>
          <w:szCs w:val="32"/>
          <w:lang w:val="zh-CN"/>
        </w:rPr>
        <w:t>（三）</w:t>
      </w:r>
      <w:r>
        <w:rPr>
          <w:rFonts w:ascii="Times New Roman" w:hAnsi="Times New Roman" w:eastAsia="楷体_GB2312" w:cs="Times New Roman"/>
          <w:b/>
          <w:sz w:val="32"/>
          <w:szCs w:val="32"/>
        </w:rPr>
        <w:t>个性指标</w:t>
      </w:r>
      <w:r>
        <w:rPr>
          <w:rFonts w:ascii="Times New Roman" w:hAnsi="Times New Roman" w:eastAsia="楷体_GB2312" w:cs="Times New Roman"/>
          <w:b/>
          <w:bCs/>
          <w:color w:val="000000"/>
          <w:kern w:val="0"/>
          <w:sz w:val="32"/>
          <w:szCs w:val="32"/>
          <w:shd w:val="clear" w:color="auto" w:fill="FFFFFF"/>
          <w:lang w:val="zh-CN"/>
        </w:rPr>
        <w:t>绩效分析</w:t>
      </w:r>
    </w:p>
    <w:p w14:paraId="00A86CB4">
      <w:pPr>
        <w:pageBreakBefore w:val="0"/>
        <w:kinsoku/>
        <w:wordWrap/>
        <w:overflowPunct/>
        <w:topLinePunct w:val="0"/>
        <w:autoSpaceDE/>
        <w:autoSpaceDN/>
        <w:bidi w:val="0"/>
        <w:spacing w:before="120" w:after="120" w:line="560" w:lineRule="exact"/>
        <w:jc w:val="left"/>
        <w:rPr>
          <w:rFonts w:ascii="仿宋" w:hAnsi="仿宋" w:eastAsia="仿宋" w:cs="Times New Roman"/>
          <w:sz w:val="32"/>
          <w:szCs w:val="32"/>
        </w:rPr>
      </w:pPr>
      <w:r>
        <w:rPr>
          <w:rFonts w:hint="eastAsia" w:ascii="仿宋" w:hAnsi="仿宋" w:eastAsia="仿宋" w:cs="Times New Roman"/>
          <w:sz w:val="32"/>
          <w:szCs w:val="32"/>
          <w:lang w:val="zh-CN"/>
        </w:rPr>
        <w:t xml:space="preserve"> </w:t>
      </w:r>
      <w:r>
        <w:rPr>
          <w:rFonts w:ascii="仿宋" w:hAnsi="仿宋" w:eastAsia="仿宋" w:cs="Times New Roman"/>
          <w:sz w:val="32"/>
          <w:szCs w:val="32"/>
          <w:lang w:val="zh-CN"/>
        </w:rPr>
        <w:t xml:space="preserve"> </w:t>
      </w:r>
      <w:r>
        <w:rPr>
          <w:rFonts w:ascii="仿宋" w:hAnsi="仿宋" w:eastAsia="仿宋" w:cs="Times New Roman"/>
          <w:b/>
          <w:bCs/>
          <w:sz w:val="32"/>
          <w:szCs w:val="32"/>
          <w:lang w:val="zh-CN"/>
        </w:rPr>
        <w:t xml:space="preserve"> </w:t>
      </w:r>
      <w:r>
        <w:rPr>
          <w:rFonts w:ascii="仿宋" w:hAnsi="仿宋" w:eastAsia="仿宋" w:cs="Arial"/>
          <w:sz w:val="32"/>
          <w:szCs w:val="32"/>
        </w:rPr>
        <w:t>2025年实际完成音乐交流活动2场，超额完成绩效目标中“2次”的要求；按时完成全年工作目标，如期达成项目实施目的；有效为我州未来音乐文艺事业发展奠定基础，指标达成度≥60%；服务对象满意度较高，达到≥80%的绩效目标；项目预算总价50万元，实际支出49.8万元，成本控制合理，符合绩效目标要求。</w:t>
      </w:r>
    </w:p>
    <w:p w14:paraId="059DC391">
      <w:pPr>
        <w:keepNext/>
        <w:keepLines/>
        <w:pageBreakBefore w:val="0"/>
        <w:widowControl w:val="0"/>
        <w:kinsoku/>
        <w:wordWrap/>
        <w:overflowPunct/>
        <w:topLinePunct w:val="0"/>
        <w:autoSpaceDE/>
        <w:autoSpaceDN/>
        <w:bidi w:val="0"/>
        <w:spacing w:before="280" w:after="156" w:line="560" w:lineRule="exact"/>
        <w:outlineLvl w:val="4"/>
        <w:rPr>
          <w:rFonts w:hint="eastAsia" w:ascii="仿宋" w:hAnsi="仿宋" w:eastAsia="仿宋" w:cs="Times New Roman"/>
          <w:b w:val="0"/>
          <w:bCs/>
          <w:kern w:val="2"/>
          <w:sz w:val="32"/>
          <w:szCs w:val="32"/>
          <w:lang w:val="en-US" w:eastAsia="zh-CN" w:bidi="ar-SA"/>
        </w:rPr>
      </w:pPr>
    </w:p>
    <w:p w14:paraId="4B49C87A">
      <w:pPr>
        <w:pageBreakBefore w:val="0"/>
        <w:widowControl/>
        <w:kinsoku/>
        <w:wordWrap/>
        <w:overflowPunct/>
        <w:topLinePunct w:val="0"/>
        <w:autoSpaceDE/>
        <w:autoSpaceDN/>
        <w:bidi w:val="0"/>
        <w:spacing w:line="560" w:lineRule="exact"/>
        <w:ind w:firstLine="640" w:firstLineChars="200"/>
        <w:jc w:val="left"/>
        <w:rPr>
          <w:rFonts w:ascii="Times New Roman" w:hAnsi="Times New Roman" w:eastAsia="黑体" w:cs="Times New Roman"/>
          <w:kern w:val="0"/>
          <w:position w:val="3"/>
          <w:sz w:val="32"/>
          <w:szCs w:val="32"/>
          <w:lang w:val="en-US" w:eastAsia="zh-CN" w:bidi="ar-SA"/>
        </w:rPr>
      </w:pPr>
      <w:r>
        <w:rPr>
          <w:rFonts w:ascii="Times New Roman" w:hAnsi="Times New Roman" w:eastAsia="黑体" w:cs="Times New Roman"/>
          <w:kern w:val="0"/>
          <w:position w:val="3"/>
          <w:sz w:val="32"/>
          <w:szCs w:val="32"/>
          <w:lang w:val="en-US" w:eastAsia="zh-CN" w:bidi="ar-SA"/>
        </w:rPr>
        <w:t>四、评价结论</w:t>
      </w:r>
    </w:p>
    <w:p w14:paraId="77348C3B">
      <w:pPr>
        <w:pageBreakBefore w:val="0"/>
        <w:widowControl/>
        <w:kinsoku/>
        <w:wordWrap/>
        <w:overflowPunct/>
        <w:topLinePunct w:val="0"/>
        <w:autoSpaceDE/>
        <w:autoSpaceDN/>
        <w:bidi w:val="0"/>
        <w:spacing w:line="560" w:lineRule="exact"/>
        <w:ind w:firstLine="1600" w:firstLineChars="500"/>
        <w:jc w:val="left"/>
        <w:rPr>
          <w:rFonts w:ascii="仿宋" w:hAnsi="仿宋" w:eastAsia="仿宋" w:cs="Times New Roman"/>
          <w:kern w:val="2"/>
          <w:position w:val="0"/>
          <w:sz w:val="32"/>
          <w:szCs w:val="32"/>
          <w:lang w:val="en-US" w:eastAsia="zh-CN" w:bidi="ar-SA"/>
        </w:rPr>
      </w:pPr>
      <w:r>
        <w:rPr>
          <w:rFonts w:hint="eastAsia" w:ascii="仿宋" w:hAnsi="仿宋" w:eastAsia="仿宋" w:cs="Times New Roman"/>
          <w:kern w:val="2"/>
          <w:position w:val="0"/>
          <w:sz w:val="32"/>
          <w:szCs w:val="32"/>
          <w:lang w:val="en-US" w:eastAsia="zh-CN" w:bidi="ar-SA"/>
        </w:rPr>
        <w:t>无</w:t>
      </w:r>
    </w:p>
    <w:p w14:paraId="32F602D5">
      <w:pPr>
        <w:pageBreakBefore w:val="0"/>
        <w:widowControl/>
        <w:kinsoku/>
        <w:wordWrap/>
        <w:overflowPunct/>
        <w:topLinePunct w:val="0"/>
        <w:autoSpaceDE/>
        <w:autoSpaceDN/>
        <w:bidi w:val="0"/>
        <w:spacing w:line="560" w:lineRule="exact"/>
        <w:ind w:firstLine="640" w:firstLineChars="200"/>
        <w:jc w:val="left"/>
        <w:rPr>
          <w:rFonts w:ascii="Times New Roman" w:hAnsi="Times New Roman" w:eastAsia="黑体" w:cs="Times New Roman"/>
          <w:kern w:val="0"/>
          <w:position w:val="3"/>
          <w:sz w:val="32"/>
          <w:szCs w:val="32"/>
          <w:lang w:val="en-US" w:eastAsia="zh-CN" w:bidi="ar-SA"/>
        </w:rPr>
      </w:pPr>
      <w:r>
        <w:rPr>
          <w:rFonts w:ascii="Times New Roman" w:hAnsi="Times New Roman" w:eastAsia="黑体" w:cs="Times New Roman"/>
          <w:kern w:val="0"/>
          <w:position w:val="3"/>
          <w:sz w:val="32"/>
          <w:szCs w:val="32"/>
          <w:lang w:val="en-US" w:eastAsia="zh-CN" w:bidi="ar-SA"/>
        </w:rPr>
        <w:t>五、存在主要问题</w:t>
      </w:r>
    </w:p>
    <w:p w14:paraId="4875B2AB">
      <w:pPr>
        <w:pageBreakBefore w:val="0"/>
        <w:widowControl/>
        <w:kinsoku/>
        <w:wordWrap/>
        <w:overflowPunct/>
        <w:topLinePunct w:val="0"/>
        <w:autoSpaceDE/>
        <w:autoSpaceDN/>
        <w:bidi w:val="0"/>
        <w:spacing w:line="560" w:lineRule="exact"/>
        <w:ind w:firstLine="1600" w:firstLineChars="500"/>
        <w:jc w:val="left"/>
        <w:rPr>
          <w:rFonts w:ascii="仿宋" w:hAnsi="仿宋" w:eastAsia="仿宋" w:cs="Times New Roman"/>
          <w:kern w:val="2"/>
          <w:position w:val="0"/>
          <w:sz w:val="32"/>
          <w:szCs w:val="32"/>
          <w:lang w:val="en-US" w:eastAsia="zh-CN" w:bidi="ar-SA"/>
        </w:rPr>
      </w:pPr>
      <w:r>
        <w:rPr>
          <w:rFonts w:hint="eastAsia" w:ascii="仿宋" w:hAnsi="仿宋" w:eastAsia="仿宋" w:cs="Times New Roman"/>
          <w:kern w:val="2"/>
          <w:position w:val="0"/>
          <w:sz w:val="32"/>
          <w:szCs w:val="32"/>
          <w:lang w:val="en-US" w:eastAsia="zh-CN" w:bidi="ar-SA"/>
        </w:rPr>
        <w:t>无</w:t>
      </w:r>
    </w:p>
    <w:p w14:paraId="223AE8DF">
      <w:pPr>
        <w:pageBreakBefore w:val="0"/>
        <w:widowControl/>
        <w:kinsoku/>
        <w:wordWrap/>
        <w:overflowPunct/>
        <w:topLinePunct w:val="0"/>
        <w:autoSpaceDE/>
        <w:autoSpaceDN/>
        <w:bidi w:val="0"/>
        <w:spacing w:line="560" w:lineRule="exact"/>
        <w:ind w:firstLine="640" w:firstLineChars="200"/>
        <w:jc w:val="left"/>
        <w:rPr>
          <w:rFonts w:ascii="Times New Roman" w:hAnsi="Times New Roman" w:eastAsia="黑体" w:cs="Times New Roman"/>
          <w:kern w:val="0"/>
          <w:position w:val="3"/>
          <w:sz w:val="32"/>
          <w:szCs w:val="32"/>
          <w:lang w:val="zh-CN" w:eastAsia="zh-CN" w:bidi="ar-SA"/>
        </w:rPr>
      </w:pPr>
      <w:r>
        <w:rPr>
          <w:rFonts w:ascii="Times New Roman" w:hAnsi="Times New Roman" w:eastAsia="黑体" w:cs="Times New Roman"/>
          <w:kern w:val="0"/>
          <w:position w:val="3"/>
          <w:sz w:val="32"/>
          <w:szCs w:val="32"/>
          <w:lang w:val="zh-CN" w:eastAsia="zh-CN" w:bidi="ar-SA"/>
        </w:rPr>
        <w:t>六、改进建议</w:t>
      </w:r>
    </w:p>
    <w:p w14:paraId="03AD7057">
      <w:pPr>
        <w:pageBreakBefore w:val="0"/>
        <w:kinsoku/>
        <w:wordWrap/>
        <w:overflowPunct/>
        <w:topLinePunct w:val="0"/>
        <w:autoSpaceDE/>
        <w:autoSpaceDN/>
        <w:bidi w:val="0"/>
        <w:snapToGrid w:val="0"/>
        <w:spacing w:line="560" w:lineRule="exact"/>
        <w:ind w:firstLine="640" w:firstLineChars="200"/>
        <w:rPr>
          <w:rFonts w:hint="eastAsia"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zh-CN"/>
        </w:rPr>
        <w:t xml:space="preserve"> </w:t>
      </w:r>
      <w:r>
        <w:rPr>
          <w:rFonts w:ascii="Times New Roman" w:hAnsi="Times New Roman" w:eastAsia="仿宋_GB2312" w:cs="Times New Roman"/>
          <w:color w:val="000000"/>
          <w:kern w:val="0"/>
          <w:sz w:val="32"/>
          <w:szCs w:val="32"/>
          <w:shd w:val="clear" w:color="auto" w:fill="FFFFFF"/>
          <w:lang w:val="zh-CN"/>
        </w:rPr>
        <w:t xml:space="preserve">     </w:t>
      </w:r>
      <w:r>
        <w:rPr>
          <w:rFonts w:hint="eastAsia" w:ascii="Times New Roman" w:hAnsi="Times New Roman" w:eastAsia="仿宋_GB2312" w:cs="Times New Roman"/>
          <w:color w:val="000000"/>
          <w:kern w:val="0"/>
          <w:sz w:val="32"/>
          <w:szCs w:val="32"/>
          <w:shd w:val="clear" w:color="auto" w:fill="FFFFFF"/>
          <w:lang w:val="zh-CN"/>
        </w:rPr>
        <w:t>无</w:t>
      </w:r>
    </w:p>
    <w:p w14:paraId="40B3513D">
      <w:pPr>
        <w:snapToGrid w:val="0"/>
        <w:spacing w:line="578" w:lineRule="exact"/>
        <w:rPr>
          <w:rFonts w:eastAsia="黑体"/>
          <w:kern w:val="0"/>
          <w:shd w:val="clear" w:color="auto" w:fill="FFFFFF"/>
          <w:lang w:val="zh-CN"/>
        </w:rPr>
      </w:pPr>
    </w:p>
    <w:tbl>
      <w:tblPr>
        <w:tblStyle w:val="19"/>
        <w:tblW w:w="93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6"/>
        <w:gridCol w:w="822"/>
        <w:gridCol w:w="709"/>
        <w:gridCol w:w="1092"/>
        <w:gridCol w:w="824"/>
        <w:gridCol w:w="658"/>
        <w:gridCol w:w="827"/>
        <w:gridCol w:w="834"/>
        <w:gridCol w:w="827"/>
        <w:gridCol w:w="1155"/>
        <w:gridCol w:w="1076"/>
      </w:tblGrid>
      <w:tr w14:paraId="0C42D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936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5DF05A68">
            <w:pPr>
              <w:keepNext w:val="0"/>
              <w:keepLines w:val="0"/>
              <w:widowControl/>
              <w:suppressLineNumbers w:val="0"/>
              <w:jc w:val="center"/>
              <w:textAlignment w:val="center"/>
              <w:rPr>
                <w:rFonts w:ascii="黑体" w:hAnsi="宋体" w:eastAsia="黑体" w:cs="黑体"/>
                <w:b/>
                <w:bCs/>
                <w:i w:val="0"/>
                <w:iCs w:val="0"/>
                <w:color w:val="000000"/>
                <w:sz w:val="32"/>
                <w:szCs w:val="32"/>
                <w:u w:val="none"/>
              </w:rPr>
            </w:pPr>
            <w:r>
              <w:rPr>
                <w:rFonts w:hint="eastAsia" w:ascii="黑体" w:hAnsi="宋体" w:eastAsia="黑体" w:cs="黑体"/>
                <w:b/>
                <w:bCs/>
                <w:i w:val="0"/>
                <w:iCs w:val="0"/>
                <w:color w:val="000000"/>
                <w:kern w:val="0"/>
                <w:sz w:val="32"/>
                <w:szCs w:val="32"/>
                <w:u w:val="none"/>
                <w:lang w:val="en-US" w:eastAsia="zh-CN" w:bidi="ar"/>
              </w:rPr>
              <w:t>部门预算项目支出绩效自评表（2025年度）</w:t>
            </w:r>
          </w:p>
        </w:tc>
      </w:tr>
      <w:tr w14:paraId="20C35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6" w:hRule="atLeast"/>
        </w:trPr>
        <w:tc>
          <w:tcPr>
            <w:tcW w:w="133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AB35E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项目名称</w:t>
            </w:r>
          </w:p>
        </w:tc>
        <w:tc>
          <w:tcPr>
            <w:tcW w:w="803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59A180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16"/>
                <w:szCs w:val="16"/>
                <w:u w:val="none"/>
                <w:lang w:val="en-US" w:eastAsia="zh-CN" w:bidi="ar"/>
              </w:rPr>
              <w:t>1320025T000013851110-2025年浙江援建资金“青春恰似火，我和我的祖国”浙川青少年文化交流活动经费</w:t>
            </w:r>
          </w:p>
        </w:tc>
      </w:tr>
      <w:tr w14:paraId="4AFD7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33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E94D4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主管部门</w:t>
            </w:r>
          </w:p>
        </w:tc>
        <w:tc>
          <w:tcPr>
            <w:tcW w:w="412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3F3D80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州文广旅局部门</w:t>
            </w:r>
          </w:p>
        </w:tc>
        <w:tc>
          <w:tcPr>
            <w:tcW w:w="835" w:type="dxa"/>
            <w:tcBorders>
              <w:top w:val="nil"/>
              <w:left w:val="nil"/>
              <w:bottom w:val="nil"/>
              <w:right w:val="nil"/>
            </w:tcBorders>
            <w:shd w:val="clear" w:color="auto" w:fill="FFFFFF"/>
            <w:vAlign w:val="center"/>
          </w:tcPr>
          <w:p w14:paraId="3CDA38A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实施单位 （盖章）</w:t>
            </w:r>
          </w:p>
        </w:tc>
        <w:tc>
          <w:tcPr>
            <w:tcW w:w="307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15B4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州民族歌舞团</w:t>
            </w:r>
          </w:p>
        </w:tc>
      </w:tr>
      <w:tr w14:paraId="1F7DC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5CCB8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项目基本情况</w:t>
            </w:r>
          </w:p>
        </w:tc>
        <w:tc>
          <w:tcPr>
            <w:tcW w:w="8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5496E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1.项目年度目标完成情况</w:t>
            </w:r>
          </w:p>
        </w:tc>
        <w:tc>
          <w:tcPr>
            <w:tcW w:w="412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DB961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项目年度目标</w:t>
            </w:r>
          </w:p>
        </w:tc>
        <w:tc>
          <w:tcPr>
            <w:tcW w:w="390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2AA96B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年度目标完成情况</w:t>
            </w:r>
          </w:p>
        </w:tc>
      </w:tr>
      <w:tr w14:paraId="766CE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0D503A">
            <w:pPr>
              <w:rPr>
                <w:rFonts w:hint="eastAsia" w:ascii="宋体" w:hAnsi="宋体" w:eastAsia="宋体" w:cs="宋体"/>
                <w:i w:val="0"/>
                <w:iCs w:val="0"/>
                <w:color w:val="000000"/>
                <w:sz w:val="16"/>
                <w:szCs w:val="16"/>
                <w:u w:val="none"/>
              </w:rPr>
            </w:pPr>
          </w:p>
        </w:tc>
        <w:tc>
          <w:tcPr>
            <w:tcW w:w="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F25447">
            <w:pPr>
              <w:rPr>
                <w:rFonts w:hint="eastAsia" w:ascii="宋体" w:hAnsi="宋体" w:eastAsia="宋体" w:cs="宋体"/>
                <w:i w:val="0"/>
                <w:iCs w:val="0"/>
                <w:color w:val="000000"/>
                <w:sz w:val="16"/>
                <w:szCs w:val="16"/>
                <w:u w:val="none"/>
              </w:rPr>
            </w:pPr>
          </w:p>
        </w:tc>
        <w:tc>
          <w:tcPr>
            <w:tcW w:w="412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0EA843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阿坝州与四川爱乐乐团等知名乐团开展交流合作，与阿坝州各族学生开展音乐交流，两地策划录制发布浙阿两地快闪视频等，展示多民族文化的和谐共生。</w:t>
            </w:r>
          </w:p>
        </w:tc>
        <w:tc>
          <w:tcPr>
            <w:tcW w:w="390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A2DA32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已完成阿坝州与四川爱乐乐团等知名乐团开展交流合作，与阿坝州各族学生开展音乐交流，两地策划录制发布浙阿两地快闪视频等，展示多民族文化的和谐共生。</w:t>
            </w:r>
          </w:p>
        </w:tc>
      </w:tr>
      <w:tr w14:paraId="13FF7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2"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73D841">
            <w:pP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BB19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2.项目实施内容及过程概述</w:t>
            </w:r>
          </w:p>
        </w:tc>
        <w:tc>
          <w:tcPr>
            <w:tcW w:w="803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DF9AAD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深化爱国主义教育，筑牢中华民族共同意体意识，阿坝州歌舞团联合四川爱乐乐团举办“青春恰似火，我和我的祖国”主题文化交流活动，活动以交响演奏，民族文艺融合，由四川爱乐乐团专业演奏团队与阿坝州民族歌舞团联合演出，赴马尔康市，小金县，映秀镇举办3场演出，每次演出派出不少于4人的专业演出，完成不少于5个节目表演，演出时场不低于20分钟，摄制《我和我的祖国》快闪视频。</w:t>
            </w:r>
          </w:p>
        </w:tc>
      </w:tr>
      <w:tr w14:paraId="41318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5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FC06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预算执行情况（10分）</w:t>
            </w: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296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年度预算数（万元）</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89A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年初预算</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F41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调整后预算数</w:t>
            </w:r>
          </w:p>
        </w:tc>
        <w:tc>
          <w:tcPr>
            <w:tcW w:w="2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70F0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预算执行数</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E38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96F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权重</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AB1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得分</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636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原因</w:t>
            </w:r>
          </w:p>
        </w:tc>
      </w:tr>
      <w:tr w14:paraId="20F62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51385A">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B19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总额</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A0C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C00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50.00</w:t>
            </w:r>
          </w:p>
        </w:tc>
        <w:tc>
          <w:tcPr>
            <w:tcW w:w="2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01E3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49.80</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77E0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99.60%</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5ED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0D6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940EE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严格控制项目支出成本，实际支出低于预算数，有效节约财政资金，结余0.2万元。</w:t>
            </w:r>
          </w:p>
        </w:tc>
      </w:tr>
      <w:tr w14:paraId="1C7A5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BC4AE0">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38E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37F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80B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50.00</w:t>
            </w:r>
          </w:p>
        </w:tc>
        <w:tc>
          <w:tcPr>
            <w:tcW w:w="2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A72C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49.80</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062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99.60%</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25A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F53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80B055">
            <w:pPr>
              <w:rPr>
                <w:rFonts w:hint="eastAsia" w:ascii="宋体" w:hAnsi="宋体" w:eastAsia="宋体" w:cs="宋体"/>
                <w:i w:val="0"/>
                <w:iCs w:val="0"/>
                <w:color w:val="000000"/>
                <w:sz w:val="16"/>
                <w:szCs w:val="16"/>
                <w:u w:val="none"/>
              </w:rPr>
            </w:pPr>
          </w:p>
        </w:tc>
      </w:tr>
      <w:tr w14:paraId="23CBE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0BE434">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8CE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财政专户管理资金</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9EA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8E4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2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6F6E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6224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0CD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626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5B8C26">
            <w:pPr>
              <w:rPr>
                <w:rFonts w:hint="eastAsia" w:ascii="宋体" w:hAnsi="宋体" w:eastAsia="宋体" w:cs="宋体"/>
                <w:i w:val="0"/>
                <w:iCs w:val="0"/>
                <w:color w:val="000000"/>
                <w:sz w:val="16"/>
                <w:szCs w:val="16"/>
                <w:u w:val="none"/>
              </w:rPr>
            </w:pPr>
          </w:p>
        </w:tc>
      </w:tr>
      <w:tr w14:paraId="2D17D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B076A8">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CE5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单位资金</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E02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E57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2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79ADA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627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4F4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5D8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D7F65E">
            <w:pPr>
              <w:rPr>
                <w:rFonts w:hint="eastAsia" w:ascii="宋体" w:hAnsi="宋体" w:eastAsia="宋体" w:cs="宋体"/>
                <w:i w:val="0"/>
                <w:iCs w:val="0"/>
                <w:color w:val="000000"/>
                <w:sz w:val="16"/>
                <w:szCs w:val="16"/>
                <w:u w:val="none"/>
              </w:rPr>
            </w:pPr>
          </w:p>
        </w:tc>
      </w:tr>
      <w:tr w14:paraId="2E3AB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A9D246">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C0D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其他资金</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E0988">
            <w:pPr>
              <w:jc w:val="center"/>
              <w:rPr>
                <w:rFonts w:hint="eastAsia" w:ascii="宋体" w:hAnsi="宋体" w:eastAsia="宋体" w:cs="宋体"/>
                <w:i/>
                <w:iCs/>
                <w:color w:val="000000"/>
                <w:sz w:val="16"/>
                <w:szCs w:val="16"/>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942F8">
            <w:pPr>
              <w:jc w:val="center"/>
              <w:rPr>
                <w:rFonts w:hint="eastAsia" w:ascii="宋体" w:hAnsi="宋体" w:eastAsia="宋体" w:cs="宋体"/>
                <w:i/>
                <w:iCs/>
                <w:color w:val="000000"/>
                <w:sz w:val="16"/>
                <w:szCs w:val="16"/>
                <w:u w:val="none"/>
              </w:rPr>
            </w:pPr>
          </w:p>
        </w:tc>
        <w:tc>
          <w:tcPr>
            <w:tcW w:w="2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D550F8">
            <w:pPr>
              <w:jc w:val="center"/>
              <w:rPr>
                <w:rFonts w:hint="eastAsia" w:ascii="宋体" w:hAnsi="宋体" w:eastAsia="宋体" w:cs="宋体"/>
                <w:i/>
                <w:iCs/>
                <w:color w:val="000000"/>
                <w:sz w:val="16"/>
                <w:szCs w:val="16"/>
                <w:u w:val="none"/>
              </w:rPr>
            </w:pP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FFD91">
            <w:pPr>
              <w:jc w:val="center"/>
              <w:rPr>
                <w:rFonts w:hint="eastAsia" w:ascii="宋体" w:hAnsi="宋体" w:eastAsia="宋体" w:cs="宋体"/>
                <w:i/>
                <w:iCs/>
                <w:color w:val="000000"/>
                <w:sz w:val="16"/>
                <w:szCs w:val="16"/>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42C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521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70AE39">
            <w:pPr>
              <w:rPr>
                <w:rFonts w:hint="eastAsia" w:ascii="宋体" w:hAnsi="宋体" w:eastAsia="宋体" w:cs="宋体"/>
                <w:i w:val="0"/>
                <w:iCs w:val="0"/>
                <w:color w:val="000000"/>
                <w:sz w:val="16"/>
                <w:szCs w:val="16"/>
                <w:u w:val="none"/>
              </w:rPr>
            </w:pPr>
          </w:p>
        </w:tc>
      </w:tr>
      <w:tr w14:paraId="7E2CB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BB55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绩效指标（90分）</w:t>
            </w: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0554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一级指标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00A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二级指标</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B029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三级指标</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B18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指标性质</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F34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指标值</w:t>
            </w:r>
          </w:p>
        </w:tc>
        <w:tc>
          <w:tcPr>
            <w:tcW w:w="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994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度量单位</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9A5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完成值</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85BD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权重</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FAE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得分</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DB0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未完成原因分析</w:t>
            </w:r>
          </w:p>
        </w:tc>
      </w:tr>
      <w:tr w14:paraId="68B12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2751D3">
            <w:pPr>
              <w:jc w:val="center"/>
              <w:rPr>
                <w:rFonts w:hint="eastAsia" w:ascii="宋体" w:hAnsi="宋体" w:eastAsia="宋体" w:cs="宋体"/>
                <w:i w:val="0"/>
                <w:iCs w:val="0"/>
                <w:color w:val="000000"/>
                <w:sz w:val="16"/>
                <w:szCs w:val="16"/>
                <w:u w:val="none"/>
              </w:rPr>
            </w:pPr>
          </w:p>
        </w:tc>
        <w:tc>
          <w:tcPr>
            <w:tcW w:w="8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D548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7E2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数量指标</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DF2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2025完成音乐交流活动</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8BE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6149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C4D2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次</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E4C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2次</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16E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5FD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2CE4E">
            <w:pPr>
              <w:jc w:val="center"/>
              <w:rPr>
                <w:rFonts w:hint="eastAsia" w:ascii="宋体" w:hAnsi="宋体" w:eastAsia="宋体" w:cs="宋体"/>
                <w:i/>
                <w:iCs/>
                <w:color w:val="000000"/>
                <w:sz w:val="16"/>
                <w:szCs w:val="16"/>
                <w:u w:val="none"/>
              </w:rPr>
            </w:pPr>
          </w:p>
        </w:tc>
      </w:tr>
      <w:tr w14:paraId="4D6EA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7E14D7">
            <w:pPr>
              <w:jc w:val="center"/>
              <w:rPr>
                <w:rFonts w:hint="eastAsia" w:ascii="宋体" w:hAnsi="宋体" w:eastAsia="宋体" w:cs="宋体"/>
                <w:i w:val="0"/>
                <w:iCs w:val="0"/>
                <w:color w:val="000000"/>
                <w:sz w:val="16"/>
                <w:szCs w:val="16"/>
                <w:u w:val="none"/>
              </w:rPr>
            </w:pPr>
          </w:p>
        </w:tc>
        <w:tc>
          <w:tcPr>
            <w:tcW w:w="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E97126">
            <w:pPr>
              <w:jc w:val="center"/>
              <w:rPr>
                <w:rFonts w:hint="eastAsia" w:ascii="宋体" w:hAnsi="宋体" w:eastAsia="宋体" w:cs="宋体"/>
                <w:i w:val="0"/>
                <w:iCs w:val="0"/>
                <w:color w:val="000000"/>
                <w:sz w:val="16"/>
                <w:szCs w:val="16"/>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2816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质量指标</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AAFF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2025年音乐交流活动质量</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CC2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6EC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90</w:t>
            </w:r>
          </w:p>
        </w:tc>
        <w:tc>
          <w:tcPr>
            <w:tcW w:w="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A34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FF6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90%</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0F3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3F7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6220A">
            <w:pPr>
              <w:jc w:val="center"/>
              <w:rPr>
                <w:rFonts w:hint="eastAsia" w:ascii="宋体" w:hAnsi="宋体" w:eastAsia="宋体" w:cs="宋体"/>
                <w:i/>
                <w:iCs/>
                <w:color w:val="000000"/>
                <w:sz w:val="16"/>
                <w:szCs w:val="16"/>
                <w:u w:val="none"/>
              </w:rPr>
            </w:pPr>
          </w:p>
        </w:tc>
      </w:tr>
      <w:tr w14:paraId="237EE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AB772F">
            <w:pPr>
              <w:jc w:val="center"/>
              <w:rPr>
                <w:rFonts w:hint="eastAsia" w:ascii="宋体" w:hAnsi="宋体" w:eastAsia="宋体" w:cs="宋体"/>
                <w:i w:val="0"/>
                <w:iCs w:val="0"/>
                <w:color w:val="000000"/>
                <w:sz w:val="16"/>
                <w:szCs w:val="16"/>
                <w:u w:val="none"/>
              </w:rPr>
            </w:pPr>
          </w:p>
        </w:tc>
        <w:tc>
          <w:tcPr>
            <w:tcW w:w="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AF7ED3">
            <w:pPr>
              <w:jc w:val="center"/>
              <w:rPr>
                <w:rFonts w:hint="eastAsia" w:ascii="宋体" w:hAnsi="宋体" w:eastAsia="宋体" w:cs="宋体"/>
                <w:i w:val="0"/>
                <w:iCs w:val="0"/>
                <w:color w:val="000000"/>
                <w:sz w:val="16"/>
                <w:szCs w:val="16"/>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EA3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时效指标</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BCB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2025年完成及时完成音乐交流合作工作</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4DB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6DC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w:t>
            </w:r>
          </w:p>
        </w:tc>
        <w:tc>
          <w:tcPr>
            <w:tcW w:w="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D2E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F63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76F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78D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BBB08">
            <w:pPr>
              <w:jc w:val="center"/>
              <w:rPr>
                <w:rFonts w:hint="eastAsia" w:ascii="宋体" w:hAnsi="宋体" w:eastAsia="宋体" w:cs="宋体"/>
                <w:i/>
                <w:iCs/>
                <w:color w:val="000000"/>
                <w:sz w:val="16"/>
                <w:szCs w:val="16"/>
                <w:u w:val="none"/>
              </w:rPr>
            </w:pPr>
          </w:p>
        </w:tc>
      </w:tr>
      <w:tr w14:paraId="42AC3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532012">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AEB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效益指标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D234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可持续发展指标</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BEF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为我州未来音乐文艺事业工作发展奠定基础</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728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726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w:t>
            </w:r>
          </w:p>
        </w:tc>
        <w:tc>
          <w:tcPr>
            <w:tcW w:w="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D087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4C5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8AC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DB4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7E37C">
            <w:pPr>
              <w:jc w:val="center"/>
              <w:rPr>
                <w:rFonts w:hint="eastAsia" w:ascii="宋体" w:hAnsi="宋体" w:eastAsia="宋体" w:cs="宋体"/>
                <w:i/>
                <w:iCs/>
                <w:color w:val="000000"/>
                <w:sz w:val="16"/>
                <w:szCs w:val="16"/>
                <w:u w:val="none"/>
              </w:rPr>
            </w:pPr>
          </w:p>
        </w:tc>
      </w:tr>
      <w:tr w14:paraId="392CB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3108AC">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1E5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887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服务对象满意度指标</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7EEE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服务对象满意度</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32EB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DFE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w:t>
            </w:r>
          </w:p>
        </w:tc>
        <w:tc>
          <w:tcPr>
            <w:tcW w:w="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EF5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850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DCA0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461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CFB18">
            <w:pPr>
              <w:jc w:val="center"/>
              <w:rPr>
                <w:rFonts w:hint="eastAsia" w:ascii="宋体" w:hAnsi="宋体" w:eastAsia="宋体" w:cs="宋体"/>
                <w:i/>
                <w:iCs/>
                <w:color w:val="000000"/>
                <w:sz w:val="16"/>
                <w:szCs w:val="16"/>
                <w:u w:val="none"/>
              </w:rPr>
            </w:pPr>
          </w:p>
        </w:tc>
      </w:tr>
      <w:tr w14:paraId="64AEB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0"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4FD3C">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5B96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成本指标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457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经济成本指标</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818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项目总价</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0F3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DB4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50</w:t>
            </w:r>
          </w:p>
        </w:tc>
        <w:tc>
          <w:tcPr>
            <w:tcW w:w="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BAB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万元</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621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49.8万元</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BB2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333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50C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严格控制项目支出成本，实际支出低于预算数，有效节约财政资金，结余0.2万元。</w:t>
            </w:r>
          </w:p>
        </w:tc>
      </w:tr>
      <w:tr w14:paraId="6FF9B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628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3643F3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482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BD1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28CB6">
            <w:pPr>
              <w:rPr>
                <w:rFonts w:hint="eastAsia" w:ascii="宋体" w:hAnsi="宋体" w:eastAsia="宋体" w:cs="宋体"/>
                <w:i w:val="0"/>
                <w:iCs w:val="0"/>
                <w:color w:val="000000"/>
                <w:sz w:val="16"/>
                <w:szCs w:val="16"/>
                <w:u w:val="none"/>
              </w:rPr>
            </w:pPr>
          </w:p>
        </w:tc>
      </w:tr>
      <w:tr w14:paraId="1F601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6" w:hRule="atLeast"/>
        </w:trPr>
        <w:tc>
          <w:tcPr>
            <w:tcW w:w="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3FB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评价结论</w:t>
            </w:r>
          </w:p>
        </w:tc>
        <w:tc>
          <w:tcPr>
            <w:tcW w:w="8854"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EEC3EC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演出活动圆满完成，实施效果显著，演出阵容精良，节目编排精良，现场秩序井然。演出活动极大丰富了基层群众精神文化生活，筑牢中华民族共同体意识，达到“以艺育人，文化润心”的预期目标。合作成果丰硕，群众反响强烈，群众满意度高，取得了良好的社会效益，自评得分96分。</w:t>
            </w:r>
          </w:p>
        </w:tc>
      </w:tr>
      <w:tr w14:paraId="69DFF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BA49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存在问题</w:t>
            </w:r>
          </w:p>
        </w:tc>
        <w:tc>
          <w:tcPr>
            <w:tcW w:w="8854"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2015EC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后勤保障细节需提升，部分场次受高原气候或场地条件影响，临时应急保障措施略显单一，服务细节有待提升。</w:t>
            </w:r>
          </w:p>
        </w:tc>
      </w:tr>
      <w:tr w14:paraId="3B99C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E32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改进措施</w:t>
            </w:r>
          </w:p>
        </w:tc>
        <w:tc>
          <w:tcPr>
            <w:tcW w:w="8854"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2A93C3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精细管理，提升保障水平，针对高原地区特点，完善应急预案，优化后勤服务流程，提升现场组织与应急保障能力，确保活动万无一失。</w:t>
            </w:r>
          </w:p>
        </w:tc>
      </w:tr>
      <w:tr w14:paraId="70494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396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9E609A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项目负责人：陈晓东</w:t>
            </w:r>
          </w:p>
        </w:tc>
        <w:tc>
          <w:tcPr>
            <w:tcW w:w="539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9AE79C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财务负责人：杨芳</w:t>
            </w:r>
          </w:p>
        </w:tc>
      </w:tr>
    </w:tbl>
    <w:p w14:paraId="60312FC5">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hint="eastAsia" w:ascii="黑体" w:hAnsi="黑体" w:eastAsia="黑体" w:cs="黑体"/>
          <w:kern w:val="0"/>
          <w:sz w:val="32"/>
          <w:szCs w:val="32"/>
          <w:shd w:val="clear" w:color="auto" w:fill="FFFFFF"/>
          <w:lang w:val="zh-CN"/>
        </w:rPr>
        <w:t>附表</w:t>
      </w:r>
      <w:r>
        <w:rPr>
          <w:rFonts w:hint="eastAsia" w:ascii="黑体" w:hAnsi="黑体" w:eastAsia="黑体" w:cs="黑体"/>
          <w:kern w:val="0"/>
          <w:sz w:val="32"/>
          <w:szCs w:val="32"/>
          <w:shd w:val="clear" w:color="auto" w:fill="FFFFFF"/>
        </w:rPr>
        <w:t>3</w:t>
      </w:r>
    </w:p>
    <w:p w14:paraId="339D2307">
      <w:pPr>
        <w:pStyle w:val="16"/>
        <w:spacing w:after="0" w:line="20" w:lineRule="exact"/>
        <w:ind w:leftChars="0" w:firstLine="480"/>
        <w:rPr>
          <w:rFonts w:ascii="Times New Roman" w:eastAsia="黑体"/>
          <w:sz w:val="24"/>
          <w:szCs w:val="24"/>
        </w:rPr>
      </w:pPr>
    </w:p>
    <w:p w14:paraId="30B574CA">
      <w:pPr>
        <w:pageBreakBefore w:val="0"/>
        <w:widowControl/>
        <w:kinsoku/>
        <w:wordWrap/>
        <w:overflowPunct/>
        <w:topLinePunct w:val="0"/>
        <w:bidi w:val="0"/>
        <w:spacing w:before="100" w:beforeAutospacing="1" w:after="100" w:afterAutospacing="1" w:line="560" w:lineRule="atLeast"/>
        <w:ind w:left="1080"/>
        <w:jc w:val="left"/>
      </w:pPr>
    </w:p>
    <w:p w14:paraId="29E4F2F7">
      <w:pPr>
        <w:pageBreakBefore w:val="0"/>
        <w:widowControl/>
        <w:kinsoku/>
        <w:wordWrap/>
        <w:overflowPunct/>
        <w:topLinePunct w:val="0"/>
        <w:bidi w:val="0"/>
        <w:spacing w:line="560" w:lineRule="atLeast"/>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45"/>
      <w:bookmarkEnd w:id="47"/>
      <w:bookmarkStart w:id="48" w:name="_Toc15396619"/>
    </w:p>
    <w:p w14:paraId="35FBE7F5">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p>
    <w:p w14:paraId="2280EA2C">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40EAB37F">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4B99B856">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53C29BF4">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43FBDB62">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763171BE">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6C410C14">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4EB52868">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25505003">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26362D44">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7AC6FD74">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CB5AA5F">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07B26F4E">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63969D9B">
      <w:pPr>
        <w:pageBreakBefore w:val="0"/>
        <w:kinsoku/>
        <w:wordWrap/>
        <w:overflowPunct/>
        <w:topLinePunct w:val="0"/>
        <w:bidi w:val="0"/>
        <w:spacing w:line="560" w:lineRule="atLeast"/>
        <w:rPr>
          <w:rFonts w:hint="eastAsia" w:ascii="Times New Roman" w:hAnsi="Times New Roman"/>
          <w:lang w:eastAsia="zh-CN"/>
        </w:rPr>
      </w:pPr>
    </w:p>
    <w:p w14:paraId="2FAA05EA">
      <w:pPr>
        <w:pStyle w:val="17"/>
        <w:adjustRightInd w:val="0"/>
        <w:snapToGrid w:val="0"/>
        <w:spacing w:line="560" w:lineRule="exact"/>
        <w:ind w:left="1058" w:leftChars="504" w:firstLine="0" w:firstLineChars="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附表</w:t>
      </w:r>
      <w:r>
        <w:rPr>
          <w:rFonts w:hint="eastAsia" w:ascii="仿宋" w:hAnsi="仿宋" w:eastAsia="仿宋" w:cs="仿宋"/>
          <w:b w:val="0"/>
          <w:bCs w:val="0"/>
          <w:sz w:val="32"/>
          <w:szCs w:val="32"/>
          <w:lang w:val="en-US" w:eastAsia="zh-CN"/>
        </w:rPr>
        <w:t>1：2025年阿坝州民族歌舞团决算公开表</w:t>
      </w:r>
    </w:p>
    <w:p w14:paraId="18499164">
      <w:pPr>
        <w:pStyle w:val="2"/>
        <w:rPr>
          <w:rFonts w:hint="eastAsia"/>
          <w:lang w:eastAsia="zh-CN"/>
        </w:rPr>
      </w:pPr>
    </w:p>
    <w:sectPr>
      <w:footerReference r:id="rId10" w:type="first"/>
      <w:headerReference r:id="rId8" w:type="default"/>
      <w:footerReference r:id="rId9"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GB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4011">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1143B1">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A1143B1">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533140FE">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15D62">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3981F5">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63981F5">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78CE">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75BAE">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9175BAE">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3B0C36E4">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E091">
    <w:pPr>
      <w:pStyle w:val="1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0D9385">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F0D9385">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2"/>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5CC2FC">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35CC2FC">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66082FB3">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5F225">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9B488"/>
    <w:multiLevelType w:val="singleLevel"/>
    <w:tmpl w:val="8C39B488"/>
    <w:lvl w:ilvl="0" w:tentative="0">
      <w:start w:val="2"/>
      <w:numFmt w:val="chineseCounting"/>
      <w:suff w:val="nothing"/>
      <w:lvlText w:val="（%1）"/>
      <w:lvlJc w:val="left"/>
      <w:rPr>
        <w:rFonts w:hint="eastAsia"/>
      </w:rPr>
    </w:lvl>
  </w:abstractNum>
  <w:abstractNum w:abstractNumId="1">
    <w:nsid w:val="C20A859A"/>
    <w:multiLevelType w:val="singleLevel"/>
    <w:tmpl w:val="C20A859A"/>
    <w:lvl w:ilvl="0" w:tentative="0">
      <w:start w:val="1"/>
      <w:numFmt w:val="chineseCounting"/>
      <w:suff w:val="nothing"/>
      <w:lvlText w:val="%1、"/>
      <w:lvlJc w:val="left"/>
      <w:rPr>
        <w:rFonts w:hint="eastAsia"/>
      </w:rPr>
    </w:lvl>
  </w:abstractNum>
  <w:abstractNum w:abstractNumId="2">
    <w:nsid w:val="E395CFB6"/>
    <w:multiLevelType w:val="singleLevel"/>
    <w:tmpl w:val="E395CFB6"/>
    <w:lvl w:ilvl="0" w:tentative="0">
      <w:start w:val="1"/>
      <w:numFmt w:val="decimal"/>
      <w:pStyle w:val="10"/>
      <w:lvlText w:val="%1."/>
      <w:lvlJc w:val="left"/>
      <w:pPr>
        <w:tabs>
          <w:tab w:val="left" w:pos="2040"/>
        </w:tabs>
        <w:ind w:left="2040" w:hanging="360"/>
      </w:pPr>
    </w:lvl>
  </w:abstractNum>
  <w:abstractNum w:abstractNumId="3">
    <w:nsid w:val="053DEF50"/>
    <w:multiLevelType w:val="singleLevel"/>
    <w:tmpl w:val="053DEF50"/>
    <w:lvl w:ilvl="0" w:tentative="0">
      <w:start w:val="2"/>
      <w:numFmt w:val="chineseCounting"/>
      <w:suff w:val="nothing"/>
      <w:lvlText w:val="（%1）"/>
      <w:lvlJc w:val="left"/>
      <w:rPr>
        <w:rFonts w:hint="eastAsia"/>
      </w:rPr>
    </w:lvl>
  </w:abstractNum>
  <w:abstractNum w:abstractNumId="4">
    <w:nsid w:val="0DF064C6"/>
    <w:multiLevelType w:val="singleLevel"/>
    <w:tmpl w:val="0DF064C6"/>
    <w:lvl w:ilvl="0" w:tentative="0">
      <w:start w:val="1"/>
      <w:numFmt w:val="decimal"/>
      <w:lvlText w:val="%1."/>
      <w:lvlJc w:val="left"/>
      <w:pPr>
        <w:tabs>
          <w:tab w:val="left" w:pos="312"/>
        </w:tabs>
      </w:pPr>
    </w:lvl>
  </w:abstractNum>
  <w:abstractNum w:abstractNumId="5">
    <w:nsid w:val="1EFB722C"/>
    <w:multiLevelType w:val="singleLevel"/>
    <w:tmpl w:val="1EFB722C"/>
    <w:lvl w:ilvl="0" w:tentative="0">
      <w:start w:val="3"/>
      <w:numFmt w:val="chineseCounting"/>
      <w:suff w:val="nothing"/>
      <w:lvlText w:val="（%1）"/>
      <w:lvlJc w:val="left"/>
      <w:rPr>
        <w:rFonts w:hint="eastAsia"/>
      </w:rPr>
    </w:lvl>
  </w:abstractNum>
  <w:abstractNum w:abstractNumId="6">
    <w:nsid w:val="3AD977B7"/>
    <w:multiLevelType w:val="singleLevel"/>
    <w:tmpl w:val="3AD977B7"/>
    <w:lvl w:ilvl="0" w:tentative="0">
      <w:start w:val="2"/>
      <w:numFmt w:val="chineseCounting"/>
      <w:suff w:val="nothing"/>
      <w:lvlText w:val="（%1）"/>
      <w:lvlJc w:val="left"/>
      <w:rPr>
        <w:rFonts w:hint="eastAsia"/>
      </w:rPr>
    </w:lvl>
  </w:abstractNum>
  <w:abstractNum w:abstractNumId="7">
    <w:nsid w:val="593C0600"/>
    <w:multiLevelType w:val="singleLevel"/>
    <w:tmpl w:val="593C0600"/>
    <w:lvl w:ilvl="0" w:tentative="0">
      <w:start w:val="4"/>
      <w:numFmt w:val="chineseCounting"/>
      <w:suff w:val="nothing"/>
      <w:lvlText w:val="%1、"/>
      <w:lvlJc w:val="left"/>
      <w:rPr>
        <w:rFonts w:hint="eastAsia"/>
      </w:rPr>
    </w:lvl>
  </w:abstractNum>
  <w:num w:numId="1">
    <w:abstractNumId w:val="2"/>
  </w:num>
  <w:num w:numId="2">
    <w:abstractNumId w:val="1"/>
  </w:num>
  <w:num w:numId="3">
    <w:abstractNumId w:val="4"/>
  </w:num>
  <w:num w:numId="4">
    <w:abstractNumId w:val="0"/>
  </w:num>
  <w:num w:numId="5">
    <w:abstractNumId w:val="6"/>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4F496E"/>
    <w:rsid w:val="015975B8"/>
    <w:rsid w:val="01B20B48"/>
    <w:rsid w:val="02317B1B"/>
    <w:rsid w:val="023D178E"/>
    <w:rsid w:val="02431D08"/>
    <w:rsid w:val="024C2A88"/>
    <w:rsid w:val="02B20860"/>
    <w:rsid w:val="02FEBE30"/>
    <w:rsid w:val="032709C8"/>
    <w:rsid w:val="03595555"/>
    <w:rsid w:val="04155A4B"/>
    <w:rsid w:val="04996800"/>
    <w:rsid w:val="04F34238"/>
    <w:rsid w:val="05370260"/>
    <w:rsid w:val="061E35DE"/>
    <w:rsid w:val="06415432"/>
    <w:rsid w:val="06502FB6"/>
    <w:rsid w:val="066E0107"/>
    <w:rsid w:val="068346A3"/>
    <w:rsid w:val="076069FE"/>
    <w:rsid w:val="077010BF"/>
    <w:rsid w:val="07783C11"/>
    <w:rsid w:val="07996F6E"/>
    <w:rsid w:val="07DFD8BA"/>
    <w:rsid w:val="083C281C"/>
    <w:rsid w:val="08DB07E4"/>
    <w:rsid w:val="09867E8F"/>
    <w:rsid w:val="0A2032A3"/>
    <w:rsid w:val="0AAC796A"/>
    <w:rsid w:val="0C6C4794"/>
    <w:rsid w:val="0CA8290A"/>
    <w:rsid w:val="0CB06448"/>
    <w:rsid w:val="0CF6390D"/>
    <w:rsid w:val="0D35B1ED"/>
    <w:rsid w:val="0DE07E2B"/>
    <w:rsid w:val="0E8C7FD4"/>
    <w:rsid w:val="0EF13522"/>
    <w:rsid w:val="0F515A6B"/>
    <w:rsid w:val="0F98263C"/>
    <w:rsid w:val="101860EC"/>
    <w:rsid w:val="1055163A"/>
    <w:rsid w:val="10C055FF"/>
    <w:rsid w:val="111C627A"/>
    <w:rsid w:val="11772AA4"/>
    <w:rsid w:val="118107EC"/>
    <w:rsid w:val="12066136"/>
    <w:rsid w:val="1345672F"/>
    <w:rsid w:val="13D50BC4"/>
    <w:rsid w:val="140118B9"/>
    <w:rsid w:val="14022904"/>
    <w:rsid w:val="151C6CA1"/>
    <w:rsid w:val="152F2A07"/>
    <w:rsid w:val="15633B9C"/>
    <w:rsid w:val="165E0673"/>
    <w:rsid w:val="16695657"/>
    <w:rsid w:val="16B74615"/>
    <w:rsid w:val="16BB723D"/>
    <w:rsid w:val="17112096"/>
    <w:rsid w:val="178B0EF9"/>
    <w:rsid w:val="183870C1"/>
    <w:rsid w:val="186504BB"/>
    <w:rsid w:val="18F86290"/>
    <w:rsid w:val="1938089F"/>
    <w:rsid w:val="19A445FC"/>
    <w:rsid w:val="1A8518F8"/>
    <w:rsid w:val="1B7D550C"/>
    <w:rsid w:val="1BE8440E"/>
    <w:rsid w:val="1BF0336E"/>
    <w:rsid w:val="1CA3063F"/>
    <w:rsid w:val="1D155CEE"/>
    <w:rsid w:val="1DE51DA6"/>
    <w:rsid w:val="1DE5415D"/>
    <w:rsid w:val="1E231C8B"/>
    <w:rsid w:val="1E6C6D59"/>
    <w:rsid w:val="1E740ACF"/>
    <w:rsid w:val="1EE77A61"/>
    <w:rsid w:val="1F62156A"/>
    <w:rsid w:val="1FF35744"/>
    <w:rsid w:val="1FF6BC77"/>
    <w:rsid w:val="20E701EC"/>
    <w:rsid w:val="20EC337E"/>
    <w:rsid w:val="210112AE"/>
    <w:rsid w:val="2120725A"/>
    <w:rsid w:val="21962A9E"/>
    <w:rsid w:val="21AE7C77"/>
    <w:rsid w:val="22AC06A2"/>
    <w:rsid w:val="22BC3C41"/>
    <w:rsid w:val="23226D6D"/>
    <w:rsid w:val="23860B96"/>
    <w:rsid w:val="240371BF"/>
    <w:rsid w:val="24045981"/>
    <w:rsid w:val="260F557C"/>
    <w:rsid w:val="27090EBD"/>
    <w:rsid w:val="27D33279"/>
    <w:rsid w:val="281408E2"/>
    <w:rsid w:val="293029AA"/>
    <w:rsid w:val="29730C45"/>
    <w:rsid w:val="29E45A08"/>
    <w:rsid w:val="29FD04D3"/>
    <w:rsid w:val="2A6141D9"/>
    <w:rsid w:val="2AB9262A"/>
    <w:rsid w:val="2AC46EA9"/>
    <w:rsid w:val="2AEA2DB3"/>
    <w:rsid w:val="2BFF7BC6"/>
    <w:rsid w:val="2C2E01D8"/>
    <w:rsid w:val="2C8A61B5"/>
    <w:rsid w:val="2CE514A7"/>
    <w:rsid w:val="2D2E01CF"/>
    <w:rsid w:val="2DF04E50"/>
    <w:rsid w:val="2E9545B0"/>
    <w:rsid w:val="2F040D46"/>
    <w:rsid w:val="2F672A78"/>
    <w:rsid w:val="2FA75FD5"/>
    <w:rsid w:val="2FAE5751"/>
    <w:rsid w:val="2FB1A395"/>
    <w:rsid w:val="2FD9A7D8"/>
    <w:rsid w:val="2FEA56D4"/>
    <w:rsid w:val="3007380B"/>
    <w:rsid w:val="3025663B"/>
    <w:rsid w:val="30D8589A"/>
    <w:rsid w:val="319F7F4E"/>
    <w:rsid w:val="31DC0F7C"/>
    <w:rsid w:val="321B2544"/>
    <w:rsid w:val="323A338C"/>
    <w:rsid w:val="329A6E6D"/>
    <w:rsid w:val="3304709D"/>
    <w:rsid w:val="331E47C6"/>
    <w:rsid w:val="333F5C66"/>
    <w:rsid w:val="33F22CD8"/>
    <w:rsid w:val="34281836"/>
    <w:rsid w:val="349D6851"/>
    <w:rsid w:val="353B5CCC"/>
    <w:rsid w:val="35A22AB8"/>
    <w:rsid w:val="35BA6CAF"/>
    <w:rsid w:val="364D14C1"/>
    <w:rsid w:val="36AA5135"/>
    <w:rsid w:val="36BE0DA7"/>
    <w:rsid w:val="372C602D"/>
    <w:rsid w:val="374C59AF"/>
    <w:rsid w:val="376B6AA6"/>
    <w:rsid w:val="376D39B2"/>
    <w:rsid w:val="37E16F03"/>
    <w:rsid w:val="37F53A3B"/>
    <w:rsid w:val="389B6C89"/>
    <w:rsid w:val="38B35F6C"/>
    <w:rsid w:val="38D469F0"/>
    <w:rsid w:val="38E50641"/>
    <w:rsid w:val="39627CCD"/>
    <w:rsid w:val="397BAF1F"/>
    <w:rsid w:val="3982065B"/>
    <w:rsid w:val="398D62E7"/>
    <w:rsid w:val="3A055CC4"/>
    <w:rsid w:val="3AB79AF3"/>
    <w:rsid w:val="3AE37060"/>
    <w:rsid w:val="3B1D770A"/>
    <w:rsid w:val="3B7EF35A"/>
    <w:rsid w:val="3B8561E0"/>
    <w:rsid w:val="3B9FDB6C"/>
    <w:rsid w:val="3BF5BC2F"/>
    <w:rsid w:val="3C1C65B1"/>
    <w:rsid w:val="3C7E1837"/>
    <w:rsid w:val="3CBB341B"/>
    <w:rsid w:val="3CEBA265"/>
    <w:rsid w:val="3D574570"/>
    <w:rsid w:val="3D762F02"/>
    <w:rsid w:val="3D98207C"/>
    <w:rsid w:val="3D9B0D99"/>
    <w:rsid w:val="3DEE7CF3"/>
    <w:rsid w:val="3DF02244"/>
    <w:rsid w:val="3E410AE4"/>
    <w:rsid w:val="3E78745D"/>
    <w:rsid w:val="3EF96368"/>
    <w:rsid w:val="3F171845"/>
    <w:rsid w:val="3F473ED8"/>
    <w:rsid w:val="3FF4CAE0"/>
    <w:rsid w:val="3FF7B227"/>
    <w:rsid w:val="40385F17"/>
    <w:rsid w:val="40833388"/>
    <w:rsid w:val="40891C7B"/>
    <w:rsid w:val="40B60E6E"/>
    <w:rsid w:val="40E54C45"/>
    <w:rsid w:val="41A31919"/>
    <w:rsid w:val="42523B3B"/>
    <w:rsid w:val="425C1690"/>
    <w:rsid w:val="42DB0B59"/>
    <w:rsid w:val="42EB4627"/>
    <w:rsid w:val="43157101"/>
    <w:rsid w:val="43A407DF"/>
    <w:rsid w:val="43DF1E62"/>
    <w:rsid w:val="44515BEA"/>
    <w:rsid w:val="44E268DA"/>
    <w:rsid w:val="453F7E5B"/>
    <w:rsid w:val="47566FCC"/>
    <w:rsid w:val="486A6C7A"/>
    <w:rsid w:val="48853E70"/>
    <w:rsid w:val="48EE06B5"/>
    <w:rsid w:val="49176D9B"/>
    <w:rsid w:val="49861CBE"/>
    <w:rsid w:val="4A37282C"/>
    <w:rsid w:val="4A627F82"/>
    <w:rsid w:val="4B0E749A"/>
    <w:rsid w:val="4B4F25DA"/>
    <w:rsid w:val="4B521B91"/>
    <w:rsid w:val="4B7E50FD"/>
    <w:rsid w:val="4BC36708"/>
    <w:rsid w:val="4BDA0CFB"/>
    <w:rsid w:val="4BE068DB"/>
    <w:rsid w:val="4C351C37"/>
    <w:rsid w:val="4C846E35"/>
    <w:rsid w:val="4CA16E96"/>
    <w:rsid w:val="4CEC141F"/>
    <w:rsid w:val="4D2B4E39"/>
    <w:rsid w:val="4D3C0CCC"/>
    <w:rsid w:val="4D577224"/>
    <w:rsid w:val="4DBF1CEB"/>
    <w:rsid w:val="4EAB630A"/>
    <w:rsid w:val="4ECE2238"/>
    <w:rsid w:val="4F833267"/>
    <w:rsid w:val="4FE335F9"/>
    <w:rsid w:val="4FE9BD67"/>
    <w:rsid w:val="4FFB052F"/>
    <w:rsid w:val="500A5FB5"/>
    <w:rsid w:val="503E6C32"/>
    <w:rsid w:val="50E30778"/>
    <w:rsid w:val="53074969"/>
    <w:rsid w:val="53083A92"/>
    <w:rsid w:val="53311592"/>
    <w:rsid w:val="537E6D0A"/>
    <w:rsid w:val="53876B42"/>
    <w:rsid w:val="53AF27A2"/>
    <w:rsid w:val="53CF48A7"/>
    <w:rsid w:val="53F74C96"/>
    <w:rsid w:val="562F7503"/>
    <w:rsid w:val="56E47B74"/>
    <w:rsid w:val="570F1328"/>
    <w:rsid w:val="57BD3DD4"/>
    <w:rsid w:val="58847AF3"/>
    <w:rsid w:val="58C46E3D"/>
    <w:rsid w:val="59E448FA"/>
    <w:rsid w:val="5AF8379E"/>
    <w:rsid w:val="5AF92295"/>
    <w:rsid w:val="5BDD79E6"/>
    <w:rsid w:val="5BE02947"/>
    <w:rsid w:val="5BF561CA"/>
    <w:rsid w:val="5BFF5DFC"/>
    <w:rsid w:val="5C0C22DA"/>
    <w:rsid w:val="5C594DF3"/>
    <w:rsid w:val="5CD71FC4"/>
    <w:rsid w:val="5D1F11B5"/>
    <w:rsid w:val="5D4F6922"/>
    <w:rsid w:val="5D5D7D54"/>
    <w:rsid w:val="5DAE1B18"/>
    <w:rsid w:val="5DE7D9E5"/>
    <w:rsid w:val="5E3C677A"/>
    <w:rsid w:val="5EC73BE1"/>
    <w:rsid w:val="5ECE7FFF"/>
    <w:rsid w:val="5ECEC941"/>
    <w:rsid w:val="5EDC4FA5"/>
    <w:rsid w:val="5F493CB7"/>
    <w:rsid w:val="5FBF9FF3"/>
    <w:rsid w:val="5FC50E45"/>
    <w:rsid w:val="5FCD4E2C"/>
    <w:rsid w:val="5FD15F49"/>
    <w:rsid w:val="5FDC5778"/>
    <w:rsid w:val="5FEF394A"/>
    <w:rsid w:val="5FF67715"/>
    <w:rsid w:val="60161335"/>
    <w:rsid w:val="60A2320D"/>
    <w:rsid w:val="6114688D"/>
    <w:rsid w:val="61755597"/>
    <w:rsid w:val="618525F4"/>
    <w:rsid w:val="61954E52"/>
    <w:rsid w:val="61BC20CC"/>
    <w:rsid w:val="61C32AD7"/>
    <w:rsid w:val="622A5268"/>
    <w:rsid w:val="62BF3928"/>
    <w:rsid w:val="62FA2CDF"/>
    <w:rsid w:val="63263B05"/>
    <w:rsid w:val="633D7476"/>
    <w:rsid w:val="640B48FA"/>
    <w:rsid w:val="647F5392"/>
    <w:rsid w:val="654D7C2E"/>
    <w:rsid w:val="664B1D71"/>
    <w:rsid w:val="66756CCD"/>
    <w:rsid w:val="668557CF"/>
    <w:rsid w:val="6789035F"/>
    <w:rsid w:val="67AA3209"/>
    <w:rsid w:val="681C4F0D"/>
    <w:rsid w:val="68821E0D"/>
    <w:rsid w:val="68EB2567"/>
    <w:rsid w:val="69046D0F"/>
    <w:rsid w:val="694E373D"/>
    <w:rsid w:val="698D0931"/>
    <w:rsid w:val="6A344A67"/>
    <w:rsid w:val="6A993CED"/>
    <w:rsid w:val="6B053271"/>
    <w:rsid w:val="6BCE6674"/>
    <w:rsid w:val="6C4A05C8"/>
    <w:rsid w:val="6C8742B8"/>
    <w:rsid w:val="6C8A170F"/>
    <w:rsid w:val="6CB54609"/>
    <w:rsid w:val="6CC24780"/>
    <w:rsid w:val="6DBF5E93"/>
    <w:rsid w:val="6DFF077E"/>
    <w:rsid w:val="6E7E3605"/>
    <w:rsid w:val="6E7FDCC7"/>
    <w:rsid w:val="6ED3691C"/>
    <w:rsid w:val="6ED6A62E"/>
    <w:rsid w:val="6EE00B15"/>
    <w:rsid w:val="6F544B20"/>
    <w:rsid w:val="6F6FB3EB"/>
    <w:rsid w:val="6F784160"/>
    <w:rsid w:val="6F8731EA"/>
    <w:rsid w:val="6F9E6487"/>
    <w:rsid w:val="6FCE6052"/>
    <w:rsid w:val="6FD57C00"/>
    <w:rsid w:val="6FEFFFD8"/>
    <w:rsid w:val="6FF5CC65"/>
    <w:rsid w:val="6FFB47EC"/>
    <w:rsid w:val="6FFF034A"/>
    <w:rsid w:val="70496804"/>
    <w:rsid w:val="712A28F1"/>
    <w:rsid w:val="715C0E4B"/>
    <w:rsid w:val="71ED27DB"/>
    <w:rsid w:val="72233669"/>
    <w:rsid w:val="72734D90"/>
    <w:rsid w:val="7332FE48"/>
    <w:rsid w:val="737722D7"/>
    <w:rsid w:val="73AB61DA"/>
    <w:rsid w:val="73AD73D5"/>
    <w:rsid w:val="73B6EB34"/>
    <w:rsid w:val="73FA497D"/>
    <w:rsid w:val="744731E5"/>
    <w:rsid w:val="74527205"/>
    <w:rsid w:val="74BBD01D"/>
    <w:rsid w:val="74ED5379"/>
    <w:rsid w:val="74FC2395"/>
    <w:rsid w:val="75145ABE"/>
    <w:rsid w:val="75C37A55"/>
    <w:rsid w:val="75DEEEC2"/>
    <w:rsid w:val="767D7DFF"/>
    <w:rsid w:val="76E2215D"/>
    <w:rsid w:val="76E3355F"/>
    <w:rsid w:val="76FF5125"/>
    <w:rsid w:val="776F6FFA"/>
    <w:rsid w:val="778769C8"/>
    <w:rsid w:val="77DC22F5"/>
    <w:rsid w:val="7872564B"/>
    <w:rsid w:val="79086DAD"/>
    <w:rsid w:val="79206F6D"/>
    <w:rsid w:val="79974F09"/>
    <w:rsid w:val="79CE61CE"/>
    <w:rsid w:val="79D63251"/>
    <w:rsid w:val="79D7FD79"/>
    <w:rsid w:val="79EE5BA4"/>
    <w:rsid w:val="7A1C7E11"/>
    <w:rsid w:val="7A894339"/>
    <w:rsid w:val="7AFF7572"/>
    <w:rsid w:val="7B6C7DFB"/>
    <w:rsid w:val="7BBFBED0"/>
    <w:rsid w:val="7BC3E394"/>
    <w:rsid w:val="7BEB1B11"/>
    <w:rsid w:val="7C1F3737"/>
    <w:rsid w:val="7C9747AA"/>
    <w:rsid w:val="7CBFC87B"/>
    <w:rsid w:val="7CFE0F48"/>
    <w:rsid w:val="7D7EC23E"/>
    <w:rsid w:val="7D916348"/>
    <w:rsid w:val="7DAB3300"/>
    <w:rsid w:val="7E8ADEBF"/>
    <w:rsid w:val="7EDC08CE"/>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359CB"/>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qFormat="1"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8"/>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next w:val="10"/>
    <w:qFormat/>
    <w:uiPriority w:val="99"/>
    <w:rPr>
      <w:rFonts w:ascii="宋体" w:hAnsi="Courier New"/>
      <w:szCs w:val="21"/>
    </w:rPr>
  </w:style>
  <w:style w:type="paragraph" w:styleId="10">
    <w:name w:val="List Number 5"/>
    <w:basedOn w:val="1"/>
    <w:semiHidden/>
    <w:unhideWhenUsed/>
    <w:qFormat/>
    <w:uiPriority w:val="99"/>
    <w:pPr>
      <w:numPr>
        <w:ilvl w:val="0"/>
        <w:numId w:val="1"/>
      </w:numPr>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16"/>
    <w:semiHidden/>
    <w:qFormat/>
    <w:uiPriority w:val="0"/>
    <w:pPr>
      <w:snapToGrid w:val="0"/>
      <w:jc w:val="left"/>
    </w:pPr>
    <w:rPr>
      <w:sz w:val="18"/>
      <w:szCs w:val="18"/>
    </w:rPr>
  </w:style>
  <w:style w:type="paragraph" w:styleId="16">
    <w:name w:val="Body Text First Indent 2"/>
    <w:basedOn w:val="7"/>
    <w:unhideWhenUsed/>
    <w:qFormat/>
    <w:uiPriority w:val="99"/>
    <w:pPr>
      <w:ind w:firstLine="420" w:firstLineChars="200"/>
    </w:pPr>
  </w:style>
  <w:style w:type="paragraph" w:styleId="17">
    <w:name w:val="toc 2"/>
    <w:basedOn w:val="1"/>
    <w:next w:val="1"/>
    <w:unhideWhenUsed/>
    <w:qFormat/>
    <w:uiPriority w:val="39"/>
    <w:pPr>
      <w:tabs>
        <w:tab w:val="right" w:leader="dot" w:pos="8296"/>
      </w:tabs>
      <w:ind w:left="420" w:leftChars="200"/>
    </w:pPr>
  </w:style>
  <w:style w:type="paragraph" w:styleId="18">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customStyle="1" w:styleId="23">
    <w:name w:val="Header Char"/>
    <w:basedOn w:val="20"/>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20"/>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20"/>
    <w:semiHidden/>
    <w:qFormat/>
    <w:uiPriority w:val="99"/>
    <w:rPr>
      <w:rFonts w:ascii="Times New Roman" w:hAnsi="Times New Roman"/>
      <w:szCs w:val="24"/>
    </w:rPr>
  </w:style>
  <w:style w:type="character" w:customStyle="1" w:styleId="28">
    <w:name w:val="正文文本 Char"/>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20"/>
    <w:link w:val="3"/>
    <w:qFormat/>
    <w:uiPriority w:val="9"/>
    <w:rPr>
      <w:rFonts w:ascii="Times New Roman" w:hAnsi="Times New Roman"/>
      <w:b/>
      <w:bCs/>
      <w:kern w:val="44"/>
      <w:sz w:val="44"/>
      <w:szCs w:val="44"/>
    </w:rPr>
  </w:style>
  <w:style w:type="character" w:customStyle="1" w:styleId="32">
    <w:name w:val="标题 2 Char"/>
    <w:basedOn w:val="20"/>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20"/>
    <w:link w:val="11"/>
    <w:semiHidden/>
    <w:qFormat/>
    <w:uiPriority w:val="99"/>
    <w:rPr>
      <w:rFonts w:ascii="Times New Roman" w:hAnsi="Times New Roman"/>
      <w:kern w:val="2"/>
      <w:sz w:val="18"/>
      <w:szCs w:val="18"/>
    </w:rPr>
  </w:style>
  <w:style w:type="character" w:customStyle="1" w:styleId="35">
    <w:name w:val="标题 3 Char"/>
    <w:basedOn w:val="20"/>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普通(网站) Char"/>
    <w:basedOn w:val="1"/>
    <w:qFormat/>
    <w:uiPriority w:val="0"/>
    <w:pPr>
      <w:widowControl/>
      <w:spacing w:before="100" w:beforeAutospacing="1" w:after="100" w:afterAutospacing="1"/>
      <w:jc w:val="left"/>
    </w:pPr>
    <w:rPr>
      <w:rFonts w:ascii="宋体" w:hAnsi="宋体" w:cs="宋体"/>
      <w:kern w:val="0"/>
      <w:sz w:val="24"/>
    </w:rPr>
  </w:style>
  <w:style w:type="paragraph" w:customStyle="1" w:styleId="39">
    <w:name w:val="文档正文"/>
    <w:basedOn w:val="1"/>
    <w:qFormat/>
    <w:uiPriority w:val="0"/>
    <w:pPr>
      <w:spacing w:line="480" w:lineRule="atLeast"/>
    </w:pPr>
    <w:rPr>
      <w:rFonts w:ascii="Arial" w:hAnsi="Arial" w:eastAsia="Arial Unicode MS"/>
      <w:color w:val="000000"/>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1.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2.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3.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4" Type="http://schemas.microsoft.com/office/2011/relationships/chartColorStyle" Target="colors7.xml"/><Relationship Id="rId3" Type="http://schemas.microsoft.com/office/2011/relationships/chartStyle" Target="style7.xml"/><Relationship Id="rId2" Type="http://schemas.openxmlformats.org/officeDocument/2006/relationships/themeOverride" Target="../theme/themeOverride4.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 </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3261.33</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012058362474376"/>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3261.33</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3261.33</c:v>
                </c:pt>
                <c:pt idx="1">
                  <c:v>3261.33</c:v>
                </c:pt>
              </c:numCache>
            </c:numRef>
          </c:val>
        </c:ser>
        <c:ser>
          <c:idx val="1"/>
          <c:order val="1"/>
          <c:tx>
            <c:strRef>
              <c:f>Sheet1!$C$1</c:f>
              <c:strCache>
                <c:ptCount val="1"/>
                <c:pt idx="0">
                  <c:v>2025年</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2891.74</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0182215743440233"/>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2891.74</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2891.74</c:v>
                </c:pt>
                <c:pt idx="1">
                  <c:v>2891.74</c:v>
                </c:pt>
              </c:numCache>
            </c:numRef>
          </c:val>
        </c:ser>
        <c:dLbls>
          <c:showLegendKey val="0"/>
          <c:showVal val="0"/>
          <c:showCatName val="0"/>
          <c:showSerName val="0"/>
          <c:showPercent val="0"/>
          <c:showBubbleSize val="0"/>
        </c:dLbls>
        <c:gapWidth val="246"/>
        <c:overlap val="-28"/>
        <c:axId val="858860538"/>
        <c:axId val="348221566"/>
      </c:barChart>
      <c:catAx>
        <c:axId val="85886053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8221566"/>
        <c:crosses val="autoZero"/>
        <c:auto val="1"/>
        <c:lblAlgn val="ctr"/>
        <c:lblOffset val="100"/>
        <c:noMultiLvlLbl val="0"/>
      </c:catAx>
      <c:valAx>
        <c:axId val="34822156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886053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4786d8c-5acd-4b91-a754-141482873a9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Sheet1!$A$1</c:f>
              <c:strCache>
                <c:ptCount val="1"/>
                <c:pt idx="0">
                  <c:v> </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0.00%</c:formatCode>
                <c:ptCount val="2"/>
                <c:pt idx="0">
                  <c:v>0.985</c:v>
                </c:pt>
                <c:pt idx="1">
                  <c:v>0.015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252701789935832"/>
          <c:y val="0.12555626191989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b3879c7-fc63-4ddb-a8bf-6d16ff8a0cf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列2</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0.893</c:v>
                </c:pt>
                <c:pt idx="1">
                  <c:v>0.107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363811480672916"/>
          <c:y val="0.92526250772081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e61a4fa-4e38-4234-b178-8814efd232c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2024年</c:v>
                </c:pt>
              </c:strCache>
            </c:strRef>
          </c:tx>
          <c:spPr>
            <a:solidFill>
              <a:srgbClr val="4F81BD"/>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rPr lang="en-US" altLang="zh-CN"/>
                      <a:t>3078.33</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rPr lang="en-US" altLang="zh-CN"/>
                      <a:t>3078.33</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3078.33</c:v>
                </c:pt>
                <c:pt idx="1">
                  <c:v>3078.33</c:v>
                </c:pt>
              </c:numCache>
            </c:numRef>
          </c:val>
        </c:ser>
        <c:ser>
          <c:idx val="1"/>
          <c:order val="1"/>
          <c:tx>
            <c:strRef>
              <c:f>Sheet1!$C$1</c:f>
              <c:strCache>
                <c:ptCount val="1"/>
                <c:pt idx="0">
                  <c:v>2025年</c:v>
                </c:pt>
              </c:strCache>
            </c:strRef>
          </c:tx>
          <c:spPr>
            <a:solidFill>
              <a:srgbClr val="C0504D"/>
            </a:solidFill>
            <a:ln>
              <a:noFill/>
            </a:ln>
            <a:effectLst/>
          </c:spPr>
          <c:invertIfNegative val="0"/>
          <c:dLbls>
            <c:dLbl>
              <c:idx val="0"/>
              <c:layout>
                <c:manualLayout>
                  <c:x val="0.00186962482861772"/>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rPr lang="en-US" altLang="zh-CN"/>
                      <a:t>2799.6</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rPr lang="en-US" altLang="zh-CN"/>
                      <a:t>2799.6</a:t>
                    </a:r>
                    <a:r>
                      <a:rPr altLang="en-US"/>
                      <a:t>万元</a:t>
                    </a:r>
                    <a:endParaRPr altLang="en-US"/>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2799.6</c:v>
                </c:pt>
                <c:pt idx="1">
                  <c:v>2799.6</c:v>
                </c:pt>
              </c:numCache>
            </c:numRef>
          </c:val>
        </c:ser>
        <c:dLbls>
          <c:showLegendKey val="0"/>
          <c:showVal val="1"/>
          <c:showCatName val="0"/>
          <c:showSerName val="0"/>
          <c:showPercent val="0"/>
          <c:showBubbleSize val="0"/>
        </c:dLbls>
        <c:gapWidth val="246"/>
        <c:overlap val="-28"/>
        <c:axId val="821501354"/>
        <c:axId val="379536333"/>
      </c:barChart>
      <c:catAx>
        <c:axId val="821501354"/>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379536333"/>
        <c:crosses val="autoZero"/>
        <c:auto val="1"/>
        <c:lblAlgn val="ctr"/>
        <c:lblOffset val="100"/>
        <c:noMultiLvlLbl val="0"/>
      </c:catAx>
      <c:valAx>
        <c:axId val="379536333"/>
        <c:scaling>
          <c:orientation val="minMax"/>
        </c:scaling>
        <c:delete val="0"/>
        <c:axPos val="l"/>
        <c:majorGridlines>
          <c:spPr>
            <a:ln w="9525" cap="flat" cmpd="sng" algn="ctr">
              <a:solidFill>
                <a:sysClr val="window" lastClr="FFFFFF">
                  <a:lumMod val="902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821501354"/>
        <c:crosses val="autoZero"/>
        <c:crossBetween val="between"/>
      </c:valAx>
      <c:spPr>
        <a:noFill/>
        <a:ln>
          <a:noFill/>
        </a:ln>
        <a:effectLst/>
      </c:spPr>
    </c:plotArea>
    <c:legend>
      <c:legendPos val="b"/>
      <c:layout>
        <c:manualLayout>
          <c:xMode val="edge"/>
          <c:yMode val="edge"/>
          <c:x val="0.406938637134139"/>
          <c:y val="0.83935742971887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c7201681-f5a8-4044-acf6-33efa673288d}"/>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2024年</c:v>
                </c:pt>
              </c:strCache>
            </c:strRef>
          </c:tx>
          <c:spPr>
            <a:solidFill>
              <a:srgbClr val="4F81BD"/>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rPr lang="en-US" altLang="zh-CN"/>
                      <a:t>3078.33</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3078.33</c:v>
                </c:pt>
              </c:numCache>
            </c:numRef>
          </c:val>
        </c:ser>
        <c:ser>
          <c:idx val="1"/>
          <c:order val="1"/>
          <c:tx>
            <c:strRef>
              <c:f>Sheet1!$C$1</c:f>
              <c:strCache>
                <c:ptCount val="1"/>
                <c:pt idx="0">
                  <c:v>2025年</c:v>
                </c:pt>
              </c:strCache>
            </c:strRef>
          </c:tx>
          <c:spPr>
            <a:solidFill>
              <a:srgbClr val="C0504D"/>
            </a:solidFill>
            <a:ln>
              <a:noFill/>
            </a:ln>
            <a:effectLst/>
          </c:spPr>
          <c:invertIfNegative val="0"/>
          <c:dLbls>
            <c:dLbl>
              <c:idx val="0"/>
              <c:layout>
                <c:manualLayout>
                  <c:x val="-0.00203362255965293"/>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rPr lang="en-US" altLang="zh-CN"/>
                      <a:t>2799.6</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2799.6</c:v>
                </c:pt>
              </c:numCache>
            </c:numRef>
          </c:val>
        </c:ser>
        <c:dLbls>
          <c:showLegendKey val="0"/>
          <c:showVal val="1"/>
          <c:showCatName val="0"/>
          <c:showSerName val="0"/>
          <c:showPercent val="0"/>
          <c:showBubbleSize val="0"/>
        </c:dLbls>
        <c:gapWidth val="246"/>
        <c:overlap val="-28"/>
        <c:axId val="708928488"/>
        <c:axId val="249376024"/>
      </c:barChart>
      <c:catAx>
        <c:axId val="708928488"/>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249376024"/>
        <c:crosses val="autoZero"/>
        <c:auto val="1"/>
        <c:lblAlgn val="ctr"/>
        <c:lblOffset val="100"/>
        <c:noMultiLvlLbl val="0"/>
      </c:catAx>
      <c:valAx>
        <c:axId val="249376024"/>
        <c:scaling>
          <c:orientation val="minMax"/>
        </c:scaling>
        <c:delete val="0"/>
        <c:axPos val="l"/>
        <c:majorGridlines>
          <c:spPr>
            <a:ln w="9525" cap="flat" cmpd="sng" algn="ctr">
              <a:solidFill>
                <a:sysClr val="window" lastClr="FFFFFF">
                  <a:lumMod val="902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7089284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7fde36da-4ed4-4cc7-b76e-8d93b738c25f}"/>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一般公共预算财政拨款支出</c:v>
                </c:pt>
              </c:strCache>
            </c:strRef>
          </c:tx>
          <c:spPr/>
          <c:explosion val="0"/>
          <c:dPt>
            <c:idx val="0"/>
            <c:bubble3D val="0"/>
            <c:spPr>
              <a:solidFill>
                <a:srgbClr val="4F81BD"/>
              </a:solidFill>
              <a:ln>
                <a:solidFill>
                  <a:sysClr val="window" lastClr="FFFFFF"/>
                </a:solidFill>
              </a:ln>
              <a:effectLst/>
            </c:spPr>
          </c:dPt>
          <c:dPt>
            <c:idx val="1"/>
            <c:bubble3D val="0"/>
            <c:spPr>
              <a:solidFill>
                <a:srgbClr val="C0504D"/>
              </a:solidFill>
              <a:ln>
                <a:solidFill>
                  <a:sysClr val="window" lastClr="FFFFFF"/>
                </a:solidFill>
              </a:ln>
              <a:effectLst/>
            </c:spPr>
          </c:dPt>
          <c:dPt>
            <c:idx val="2"/>
            <c:bubble3D val="0"/>
            <c:spPr>
              <a:solidFill>
                <a:srgbClr val="9BBB59"/>
              </a:solidFill>
              <a:ln>
                <a:solidFill>
                  <a:sysClr val="window" lastClr="FFFFFF"/>
                </a:solidFill>
              </a:ln>
              <a:effectLst/>
            </c:spPr>
          </c:dPt>
          <c:dPt>
            <c:idx val="3"/>
            <c:bubble3D val="0"/>
            <c:spPr>
              <a:solidFill>
                <a:srgbClr val="8064A2"/>
              </a:solidFill>
              <a:ln>
                <a:solidFill>
                  <a:sysClr val="window" lastClr="FFFFFF"/>
                </a:solidFill>
              </a:ln>
              <a:effectLst/>
            </c:spPr>
          </c:dPt>
          <c:dLbls>
            <c:dLbl>
              <c:idx val="0"/>
              <c:layout>
                <c:manualLayout>
                  <c:x val="0.0781193571818202"/>
                  <c:y val="-0.26076795044032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31238938824099"/>
                  <c:y val="0.042319717472807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t>1</a:t>
                    </a:r>
                    <a:r>
                      <a:rPr lang="en-US" altLang="zh-CN"/>
                      <a:t>1.7</a:t>
                    </a:r>
                    <a:r>
                      <a:t>%</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095103909827404"/>
                      <c:h val="0.092488157004286"/>
                    </c:manualLayout>
                  </c15:layout>
                </c:ext>
              </c:extLst>
            </c:dLbl>
            <c:dLbl>
              <c:idx val="2"/>
              <c:layout>
                <c:manualLayout>
                  <c:x val="0.0102102126846483"/>
                  <c:y val="0.034888775469871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t>4</a:t>
                    </a:r>
                    <a:r>
                      <a:rPr lang="en-US" altLang="zh-CN"/>
                      <a:t>.3</a:t>
                    </a:r>
                    <a:r>
                      <a:t>%</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0797229071269226"/>
                      <c:h val="0.106925332731784"/>
                    </c:manualLayout>
                  </c15:layout>
                </c:ext>
              </c:extLst>
            </c:dLbl>
            <c:dLbl>
              <c:idx val="3"/>
              <c:layout>
                <c:manualLayout>
                  <c:x val="0.0138518425433428"/>
                  <c:y val="-0.0055577845582833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Sheet1!$A$2:$A$5</c:f>
              <c:strCache>
                <c:ptCount val="4"/>
                <c:pt idx="0">
                  <c:v>文化旅游体育与传媒支出</c:v>
                </c:pt>
                <c:pt idx="1">
                  <c:v>社会保障和就业支出</c:v>
                </c:pt>
                <c:pt idx="2">
                  <c:v>卫生健康支出</c:v>
                </c:pt>
                <c:pt idx="3">
                  <c:v>住房保障支出</c:v>
                </c:pt>
              </c:strCache>
            </c:strRef>
          </c:cat>
          <c:val>
            <c:numRef>
              <c:f>Sheet1!$B$2:$B$5</c:f>
              <c:numCache>
                <c:formatCode>0%</c:formatCode>
                <c:ptCount val="4"/>
                <c:pt idx="0">
                  <c:v>0.779</c:v>
                </c:pt>
                <c:pt idx="1">
                  <c:v>0.117</c:v>
                </c:pt>
                <c:pt idx="2">
                  <c:v>0.043</c:v>
                </c:pt>
                <c:pt idx="3">
                  <c:v>0.06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116262767957071"/>
          <c:y val="0.871520561029528"/>
          <c:w val="0.879727072973286"/>
          <c:h val="0.11342298908906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363a5713-600d-486c-97e7-4985bc744abe}"/>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列1</c:v>
                </c:pt>
              </c:strCache>
            </c:strRef>
          </c:tx>
          <c:spPr/>
          <c:explosion val="0"/>
          <c:dPt>
            <c:idx val="0"/>
            <c:bubble3D val="0"/>
            <c:spPr>
              <a:solidFill>
                <a:srgbClr val="4F81BD"/>
              </a:solidFill>
              <a:ln>
                <a:solidFill>
                  <a:sysClr val="window" lastClr="FFFFFF"/>
                </a:solidFill>
              </a:ln>
              <a:effectLst/>
            </c:spPr>
          </c:dPt>
          <c:dPt>
            <c:idx val="1"/>
            <c:bubble3D val="0"/>
            <c:spPr>
              <a:solidFill>
                <a:srgbClr val="C0504D"/>
              </a:solidFill>
              <a:ln>
                <a:solidFill>
                  <a:sysClr val="window" lastClr="FFFFFF"/>
                </a:solidFill>
              </a:ln>
              <a:effectLst/>
            </c:spPr>
          </c:dPt>
          <c:dPt>
            <c:idx val="2"/>
            <c:bubble3D val="0"/>
            <c:spPr>
              <a:solidFill>
                <a:srgbClr val="9BBB59"/>
              </a:solidFill>
              <a:ln>
                <a:solidFill>
                  <a:sysClr val="window" lastClr="FFFFFF"/>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0%</c:formatCode>
                <c:ptCount val="3"/>
                <c:pt idx="0">
                  <c:v>0</c:v>
                </c:pt>
                <c:pt idx="1">
                  <c:v>1</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226163831692032"/>
          <c:y val="0.90384105960264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8a6f96fe-c080-4f93-b2e9-31f8d8e6d884}"/>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noFill/>
      </a:ln>
      <a:effectLst/>
    </cs:spPr>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noFill/>
      </a:ln>
      <a:effectLst/>
    </cs:spPr>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50</Pages>
  <Words>19171</Words>
  <Characters>20530</Characters>
  <Lines>61</Lines>
  <Paragraphs>17</Paragraphs>
  <TotalTime>9</TotalTime>
  <ScaleCrop>false</ScaleCrop>
  <LinksUpToDate>false</LinksUpToDate>
  <CharactersWithSpaces>21630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WPS_1705997349</cp:lastModifiedBy>
  <cp:lastPrinted>2026-08-03T09:27:00Z</cp:lastPrinted>
  <dcterms:modified xsi:type="dcterms:W3CDTF">2026-09-16T02:54:16Z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9886FE0C8D86421C893122C96A239424_13</vt:lpwstr>
  </property>
  <property fmtid="{D5CDD505-2E9C-101B-9397-08002B2CF9AE}" pid="4" name="KSOTemplateDocerSaveRecord">
    <vt:lpwstr>eyJoZGlkIjoiMTgxYTNjMzEzMWViN2Q4Y2YwMTk2YTVlMTI2MzNkNDYiLCJ1c2VySWQiOiIxNTc2NjAyOTQxIn0=</vt:lpwstr>
  </property>
</Properties>
</file>