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0" w:after="0" w:line="320" w:lineRule="exact"/>
        <w:ind w:firstLine="160"/>
        <w:jc w:val="both"/>
        <w:rPr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附件</w:t>
      </w:r>
      <w:r>
        <w:rPr>
          <w:rFonts w:hint="eastAsia" w:ascii="Calibri" w:hAnsi="Calibri" w:eastAsia="Calibri"/>
          <w:color w:val="000000"/>
          <w:sz w:val="28"/>
        </w:rPr>
        <w:t>2</w:t>
      </w:r>
    </w:p>
    <w:p>
      <w:pPr>
        <w:autoSpaceDE w:val="0"/>
        <w:autoSpaceDN w:val="0"/>
        <w:spacing w:before="0" w:after="0" w:line="460" w:lineRule="exact"/>
        <w:jc w:val="center"/>
        <w:rPr>
          <w:sz w:val="34"/>
        </w:rPr>
      </w:pPr>
      <w:r>
        <w:rPr>
          <w:rFonts w:hint="eastAsia" w:ascii="宋体" w:hAnsi="宋体" w:eastAsia="宋体"/>
          <w:b/>
          <w:color w:val="000000"/>
          <w:sz w:val="34"/>
          <w:lang w:eastAsia="zh-CN"/>
        </w:rPr>
        <w:t>黑水徐向前住址和红军石刻标语—徐向前住址保护维修工程转移支付区域（项目）</w:t>
      </w:r>
      <w:r>
        <w:rPr>
          <w:rFonts w:hint="eastAsia" w:ascii="宋体" w:hAnsi="宋体" w:eastAsia="宋体"/>
          <w:b/>
          <w:color w:val="000000"/>
          <w:sz w:val="34"/>
        </w:rPr>
        <w:t>绩效自评表</w:t>
      </w:r>
    </w:p>
    <w:p>
      <w:pPr>
        <w:autoSpaceDE w:val="0"/>
        <w:autoSpaceDN w:val="0"/>
        <w:spacing w:before="0" w:after="0" w:line="420" w:lineRule="exact"/>
        <w:jc w:val="center"/>
        <w:rPr>
          <w:sz w:val="18"/>
        </w:rPr>
      </w:pPr>
      <w:r>
        <w:rPr>
          <w:rFonts w:hint="eastAsia" w:ascii="Calibri" w:hAnsi="Calibri" w:eastAsia="Calibri"/>
          <w:color w:val="000000"/>
          <w:sz w:val="18"/>
        </w:rPr>
        <w:t>（2025</w:t>
      </w:r>
      <w:r>
        <w:rPr>
          <w:rFonts w:hint="eastAsia" w:ascii="宋体" w:hAnsi="宋体" w:eastAsia="宋体"/>
          <w:color w:val="000000"/>
          <w:sz w:val="18"/>
        </w:rPr>
        <w:t>年度</w:t>
      </w:r>
      <w:r>
        <w:rPr>
          <w:rFonts w:hint="eastAsia" w:ascii="Calibri" w:hAnsi="Calibri" w:eastAsia="Calibri"/>
          <w:color w:val="000000"/>
          <w:sz w:val="18"/>
        </w:rPr>
        <w:t>）</w:t>
      </w:r>
    </w:p>
    <w:tbl>
      <w:tblPr>
        <w:tblStyle w:val="2"/>
        <w:tblW w:w="10200" w:type="dxa"/>
        <w:tblInd w:w="16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460"/>
        <w:gridCol w:w="1080"/>
        <w:gridCol w:w="2080"/>
        <w:gridCol w:w="1580"/>
        <w:gridCol w:w="1300"/>
        <w:gridCol w:w="1060"/>
        <w:gridCol w:w="2080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52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120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转移支付（项目）名称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黑水徐向前住址和红军石刻标语—徐向前住址保护维修工程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233" w:lineRule="exact"/>
              <w:ind w:firstLine="56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中央主管部门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国家文物局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0" w:after="0" w:line="233" w:lineRule="exact"/>
              <w:ind w:firstLine="54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地方主管部门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阿坝州文化广播电视与旅游局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6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资金使用单位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黑水县文化广播电视和</w:t>
            </w:r>
          </w:p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旅游局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199" w:after="0" w:line="233" w:lineRule="exact"/>
              <w:ind w:firstLine="52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资金投入情况</w:t>
            </w:r>
          </w:p>
          <w:p>
            <w:pPr>
              <w:autoSpaceDE w:val="0"/>
              <w:autoSpaceDN w:val="0"/>
              <w:spacing w:before="0" w:after="0" w:line="233" w:lineRule="exact"/>
              <w:ind w:firstLine="80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140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全年预算数（A）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140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全年执行数（B）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66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预算执行率</w:t>
            </w:r>
          </w:p>
          <w:p>
            <w:pPr>
              <w:autoSpaceDE w:val="0"/>
              <w:autoSpaceDN w:val="0"/>
              <w:spacing w:before="0" w:after="0" w:line="160" w:lineRule="exact"/>
              <w:ind w:firstLine="56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(B/Ax100%)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6" w:after="0" w:line="233" w:lineRule="exact"/>
              <w:ind w:firstLine="6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年度资金总额：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140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40" w:after="0" w:line="233" w:lineRule="exact"/>
              <w:ind w:firstLine="14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其中：中央财政资金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40" w:after="0" w:line="233" w:lineRule="exact"/>
              <w:ind w:firstLine="68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地方财政资金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6" w:after="0" w:line="233" w:lineRule="exact"/>
              <w:ind w:firstLine="74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206" w:after="0" w:line="233" w:lineRule="exact"/>
              <w:ind w:firstLine="52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资金管理情况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0" w:after="0" w:line="233" w:lineRule="exact"/>
              <w:ind w:firstLine="162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情况说明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6" w:after="0" w:line="233" w:lineRule="exact"/>
              <w:ind w:firstLine="20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存在问题和改进措施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6" w:after="0" w:line="233" w:lineRule="exact"/>
              <w:ind w:firstLine="4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分配科学性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原计划用于黑水徐向前住址维修，后因产权纠纷难以推进。经县政府研究，拟调整用于急需保护的芦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花官寨，方案已送审。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存在问题：前期对不可预见因素（如产权协调难度）评估不足。改进措施：今后在资金分配前，加强产权归属等前置条件的摸底调查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272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下达及时性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资金已按原渠道下达至县财政或文旅局账户，未滞留。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拨付合规性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目前资金暂未拨付（或处于停滞状态），待新项目批复后严格按照国库集中支付制度拨付。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存在问题：因原项目无法实施，导致暂未支出。改进措施：待新项目获批后，加快拨付流程。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使用规范性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截至目前未发生违规使用、截留或挪用资金情况，资金专账管理。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40" w:after="0" w:line="233" w:lineRule="exact"/>
              <w:ind w:firstLine="4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执行准确性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原计划执行受阻。现已拟定资金调整方案（调整至芦花官寨），待省文物局批复后即可按新计划执行。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存在问题：原定绩效目标（维修徐向前住址）因客观原因无法实现。改进措施：加快方案审批，尽快落地新项目，发挥资金效益。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预算绩效管理情况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原项目绩效目标暂未完成。拟调整后的项目（芦花官寨）将重新设定绩效指标，确保资金使用效益。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存在问题：因项目变更导致原有绩效指标中断。改进措施：强化绩效目标审核，确保资金调整后的项目绩效可量化、可考核。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6" w:after="0" w:line="233" w:lineRule="exact"/>
              <w:ind w:firstLine="6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支出责任履行情况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县级主管部门（县文广旅局）及县政府积极履行主体责任，多次协调产权问题并研究资金调整方案，已按程序上报审批。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存在问题：基层协调手段有限，产权类难题解决周期长。改进措施：建议上级加强业务指导，建立跨部门协调机制。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160" w:lineRule="exact"/>
              <w:ind w:left="120" w:right="20" w:firstLine="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总体目标</w:t>
            </w:r>
          </w:p>
          <w:p>
            <w:pPr>
              <w:autoSpaceDE w:val="0"/>
              <w:autoSpaceDN w:val="0"/>
              <w:spacing w:before="0" w:after="0" w:line="220" w:lineRule="exact"/>
              <w:ind w:firstLine="1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完成</w:t>
            </w:r>
          </w:p>
          <w:p>
            <w:pPr>
              <w:autoSpaceDE w:val="0"/>
              <w:autoSpaceDN w:val="0"/>
              <w:spacing w:before="0" w:after="0" w:line="200" w:lineRule="exact"/>
              <w:ind w:firstLine="10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情况</w:t>
            </w:r>
          </w:p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6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总体目标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40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全年实际完成情况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3587"/>
              </w:tabs>
              <w:autoSpaceDE w:val="0"/>
              <w:autoSpaceDN w:val="0"/>
              <w:spacing w:before="0" w:after="0" w:line="272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徐向前住址文物建筑本体的保护维修，以及周边地面铺装、挡土墙的整治等。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未完成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66" w:after="0" w:line="272" w:lineRule="exact"/>
              <w:ind w:firstLine="22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绩</w:t>
            </w:r>
          </w:p>
          <w:p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效</w:t>
            </w:r>
          </w:p>
          <w:p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</w:t>
            </w:r>
          </w:p>
          <w:p>
            <w:pPr>
              <w:autoSpaceDE w:val="0"/>
              <w:autoSpaceDN w:val="0"/>
              <w:spacing w:before="0" w:after="0" w:line="240" w:lineRule="exact"/>
              <w:ind w:firstLine="22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标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45" w:after="0" w:line="207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160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160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160" w:after="0" w:line="233" w:lineRule="exact"/>
              <w:ind w:firstLine="40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指标值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20" w:after="0" w:line="220" w:lineRule="exact"/>
              <w:ind w:left="360" w:hanging="28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全年实际完成值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140" w:after="0" w:line="233" w:lineRule="exact"/>
              <w:ind w:firstLine="8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未完成原因和改进措施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58" w:after="0" w:line="272" w:lineRule="exact"/>
              <w:ind w:firstLine="16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产</w:t>
            </w:r>
          </w:p>
          <w:p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出</w:t>
            </w:r>
          </w:p>
          <w:p>
            <w:pPr>
              <w:autoSpaceDE w:val="0"/>
              <w:autoSpaceDN w:val="0"/>
              <w:spacing w:before="0" w:after="0" w:line="260" w:lineRule="exact"/>
              <w:ind w:firstLine="16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</w:t>
            </w:r>
          </w:p>
          <w:p>
            <w:pPr>
              <w:autoSpaceDE w:val="0"/>
              <w:autoSpaceDN w:val="0"/>
              <w:spacing w:before="0" w:after="0" w:line="240" w:lineRule="exact"/>
              <w:ind w:firstLine="16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33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46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数量指标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指标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1：补配块石墙体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78.52立方米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因产权纠纷，黑水徐向前住址维修无法实施，其110万元资金拟调整用于芦花官寨，待批复后实施。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指标2：修复归安木地板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42.8立方米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指标3：20mm厚当地石板屋面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158.6立方米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指标4：归安砌筑原有块石墙体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19.63立方米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指标5：墙面抹灰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291.02立方米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指标6：木材面涂刷桐油钻生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2105.52立方米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指标7：木材面防火、防腐、防虫处理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2105.52立方米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26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质量指标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指标1：项目（工程）验收合格率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因产权纠纷，黑水徐向前住址维修无法实施，其110万元资金拟调整用于芦花官寨，待批复后实施。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before="46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时效指标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指标：项目实施周期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8（个月）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因产权纠纷，黑水徐向前住址维修无法实施，其110万元资金拟调整用于芦花官寨，待批复后实施。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指标2：文物修缮完成及时率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166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社会效益</w:t>
            </w:r>
          </w:p>
          <w:p>
            <w:pPr>
              <w:autoSpaceDE w:val="0"/>
              <w:autoSpaceDN w:val="0"/>
              <w:spacing w:before="46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指标1：对文物本体进行修复。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18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明显改善，达到设计效果。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因产权纠纷，黑水徐向前住址维修无法实施，其110万元资金拟调整用于芦花官寨，待批复后实施。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指标2：对文物保护区域内环境整治。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改善文物遗存环境。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146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生态效益</w:t>
            </w:r>
          </w:p>
          <w:p>
            <w:pPr>
              <w:autoSpaceDE w:val="0"/>
              <w:autoSpaceDN w:val="0"/>
              <w:spacing w:before="0" w:after="0" w:line="233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对中华优秀传统文化传承影响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长期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autoSpaceDE w:val="0"/>
              <w:autoSpaceDN w:val="0"/>
              <w:spacing w:before="0" w:after="0" w:line="213" w:lineRule="exact"/>
              <w:ind w:left="100" w:right="20" w:hanging="2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满意度指</w:t>
            </w:r>
          </w:p>
          <w:p>
            <w:pPr>
              <w:autoSpaceDE w:val="0"/>
              <w:autoSpaceDN w:val="0"/>
              <w:spacing w:before="0" w:after="0" w:line="220" w:lineRule="exact"/>
              <w:ind w:firstLine="180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spacing w:before="166" w:after="0" w:line="233" w:lineRule="exact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3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指标1：服务对象满意度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≥95%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注:1.资金使用单位按项目绩效目标填报</w:t>
      </w:r>
      <w:r>
        <w:rPr>
          <w:rFonts w:hint="eastAsia"/>
          <w:sz w:val="18"/>
          <w:lang w:val="en-US" w:eastAsia="zh-CN"/>
        </w:rPr>
        <w:t>。</w:t>
      </w:r>
    </w:p>
    <w:p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主管部门汇总时按区域绩效目标填报2.其他资金包括与中央财政资金、地方财政资金共同投入到同一项目的自有资金、社会资金，以及以前年度的结转结</w:t>
      </w:r>
      <w:r>
        <w:rPr>
          <w:rFonts w:hint="eastAsia"/>
          <w:sz w:val="18"/>
          <w:lang w:val="en-US" w:eastAsia="zh-CN"/>
        </w:rPr>
        <w:t>余资金等。</w:t>
      </w:r>
    </w:p>
    <w:p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3.全年执行数是指按照国库集中支付制度要求所形成的实际支出。</w:t>
      </w:r>
    </w:p>
    <w:p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</w:p>
    <w:sectPr>
      <w:type w:val="continuous"/>
      <w:pgSz w:w="11900" w:h="19420"/>
      <w:pgMar w:top="960" w:right="720" w:bottom="720" w:left="720" w:header="48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B3B22"/>
    <w:multiLevelType w:val="singleLevel"/>
    <w:tmpl w:val="280B3B2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173023"/>
    <w:rsid w:val="009F0BE0"/>
    <w:rsid w:val="00BA6D97"/>
    <w:rsid w:val="00BD0BC8"/>
    <w:rsid w:val="081D2700"/>
    <w:rsid w:val="1EBA665C"/>
    <w:rsid w:val="2A366CE3"/>
    <w:rsid w:val="36FADB59"/>
    <w:rsid w:val="38435F83"/>
    <w:rsid w:val="3BC356A0"/>
    <w:rsid w:val="464C7726"/>
    <w:rsid w:val="46CD12A5"/>
    <w:rsid w:val="48433A5C"/>
    <w:rsid w:val="4A3611BB"/>
    <w:rsid w:val="4F8E52AC"/>
    <w:rsid w:val="60E6322B"/>
    <w:rsid w:val="616B6310"/>
    <w:rsid w:val="627B0788"/>
    <w:rsid w:val="62DCC917"/>
    <w:rsid w:val="78BD7067"/>
    <w:rsid w:val="7AE53074"/>
    <w:rsid w:val="D7FE1CAE"/>
    <w:rsid w:val="EDF7CD28"/>
    <w:rsid w:val="FD7ED56F"/>
    <w:rsid w:val="FDFFE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Office_..._F1E327BC-269C-435d-A152-05C5408002CA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2026-03-04T04:32:00Z</dcterms:created>
  <dc:creator>INTSIG</dc:creator>
  <dc:description>Intsig Word Converter</dc:description>
  <cp:lastModifiedBy>China</cp:lastModifiedBy>
  <cp:lastPrinted>2026-03-06T03:42:00Z</cp:lastPrinted>
  <dcterms:modified xsi:type="dcterms:W3CDTF">2026-03-06T02:35:30Z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  <property fmtid="{D5CDD505-2E9C-101B-9397-08002B2CF9AE}" pid="3" name="ICV">
    <vt:lpwstr>A1649B197297D365B754A9691B43B75A_43</vt:lpwstr>
  </property>
</Properties>
</file>