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bookmarkStart w:id="0" w:name="_Toc15377425"/>
      <w:bookmarkStart w:id="1" w:name="_Toc15378441"/>
      <w:bookmarkStart w:id="2" w:name="_Toc15396475"/>
      <w:bookmarkStart w:id="3" w:name="_Toc15377193"/>
      <w:bookmarkStart w:id="4" w:name="_Toc15396597"/>
      <w:bookmarkStart w:id="5" w:name="_Toc15306267"/>
    </w:p>
    <w:p>
      <w:pPr>
        <w:pStyle w:val="6"/>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6"/>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6"/>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6"/>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bookmarkEnd w:id="0"/>
    <w:bookmarkEnd w:id="1"/>
    <w:bookmarkEnd w:id="2"/>
    <w:bookmarkEnd w:id="3"/>
    <w:bookmarkEnd w:id="4"/>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lang w:val="en-US" w:eastAsia="zh-CN"/>
        </w:rPr>
      </w:pPr>
      <w:bookmarkStart w:id="6" w:name="_Toc15377426"/>
      <w:bookmarkStart w:id="7" w:name="_Toc15396476"/>
      <w:bookmarkStart w:id="8" w:name="_Toc15396598"/>
      <w:bookmarkStart w:id="9" w:name="_Toc15377194"/>
      <w:bookmarkStart w:id="10" w:name="_Toc15378442"/>
      <w:r>
        <w:rPr>
          <w:rFonts w:hint="default" w:ascii="Times New Roman" w:hAnsi="Times New Roman" w:eastAsia="黑体" w:cs="Times New Roman"/>
          <w:sz w:val="44"/>
          <w:szCs w:val="44"/>
          <w:lang w:val="en-US" w:eastAsia="zh-CN"/>
        </w:rPr>
        <w:t>2024年度</w:t>
      </w:r>
      <w:bookmarkEnd w:id="5"/>
      <w:bookmarkStart w:id="11" w:name="_Toc15306268"/>
      <w:r>
        <w:rPr>
          <w:rFonts w:hint="default" w:ascii="Times New Roman" w:hAnsi="Times New Roman" w:eastAsia="黑体" w:cs="Times New Roman"/>
          <w:sz w:val="44"/>
          <w:szCs w:val="44"/>
          <w:lang w:val="en-US" w:eastAsia="zh-CN"/>
        </w:rPr>
        <w:t>中共阿坝州委社会工作部门决算</w:t>
      </w:r>
      <w:bookmarkEnd w:id="6"/>
      <w:bookmarkEnd w:id="7"/>
      <w:bookmarkEnd w:id="8"/>
      <w:bookmarkEnd w:id="9"/>
      <w:bookmarkEnd w:id="10"/>
      <w:bookmarkEnd w:id="11"/>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Style w:val="2"/>
        <w:rPr>
          <w:rFonts w:hint="default"/>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both"/>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p>
    <w:p>
      <w:pPr>
        <w:pStyle w:val="13"/>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xml:space="preserve"> 日</w:t>
      </w: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ab/>
      </w:r>
      <w:r>
        <w:rPr>
          <w:rFonts w:hint="eastAsia" w:eastAsia="仿宋_GB2312" w:cs="Times New Roman"/>
          <w:sz w:val="32"/>
          <w:szCs w:val="32"/>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ab/>
      </w:r>
      <w:r>
        <w:rPr>
          <w:rFonts w:hint="eastAsia" w:eastAsia="仿宋_GB2312" w:cs="Times New Roman"/>
          <w:sz w:val="32"/>
          <w:szCs w:val="32"/>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一、收入支出决算总体情况说明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 xml:space="preserve">8  </w:t>
      </w:r>
      <w:r>
        <w:rPr>
          <w:rFonts w:hint="default" w:ascii="Times New Roman" w:hAnsi="Times New Roman" w:eastAsia="仿宋_GB2312" w:cs="Times New Roman"/>
          <w:sz w:val="32"/>
          <w:szCs w:val="32"/>
        </w:rPr>
        <w:t>七、财政拨款“三公”经费支出决算情况说明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10</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11</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12</w:t>
      </w:r>
    </w:p>
    <w:p>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19</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pPr>
        <w:pStyle w:val="15"/>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pPr>
        <w:pStyle w:val="15"/>
        <w:pageBreakBefore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default" w:ascii="Times New Roman" w:hAnsi="Times New Roman" w:eastAsia="仿宋_GB2312" w:cs="Times New Roman"/>
          <w:b/>
          <w:bCs/>
          <w:sz w:val="32"/>
          <w:szCs w:val="32"/>
        </w:rPr>
      </w:pPr>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kern w:val="44"/>
          <w:sz w:val="32"/>
          <w:szCs w:val="32"/>
        </w:rPr>
      </w:pPr>
      <w:bookmarkStart w:id="12" w:name="_Toc15377196"/>
      <w:bookmarkStart w:id="13" w:name="_Toc15396599"/>
      <w:r>
        <w:rPr>
          <w:rFonts w:hint="default" w:ascii="Times New Roman" w:hAnsi="Times New Roman" w:eastAsia="仿宋_GB2312" w:cs="Times New Roman"/>
          <w:b/>
          <w:sz w:val="32"/>
          <w:szCs w:val="32"/>
        </w:rPr>
        <w:br w:type="page"/>
      </w:r>
    </w:p>
    <w:p>
      <w:pPr>
        <w:pStyle w:val="27"/>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bookmarkEnd w:id="12"/>
      <w:bookmarkEnd w:id="13"/>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黑体" w:cs="Times New Roman"/>
          <w:sz w:val="32"/>
          <w:szCs w:val="32"/>
        </w:rPr>
      </w:pPr>
    </w:p>
    <w:p>
      <w:pPr>
        <w:pStyle w:val="4"/>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lang w:val="en-US" w:eastAsia="zh-CN"/>
        </w:rPr>
        <w:t>一、</w:t>
      </w:r>
      <w:r>
        <w:rPr>
          <w:rFonts w:hint="default" w:ascii="Times New Roman" w:hAnsi="Times New Roman" w:eastAsia="黑体" w:cs="Times New Roman"/>
          <w:b w:val="0"/>
        </w:rPr>
        <w:t>部门职责</w:t>
      </w:r>
    </w:p>
    <w:p>
      <w:pPr>
        <w:pStyle w:val="4"/>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rPr>
      </w:pPr>
      <w:r>
        <w:rPr>
          <w:rFonts w:hint="eastAsia" w:ascii="Times New Roman" w:hAnsi="Times New Roman" w:eastAsia="仿宋_GB2312" w:cs="Times New Roman"/>
          <w:b w:val="0"/>
          <w:bCs w:val="0"/>
          <w:kern w:val="2"/>
          <w:sz w:val="32"/>
          <w:szCs w:val="32"/>
          <w:lang w:val="en-US" w:eastAsia="zh-CN" w:bidi="ar-SA"/>
        </w:rPr>
        <w:t>中共阿坝</w:t>
      </w:r>
      <w:r>
        <w:rPr>
          <w:rFonts w:hint="default" w:ascii="Times New Roman" w:hAnsi="Times New Roman" w:eastAsia="仿宋_GB2312" w:cs="Times New Roman"/>
          <w:b w:val="0"/>
          <w:bCs w:val="0"/>
          <w:kern w:val="2"/>
          <w:sz w:val="32"/>
          <w:szCs w:val="32"/>
          <w:lang w:val="en-US" w:eastAsia="zh-CN" w:bidi="ar-SA"/>
        </w:rPr>
        <w:t>州委社会工作部主要职责是负责统筹指导人民信访工作、人民建议征集工作，统筹推进党建引领基层治理和基层政权建设，健全和落实党建引领基层治理领导体制和工作机制，统一领导全州行业协会商会党的工作，协调推动行业协会商会深化改革和转型发展，指导混合所有制企业、非公有制企业和新经济组织、新社会组织、新就业群体党建工作，指导社会工作人才队伍建设，负责志愿服务等工作。</w:t>
      </w:r>
    </w:p>
    <w:p>
      <w:pPr>
        <w:pStyle w:val="4"/>
        <w:pageBreakBefore w:val="0"/>
        <w:kinsoku/>
        <w:wordWrap/>
        <w:overflowPunct/>
        <w:topLinePunct w:val="0"/>
        <w:autoSpaceDE/>
        <w:autoSpaceDN/>
        <w:bidi w:val="0"/>
        <w:spacing w:line="560" w:lineRule="exact"/>
        <w:ind w:firstLine="640" w:firstLineChars="200"/>
        <w:textAlignment w:val="auto"/>
        <w:rPr>
          <w:rStyle w:val="29"/>
          <w:rFonts w:hint="default" w:ascii="Times New Roman" w:hAnsi="Times New Roman" w:cs="Times New Roman"/>
          <w:b w:val="0"/>
          <w:bCs w:val="0"/>
        </w:rPr>
      </w:pPr>
      <w:bookmarkStart w:id="14" w:name="_Toc15396601"/>
      <w:bookmarkStart w:id="15" w:name="_Toc15377200"/>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4"/>
      <w:bookmarkEnd w:id="15"/>
    </w:p>
    <w:p>
      <w:pPr>
        <w:pStyle w:val="6"/>
        <w:pageBreakBefore w:val="0"/>
        <w:kinsoku/>
        <w:wordWrap/>
        <w:overflowPunct/>
        <w:topLinePunct w:val="0"/>
        <w:autoSpaceDE/>
        <w:autoSpaceDN/>
        <w:bidi w:val="0"/>
        <w:adjustRightInd w:val="0"/>
        <w:snapToGrid w:val="0"/>
        <w:spacing w:before="93" w:line="560" w:lineRule="exact"/>
        <w:ind w:firstLine="672" w:firstLineChars="21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cs="Times New Roman"/>
          <w:b w:val="0"/>
          <w:bCs w:val="0"/>
          <w:kern w:val="2"/>
          <w:sz w:val="32"/>
          <w:szCs w:val="32"/>
          <w:lang w:val="en-US" w:eastAsia="zh-CN" w:bidi="ar-SA"/>
        </w:rPr>
        <w:t>中共阿坝</w:t>
      </w:r>
      <w:r>
        <w:rPr>
          <w:rFonts w:hint="default" w:ascii="Times New Roman" w:hAnsi="Times New Roman" w:eastAsia="仿宋_GB2312" w:cs="Times New Roman"/>
          <w:b w:val="0"/>
          <w:bCs w:val="0"/>
          <w:kern w:val="2"/>
          <w:sz w:val="32"/>
          <w:szCs w:val="32"/>
          <w:lang w:val="en-US" w:eastAsia="zh-CN" w:bidi="ar-SA"/>
        </w:rPr>
        <w:t>州委社会工作部部门下属二级单位2个，其中行政单位1个，公益性一类事业单位1个。主要包括：中共阿坝州委社会工作部（本级）和阿坝州社会工作服务促进中心。</w:t>
      </w:r>
    </w:p>
    <w:p>
      <w:pPr>
        <w:pStyle w:val="6"/>
        <w:pageBreakBefore w:val="0"/>
        <w:kinsoku/>
        <w:wordWrap/>
        <w:overflowPunct/>
        <w:topLinePunct w:val="0"/>
        <w:autoSpaceDE/>
        <w:autoSpaceDN/>
        <w:bidi w:val="0"/>
        <w:adjustRightInd w:val="0"/>
        <w:snapToGrid w:val="0"/>
        <w:spacing w:before="93" w:line="560" w:lineRule="exact"/>
        <w:ind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纳入2024年度部门决算编制范围的二级预算单位包括：</w:t>
      </w:r>
    </w:p>
    <w:p>
      <w:pPr>
        <w:pStyle w:val="6"/>
        <w:pageBreakBefore w:val="0"/>
        <w:kinsoku/>
        <w:wordWrap/>
        <w:overflowPunct/>
        <w:topLinePunct w:val="0"/>
        <w:autoSpaceDE/>
        <w:autoSpaceDN/>
        <w:bidi w:val="0"/>
        <w:adjustRightInd w:val="0"/>
        <w:snapToGrid w:val="0"/>
        <w:spacing w:before="93" w:line="560"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中共阿坝州委社会工作部（本级）和阿坝州社会工作服务促进中心。</w:t>
      </w:r>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27"/>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bookmarkStart w:id="16" w:name="_Toc15377204"/>
      <w:bookmarkStart w:id="17" w:name="_Toc15396602"/>
      <w:r>
        <w:rPr>
          <w:rFonts w:hint="default" w:ascii="Times New Roman" w:hAnsi="Times New Roman" w:eastAsia="黑体" w:cs="Times New Roman"/>
          <w:sz w:val="32"/>
          <w:szCs w:val="32"/>
        </w:rPr>
        <w:t>第二部分  2024年度部门决算情况说明</w:t>
      </w:r>
      <w:bookmarkEnd w:id="16"/>
      <w:bookmarkEnd w:id="17"/>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27"/>
        <w:pageBreakBefore w:val="0"/>
        <w:kinsoku/>
        <w:wordWrap/>
        <w:overflowPunct/>
        <w:topLinePunct w:val="0"/>
        <w:autoSpaceDE/>
        <w:autoSpaceDN/>
        <w:bidi w:val="0"/>
        <w:spacing w:line="560" w:lineRule="exact"/>
        <w:ind w:firstLine="640"/>
        <w:textAlignment w:val="auto"/>
        <w:outlineLvl w:val="1"/>
        <w:rPr>
          <w:rStyle w:val="29"/>
          <w:rFonts w:hint="default" w:ascii="Times New Roman" w:hAnsi="Times New Roman" w:eastAsia="黑体" w:cs="Times New Roman"/>
          <w:b w:val="0"/>
        </w:rPr>
      </w:pPr>
      <w:bookmarkStart w:id="18" w:name="_Toc15377205"/>
      <w:bookmarkStart w:id="19"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8"/>
      <w:bookmarkEnd w:id="19"/>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2024年度支出总计为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w:t>
      </w:r>
      <w:bookmarkStart w:id="20" w:name="_Toc15396604"/>
      <w:bookmarkStart w:id="21" w:name="_Toc15377206"/>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年度相比，收入、支出总计各增加</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万元。主要变动原因是我部为2024年新组建成立部门，202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年度无收入支出预算。</w:t>
      </w:r>
    </w:p>
    <w:p>
      <w:pPr>
        <w:pStyle w:val="27"/>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233045</wp:posOffset>
            </wp:positionH>
            <wp:positionV relativeFrom="paragraph">
              <wp:posOffset>144145</wp:posOffset>
            </wp:positionV>
            <wp:extent cx="4810760" cy="2346960"/>
            <wp:effectExtent l="4445" t="4445" r="15875" b="56515"/>
            <wp:wrapTight wrapText="bothSides">
              <wp:wrapPolygon>
                <wp:start x="-20" y="-41"/>
                <wp:lineTo x="-20" y="21559"/>
                <wp:lineTo x="21534" y="21559"/>
                <wp:lineTo x="21534" y="-41"/>
                <wp:lineTo x="-20" y="-41"/>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pageBreakBefore w:val="0"/>
        <w:kinsoku/>
        <w:wordWrap/>
        <w:overflowPunct/>
        <w:topLinePunct w:val="0"/>
        <w:autoSpaceDE/>
        <w:autoSpaceDN/>
        <w:bidi w:val="0"/>
        <w:spacing w:line="560" w:lineRule="exact"/>
        <w:ind w:firstLine="640"/>
        <w:jc w:val="center"/>
        <w:textAlignment w:val="auto"/>
        <w:outlineLvl w:val="1"/>
        <w:rPr>
          <w:rFonts w:hint="default" w:ascii="Times New Roman" w:hAnsi="Times New Roman" w:eastAsia="宋体" w:cs="Times New Roman"/>
          <w:sz w:val="32"/>
          <w:szCs w:val="32"/>
          <w:lang w:eastAsia="zh-CN"/>
        </w:rPr>
      </w:pPr>
      <w:r>
        <w:rPr>
          <w:rFonts w:hint="default" w:ascii="Times New Roman" w:hAnsi="Times New Roman" w:eastAsia="宋体" w:cs="Times New Roman"/>
          <w:sz w:val="24"/>
          <w:szCs w:val="24"/>
        </w:rPr>
        <w:t>（图1：收入、支出决算总计变动情况图</w:t>
      </w:r>
      <w:r>
        <w:rPr>
          <w:rFonts w:hint="default" w:ascii="Times New Roman" w:hAnsi="Times New Roman" w:cs="Times New Roman"/>
          <w:sz w:val="24"/>
          <w:szCs w:val="24"/>
          <w:lang w:eastAsia="zh-CN"/>
        </w:rPr>
        <w:t>）</w:t>
      </w:r>
    </w:p>
    <w:p>
      <w:pPr>
        <w:pStyle w:val="27"/>
        <w:pageBreakBefore w:val="0"/>
        <w:kinsoku/>
        <w:wordWrap/>
        <w:overflowPunct/>
        <w:topLinePunct w:val="0"/>
        <w:autoSpaceDE/>
        <w:autoSpaceDN/>
        <w:bidi w:val="0"/>
        <w:spacing w:line="560" w:lineRule="exact"/>
        <w:ind w:firstLine="64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二、收入决算情况说明</w:t>
      </w:r>
      <w:bookmarkEnd w:id="20"/>
      <w:bookmarkEnd w:id="21"/>
    </w:p>
    <w:p>
      <w:pPr>
        <w:pStyle w:val="27"/>
        <w:pageBreakBefore w:val="0"/>
        <w:kinsoku/>
        <w:wordWrap/>
        <w:overflowPunct/>
        <w:topLinePunct w:val="0"/>
        <w:autoSpaceDE/>
        <w:autoSpaceDN/>
        <w:bidi w:val="0"/>
        <w:spacing w:line="560" w:lineRule="exact"/>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525" w:firstLineChars="25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-43180</wp:posOffset>
            </wp:positionH>
            <wp:positionV relativeFrom="paragraph">
              <wp:posOffset>13335</wp:posOffset>
            </wp:positionV>
            <wp:extent cx="4810760" cy="2179320"/>
            <wp:effectExtent l="5080" t="4445" r="15240" b="1079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Style w:val="27"/>
        <w:pageBreakBefore w:val="0"/>
        <w:kinsoku/>
        <w:wordWrap/>
        <w:overflowPunct/>
        <w:topLinePunct w:val="0"/>
        <w:autoSpaceDE/>
        <w:autoSpaceDN/>
        <w:bidi w:val="0"/>
        <w:spacing w:line="560" w:lineRule="exact"/>
        <w:ind w:left="638" w:leftChars="304" w:firstLine="1200" w:firstLineChars="500"/>
        <w:jc w:val="center"/>
        <w:textAlignment w:val="auto"/>
        <w:outlineLvl w:val="1"/>
        <w:rPr>
          <w:rFonts w:hint="default" w:ascii="Times New Roman" w:hAnsi="Times New Roman" w:eastAsia="宋体" w:cs="Times New Roman"/>
          <w:sz w:val="32"/>
          <w:szCs w:val="32"/>
          <w:lang w:val="en-US" w:eastAsia="zh-CN"/>
        </w:rPr>
      </w:pPr>
      <w:bookmarkStart w:id="22" w:name="_Toc15377207"/>
      <w:bookmarkStart w:id="23" w:name="_Toc15396605"/>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图2：收入决算结构图</w:t>
      </w:r>
      <w:r>
        <w:rPr>
          <w:rFonts w:hint="default" w:ascii="Times New Roman" w:hAnsi="Times New Roman" w:cs="Times New Roman"/>
          <w:sz w:val="24"/>
          <w:szCs w:val="24"/>
          <w:lang w:eastAsia="zh-CN"/>
        </w:rPr>
        <w:t>）</w:t>
      </w:r>
    </w:p>
    <w:p>
      <w:pPr>
        <w:pStyle w:val="27"/>
        <w:pageBreakBefore w:val="0"/>
        <w:kinsoku/>
        <w:wordWrap/>
        <w:overflowPunct/>
        <w:topLinePunct w:val="0"/>
        <w:autoSpaceDE/>
        <w:autoSpaceDN/>
        <w:bidi w:val="0"/>
        <w:spacing w:line="560" w:lineRule="exact"/>
        <w:ind w:left="638" w:leftChars="304" w:firstLine="0" w:firstLineChars="0"/>
        <w:textAlignment w:val="auto"/>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支</w:t>
      </w:r>
      <w:r>
        <w:rPr>
          <w:rStyle w:val="29"/>
          <w:rFonts w:hint="default" w:ascii="Times New Roman" w:hAnsi="Times New Roman" w:eastAsia="黑体" w:cs="Times New Roman"/>
          <w:b w:val="0"/>
        </w:rPr>
        <w:t>出决算情况说明</w:t>
      </w:r>
      <w:bookmarkEnd w:id="22"/>
      <w:bookmarkEnd w:id="23"/>
    </w:p>
    <w:p>
      <w:pPr>
        <w:pStyle w:val="27"/>
        <w:pageBreakBefore w:val="0"/>
        <w:kinsoku/>
        <w:wordWrap/>
        <w:overflowPunct/>
        <w:topLinePunct w:val="0"/>
        <w:autoSpaceDE/>
        <w:autoSpaceDN/>
        <w:bidi w:val="0"/>
        <w:spacing w:line="560" w:lineRule="exact"/>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525" w:firstLineChars="25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12065</wp:posOffset>
            </wp:positionH>
            <wp:positionV relativeFrom="paragraph">
              <wp:posOffset>73660</wp:posOffset>
            </wp:positionV>
            <wp:extent cx="4803775" cy="2361565"/>
            <wp:effectExtent l="5080" t="5080" r="6985" b="1079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bookmarkStart w:id="24" w:name="_Toc15396606"/>
      <w:bookmarkStart w:id="25" w:name="_Toc15377208"/>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560" w:lineRule="exact"/>
        <w:ind w:firstLine="2160" w:firstLineChars="900"/>
        <w:textAlignment w:val="auto"/>
        <w:outlineLvl w:val="1"/>
        <w:rPr>
          <w:rFonts w:hint="default" w:ascii="Times New Roman" w:hAnsi="Times New Roman" w:eastAsia="黑体" w:cs="Times New Roman"/>
          <w:sz w:val="32"/>
          <w:szCs w:val="32"/>
        </w:rPr>
      </w:pP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：支出决算结构图）</w:t>
      </w:r>
    </w:p>
    <w:p>
      <w:pPr>
        <w:pageBreakBefore w:val="0"/>
        <w:kinsoku/>
        <w:wordWrap/>
        <w:overflowPunct/>
        <w:topLinePunct w:val="0"/>
        <w:autoSpaceDE/>
        <w:autoSpaceDN/>
        <w:bidi w:val="0"/>
        <w:spacing w:line="560" w:lineRule="exact"/>
        <w:ind w:firstLine="640" w:firstLineChars="200"/>
        <w:textAlignment w:val="auto"/>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4"/>
      <w:bookmarkEnd w:id="25"/>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与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年度相比，财政拨款收入总计、支出总计各增加</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万元。主要变动原因是我部为2024年新组建成立部门，202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rPr>
        <w:drawing>
          <wp:anchor distT="0" distB="0" distL="114300" distR="114300" simplePos="0" relativeHeight="251665408" behindDoc="1" locked="0" layoutInCell="1" allowOverlap="1">
            <wp:simplePos x="0" y="0"/>
            <wp:positionH relativeFrom="column">
              <wp:posOffset>385445</wp:posOffset>
            </wp:positionH>
            <wp:positionV relativeFrom="paragraph">
              <wp:posOffset>165100</wp:posOffset>
            </wp:positionV>
            <wp:extent cx="4582160" cy="2187575"/>
            <wp:effectExtent l="4445" t="4445" r="46355" b="33020"/>
            <wp:wrapTight wrapText="bothSides">
              <wp:wrapPolygon>
                <wp:start x="-21" y="-44"/>
                <wp:lineTo x="-21" y="21475"/>
                <wp:lineTo x="21531" y="21475"/>
                <wp:lineTo x="21531" y="-44"/>
                <wp:lineTo x="-21" y="-44"/>
              </wp:wrapPolygon>
            </wp:wrapTight>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firstLine="1200" w:firstLineChars="5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rPr>
        <w:t>：一般公共预算财政拨款支出决算变动情况）</w:t>
      </w:r>
    </w:p>
    <w:p>
      <w:pPr>
        <w:pageBreakBefore w:val="0"/>
        <w:kinsoku/>
        <w:wordWrap/>
        <w:overflowPunct/>
        <w:topLinePunct w:val="0"/>
        <w:autoSpaceDE/>
        <w:autoSpaceDN/>
        <w:bidi w:val="0"/>
        <w:spacing w:line="560" w:lineRule="exact"/>
        <w:ind w:firstLine="640" w:firstLineChars="200"/>
        <w:textAlignment w:val="auto"/>
        <w:outlineLvl w:val="1"/>
        <w:rPr>
          <w:rStyle w:val="29"/>
          <w:rFonts w:hint="default" w:ascii="Times New Roman" w:hAnsi="Times New Roman" w:eastAsia="黑体" w:cs="Times New Roman"/>
          <w:b w:val="0"/>
        </w:rPr>
      </w:pPr>
      <w:bookmarkStart w:id="26" w:name="_Toc15377209"/>
      <w:bookmarkStart w:id="27" w:name="_Toc15396607"/>
      <w:r>
        <w:rPr>
          <w:rFonts w:hint="default" w:ascii="Times New Roman" w:hAnsi="Times New Roman" w:eastAsia="黑体" w:cs="Times New Roman"/>
          <w:sz w:val="32"/>
          <w:szCs w:val="32"/>
        </w:rPr>
        <w:t>五、</w:t>
      </w:r>
      <w:r>
        <w:rPr>
          <w:rFonts w:hint="default" w:ascii="Times New Roman" w:hAnsi="Times New Roman" w:eastAsia="黑体" w:cs="Times New Roman"/>
          <w:b w:val="0"/>
          <w:bCs/>
          <w:sz w:val="32"/>
          <w:szCs w:val="32"/>
        </w:rPr>
        <w:t>一</w:t>
      </w:r>
      <w:r>
        <w:rPr>
          <w:rStyle w:val="29"/>
          <w:rFonts w:hint="default" w:ascii="Times New Roman" w:hAnsi="Times New Roman" w:eastAsia="黑体" w:cs="Times New Roman"/>
          <w:b w:val="0"/>
        </w:rPr>
        <w:t>般公共预算财政拨款支出决算情况说明</w:t>
      </w:r>
      <w:bookmarkEnd w:id="26"/>
      <w:bookmarkEnd w:id="27"/>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28" w:name="_Toc15377210"/>
      <w:r>
        <w:rPr>
          <w:rFonts w:hint="default" w:ascii="Times New Roman" w:hAnsi="Times New Roman" w:eastAsia="楷体_GB2312" w:cs="Times New Roman"/>
          <w:b/>
          <w:sz w:val="32"/>
          <w:szCs w:val="32"/>
        </w:rPr>
        <w:t>（一）一般公共预算财政拨款支出决算总体情况</w:t>
      </w:r>
      <w:bookmarkEnd w:id="2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年度相比，一般公共预算财政拨款支出增加</w:t>
      </w:r>
      <w:r>
        <w:rPr>
          <w:rFonts w:hint="default" w:ascii="Times New Roman" w:hAnsi="Times New Roman" w:eastAsia="仿宋_GB2312" w:cs="Times New Roman"/>
          <w:sz w:val="32"/>
          <w:szCs w:val="32"/>
          <w:lang w:val="en-US" w:eastAsia="zh-CN"/>
        </w:rPr>
        <w:t>110.7</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bookmarkStart w:id="29" w:name="_Toc15377211"/>
    </w:p>
    <w:p>
      <w:pPr>
        <w:pageBreakBefore w:val="0"/>
        <w:kinsoku/>
        <w:wordWrap/>
        <w:overflowPunct/>
        <w:topLinePunct w:val="0"/>
        <w:autoSpaceDE/>
        <w:autoSpaceDN/>
        <w:bidi w:val="0"/>
        <w:spacing w:line="560" w:lineRule="exact"/>
        <w:ind w:firstLine="1680" w:firstLineChars="700"/>
        <w:textAlignment w:val="auto"/>
        <w:outlineLvl w:val="2"/>
        <w:rPr>
          <w:rFonts w:hint="default" w:ascii="Times New Roman" w:hAnsi="Times New Roman" w:eastAsia="楷体_GB2312" w:cs="Times New Roman"/>
          <w:b/>
          <w:sz w:val="32"/>
          <w:szCs w:val="32"/>
        </w:rPr>
      </w:pP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：财政拨款收、支决算总计变动情况）</w:t>
      </w:r>
      <w:r>
        <w:rPr>
          <w:rFonts w:hint="default" w:ascii="Times New Roman" w:hAnsi="Times New Roman" w:cs="Times New Roman"/>
        </w:rPr>
        <w:drawing>
          <wp:anchor distT="0" distB="0" distL="114300" distR="114300" simplePos="0" relativeHeight="251664384" behindDoc="1" locked="0" layoutInCell="1" allowOverlap="1">
            <wp:simplePos x="0" y="0"/>
            <wp:positionH relativeFrom="column">
              <wp:posOffset>332105</wp:posOffset>
            </wp:positionH>
            <wp:positionV relativeFrom="paragraph">
              <wp:posOffset>34925</wp:posOffset>
            </wp:positionV>
            <wp:extent cx="4826000" cy="2573020"/>
            <wp:effectExtent l="4445" t="4445" r="15875" b="13335"/>
            <wp:wrapTight wrapText="bothSides">
              <wp:wrapPolygon>
                <wp:start x="-20" y="-37"/>
                <wp:lineTo x="-20" y="21456"/>
                <wp:lineTo x="21535" y="21456"/>
                <wp:lineTo x="21535" y="-37"/>
                <wp:lineTo x="-20" y="-37"/>
              </wp:wrapPolygon>
            </wp:wrapTight>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（二）一般公共预算财政拨款支出决算结构情况</w:t>
      </w:r>
      <w:bookmarkEnd w:id="2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万元，主要用于以下方面：一般公共服务支出</w:t>
      </w:r>
      <w:r>
        <w:rPr>
          <w:rFonts w:hint="default" w:ascii="Times New Roman" w:hAnsi="Times New Roman" w:eastAsia="仿宋_GB2312" w:cs="Times New Roman"/>
          <w:sz w:val="32"/>
          <w:szCs w:val="32"/>
          <w:lang w:val="en-US" w:eastAsia="zh-CN"/>
        </w:rPr>
        <w:t>87.32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87.32</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11.79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6.90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1920" w:firstLineChars="800"/>
        <w:textAlignment w:val="auto"/>
        <w:outlineLvl w:val="2"/>
        <w:rPr>
          <w:rFonts w:hint="default" w:ascii="Times New Roman" w:hAnsi="Times New Roman" w:eastAsia="楷体_GB2312" w:cs="Times New Roman"/>
          <w:b/>
          <w:sz w:val="32"/>
          <w:szCs w:val="32"/>
        </w:rPr>
      </w:pPr>
      <w:bookmarkStart w:id="30" w:name="_Toc15377212"/>
      <w:r>
        <w:rPr>
          <w:rFonts w:hint="default" w:ascii="Times New Roman" w:hAnsi="Times New Roman" w:eastAsia="宋体" w:cs="Times New Roman"/>
          <w:sz w:val="24"/>
          <w:szCs w:val="24"/>
        </w:rPr>
        <w:t>（图6：一般公共预算财政拨款支出决算结构）</w:t>
      </w: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294640</wp:posOffset>
            </wp:positionH>
            <wp:positionV relativeFrom="paragraph">
              <wp:posOffset>100330</wp:posOffset>
            </wp:positionV>
            <wp:extent cx="5061585" cy="2735580"/>
            <wp:effectExtent l="4445" t="4445" r="8890" b="18415"/>
            <wp:wrapSquare wrapText="bothSides"/>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（三）一般公共预算财政拨款支出决算具体情况</w:t>
      </w:r>
      <w:bookmarkEnd w:id="3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1" w:name="_Toc15377444"/>
      <w:bookmarkStart w:id="32" w:name="_Toc15377213"/>
      <w:bookmarkStart w:id="33" w:name="_Toc15378460"/>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lang w:val="en-US" w:eastAsia="zh-CN"/>
        </w:rPr>
        <w:t>110.73万元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1"/>
      <w:bookmarkEnd w:id="32"/>
      <w:bookmarkEnd w:id="33"/>
    </w:p>
    <w:p>
      <w:pPr>
        <w:pageBreakBefore w:val="0"/>
        <w:numPr>
          <w:ilvl w:val="0"/>
          <w:numId w:val="1"/>
        </w:numP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一般公共</w:t>
      </w:r>
      <w:r>
        <w:rPr>
          <w:rFonts w:hint="default" w:ascii="Times New Roman" w:hAnsi="Times New Roman" w:eastAsia="仿宋_GB2312" w:cs="Times New Roman"/>
          <w:sz w:val="32"/>
          <w:szCs w:val="32"/>
          <w:lang w:val="en-US" w:eastAsia="zh-CN"/>
        </w:rPr>
        <w:t>服务社会事务</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87.32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val="en-US" w:eastAsia="zh-CN"/>
        </w:rPr>
        <w:t>行政事业单位养老支出</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11.79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行政事业单位医疗支出</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4.住房保障支出</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6.90</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tabs>
          <w:tab w:val="right" w:pos="8306"/>
        </w:tabs>
        <w:kinsoku/>
        <w:wordWrap/>
        <w:overflowPunct/>
        <w:topLinePunct w:val="0"/>
        <w:autoSpaceDE/>
        <w:autoSpaceDN/>
        <w:bidi w:val="0"/>
        <w:spacing w:line="560" w:lineRule="exact"/>
        <w:ind w:firstLine="640"/>
        <w:textAlignment w:val="auto"/>
        <w:outlineLvl w:val="1"/>
        <w:rPr>
          <w:rStyle w:val="29"/>
          <w:rFonts w:hint="default" w:ascii="Times New Roman" w:hAnsi="Times New Roman" w:cs="Times New Roman"/>
        </w:rPr>
      </w:pPr>
      <w:bookmarkStart w:id="34" w:name="_Toc15377214"/>
      <w:bookmarkStart w:id="35"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w:t>
      </w:r>
      <w:r>
        <w:rPr>
          <w:rFonts w:hint="default" w:ascii="Times New Roman" w:hAnsi="Times New Roman" w:eastAsia="黑体" w:cs="Times New Roman"/>
          <w:b w:val="0"/>
          <w:bCs/>
          <w:sz w:val="32"/>
          <w:szCs w:val="32"/>
        </w:rPr>
        <w:t>一</w:t>
      </w:r>
      <w:r>
        <w:rPr>
          <w:rStyle w:val="29"/>
          <w:rFonts w:hint="default" w:ascii="Times New Roman" w:hAnsi="Times New Roman" w:eastAsia="黑体" w:cs="Times New Roman"/>
          <w:b w:val="0"/>
        </w:rPr>
        <w:t>般公共预算财政拨款基本支出决算情况说明</w:t>
      </w:r>
      <w:bookmarkEnd w:id="34"/>
      <w:bookmarkEnd w:id="35"/>
      <w:r>
        <w:rPr>
          <w:rStyle w:val="29"/>
          <w:rFonts w:hint="default" w:ascii="Times New Roman" w:hAnsi="Times New Roman" w:eastAsia="黑体" w:cs="Times New Roman"/>
          <w:b w:val="0"/>
        </w:rPr>
        <w:tab/>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lang w:val="en-US" w:eastAsia="zh-CN"/>
        </w:rPr>
        <w:t>110.73</w:t>
      </w:r>
      <w:r>
        <w:rPr>
          <w:rFonts w:hint="default" w:ascii="Times New Roman" w:hAnsi="Times New Roman" w:eastAsia="仿宋_GB2312" w:cs="Times New Roman"/>
          <w:sz w:val="32"/>
          <w:szCs w:val="32"/>
        </w:rPr>
        <w:t>万元，其中：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77.66</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33.07</w:t>
      </w:r>
      <w:r>
        <w:rPr>
          <w:rFonts w:hint="default" w:ascii="Times New Roman" w:hAnsi="Times New Roman" w:eastAsia="仿宋_GB2312" w:cs="Times New Roman"/>
          <w:sz w:val="32"/>
          <w:szCs w:val="32"/>
        </w:rPr>
        <w:t>万元，主要包括：办公费、差旅费、其他交通费等。</w:t>
      </w:r>
    </w:p>
    <w:p>
      <w:pPr>
        <w:pageBreakBefore w:val="0"/>
        <w:kinsoku/>
        <w:wordWrap/>
        <w:overflowPunct/>
        <w:topLinePunct w:val="0"/>
        <w:autoSpaceDE/>
        <w:autoSpaceDN/>
        <w:bidi w:val="0"/>
        <w:spacing w:line="560" w:lineRule="exact"/>
        <w:ind w:firstLine="640"/>
        <w:textAlignment w:val="auto"/>
        <w:outlineLvl w:val="1"/>
        <w:rPr>
          <w:rStyle w:val="29"/>
          <w:rFonts w:hint="default" w:ascii="Times New Roman" w:hAnsi="Times New Roman" w:eastAsia="黑体" w:cs="Times New Roman"/>
          <w:b w:val="0"/>
        </w:rPr>
      </w:pPr>
      <w:bookmarkStart w:id="36" w:name="_Toc15396609"/>
      <w:bookmarkStart w:id="37" w:name="_Toc15377215"/>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6"/>
      <w:bookmarkEnd w:id="37"/>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38" w:name="_Toc15377216"/>
      <w:r>
        <w:rPr>
          <w:rFonts w:hint="default" w:ascii="Times New Roman" w:hAnsi="Times New Roman" w:eastAsia="楷体_GB2312" w:cs="Times New Roman"/>
          <w:b/>
          <w:sz w:val="32"/>
          <w:szCs w:val="32"/>
        </w:rPr>
        <w:t>（一）“三公”经费财政拨款支出决算总体情况说明</w:t>
      </w:r>
      <w:bookmarkEnd w:id="3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39" w:name="_Toc15377217"/>
      <w:r>
        <w:rPr>
          <w:rFonts w:hint="default" w:ascii="Times New Roman" w:hAnsi="Times New Roman" w:eastAsia="楷体_GB2312" w:cs="Times New Roman"/>
          <w:b/>
          <w:sz w:val="32"/>
          <w:szCs w:val="32"/>
        </w:rPr>
        <w:t>（二）“三公”经费财政拨款支出决算具体情况说明</w:t>
      </w:r>
      <w:bookmarkEnd w:id="3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bookmarkStart w:id="40" w:name="_Toc15377218"/>
      <w:bookmarkStart w:id="41" w:name="_Toc15396610"/>
    </w:p>
    <w:p>
      <w:pPr>
        <w:pageBreakBefore w:val="0"/>
        <w:kinsoku/>
        <w:wordWrap/>
        <w:overflowPunct/>
        <w:topLinePunct w:val="0"/>
        <w:autoSpaceDE/>
        <w:autoSpaceDN/>
        <w:bidi w:val="0"/>
        <w:spacing w:line="560" w:lineRule="exact"/>
        <w:ind w:firstLine="640"/>
        <w:textAlignment w:val="auto"/>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40"/>
      <w:bookmarkEnd w:id="4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left="630"/>
        <w:textAlignment w:val="auto"/>
        <w:outlineLvl w:val="1"/>
        <w:rPr>
          <w:rStyle w:val="29"/>
          <w:rFonts w:hint="default" w:ascii="Times New Roman" w:hAnsi="Times New Roman" w:eastAsia="黑体" w:cs="Times New Roman"/>
          <w:b w:val="0"/>
        </w:rPr>
      </w:pPr>
      <w:bookmarkStart w:id="42" w:name="_Toc15396611"/>
      <w:bookmarkStart w:id="43" w:name="_Toc15377219"/>
      <w:r>
        <w:rPr>
          <w:rStyle w:val="29"/>
          <w:rFonts w:hint="default" w:ascii="Times New Roman" w:hAnsi="Times New Roman" w:eastAsia="黑体" w:cs="Times New Roman"/>
          <w:b w:val="0"/>
        </w:rPr>
        <w:t>九、国有资本经营预算支出决算情况说明</w:t>
      </w:r>
      <w:bookmarkEnd w:id="42"/>
      <w:bookmarkEnd w:id="43"/>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44" w:name="_Toc15377221"/>
      <w:bookmarkStart w:id="45" w:name="_Toc15396612"/>
    </w:p>
    <w:p>
      <w:pPr>
        <w:pageBreakBefore w:val="0"/>
        <w:kinsoku/>
        <w:wordWrap/>
        <w:overflowPunct/>
        <w:topLinePunct w:val="0"/>
        <w:autoSpaceDE/>
        <w:autoSpaceDN/>
        <w:bidi w:val="0"/>
        <w:spacing w:line="560" w:lineRule="exact"/>
        <w:ind w:left="630"/>
        <w:textAlignment w:val="auto"/>
        <w:outlineLvl w:val="1"/>
        <w:rPr>
          <w:rStyle w:val="29"/>
          <w:rFonts w:hint="default" w:ascii="Times New Roman" w:hAnsi="Times New Roman" w:eastAsia="黑体" w:cs="Times New Roman"/>
          <w:b w:val="0"/>
        </w:rPr>
      </w:pPr>
      <w:r>
        <w:rPr>
          <w:rStyle w:val="29"/>
          <w:rFonts w:hint="default" w:ascii="Times New Roman" w:hAnsi="Times New Roman" w:eastAsia="黑体" w:cs="Times New Roman"/>
          <w:b w:val="0"/>
        </w:rPr>
        <w:t>十、其他重要事项的情况说明</w:t>
      </w:r>
      <w:bookmarkEnd w:id="44"/>
      <w:bookmarkEnd w:id="45"/>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6" w:name="_Toc15377222"/>
      <w:r>
        <w:rPr>
          <w:rFonts w:hint="default" w:ascii="Times New Roman" w:hAnsi="Times New Roman" w:eastAsia="楷体_GB2312" w:cs="Times New Roman"/>
          <w:b/>
          <w:sz w:val="32"/>
          <w:szCs w:val="32"/>
        </w:rPr>
        <w:t>（一）机关运行经费支出情况</w:t>
      </w:r>
      <w:bookmarkEnd w:id="4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中共阿坝州委社会工作部</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33.07</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年度增加</w:t>
      </w:r>
      <w:r>
        <w:rPr>
          <w:rFonts w:hint="default" w:ascii="Times New Roman" w:hAnsi="Times New Roman" w:eastAsia="仿宋_GB2312" w:cs="Times New Roman"/>
          <w:sz w:val="32"/>
          <w:szCs w:val="32"/>
          <w:lang w:val="en-US" w:eastAsia="zh-CN"/>
        </w:rPr>
        <w:t>33.07</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中共阿坝州委社会工作部为2024年新组建成立部门，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7" w:name="_Toc15377223"/>
      <w:r>
        <w:rPr>
          <w:rFonts w:hint="default" w:ascii="Times New Roman" w:hAnsi="Times New Roman" w:eastAsia="楷体_GB2312" w:cs="Times New Roman"/>
          <w:b/>
          <w:sz w:val="32"/>
          <w:szCs w:val="32"/>
        </w:rPr>
        <w:t>（二）政府采购支出情况</w:t>
      </w:r>
      <w:bookmarkEnd w:id="4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中共阿坝州委社会工作部</w:t>
      </w:r>
      <w:r>
        <w:rPr>
          <w:rFonts w:hint="default" w:ascii="Times New Roman" w:hAnsi="Times New Roman" w:eastAsia="仿宋_GB2312" w:cs="Times New Roman"/>
          <w:sz w:val="32"/>
          <w:szCs w:val="32"/>
        </w:rPr>
        <w:t>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8" w:name="_Toc15377224"/>
      <w:r>
        <w:rPr>
          <w:rFonts w:hint="default" w:ascii="Times New Roman" w:hAnsi="Times New Roman" w:eastAsia="楷体_GB2312" w:cs="Times New Roman"/>
          <w:b/>
          <w:sz w:val="32"/>
          <w:szCs w:val="32"/>
        </w:rPr>
        <w:t>（三）国有资产占有使用情况</w:t>
      </w:r>
      <w:bookmarkEnd w:id="4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截至2024年12月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1日，共有车辆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eastAsia" w:eastAsia="仿宋_GB2312" w:cs="Times New Roman"/>
          <w:sz w:val="32"/>
          <w:szCs w:val="32"/>
          <w:lang w:eastAsia="zh-CN"/>
        </w:rPr>
        <w:t>，无固定资产</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4月，我部组建成立，未编制部门预算及设置整体支出绩效目标，为保障部机关组建完成后各项工作的正常运转，切实有效履行州委州政府赋予的职能职责，结合我部2024年年度重点工作任务，科学编制追加年度预算及项目绩效目标， 严格落实预算绩效管理相关规定，提高绩效目标编制质量，推动绩效目标科学合理、规范完整、细化量化，确保绩效目标的产出效果与部门预算安排相匹配。</w:t>
      </w: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bookmarkStart w:id="49" w:name="_Toc15377225"/>
      <w:bookmarkStart w:id="50" w:name="_Toc15396613"/>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9"/>
      <w:bookmarkEnd w:id="50"/>
    </w:p>
    <w:p>
      <w:pPr>
        <w:pageBreakBefore w:val="0"/>
        <w:kinsoku/>
        <w:wordWrap/>
        <w:overflowPunct/>
        <w:topLinePunct w:val="0"/>
        <w:autoSpaceDE/>
        <w:autoSpaceDN/>
        <w:bidi w:val="0"/>
        <w:spacing w:line="560" w:lineRule="exact"/>
        <w:jc w:val="left"/>
        <w:textAlignment w:val="auto"/>
        <w:rPr>
          <w:rFonts w:hint="default" w:ascii="Times New Roman" w:hAnsi="Times New Roman" w:cs="Times New Roman"/>
          <w:b/>
          <w:sz w:val="44"/>
          <w:szCs w:val="44"/>
        </w:rPr>
      </w:pP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pacing w:line="560" w:lineRule="exact"/>
        <w:jc w:val="center"/>
        <w:textAlignment w:val="auto"/>
        <w:rPr>
          <w:rStyle w:val="28"/>
          <w:rFonts w:hint="default" w:ascii="Times New Roman" w:hAnsi="Times New Roman" w:eastAsia="黑体" w:cs="Times New Roman"/>
          <w:b w:val="0"/>
        </w:rPr>
      </w:pPr>
      <w:bookmarkStart w:id="51" w:name="_Toc15377226"/>
      <w:r>
        <w:rPr>
          <w:rFonts w:hint="default" w:ascii="Times New Roman" w:hAnsi="Times New Roman" w:eastAsia="仿宋_GB2312" w:cs="Times New Roman"/>
          <w:sz w:val="32"/>
          <w:szCs w:val="32"/>
        </w:rPr>
        <w:br w:type="page"/>
      </w:r>
      <w:bookmarkStart w:id="52" w:name="_Toc15396614"/>
      <w:r>
        <w:rPr>
          <w:rFonts w:hint="default" w:ascii="Times New Roman" w:hAnsi="Times New Roman" w:eastAsia="黑体" w:cs="Times New Roman"/>
          <w:sz w:val="44"/>
          <w:szCs w:val="44"/>
        </w:rPr>
        <w:t>第四部分  附件</w:t>
      </w:r>
      <w:bookmarkEnd w:id="52"/>
    </w:p>
    <w:p>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color w:val="FF0000"/>
          <w:sz w:val="32"/>
          <w:szCs w:val="32"/>
        </w:rPr>
      </w:pPr>
    </w:p>
    <w:p>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pStyle w:val="8"/>
        <w:pageBreakBefore w:val="0"/>
        <w:kinsoku/>
        <w:wordWrap/>
        <w:overflowPunct/>
        <w:topLinePunct w:val="0"/>
        <w:autoSpaceDE/>
        <w:autoSpaceDN/>
        <w:bidi w:val="0"/>
        <w:spacing w:line="560" w:lineRule="exact"/>
        <w:ind w:left="0" w:leftChars="0" w:firstLine="640"/>
        <w:jc w:val="center"/>
        <w:textAlignment w:val="auto"/>
        <w:rPr>
          <w:rFonts w:hint="default" w:ascii="Times New Roman" w:hAnsi="Times New Roman" w:eastAsia="宋体" w:cs="Times New Roman"/>
          <w:b/>
          <w:bCs/>
          <w:sz w:val="36"/>
          <w:szCs w:val="36"/>
        </w:rPr>
      </w:pPr>
      <w:r>
        <w:rPr>
          <w:rFonts w:hint="eastAsia" w:ascii="Times New Roman" w:cs="Times New Roman"/>
          <w:b/>
          <w:bCs/>
          <w:sz w:val="36"/>
          <w:szCs w:val="36"/>
          <w:lang w:eastAsia="zh-CN"/>
        </w:rPr>
        <w:t>中共阿坝</w:t>
      </w:r>
      <w:r>
        <w:rPr>
          <w:rFonts w:hint="default" w:ascii="Times New Roman" w:hAnsi="Times New Roman" w:cs="Times New Roman"/>
          <w:b/>
          <w:bCs/>
          <w:sz w:val="36"/>
          <w:szCs w:val="36"/>
          <w:lang w:eastAsia="zh-CN"/>
        </w:rPr>
        <w:t>州</w:t>
      </w:r>
      <w:r>
        <w:rPr>
          <w:rFonts w:hint="default" w:ascii="Times New Roman" w:hAnsi="Times New Roman" w:eastAsia="宋体" w:cs="Times New Roman"/>
          <w:b/>
          <w:bCs/>
          <w:sz w:val="36"/>
          <w:szCs w:val="36"/>
        </w:rPr>
        <w:t>委社会工作部部门预算绩效</w:t>
      </w:r>
    </w:p>
    <w:p>
      <w:pPr>
        <w:pStyle w:val="8"/>
        <w:pageBreakBefore w:val="0"/>
        <w:kinsoku/>
        <w:wordWrap/>
        <w:overflowPunct/>
        <w:topLinePunct w:val="0"/>
        <w:autoSpaceDE/>
        <w:autoSpaceDN/>
        <w:bidi w:val="0"/>
        <w:spacing w:line="560" w:lineRule="exact"/>
        <w:ind w:left="0" w:leftChars="0" w:firstLine="64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自评报告</w:t>
      </w:r>
    </w:p>
    <w:p>
      <w:pPr>
        <w:pStyle w:val="8"/>
        <w:pageBreakBefore w:val="0"/>
        <w:numPr>
          <w:ilvl w:val="0"/>
          <w:numId w:val="2"/>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部门基本情况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机构组成</w:t>
      </w:r>
      <w:r>
        <w:rPr>
          <w:rFonts w:hint="default" w:ascii="Times New Roman" w:hAnsi="Times New Roman" w:eastAsia="楷体" w:cs="Times New Roman"/>
          <w:b/>
          <w:bCs/>
          <w:sz w:val="24"/>
          <w:szCs w:val="24"/>
        </w:rPr>
        <w:t xml:space="preserve"> </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eastAsia="仿宋" w:cs="Times New Roman"/>
          <w:sz w:val="32"/>
          <w:szCs w:val="32"/>
          <w:lang w:eastAsia="zh-CN"/>
        </w:rPr>
        <w:t>中共阿坝</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委社会工作部为</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本级一级预算单位，下属2个财政二级预算单位，分别是</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委社会工作部机关和</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社会工作服务促进中心。部机关下设</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个内设机构，分别为办公室、一</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 xml:space="preserve">。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 xml:space="preserve">）机构职能 </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eastAsia="仿宋" w:cs="Times New Roman"/>
          <w:sz w:val="32"/>
          <w:szCs w:val="32"/>
          <w:lang w:eastAsia="zh-CN"/>
        </w:rPr>
        <w:t>中共阿坝</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委社会工作部主要职责是负责统筹指导人民信访工作， 指导人民建议征集工作，统筹推进党建引领基层治理和基层政权建设，统一领导全</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 xml:space="preserve">行业协会商会党建工作，协调推动行业协会商会深化改革和转型发展，指导混合所有制企业、非公有 制企业和新经济组织、新社会组织、新就业群体党建工作，指导社会工作人才队伍建设，负责志愿服务工作等。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）人员概况</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截至2024年12月1日，</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委社会工作部编制</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名，其中行政编制</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名，公益一类事业编制</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名。年末在职人员总数</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人，其中：行政人员</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人，事业编制</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人。</w:t>
      </w:r>
    </w:p>
    <w:p>
      <w:pPr>
        <w:pStyle w:val="8"/>
        <w:pageBreakBefore w:val="0"/>
        <w:numPr>
          <w:ilvl w:val="0"/>
          <w:numId w:val="2"/>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部门资金收支情况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）收入情况</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rPr>
        <w:t xml:space="preserve"> </w:t>
      </w:r>
      <w:r>
        <w:rPr>
          <w:rFonts w:hint="eastAsia" w:ascii="Times New Roman" w:eastAsia="仿宋" w:cs="Times New Roman"/>
          <w:sz w:val="32"/>
          <w:szCs w:val="32"/>
          <w:lang w:eastAsia="zh-CN"/>
        </w:rPr>
        <w:t>中共阿坝</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委社会工作部2024年收入总额为</w:t>
      </w:r>
      <w:r>
        <w:rPr>
          <w:rFonts w:hint="default" w:ascii="Times New Roman" w:hAnsi="Times New Roman" w:eastAsia="仿宋" w:cs="Times New Roman"/>
          <w:sz w:val="32"/>
          <w:szCs w:val="32"/>
          <w:lang w:val="en-US" w:eastAsia="zh-CN"/>
        </w:rPr>
        <w:t>110.73</w:t>
      </w:r>
      <w:r>
        <w:rPr>
          <w:rFonts w:hint="default" w:ascii="Times New Roman" w:hAnsi="Times New Roman" w:eastAsia="仿宋" w:cs="Times New Roman"/>
          <w:sz w:val="32"/>
          <w:szCs w:val="32"/>
        </w:rPr>
        <w:t>万元，均为一般公共预算财政拨款收入</w:t>
      </w:r>
      <w:r>
        <w:rPr>
          <w:rFonts w:hint="default" w:ascii="Times New Roman" w:hAnsi="Times New Roman" w:eastAsia="仿宋" w:cs="Times New Roman"/>
          <w:sz w:val="32"/>
          <w:szCs w:val="32"/>
          <w:lang w:val="en-US" w:eastAsia="zh-CN"/>
        </w:rPr>
        <w:t>110.73</w:t>
      </w:r>
      <w:r>
        <w:rPr>
          <w:rFonts w:hint="default" w:ascii="Times New Roman" w:hAnsi="Times New Roman" w:eastAsia="仿宋" w:cs="Times New Roman"/>
          <w:sz w:val="32"/>
          <w:szCs w:val="32"/>
        </w:rPr>
        <w:t xml:space="preserve">万元，占收入总额的100%。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 xml:space="preserve">）支出情况 </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eastAsia="仿宋" w:cs="Times New Roman"/>
          <w:sz w:val="32"/>
          <w:szCs w:val="32"/>
          <w:lang w:eastAsia="zh-CN"/>
        </w:rPr>
        <w:t>中共阿坝</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委社会工作部2024年支出总额为</w:t>
      </w:r>
      <w:r>
        <w:rPr>
          <w:rFonts w:hint="default" w:ascii="Times New Roman" w:hAnsi="Times New Roman" w:eastAsia="仿宋" w:cs="Times New Roman"/>
          <w:sz w:val="32"/>
          <w:szCs w:val="32"/>
          <w:lang w:val="en-US" w:eastAsia="zh-CN"/>
        </w:rPr>
        <w:t>110.73</w:t>
      </w:r>
      <w:r>
        <w:rPr>
          <w:rFonts w:hint="default" w:ascii="Times New Roman" w:hAnsi="Times New Roman" w:eastAsia="仿宋" w:cs="Times New Roman"/>
          <w:sz w:val="32"/>
          <w:szCs w:val="32"/>
        </w:rPr>
        <w:t>万元，其中： 基本支出</w:t>
      </w:r>
      <w:r>
        <w:rPr>
          <w:rFonts w:hint="default" w:ascii="Times New Roman" w:hAnsi="Times New Roman" w:eastAsia="仿宋" w:cs="Times New Roman"/>
          <w:sz w:val="32"/>
          <w:szCs w:val="32"/>
          <w:lang w:val="en-US" w:eastAsia="zh-CN"/>
        </w:rPr>
        <w:t>110.73</w:t>
      </w:r>
      <w:r>
        <w:rPr>
          <w:rFonts w:hint="default" w:ascii="Times New Roman" w:hAnsi="Times New Roman" w:eastAsia="仿宋" w:cs="Times New Roman"/>
          <w:sz w:val="32"/>
          <w:szCs w:val="32"/>
        </w:rPr>
        <w:t>万元（人员经费</w:t>
      </w:r>
      <w:r>
        <w:rPr>
          <w:rFonts w:hint="default" w:ascii="Times New Roman" w:hAnsi="Times New Roman" w:eastAsia="仿宋" w:cs="Times New Roman"/>
          <w:sz w:val="32"/>
          <w:szCs w:val="32"/>
          <w:lang w:val="en-US" w:eastAsia="zh-CN"/>
        </w:rPr>
        <w:t>77.66</w:t>
      </w:r>
      <w:r>
        <w:rPr>
          <w:rFonts w:hint="default" w:ascii="Times New Roman" w:hAnsi="Times New Roman" w:eastAsia="仿宋" w:cs="Times New Roman"/>
          <w:sz w:val="32"/>
          <w:szCs w:val="32"/>
        </w:rPr>
        <w:t>万元，公用经费</w:t>
      </w:r>
      <w:r>
        <w:rPr>
          <w:rFonts w:hint="default" w:ascii="Times New Roman" w:hAnsi="Times New Roman" w:eastAsia="仿宋" w:cs="Times New Roman"/>
          <w:sz w:val="32"/>
          <w:szCs w:val="32"/>
          <w:lang w:val="en-US" w:eastAsia="zh-CN"/>
        </w:rPr>
        <w:t>33.07</w:t>
      </w:r>
      <w:r>
        <w:rPr>
          <w:rFonts w:hint="default" w:ascii="Times New Roman" w:hAnsi="Times New Roman" w:eastAsia="仿宋" w:cs="Times New Roman"/>
          <w:sz w:val="32"/>
          <w:szCs w:val="32"/>
        </w:rPr>
        <w:t>万元），占支出总额的</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（三）结余分配和结转结余情况</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eastAsia="仿宋" w:cs="Times New Roman"/>
          <w:sz w:val="32"/>
          <w:szCs w:val="32"/>
          <w:lang w:eastAsia="zh-CN"/>
        </w:rPr>
        <w:t>中共阿坝</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委社会工作部2024年无结转结余。</w:t>
      </w:r>
    </w:p>
    <w:p>
      <w:pPr>
        <w:pStyle w:val="8"/>
        <w:pageBreakBefore w:val="0"/>
        <w:numPr>
          <w:ilvl w:val="0"/>
          <w:numId w:val="2"/>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部门预算绩效分析 </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val="en-US" w:eastAsia="zh-CN"/>
        </w:rPr>
        <w:t>（一）部门预算总体绩效分析</w:t>
      </w:r>
      <w:r>
        <w:rPr>
          <w:rFonts w:hint="default" w:ascii="Times New Roman" w:hAnsi="Times New Roman" w:eastAsia="仿宋" w:cs="Times New Roman"/>
          <w:sz w:val="32"/>
          <w:szCs w:val="32"/>
        </w:rPr>
        <w:t xml:space="preserve"> </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 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月，我部组建成立，未编制部门预算及设置整体 支出绩效目标，为保障部机关组建完成后各项工作的正常运转，切实有效履行</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政府赋予的职能职责，结合我部2024年年度重点工作任务，科学编制追加年度预算及项目绩效目标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严格落实预算绩效管理相关规定，提高绩效目标编制质量，推动绩效目标科学合理、规范完整、细化量化，确保绩效目标的产出效果与部门预算安排相匹配。 一是严格部门预算管理。严格按照《中华人民共和国预算 法》《国务院关于深化预算管理制度改革的决定》《四川</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rPr>
        <w:t>政府关于全面实施预算绩效管理的实施意见》等有关规定，结合</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政府重点工作及我部年度中心工作，围绕职能职责、行政效能、服务质量、自身建设和中长期发展规划等方面，科学编制追加2024年部门预算及预算绩效目标。积极统筹年度工作任务，严格按照预算计划推动预算执行，提高执行进度。严格落实厉行节约相关规定，把习惯过紧日子贯穿到预算管理的 全过程，严控一般性支出。二是规范部门财务管理。为规范我部日常财务管理，保障资金使用效率及安全，提高经费使用效益，结合各类财经法规政策，我部制定了</w:t>
      </w:r>
      <w:r>
        <w:rPr>
          <w:rFonts w:hint="default" w:ascii="Times New Roman" w:hAnsi="Times New Roman" w:eastAsia="仿宋" w:cs="Times New Roman"/>
          <w:sz w:val="32"/>
          <w:szCs w:val="32"/>
          <w:highlight w:val="none"/>
        </w:rPr>
        <w:t>《</w:t>
      </w:r>
      <w:r>
        <w:rPr>
          <w:rFonts w:hint="eastAsia" w:ascii="Times New Roman" w:eastAsia="仿宋" w:cs="Times New Roman"/>
          <w:sz w:val="32"/>
          <w:szCs w:val="32"/>
          <w:highlight w:val="none"/>
          <w:lang w:eastAsia="zh-CN"/>
        </w:rPr>
        <w:t>中共阿坝</w:t>
      </w:r>
      <w:r>
        <w:rPr>
          <w:rFonts w:hint="default" w:ascii="Times New Roman" w:hAnsi="Times New Roman" w:eastAsia="仿宋" w:cs="Times New Roman"/>
          <w:sz w:val="32"/>
          <w:szCs w:val="32"/>
          <w:highlight w:val="none"/>
          <w:lang w:eastAsia="zh-CN"/>
        </w:rPr>
        <w:t>州</w:t>
      </w:r>
      <w:r>
        <w:rPr>
          <w:rFonts w:hint="default" w:ascii="Times New Roman" w:hAnsi="Times New Roman" w:eastAsia="仿宋" w:cs="Times New Roman"/>
          <w:sz w:val="32"/>
          <w:szCs w:val="32"/>
          <w:highlight w:val="none"/>
        </w:rPr>
        <w:t>委社会工作部</w:t>
      </w:r>
      <w:r>
        <w:rPr>
          <w:rFonts w:hint="eastAsia" w:ascii="Times New Roman" w:eastAsia="仿宋" w:cs="Times New Roman"/>
          <w:sz w:val="32"/>
          <w:szCs w:val="32"/>
          <w:highlight w:val="none"/>
          <w:lang w:eastAsia="zh-CN"/>
        </w:rPr>
        <w:t>部机关</w:t>
      </w:r>
      <w:r>
        <w:rPr>
          <w:rFonts w:hint="default" w:ascii="Times New Roman" w:hAnsi="Times New Roman" w:eastAsia="仿宋" w:cs="Times New Roman"/>
          <w:sz w:val="32"/>
          <w:szCs w:val="32"/>
          <w:highlight w:val="none"/>
        </w:rPr>
        <w:t>财务</w:t>
      </w:r>
      <w:r>
        <w:rPr>
          <w:rFonts w:hint="eastAsia" w:ascii="Times New Roman" w:eastAsia="仿宋" w:cs="Times New Roman"/>
          <w:sz w:val="32"/>
          <w:szCs w:val="32"/>
          <w:highlight w:val="none"/>
          <w:lang w:eastAsia="zh-CN"/>
        </w:rPr>
        <w:t>经费</w:t>
      </w:r>
      <w:r>
        <w:rPr>
          <w:rFonts w:hint="default" w:ascii="Times New Roman" w:hAnsi="Times New Roman" w:eastAsia="仿宋" w:cs="Times New Roman"/>
          <w:sz w:val="32"/>
          <w:szCs w:val="32"/>
          <w:highlight w:val="none"/>
        </w:rPr>
        <w:t>管理</w:t>
      </w:r>
      <w:r>
        <w:rPr>
          <w:rFonts w:hint="eastAsia" w:ascii="Times New Roman" w:eastAsia="仿宋" w:cs="Times New Roman"/>
          <w:sz w:val="32"/>
          <w:szCs w:val="32"/>
          <w:highlight w:val="none"/>
          <w:lang w:eastAsia="zh-CN"/>
        </w:rPr>
        <w:t>细则</w:t>
      </w:r>
      <w:r>
        <w:rPr>
          <w:rFonts w:hint="default" w:ascii="Times New Roman" w:hAnsi="Times New Roman" w:eastAsia="仿宋" w:cs="Times New Roman"/>
          <w:sz w:val="32"/>
          <w:szCs w:val="32"/>
          <w:highlight w:val="none"/>
        </w:rPr>
        <w:t>》等内控制度，对部门预算与决算管理、收入管理、费用支出</w:t>
      </w:r>
      <w:r>
        <w:rPr>
          <w:rFonts w:hint="default" w:ascii="Times New Roman" w:hAnsi="Times New Roman" w:eastAsia="仿宋" w:cs="Times New Roman"/>
          <w:sz w:val="32"/>
          <w:szCs w:val="32"/>
        </w:rPr>
        <w:t>报销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“三公”经费支出管理等作出了明确详细的规定，确保日常财务管 理合法、合规、完整；根据岗位不相容的相关规定，保障会计、出纳财务岗相互监督、相互督促，办公室分设会计和出纳岗位，明确相关职责，实现了不相容岗位分离。按照中央财经法规、财政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预算批复及单位财务管理制度规定使用资金，资金支出方向符合财政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批复用途，资金使用合规；大额经费支出严格 履行“三重一大”决策程序，支出报销程序规范、手续完整，报账资料齐全。2024年在预算执行中严格履行相关决策程序。</w:t>
      </w:r>
    </w:p>
    <w:p>
      <w:pPr>
        <w:pStyle w:val="8"/>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（二）绩效结果应用情况</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bookmarkStart w:id="67" w:name="_GoBack"/>
      <w:bookmarkEnd w:id="67"/>
      <w:r>
        <w:rPr>
          <w:rFonts w:hint="default" w:ascii="Times New Roman" w:hAnsi="Times New Roman" w:eastAsia="仿宋" w:cs="Times New Roman"/>
          <w:sz w:val="32"/>
          <w:szCs w:val="32"/>
        </w:rPr>
        <w:t>积极推行绩效运行监控管理机制。将预算编制、执行、监督与预算绩效目标管理相结合，定期通报预算执行进度，分析预算执行偏差原因，加大预算执行监督，把每一笔资金都用在明</w:t>
      </w:r>
      <w:r>
        <w:rPr>
          <w:rFonts w:hint="default" w:ascii="Times New Roman" w:hAnsi="Times New Roman" w:eastAsia="仿宋" w:cs="Times New Roman"/>
          <w:sz w:val="32"/>
          <w:szCs w:val="32"/>
          <w:lang w:val="en-US" w:eastAsia="zh-CN"/>
        </w:rPr>
        <w:t>处</w:t>
      </w:r>
      <w:r>
        <w:rPr>
          <w:rFonts w:hint="default" w:ascii="Times New Roman" w:hAnsi="Times New Roman" w:eastAsia="仿宋" w:cs="Times New Roman"/>
          <w:sz w:val="32"/>
          <w:szCs w:val="32"/>
        </w:rPr>
        <w:t>、用到实</w:t>
      </w:r>
      <w:r>
        <w:rPr>
          <w:rFonts w:hint="default" w:ascii="Times New Roman" w:hAnsi="Times New Roman" w:eastAsia="仿宋" w:cs="Times New Roman"/>
          <w:sz w:val="32"/>
          <w:szCs w:val="32"/>
          <w:lang w:val="en-US" w:eastAsia="zh-CN"/>
        </w:rPr>
        <w:t>处</w:t>
      </w:r>
      <w:r>
        <w:rPr>
          <w:rFonts w:hint="default" w:ascii="Times New Roman" w:hAnsi="Times New Roman" w:eastAsia="仿宋" w:cs="Times New Roman"/>
          <w:sz w:val="32"/>
          <w:szCs w:val="32"/>
        </w:rPr>
        <w:t>、用出效益，确保项目经费开支按时、保质、按规定使用，确实提高资金使用效率。2024年在预算执行等方面未受到财政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、审计</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提出有关预算执行和预算绩效管理方面的问题。</w:t>
      </w:r>
    </w:p>
    <w:p>
      <w:pPr>
        <w:pStyle w:val="8"/>
        <w:pageBreakBefore w:val="0"/>
        <w:numPr>
          <w:ilvl w:val="0"/>
          <w:numId w:val="2"/>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评价结论及建议 </w:t>
      </w:r>
    </w:p>
    <w:p>
      <w:pPr>
        <w:pStyle w:val="8"/>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rPr>
        <w:t>按照部门预算绩效评价指标体系评价，我</w:t>
      </w:r>
      <w:r>
        <w:rPr>
          <w:rFonts w:hint="eastAsia" w:ascii="Times New Roman" w:eastAsia="仿宋" w:cs="Times New Roman"/>
          <w:sz w:val="32"/>
          <w:szCs w:val="32"/>
          <w:lang w:val="en-US" w:eastAsia="zh-CN"/>
        </w:rPr>
        <w:t>部门</w:t>
      </w:r>
      <w:r>
        <w:rPr>
          <w:rFonts w:hint="default" w:ascii="Times New Roman" w:hAnsi="Times New Roman" w:eastAsia="仿宋" w:cs="Times New Roman"/>
          <w:sz w:val="32"/>
          <w:szCs w:val="32"/>
        </w:rPr>
        <w:t>2024年度部门预算具有明确的用途和目标，制定了比较详细的执行计划，资金到位及时并严格按照财政有关规定使用。预算决策、管理、执行等工作日益规范，能较好地满足我部各项运转工作需要，取得了良好经济效益和社会效益。</w:t>
      </w:r>
    </w:p>
    <w:p>
      <w:pPr>
        <w:pStyle w:val="8"/>
        <w:pageBreakBefore w:val="0"/>
        <w:kinsoku/>
        <w:wordWrap/>
        <w:overflowPunct/>
        <w:topLinePunct w:val="0"/>
        <w:autoSpaceDE/>
        <w:autoSpaceDN/>
        <w:bidi w:val="0"/>
        <w:spacing w:line="560" w:lineRule="exact"/>
        <w:ind w:left="0" w:leftChars="0" w:firstLine="64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lang w:val="zh-CN" w:bidi="ar"/>
        </w:rPr>
        <w:t>附表：</w:t>
      </w:r>
      <w:r>
        <w:rPr>
          <w:rFonts w:hint="default" w:ascii="Times New Roman" w:hAnsi="Times New Roman" w:eastAsia="仿宋" w:cs="Times New Roman"/>
          <w:sz w:val="32"/>
          <w:szCs w:val="32"/>
          <w:lang w:bidi="ar"/>
        </w:rPr>
        <w:t>部门预算项目支出绩效自评表（2024年度）</w:t>
      </w: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keepNext w:val="0"/>
        <w:keepLines w:val="0"/>
        <w:pageBreakBefore w:val="0"/>
        <w:kinsoku/>
        <w:wordWrap/>
        <w:overflowPunct/>
        <w:topLinePunct w:val="0"/>
        <w:autoSpaceDE/>
        <w:autoSpaceDN/>
        <w:bidi w:val="0"/>
        <w:adjustRightInd/>
        <w:snapToGrid/>
        <w:spacing w:before="93" w:line="420" w:lineRule="exact"/>
        <w:textAlignment w:val="auto"/>
        <w:rPr>
          <w:rFonts w:hint="default" w:ascii="Times New Roman" w:hAnsi="Times New Roman" w:cs="Times New Roman"/>
          <w:color w:val="FF0000"/>
          <w:sz w:val="32"/>
          <w:szCs w:val="32"/>
          <w:highlight w:val="yellow"/>
          <w:shd w:val="clear" w:color="auto" w:fill="FFFFFF"/>
          <w:lang w:val="zh-CN"/>
        </w:rPr>
      </w:pP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outlineLvl w:val="9"/>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部门预算绩效自评打分表</w:t>
      </w:r>
    </w:p>
    <w:tbl>
      <w:tblPr>
        <w:tblStyle w:val="16"/>
        <w:tblW w:w="11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4"/>
        <w:gridCol w:w="1462"/>
        <w:gridCol w:w="1665"/>
        <w:gridCol w:w="720"/>
        <w:gridCol w:w="4627"/>
        <w:gridCol w:w="863"/>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8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9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黑体" w:hAnsi="宋体" w:eastAsia="黑体" w:cs="黑体"/>
                <w:i w:val="0"/>
                <w:color w:val="000000"/>
                <w:sz w:val="24"/>
                <w:szCs w:val="24"/>
                <w:u w:val="none"/>
              </w:rPr>
            </w:pPr>
          </w:p>
        </w:tc>
        <w:tc>
          <w:tcPr>
            <w:tcW w:w="8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黑体" w:hAnsi="宋体" w:eastAsia="黑体" w:cs="黑体"/>
                <w:i w:val="0"/>
                <w:color w:val="000000"/>
                <w:sz w:val="24"/>
                <w:szCs w:val="24"/>
                <w:u w:val="none"/>
              </w:rPr>
            </w:pPr>
          </w:p>
        </w:tc>
        <w:tc>
          <w:tcPr>
            <w:tcW w:w="95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无年初预算，10月下达资金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无年初预算，10月下达资金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无结余结转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6"/>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ageBreakBefore w:val="0"/>
        <w:kinsoku/>
        <w:wordWrap/>
        <w:overflowPunct/>
        <w:topLinePunct w:val="0"/>
        <w:autoSpaceDE/>
        <w:autoSpaceDN/>
        <w:bidi w:val="0"/>
        <w:spacing w:line="560" w:lineRule="exac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 w:cs="Times New Roman"/>
        </w:rPr>
      </w:pPr>
      <w:bookmarkStart w:id="53" w:name="_Toc15396618"/>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51"/>
      <w:bookmarkEnd w:id="53"/>
      <w:bookmarkStart w:id="54" w:name="_Toc15396619"/>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4"/>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5" w:name="_Toc15396620"/>
      <w:r>
        <w:rPr>
          <w:rFonts w:hint="default" w:ascii="Times New Roman" w:hAnsi="Times New Roman" w:eastAsia="仿宋_GB2312" w:cs="Times New Roman"/>
          <w:sz w:val="32"/>
          <w:szCs w:val="32"/>
        </w:rPr>
        <w:t>二、收入决算表</w:t>
      </w:r>
      <w:bookmarkEnd w:id="55"/>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6" w:name="_Toc15396621"/>
      <w:r>
        <w:rPr>
          <w:rFonts w:hint="default" w:ascii="Times New Roman" w:hAnsi="Times New Roman" w:eastAsia="仿宋_GB2312" w:cs="Times New Roman"/>
          <w:sz w:val="32"/>
          <w:szCs w:val="32"/>
        </w:rPr>
        <w:t>三、支出决算表</w:t>
      </w:r>
      <w:bookmarkEnd w:id="56"/>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7" w:name="_Toc15396622"/>
      <w:r>
        <w:rPr>
          <w:rFonts w:hint="default" w:ascii="Times New Roman" w:hAnsi="Times New Roman" w:eastAsia="仿宋_GB2312" w:cs="Times New Roman"/>
          <w:sz w:val="32"/>
          <w:szCs w:val="32"/>
        </w:rPr>
        <w:t>四、财政拨款收入支出决算总表</w:t>
      </w:r>
      <w:bookmarkEnd w:id="57"/>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8" w:name="_Toc15396623"/>
      <w:r>
        <w:rPr>
          <w:rFonts w:hint="default" w:ascii="Times New Roman" w:hAnsi="Times New Roman" w:eastAsia="仿宋_GB2312" w:cs="Times New Roman"/>
          <w:sz w:val="32"/>
          <w:szCs w:val="32"/>
        </w:rPr>
        <w:t>五、财政拨款支出决算明细表</w:t>
      </w:r>
      <w:bookmarkEnd w:id="58"/>
      <w:bookmarkStart w:id="59" w:name="_Toc15396624"/>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9"/>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0" w:name="_Toc15396625"/>
      <w:r>
        <w:rPr>
          <w:rFonts w:hint="default" w:ascii="Times New Roman" w:hAnsi="Times New Roman" w:eastAsia="仿宋_GB2312" w:cs="Times New Roman"/>
          <w:sz w:val="32"/>
          <w:szCs w:val="32"/>
        </w:rPr>
        <w:t>七、一般公共预算财政拨款支出决算明细表</w:t>
      </w:r>
      <w:bookmarkEnd w:id="60"/>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1" w:name="_Toc15396626"/>
      <w:r>
        <w:rPr>
          <w:rFonts w:hint="default" w:ascii="Times New Roman" w:hAnsi="Times New Roman" w:eastAsia="仿宋_GB2312" w:cs="Times New Roman"/>
          <w:sz w:val="32"/>
          <w:szCs w:val="32"/>
        </w:rPr>
        <w:t>八、一般公共预算财政拨款基本支出决算表</w:t>
      </w:r>
      <w:bookmarkEnd w:id="61"/>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2" w:name="_Toc15396627"/>
      <w:r>
        <w:rPr>
          <w:rFonts w:hint="default" w:ascii="Times New Roman" w:hAnsi="Times New Roman" w:eastAsia="仿宋_GB2312" w:cs="Times New Roman"/>
          <w:sz w:val="32"/>
          <w:szCs w:val="32"/>
        </w:rPr>
        <w:t>九、一般公共预算财政拨款项目支出决算表</w:t>
      </w:r>
      <w:bookmarkEnd w:id="62"/>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3" w:name="_Toc15396628"/>
      <w:r>
        <w:rPr>
          <w:rFonts w:hint="default" w:ascii="Times New Roman" w:hAnsi="Times New Roman" w:eastAsia="仿宋_GB2312" w:cs="Times New Roman"/>
          <w:sz w:val="32"/>
          <w:szCs w:val="32"/>
        </w:rPr>
        <w:t>十、</w:t>
      </w:r>
      <w:bookmarkEnd w:id="63"/>
      <w:r>
        <w:rPr>
          <w:rFonts w:hint="default" w:ascii="Times New Roman" w:hAnsi="Times New Roman" w:eastAsia="仿宋_GB2312" w:cs="Times New Roman"/>
          <w:sz w:val="32"/>
          <w:szCs w:val="32"/>
        </w:rPr>
        <w:t>政府性基金预算财政拨款收入支出决算表</w:t>
      </w:r>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4" w:name="_Toc15396629"/>
      <w:r>
        <w:rPr>
          <w:rFonts w:hint="default" w:ascii="Times New Roman" w:hAnsi="Times New Roman" w:eastAsia="仿宋_GB2312" w:cs="Times New Roman"/>
          <w:sz w:val="32"/>
          <w:szCs w:val="32"/>
        </w:rPr>
        <w:t>十一、</w:t>
      </w:r>
      <w:bookmarkEnd w:id="64"/>
      <w:r>
        <w:rPr>
          <w:rFonts w:hint="default" w:ascii="Times New Roman" w:hAnsi="Times New Roman" w:eastAsia="仿宋_GB2312" w:cs="Times New Roman"/>
          <w:sz w:val="32"/>
          <w:szCs w:val="32"/>
        </w:rPr>
        <w:t>国有资本经营预算财政拨款收入支出决算表</w:t>
      </w:r>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5" w:name="_Toc15396630"/>
      <w:r>
        <w:rPr>
          <w:rFonts w:hint="default" w:ascii="Times New Roman" w:hAnsi="Times New Roman" w:eastAsia="仿宋_GB2312" w:cs="Times New Roman"/>
          <w:sz w:val="32"/>
          <w:szCs w:val="32"/>
        </w:rPr>
        <w:t>十二、</w:t>
      </w:r>
      <w:bookmarkEnd w:id="65"/>
      <w:r>
        <w:rPr>
          <w:rFonts w:hint="default" w:ascii="Times New Roman" w:hAnsi="Times New Roman" w:eastAsia="仿宋_GB2312" w:cs="Times New Roman"/>
          <w:sz w:val="32"/>
          <w:szCs w:val="32"/>
        </w:rPr>
        <w:t>国有资本经营预算财政拨款支出决算表</w:t>
      </w:r>
    </w:p>
    <w:p>
      <w:pPr>
        <w:pStyle w:val="15"/>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6" w:name="_Toc15396631"/>
      <w:r>
        <w:rPr>
          <w:rFonts w:hint="default" w:ascii="Times New Roman" w:hAnsi="Times New Roman" w:eastAsia="仿宋_GB2312" w:cs="Times New Roman"/>
          <w:sz w:val="32"/>
          <w:szCs w:val="32"/>
        </w:rPr>
        <w:t>十三、</w:t>
      </w:r>
      <w:bookmarkEnd w:id="66"/>
      <w:r>
        <w:rPr>
          <w:rFonts w:hint="default" w:ascii="Times New Roman" w:hAnsi="Times New Roman" w:eastAsia="仿宋_GB2312" w:cs="Times New Roman"/>
          <w:sz w:val="32"/>
          <w:szCs w:val="32"/>
        </w:rPr>
        <w:t>财政拨款“三公”经费支出决算表</w:t>
      </w: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文鼎霹雳体"/>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霹雳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4521F"/>
    <w:multiLevelType w:val="singleLevel"/>
    <w:tmpl w:val="C104521F"/>
    <w:lvl w:ilvl="0" w:tentative="0">
      <w:start w:val="1"/>
      <w:numFmt w:val="chineseCounting"/>
      <w:suff w:val="nothing"/>
      <w:lvlText w:val="%1、"/>
      <w:lvlJc w:val="left"/>
      <w:pPr>
        <w:ind w:left="600" w:leftChars="0" w:firstLine="0" w:firstLineChars="0"/>
      </w:pPr>
      <w:rPr>
        <w:rFonts w:hint="eastAsia"/>
      </w:rPr>
    </w:lvl>
  </w:abstractNum>
  <w:abstractNum w:abstractNumId="1">
    <w:nsid w:val="52E8CB00"/>
    <w:multiLevelType w:val="singleLevel"/>
    <w:tmpl w:val="52E8CB0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2A5EC2"/>
    <w:rsid w:val="015975B8"/>
    <w:rsid w:val="02FEBE30"/>
    <w:rsid w:val="04714B20"/>
    <w:rsid w:val="04916F1E"/>
    <w:rsid w:val="04B52C5F"/>
    <w:rsid w:val="061E35DE"/>
    <w:rsid w:val="066E0107"/>
    <w:rsid w:val="068974BA"/>
    <w:rsid w:val="07996F6E"/>
    <w:rsid w:val="07DFD8BA"/>
    <w:rsid w:val="09867E8F"/>
    <w:rsid w:val="0A2032A3"/>
    <w:rsid w:val="0CA8290A"/>
    <w:rsid w:val="0CEE55A2"/>
    <w:rsid w:val="0D35B1ED"/>
    <w:rsid w:val="0E254B6B"/>
    <w:rsid w:val="0F98263C"/>
    <w:rsid w:val="101860EC"/>
    <w:rsid w:val="101F47CC"/>
    <w:rsid w:val="10C055FF"/>
    <w:rsid w:val="11301FE0"/>
    <w:rsid w:val="11694EBD"/>
    <w:rsid w:val="11772AA4"/>
    <w:rsid w:val="118107EC"/>
    <w:rsid w:val="11B105CC"/>
    <w:rsid w:val="11DC0EC0"/>
    <w:rsid w:val="12AD766B"/>
    <w:rsid w:val="12E24EE2"/>
    <w:rsid w:val="13D50BC4"/>
    <w:rsid w:val="1422582E"/>
    <w:rsid w:val="146827D8"/>
    <w:rsid w:val="14B17F78"/>
    <w:rsid w:val="165E0673"/>
    <w:rsid w:val="16B831D5"/>
    <w:rsid w:val="16BB723D"/>
    <w:rsid w:val="17E50567"/>
    <w:rsid w:val="186504BB"/>
    <w:rsid w:val="19A445FC"/>
    <w:rsid w:val="1BE8440E"/>
    <w:rsid w:val="1C185B56"/>
    <w:rsid w:val="1C9A547B"/>
    <w:rsid w:val="1CC6347C"/>
    <w:rsid w:val="1D155CEE"/>
    <w:rsid w:val="1D1638FE"/>
    <w:rsid w:val="1DC22612"/>
    <w:rsid w:val="1E2F53D8"/>
    <w:rsid w:val="1E312DEB"/>
    <w:rsid w:val="1E740ACF"/>
    <w:rsid w:val="1F4153C3"/>
    <w:rsid w:val="1F886AF3"/>
    <w:rsid w:val="1FF35744"/>
    <w:rsid w:val="1FF6BC77"/>
    <w:rsid w:val="20AA51EA"/>
    <w:rsid w:val="20BD1863"/>
    <w:rsid w:val="2186353C"/>
    <w:rsid w:val="21F04E7F"/>
    <w:rsid w:val="229879F0"/>
    <w:rsid w:val="236D592B"/>
    <w:rsid w:val="23860B96"/>
    <w:rsid w:val="240371BF"/>
    <w:rsid w:val="244F3473"/>
    <w:rsid w:val="24AE6269"/>
    <w:rsid w:val="24C97D99"/>
    <w:rsid w:val="25A718F0"/>
    <w:rsid w:val="25BB59F6"/>
    <w:rsid w:val="25C30677"/>
    <w:rsid w:val="260F557C"/>
    <w:rsid w:val="26970054"/>
    <w:rsid w:val="281408E2"/>
    <w:rsid w:val="29226266"/>
    <w:rsid w:val="29FD04D3"/>
    <w:rsid w:val="2B8A6344"/>
    <w:rsid w:val="2B8E1652"/>
    <w:rsid w:val="2B9F0BCD"/>
    <w:rsid w:val="2BED2312"/>
    <w:rsid w:val="2BFF7BC6"/>
    <w:rsid w:val="2C8A61B5"/>
    <w:rsid w:val="2D480665"/>
    <w:rsid w:val="2D826D85"/>
    <w:rsid w:val="2DF04E50"/>
    <w:rsid w:val="2E586DFA"/>
    <w:rsid w:val="2E980D78"/>
    <w:rsid w:val="2F040D46"/>
    <w:rsid w:val="2F6B035B"/>
    <w:rsid w:val="2FAE5751"/>
    <w:rsid w:val="2FB1A395"/>
    <w:rsid w:val="2FD9A7D8"/>
    <w:rsid w:val="2FDBF714"/>
    <w:rsid w:val="30AB6865"/>
    <w:rsid w:val="317C672F"/>
    <w:rsid w:val="319F7F4E"/>
    <w:rsid w:val="32BD1EF1"/>
    <w:rsid w:val="3304709D"/>
    <w:rsid w:val="333C43C8"/>
    <w:rsid w:val="335E292F"/>
    <w:rsid w:val="33A773CB"/>
    <w:rsid w:val="349D6851"/>
    <w:rsid w:val="357E2A76"/>
    <w:rsid w:val="35E6413B"/>
    <w:rsid w:val="36AA5135"/>
    <w:rsid w:val="36BE0DA7"/>
    <w:rsid w:val="36F27109"/>
    <w:rsid w:val="376B6AA6"/>
    <w:rsid w:val="376D39B2"/>
    <w:rsid w:val="37E16F03"/>
    <w:rsid w:val="37F53A3B"/>
    <w:rsid w:val="389B6C89"/>
    <w:rsid w:val="38C61715"/>
    <w:rsid w:val="38D469F0"/>
    <w:rsid w:val="39627CCD"/>
    <w:rsid w:val="397BAF1F"/>
    <w:rsid w:val="3AB79AF3"/>
    <w:rsid w:val="3AE834C0"/>
    <w:rsid w:val="3B7EF35A"/>
    <w:rsid w:val="3B9FDB6C"/>
    <w:rsid w:val="3BF5BC2F"/>
    <w:rsid w:val="3CA628B2"/>
    <w:rsid w:val="3CEBA265"/>
    <w:rsid w:val="3D98207C"/>
    <w:rsid w:val="3DEE7CF3"/>
    <w:rsid w:val="3E740A63"/>
    <w:rsid w:val="3E78745D"/>
    <w:rsid w:val="3EE17838"/>
    <w:rsid w:val="3F55381A"/>
    <w:rsid w:val="3F7F7599"/>
    <w:rsid w:val="3FF4CAE0"/>
    <w:rsid w:val="3FF766A0"/>
    <w:rsid w:val="3FF7B227"/>
    <w:rsid w:val="40833636"/>
    <w:rsid w:val="41D72836"/>
    <w:rsid w:val="435B772B"/>
    <w:rsid w:val="44E268DA"/>
    <w:rsid w:val="450D13D7"/>
    <w:rsid w:val="45506656"/>
    <w:rsid w:val="484B6F1C"/>
    <w:rsid w:val="486A6C7A"/>
    <w:rsid w:val="4A627F82"/>
    <w:rsid w:val="4B0E749A"/>
    <w:rsid w:val="4B2477C4"/>
    <w:rsid w:val="4B4F25DA"/>
    <w:rsid w:val="4BD37592"/>
    <w:rsid w:val="4BE068DB"/>
    <w:rsid w:val="4C1E06B7"/>
    <w:rsid w:val="4C382EC4"/>
    <w:rsid w:val="4D577224"/>
    <w:rsid w:val="4DBF1CEB"/>
    <w:rsid w:val="4DF0007C"/>
    <w:rsid w:val="4EAB630A"/>
    <w:rsid w:val="4ECE2238"/>
    <w:rsid w:val="4F833267"/>
    <w:rsid w:val="4FE9BD67"/>
    <w:rsid w:val="4FFB052F"/>
    <w:rsid w:val="52BD3CB5"/>
    <w:rsid w:val="537E6D0A"/>
    <w:rsid w:val="53DFD207"/>
    <w:rsid w:val="53F74C96"/>
    <w:rsid w:val="54212E7B"/>
    <w:rsid w:val="55170BA8"/>
    <w:rsid w:val="553218C9"/>
    <w:rsid w:val="55DB7CB1"/>
    <w:rsid w:val="567E1AA5"/>
    <w:rsid w:val="56E47B74"/>
    <w:rsid w:val="57175D52"/>
    <w:rsid w:val="57BD3DD4"/>
    <w:rsid w:val="57BE8722"/>
    <w:rsid w:val="57FCD3E8"/>
    <w:rsid w:val="59DA4F5E"/>
    <w:rsid w:val="5AC03E2B"/>
    <w:rsid w:val="5AF92295"/>
    <w:rsid w:val="5B250254"/>
    <w:rsid w:val="5BDD79E6"/>
    <w:rsid w:val="5BF3746A"/>
    <w:rsid w:val="5BF561CA"/>
    <w:rsid w:val="5BFF5DFC"/>
    <w:rsid w:val="5CD71FC4"/>
    <w:rsid w:val="5CFBDC19"/>
    <w:rsid w:val="5D1F11B5"/>
    <w:rsid w:val="5D695134"/>
    <w:rsid w:val="5DAE1B18"/>
    <w:rsid w:val="5DE7D9E5"/>
    <w:rsid w:val="5E685F0A"/>
    <w:rsid w:val="5ECEC941"/>
    <w:rsid w:val="5FA40A7B"/>
    <w:rsid w:val="5FBF9FF3"/>
    <w:rsid w:val="5FCD4E2C"/>
    <w:rsid w:val="5FEF394A"/>
    <w:rsid w:val="5FF67715"/>
    <w:rsid w:val="606C7D42"/>
    <w:rsid w:val="629B40F7"/>
    <w:rsid w:val="62BF3928"/>
    <w:rsid w:val="63B3701E"/>
    <w:rsid w:val="63C17E4E"/>
    <w:rsid w:val="646627A3"/>
    <w:rsid w:val="647F5392"/>
    <w:rsid w:val="6488096B"/>
    <w:rsid w:val="65E66580"/>
    <w:rsid w:val="664B1D71"/>
    <w:rsid w:val="664B4E8E"/>
    <w:rsid w:val="66BA1B5D"/>
    <w:rsid w:val="67044C14"/>
    <w:rsid w:val="67277B67"/>
    <w:rsid w:val="67AA3209"/>
    <w:rsid w:val="69020CEC"/>
    <w:rsid w:val="698D0931"/>
    <w:rsid w:val="6A1E08AF"/>
    <w:rsid w:val="6A7FE5F3"/>
    <w:rsid w:val="6B053271"/>
    <w:rsid w:val="6B2157E5"/>
    <w:rsid w:val="6BDD78B3"/>
    <w:rsid w:val="6C4A05C8"/>
    <w:rsid w:val="6C8742B8"/>
    <w:rsid w:val="6DBF5E93"/>
    <w:rsid w:val="6DFF077E"/>
    <w:rsid w:val="6E714EF0"/>
    <w:rsid w:val="6E7E3605"/>
    <w:rsid w:val="6E7FDCC7"/>
    <w:rsid w:val="6ED6A62E"/>
    <w:rsid w:val="6EDA427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CA5FC9"/>
    <w:rsid w:val="74ED5379"/>
    <w:rsid w:val="75DEEEC2"/>
    <w:rsid w:val="75E32345"/>
    <w:rsid w:val="75EB0D5A"/>
    <w:rsid w:val="76E3355F"/>
    <w:rsid w:val="76FF5125"/>
    <w:rsid w:val="776F6FFA"/>
    <w:rsid w:val="778769C8"/>
    <w:rsid w:val="77A75DCA"/>
    <w:rsid w:val="77DC22F5"/>
    <w:rsid w:val="77F05DF0"/>
    <w:rsid w:val="77FBE2EC"/>
    <w:rsid w:val="783E271A"/>
    <w:rsid w:val="78616DE9"/>
    <w:rsid w:val="78E875D7"/>
    <w:rsid w:val="79086DAD"/>
    <w:rsid w:val="79D7FD79"/>
    <w:rsid w:val="79EE5BA4"/>
    <w:rsid w:val="7A84615B"/>
    <w:rsid w:val="7A894339"/>
    <w:rsid w:val="7AB72310"/>
    <w:rsid w:val="7AD284E8"/>
    <w:rsid w:val="7AFF7572"/>
    <w:rsid w:val="7B6C7DFB"/>
    <w:rsid w:val="7BBFBED0"/>
    <w:rsid w:val="7BC3E394"/>
    <w:rsid w:val="7BF7E3D0"/>
    <w:rsid w:val="7C1F3737"/>
    <w:rsid w:val="7CBFC87B"/>
    <w:rsid w:val="7CFE0F48"/>
    <w:rsid w:val="7D272ABC"/>
    <w:rsid w:val="7D7EC23E"/>
    <w:rsid w:val="7D8629A3"/>
    <w:rsid w:val="7E8ADEBF"/>
    <w:rsid w:val="7EEF11D3"/>
    <w:rsid w:val="7EF553B1"/>
    <w:rsid w:val="7EFE4840"/>
    <w:rsid w:val="7F06E245"/>
    <w:rsid w:val="7F0971A6"/>
    <w:rsid w:val="7F1D62E7"/>
    <w:rsid w:val="7F3F679B"/>
    <w:rsid w:val="7F4FC4EF"/>
    <w:rsid w:val="7F5E4D54"/>
    <w:rsid w:val="7F6DA98D"/>
    <w:rsid w:val="7F6E0135"/>
    <w:rsid w:val="7F79F205"/>
    <w:rsid w:val="7F97CA48"/>
    <w:rsid w:val="7F9ED902"/>
    <w:rsid w:val="7FA30C79"/>
    <w:rsid w:val="7FA79C44"/>
    <w:rsid w:val="7FAF8ABF"/>
    <w:rsid w:val="7FB7269E"/>
    <w:rsid w:val="7FC96657"/>
    <w:rsid w:val="7FDA9588"/>
    <w:rsid w:val="7FDF220F"/>
    <w:rsid w:val="7FEBE30B"/>
    <w:rsid w:val="7FEDC5F7"/>
    <w:rsid w:val="7FEDD9DE"/>
    <w:rsid w:val="7FF5890D"/>
    <w:rsid w:val="7FF93490"/>
    <w:rsid w:val="8F731265"/>
    <w:rsid w:val="99FF2014"/>
    <w:rsid w:val="A6DD0D7F"/>
    <w:rsid w:val="ACFF4FBB"/>
    <w:rsid w:val="ADC6F725"/>
    <w:rsid w:val="B7CF06AB"/>
    <w:rsid w:val="B7CFA926"/>
    <w:rsid w:val="B7ED6DBA"/>
    <w:rsid w:val="B7F8786B"/>
    <w:rsid w:val="B7FFAD2B"/>
    <w:rsid w:val="BABB6AA1"/>
    <w:rsid w:val="BB2F4199"/>
    <w:rsid w:val="BCFFB442"/>
    <w:rsid w:val="BD079C78"/>
    <w:rsid w:val="BD733540"/>
    <w:rsid w:val="BDD79C08"/>
    <w:rsid w:val="BF3735D5"/>
    <w:rsid w:val="BF7F09AC"/>
    <w:rsid w:val="BFB7D518"/>
    <w:rsid w:val="BFD475C3"/>
    <w:rsid w:val="BFDE5EA6"/>
    <w:rsid w:val="CD6F0B01"/>
    <w:rsid w:val="CF6FC6F3"/>
    <w:rsid w:val="CFD3D3D7"/>
    <w:rsid w:val="CFDF1009"/>
    <w:rsid w:val="D7D7B16A"/>
    <w:rsid w:val="D8B5A188"/>
    <w:rsid w:val="D8D6DB89"/>
    <w:rsid w:val="DB6F4CAB"/>
    <w:rsid w:val="DB777682"/>
    <w:rsid w:val="DD1FB521"/>
    <w:rsid w:val="DEFBFEAE"/>
    <w:rsid w:val="DF1F3B80"/>
    <w:rsid w:val="DF6F9789"/>
    <w:rsid w:val="DFBF72DF"/>
    <w:rsid w:val="DFE9BE81"/>
    <w:rsid w:val="DFFFA9E8"/>
    <w:rsid w:val="E5F4E9DC"/>
    <w:rsid w:val="E70FE695"/>
    <w:rsid w:val="EB2E368B"/>
    <w:rsid w:val="ECFED1BC"/>
    <w:rsid w:val="ED1D69BB"/>
    <w:rsid w:val="ED7FD312"/>
    <w:rsid w:val="EDDFAC02"/>
    <w:rsid w:val="EEDAA4A4"/>
    <w:rsid w:val="EF2E1AC6"/>
    <w:rsid w:val="EF53993F"/>
    <w:rsid w:val="EF6FD633"/>
    <w:rsid w:val="EFBFB2F4"/>
    <w:rsid w:val="EFBFFA21"/>
    <w:rsid w:val="EFF7FEF2"/>
    <w:rsid w:val="F2BEBCB8"/>
    <w:rsid w:val="F36FB518"/>
    <w:rsid w:val="F3DE1A04"/>
    <w:rsid w:val="F3F722E5"/>
    <w:rsid w:val="F4FBCD07"/>
    <w:rsid w:val="F9EFD4EA"/>
    <w:rsid w:val="FA54E3BC"/>
    <w:rsid w:val="FA5F1E70"/>
    <w:rsid w:val="FA5FDB97"/>
    <w:rsid w:val="FB4E6FAA"/>
    <w:rsid w:val="FB7F486A"/>
    <w:rsid w:val="FBFF5B2E"/>
    <w:rsid w:val="FCFB1B28"/>
    <w:rsid w:val="FD7FFE2B"/>
    <w:rsid w:val="FDC81DC3"/>
    <w:rsid w:val="FDEE196B"/>
    <w:rsid w:val="FDFE6575"/>
    <w:rsid w:val="FEDFDDC2"/>
    <w:rsid w:val="FEED32F6"/>
    <w:rsid w:val="FEF781DD"/>
    <w:rsid w:val="FF3F7E3F"/>
    <w:rsid w:val="FFBA12D7"/>
    <w:rsid w:val="FFCBD314"/>
    <w:rsid w:val="FFD7B404"/>
    <w:rsid w:val="FFDBB595"/>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manualLayout>
          <c:xMode val="edge"/>
          <c:yMode val="edge"/>
          <c:x val="0.24"/>
          <c:y val="0.0333333333333333"/>
        </c:manualLayout>
      </c:layout>
      <c:overlay val="0"/>
      <c:spPr>
        <a:noFill/>
        <a:ln>
          <a:noFill/>
        </a:ln>
        <a:effectLst/>
      </c:spPr>
    </c:title>
    <c:autoTitleDeleted val="0"/>
    <c:plotArea>
      <c:layout>
        <c:manualLayout>
          <c:layoutTarget val="inner"/>
          <c:xMode val="edge"/>
          <c:yMode val="edge"/>
          <c:x val="0.0958684210526316"/>
          <c:y val="0.22037037037037"/>
          <c:w val="0.900184210526316"/>
          <c:h val="0.63458333333333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[工作簿1]Sheet2!$A$1:$B$2</c:f>
              <c:multiLvlStrCache>
                <c:ptCount val="2"/>
                <c:lvl>
                  <c:pt idx="0">
                    <c:v>2023年</c:v>
                  </c:pt>
                  <c:pt idx="1">
                    <c:v>2024年</c:v>
                  </c:pt>
                </c:lvl>
                <c:lvl>
                  <c:pt idx="0">
                    <c:v>收入、支出决算总计变动情况</c:v>
                  </c:pt>
                </c:lvl>
              </c:multiLvlStrCache>
            </c:multiLvlStrRef>
          </c:cat>
          <c:val>
            <c:numRef>
              <c:f>[工作簿1]Sheet2!$A$3:$B$3</c:f>
              <c:numCache>
                <c:formatCode>General</c:formatCode>
                <c:ptCount val="2"/>
                <c:pt idx="0">
                  <c:v>0</c:v>
                </c:pt>
                <c:pt idx="1">
                  <c:v>110.73</c:v>
                </c:pt>
              </c:numCache>
            </c:numRef>
          </c:val>
        </c:ser>
        <c:dLbls>
          <c:showLegendKey val="0"/>
          <c:showVal val="0"/>
          <c:showCatName val="0"/>
          <c:showSerName val="0"/>
          <c:showPercent val="0"/>
          <c:showBubbleSize val="0"/>
        </c:dLbls>
        <c:gapWidth val="246"/>
        <c:overlap val="-28"/>
        <c:axId val="657385734"/>
        <c:axId val="49993251"/>
      </c:barChart>
      <c:catAx>
        <c:axId val="6573857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93251"/>
        <c:crosses val="autoZero"/>
        <c:auto val="1"/>
        <c:lblAlgn val="ctr"/>
        <c:lblOffset val="100"/>
        <c:noMultiLvlLbl val="0"/>
      </c:catAx>
      <c:valAx>
        <c:axId val="499932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857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一般公共预算财政拨款收入</a:t>
            </a:r>
          </a:p>
        </c:rich>
      </c:tx>
      <c:layout/>
      <c:overlay val="0"/>
      <c:spPr>
        <a:noFill/>
        <a:ln>
          <a:noFill/>
        </a:ln>
        <a:effectLst/>
      </c:spPr>
    </c:title>
    <c:autoTitleDeleted val="0"/>
    <c:plotArea>
      <c:layout>
        <c:manualLayout>
          <c:layoutTarget val="inner"/>
          <c:xMode val="edge"/>
          <c:yMode val="edge"/>
          <c:x val="0.302713833157339"/>
          <c:y val="0.432261072261072"/>
          <c:w val="0.231383315733897"/>
          <c:h val="0.510769230769231"/>
        </c:manualLayout>
      </c:layout>
      <c:pieChart>
        <c:varyColors val="1"/>
        <c:ser>
          <c:idx val="0"/>
          <c:order val="0"/>
          <c:tx>
            <c:strRef>
              <c:f>[工作簿1]Sheet1!$E$3</c:f>
              <c:strCache>
                <c:ptCount val="1"/>
                <c:pt idx="0">
                  <c:v>一般公共预算财政拨款收入1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[工作簿1]Sheet1!$E$4</c:f>
              <c:numCache>
                <c:formatCode>General</c:formatCode>
                <c:ptCount val="1"/>
                <c:pt idx="0">
                  <c:v>110.73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基本支出</a:t>
            </a:r>
          </a:p>
        </c:rich>
      </c:tx>
      <c:layout>
        <c:manualLayout>
          <c:xMode val="edge"/>
          <c:yMode val="edge"/>
          <c:x val="0.403907074973601"/>
          <c:y val="0.00874125874125874"/>
        </c:manualLayout>
      </c:layout>
      <c:overlay val="0"/>
      <c:spPr>
        <a:noFill/>
        <a:ln>
          <a:noFill/>
        </a:ln>
        <a:effectLst/>
      </c:spPr>
    </c:title>
    <c:autoTitleDeleted val="0"/>
    <c:plotArea>
      <c:layout/>
      <c:pieChart>
        <c:varyColors val="1"/>
        <c:ser>
          <c:idx val="0"/>
          <c:order val="0"/>
          <c:tx>
            <c:strRef>
              <c:f>[工作簿1]Sheet1!$E$3</c:f>
              <c:strCache>
                <c:ptCount val="1"/>
                <c:pt idx="0">
                  <c:v>一般公共预算财政拨款收入1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[工作簿1]Sheet1!$E$4</c:f>
              <c:numCache>
                <c:formatCode>General</c:formatCode>
                <c:ptCount val="1"/>
                <c:pt idx="0">
                  <c:v>110.73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manualLayout>
          <c:xMode val="edge"/>
          <c:yMode val="edge"/>
          <c:x val="0.442713833157339"/>
          <c:y val="0.226981351981352"/>
          <c:w val="0.106388595564942"/>
          <c:h val="0.09761072261072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70066518847"/>
          <c:y val="0.00870827285921625"/>
          <c:w val="0.894872505543237"/>
          <c:h val="0.69910014513788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[工作簿1]Sheet2!$A$25:$B$26</c:f>
              <c:multiLvlStrCache>
                <c:ptCount val="2"/>
                <c:lvl>
                  <c:pt idx="0">
                    <c:v>2023年</c:v>
                  </c:pt>
                  <c:pt idx="1">
                    <c:v>2024年</c:v>
                  </c:pt>
                </c:lvl>
                <c:lvl>
                  <c:pt idx="0">
                    <c:v>一般公共预算财政拨款支出决算变动情况</c:v>
                  </c:pt>
                </c:lvl>
              </c:multiLvlStrCache>
            </c:multiLvlStrRef>
          </c:cat>
          <c:val>
            <c:numRef>
              <c:f>[工作簿1]Sheet2!$A$27:$B$27</c:f>
              <c:numCache>
                <c:formatCode>General</c:formatCode>
                <c:ptCount val="2"/>
                <c:pt idx="0">
                  <c:v>0</c:v>
                </c:pt>
                <c:pt idx="1">
                  <c:v>110.73</c:v>
                </c:pt>
              </c:numCache>
            </c:numRef>
          </c:val>
        </c:ser>
        <c:dLbls>
          <c:showLegendKey val="0"/>
          <c:showVal val="1"/>
          <c:showCatName val="0"/>
          <c:showSerName val="0"/>
          <c:showPercent val="0"/>
          <c:showBubbleSize val="0"/>
        </c:dLbls>
        <c:gapWidth val="246"/>
        <c:overlap val="-28"/>
        <c:axId val="844818185"/>
        <c:axId val="157046466"/>
      </c:barChart>
      <c:catAx>
        <c:axId val="8448181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046466"/>
        <c:crosses val="autoZero"/>
        <c:auto val="1"/>
        <c:lblAlgn val="ctr"/>
        <c:lblOffset val="100"/>
        <c:noMultiLvlLbl val="0"/>
      </c:catAx>
      <c:valAx>
        <c:axId val="1570464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8181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[工作簿1]Sheet2!$A$25:$B$26</c:f>
              <c:multiLvlStrCache>
                <c:ptCount val="2"/>
                <c:lvl>
                  <c:pt idx="0">
                    <c:v>2023年</c:v>
                  </c:pt>
                  <c:pt idx="1">
                    <c:v>2024年</c:v>
                  </c:pt>
                </c:lvl>
                <c:lvl>
                  <c:pt idx="0">
                    <c:v>财政拨款收、支决算总计变动情况</c:v>
                  </c:pt>
                </c:lvl>
              </c:multiLvlStrCache>
            </c:multiLvlStrRef>
          </c:cat>
          <c:val>
            <c:numRef>
              <c:f>[工作簿1]Sheet2!$A$27:$B$27</c:f>
              <c:numCache>
                <c:formatCode>General</c:formatCode>
                <c:ptCount val="2"/>
                <c:pt idx="0">
                  <c:v>0</c:v>
                </c:pt>
                <c:pt idx="1">
                  <c:v>110.73</c:v>
                </c:pt>
              </c:numCache>
            </c:numRef>
          </c:val>
        </c:ser>
        <c:dLbls>
          <c:showLegendKey val="0"/>
          <c:showVal val="1"/>
          <c:showCatName val="0"/>
          <c:showSerName val="0"/>
          <c:showPercent val="0"/>
          <c:showBubbleSize val="0"/>
        </c:dLbls>
        <c:gapWidth val="246"/>
        <c:overlap val="-28"/>
        <c:axId val="844818185"/>
        <c:axId val="157046466"/>
      </c:barChart>
      <c:catAx>
        <c:axId val="8448181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046466"/>
        <c:crosses val="autoZero"/>
        <c:auto val="1"/>
        <c:lblAlgn val="ctr"/>
        <c:lblOffset val="100"/>
        <c:noMultiLvlLbl val="0"/>
      </c:catAx>
      <c:valAx>
        <c:axId val="1570464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8181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一般公共预算拨款支出决算</a:t>
            </a:r>
          </a:p>
        </c:rich>
      </c:tx>
      <c:layout>
        <c:manualLayout>
          <c:xMode val="edge"/>
          <c:yMode val="edge"/>
          <c:x val="0.258947368421053"/>
          <c:y val="0.038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[工作簿1]Sheet1!$B$19:$E$19</c:f>
              <c:strCache>
                <c:ptCount val="4"/>
                <c:pt idx="0">
                  <c:v>一般公共服务支出</c:v>
                </c:pt>
                <c:pt idx="1">
                  <c:v>社会保障和就业支出</c:v>
                </c:pt>
                <c:pt idx="2">
                  <c:v>卫生健康支出</c:v>
                </c:pt>
                <c:pt idx="3">
                  <c:v>住房保障支出</c:v>
                </c:pt>
              </c:strCache>
            </c:strRef>
          </c:cat>
          <c:val>
            <c:numRef>
              <c:f>[工作簿1]Sheet1!$B$20:$E$20</c:f>
              <c:numCache>
                <c:formatCode>General</c:formatCode>
                <c:ptCount val="4"/>
                <c:pt idx="0">
                  <c:v>87.32</c:v>
                </c:pt>
                <c:pt idx="1">
                  <c:v>11.79</c:v>
                </c:pt>
                <c:pt idx="2">
                  <c:v>4.72</c:v>
                </c:pt>
                <c:pt idx="3">
                  <c:v>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9741</Words>
  <Characters>10455</Characters>
  <Lines>60</Lines>
  <Paragraphs>17</Paragraphs>
  <TotalTime>1</TotalTime>
  <ScaleCrop>false</ScaleCrop>
  <LinksUpToDate>false</LinksUpToDate>
  <CharactersWithSpaces>10810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huawei</cp:lastModifiedBy>
  <cp:lastPrinted>2025-09-11T08:51:00Z</cp:lastPrinted>
  <dcterms:modified xsi:type="dcterms:W3CDTF">2025-09-11T17:24:21Z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04787F2533EB45DC91BCDE4AB213247F</vt:lpwstr>
  </property>
  <property fmtid="{D5CDD505-2E9C-101B-9397-08002B2CF9AE}" pid="4" name="KSOTemplateDocerSaveRecord">
    <vt:lpwstr>eyJoZGlkIjoiY2JkMTJjNjEzOTk3MDNhM2EyZjVlM2M5NDM4MGQzMDAiLCJ1c2VySWQiOiIzMDA5Njk0NTEifQ==</vt:lpwstr>
  </property>
</Properties>
</file>