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bookmarkStart w:id="0" w:name="_Toc15378441"/>
      <w:bookmarkStart w:id="1" w:name="_Toc15396475"/>
      <w:bookmarkStart w:id="2" w:name="_Toc15377193"/>
      <w:bookmarkStart w:id="3" w:name="_Toc15396597"/>
      <w:bookmarkStart w:id="4" w:name="_Toc15377425"/>
      <w:bookmarkStart w:id="5" w:name="_Toc15306267"/>
    </w:p>
    <w:p>
      <w:pPr>
        <w:pStyle w:val="5"/>
        <w:pageBreakBefore w:val="0"/>
        <w:kinsoku/>
        <w:wordWrap/>
        <w:overflowPunct/>
        <w:topLinePunct w:val="0"/>
        <w:autoSpaceDE/>
        <w:autoSpaceDN/>
        <w:bidi w:val="0"/>
        <w:spacing w:before="93" w:line="560" w:lineRule="exact"/>
        <w:jc w:val="center"/>
        <w:textAlignment w:val="auto"/>
        <w:rPr>
          <w:rFonts w:hint="default" w:ascii="Times New Roman" w:hAnsi="Times New Roman" w:eastAsia="方正小标宋简体" w:cs="Times New Roman"/>
          <w:kern w:val="2"/>
          <w:sz w:val="44"/>
          <w:szCs w:val="44"/>
        </w:rPr>
      </w:pPr>
    </w:p>
    <w:p>
      <w:pPr>
        <w:pStyle w:val="5"/>
        <w:pageBreakBefore w:val="0"/>
        <w:kinsoku/>
        <w:wordWrap/>
        <w:overflowPunct/>
        <w:topLinePunct w:val="0"/>
        <w:autoSpaceDE/>
        <w:autoSpaceDN/>
        <w:bidi w:val="0"/>
        <w:spacing w:before="93" w:line="560" w:lineRule="exact"/>
        <w:jc w:val="center"/>
        <w:textAlignment w:val="auto"/>
        <w:rPr>
          <w:rFonts w:hint="default" w:ascii="Times New Roman" w:hAnsi="Times New Roman" w:eastAsia="方正小标宋简体" w:cs="Times New Roman"/>
          <w:kern w:val="2"/>
          <w:sz w:val="44"/>
          <w:szCs w:val="44"/>
        </w:rPr>
      </w:pPr>
    </w:p>
    <w:p>
      <w:pPr>
        <w:pStyle w:val="5"/>
        <w:pageBreakBefore w:val="0"/>
        <w:kinsoku/>
        <w:wordWrap/>
        <w:overflowPunct/>
        <w:topLinePunct w:val="0"/>
        <w:autoSpaceDE/>
        <w:autoSpaceDN/>
        <w:bidi w:val="0"/>
        <w:spacing w:before="93" w:line="560" w:lineRule="exact"/>
        <w:jc w:val="center"/>
        <w:textAlignment w:val="auto"/>
        <w:rPr>
          <w:rFonts w:hint="default" w:ascii="Times New Roman" w:hAnsi="Times New Roman" w:eastAsia="方正小标宋简体" w:cs="Times New Roman"/>
          <w:kern w:val="2"/>
          <w:sz w:val="44"/>
          <w:szCs w:val="44"/>
        </w:rPr>
      </w:pPr>
    </w:p>
    <w:p>
      <w:pPr>
        <w:pStyle w:val="5"/>
        <w:pageBreakBefore w:val="0"/>
        <w:kinsoku/>
        <w:wordWrap/>
        <w:overflowPunct/>
        <w:topLinePunct w:val="0"/>
        <w:autoSpaceDE/>
        <w:autoSpaceDN/>
        <w:bidi w:val="0"/>
        <w:spacing w:before="93" w:line="560" w:lineRule="exact"/>
        <w:jc w:val="center"/>
        <w:textAlignment w:val="auto"/>
        <w:rPr>
          <w:rFonts w:hint="default" w:ascii="Times New Roman" w:hAnsi="Times New Roman" w:eastAsia="方正小标宋简体" w:cs="Times New Roman"/>
          <w:kern w:val="2"/>
          <w:sz w:val="44"/>
          <w:szCs w:val="44"/>
        </w:rPr>
      </w:pPr>
    </w:p>
    <w:bookmarkEnd w:id="0"/>
    <w:bookmarkEnd w:id="1"/>
    <w:bookmarkEnd w:id="2"/>
    <w:bookmarkEnd w:id="3"/>
    <w:bookmarkEnd w:id="4"/>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lang w:val="en-US" w:eastAsia="zh-CN"/>
        </w:rPr>
      </w:pPr>
      <w:bookmarkStart w:id="6" w:name="_Toc15396476"/>
      <w:bookmarkStart w:id="7" w:name="_Toc15377426"/>
      <w:bookmarkStart w:id="8" w:name="_Toc15396598"/>
      <w:bookmarkStart w:id="9" w:name="_Toc15378442"/>
      <w:bookmarkStart w:id="10" w:name="_Toc15377194"/>
      <w:r>
        <w:rPr>
          <w:rFonts w:hint="default" w:ascii="Times New Roman" w:hAnsi="Times New Roman" w:eastAsia="黑体" w:cs="Times New Roman"/>
          <w:sz w:val="44"/>
          <w:szCs w:val="44"/>
          <w:lang w:val="en-US" w:eastAsia="zh-CN"/>
        </w:rPr>
        <w:t>2024年度</w:t>
      </w:r>
      <w:bookmarkEnd w:id="5"/>
      <w:bookmarkStart w:id="11" w:name="_Toc15306268"/>
      <w:r>
        <w:rPr>
          <w:rFonts w:hint="default" w:ascii="Times New Roman" w:hAnsi="Times New Roman" w:eastAsia="黑体" w:cs="Times New Roman"/>
          <w:sz w:val="44"/>
          <w:szCs w:val="44"/>
          <w:lang w:val="en-US" w:eastAsia="zh-CN"/>
        </w:rPr>
        <w:t>中共阿坝州委社会工作部门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lang w:val="en-US" w:eastAsia="zh-CN"/>
        </w:rPr>
      </w:pPr>
      <w:r>
        <w:rPr>
          <w:rFonts w:hint="eastAsia" w:eastAsia="黑体" w:cs="Times New Roman"/>
          <w:sz w:val="44"/>
          <w:szCs w:val="44"/>
          <w:lang w:val="en-US" w:eastAsia="zh-CN"/>
        </w:rPr>
        <w:t>（本级）</w:t>
      </w:r>
      <w:r>
        <w:rPr>
          <w:rFonts w:hint="default" w:ascii="Times New Roman" w:hAnsi="Times New Roman" w:eastAsia="黑体" w:cs="Times New Roman"/>
          <w:sz w:val="44"/>
          <w:szCs w:val="44"/>
          <w:lang w:val="en-US" w:eastAsia="zh-CN"/>
        </w:rPr>
        <w:t>决算</w:t>
      </w:r>
      <w:bookmarkEnd w:id="6"/>
      <w:bookmarkEnd w:id="7"/>
      <w:bookmarkEnd w:id="8"/>
      <w:bookmarkEnd w:id="9"/>
      <w:bookmarkEnd w:id="10"/>
      <w:bookmarkEnd w:id="11"/>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Style w:val="2"/>
        <w:pageBreakBefore w:val="0"/>
        <w:kinsoku/>
        <w:wordWrap/>
        <w:overflowPunct/>
        <w:topLinePunct w:val="0"/>
        <w:autoSpaceDE/>
        <w:autoSpaceDN/>
        <w:bidi w:val="0"/>
        <w:spacing w:line="560" w:lineRule="exact"/>
        <w:rPr>
          <w:rFonts w:hint="default"/>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both"/>
        <w:textAlignment w:val="auto"/>
        <w:rPr>
          <w:rFonts w:hint="default" w:ascii="Times New Roman" w:hAnsi="Times New Roman" w:eastAsia="黑体" w:cs="Times New Roman"/>
          <w:sz w:val="48"/>
          <w:szCs w:val="48"/>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黑体" w:cs="Times New Roman"/>
          <w:sz w:val="28"/>
          <w:szCs w:val="28"/>
        </w:rPr>
      </w:pPr>
    </w:p>
    <w:p>
      <w:pPr>
        <w:pStyle w:val="1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公开时间：2024年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 xml:space="preserve"> 日</w:t>
      </w:r>
    </w:p>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pStyle w:val="10"/>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第一部分 部门概况</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4</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一、部门职责</w:t>
      </w:r>
      <w:r>
        <w:rPr>
          <w:rFonts w:hint="eastAsia" w:eastAsia="仿宋_GB2312" w:cs="Times New Roman"/>
          <w:sz w:val="32"/>
          <w:szCs w:val="32"/>
          <w:lang w:val="en-US" w:eastAsia="zh-CN"/>
        </w:rPr>
        <w:tab/>
      </w:r>
      <w:r>
        <w:rPr>
          <w:rFonts w:hint="eastAsia" w:eastAsia="仿宋_GB2312" w:cs="Times New Roman"/>
          <w:sz w:val="32"/>
          <w:szCs w:val="32"/>
          <w:lang w:val="en-US" w:eastAsia="zh-CN"/>
        </w:rPr>
        <w:t>4</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二、机构设置</w:t>
      </w:r>
      <w:r>
        <w:rPr>
          <w:rFonts w:hint="eastAsia" w:eastAsia="仿宋_GB2312" w:cs="Times New Roman"/>
          <w:sz w:val="32"/>
          <w:szCs w:val="32"/>
          <w:lang w:val="en-US" w:eastAsia="zh-CN"/>
        </w:rPr>
        <w:tab/>
      </w:r>
      <w:r>
        <w:rPr>
          <w:rFonts w:hint="eastAsia" w:eastAsia="仿宋_GB2312" w:cs="Times New Roman"/>
          <w:sz w:val="32"/>
          <w:szCs w:val="32"/>
          <w:lang w:val="en-US" w:eastAsia="zh-CN"/>
        </w:rPr>
        <w:t>4</w:t>
      </w:r>
    </w:p>
    <w:p>
      <w:pPr>
        <w:pStyle w:val="10"/>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第二部分 2024年度部门决算情况说明</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5</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一、收入支出决算总体情况说明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5</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5</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6</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四、财政拨款收入支出决算总体情况说明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6</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五、一般公共预算财政拨款支出决算情况说明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7</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六、一般公共预算财政拨款基本支出决算情况说明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8</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七、财政拨款“三公”经费支出决算情况说明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8</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八、政府性基金预算支出决算情况说明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9</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九、国有资本经营预算支出决算情况说明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9</w:t>
      </w:r>
    </w:p>
    <w:p>
      <w:pPr>
        <w:pStyle w:val="11"/>
        <w:keepNext w:val="0"/>
        <w:keepLines w:val="0"/>
        <w:pageBreakBefore w:val="0"/>
        <w:widowControl w:val="0"/>
        <w:tabs>
          <w:tab w:val="right" w:leader="middle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十、其他重要事项的情况说明</w:t>
      </w:r>
      <w:r>
        <w:rPr>
          <w:rFonts w:hint="eastAsia" w:eastAsia="仿宋_GB2312" w:cs="Times New Roman"/>
          <w:sz w:val="32"/>
          <w:szCs w:val="32"/>
          <w:lang w:val="en-US" w:eastAsia="zh-CN"/>
        </w:rPr>
        <w:tab/>
      </w:r>
      <w:r>
        <w:rPr>
          <w:rFonts w:hint="eastAsia" w:eastAsia="仿宋_GB2312" w:cs="Times New Roman"/>
          <w:sz w:val="32"/>
          <w:szCs w:val="32"/>
          <w:lang w:val="en-US" w:eastAsia="zh-CN"/>
        </w:rPr>
        <w:t>9</w:t>
      </w:r>
    </w:p>
    <w:p>
      <w:pPr>
        <w:pStyle w:val="10"/>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第三部分 名词解释</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11</w:t>
      </w:r>
    </w:p>
    <w:p>
      <w:pPr>
        <w:pStyle w:val="10"/>
        <w:keepNext w:val="0"/>
        <w:keepLines w:val="0"/>
        <w:pageBreakBefore w:val="0"/>
        <w:widowControl w:val="0"/>
        <w:tabs>
          <w:tab w:val="right" w:leader="middle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第四部分 附件</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13</w:t>
      </w:r>
    </w:p>
    <w:p>
      <w:pPr>
        <w:pStyle w:val="10"/>
        <w:keepNext w:val="0"/>
        <w:keepLines w:val="0"/>
        <w:pageBreakBefore w:val="0"/>
        <w:widowControl w:val="0"/>
        <w:tabs>
          <w:tab w:val="right" w:leader="dot" w:pos="6405"/>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第五部分 附</w:t>
      </w:r>
      <w:r>
        <w:rPr>
          <w:rFonts w:hint="eastAsia" w:ascii="Times New Roman" w:hAnsi="Times New Roman" w:eastAsia="黑体" w:cs="Times New Roman"/>
          <w:sz w:val="32"/>
          <w:szCs w:val="32"/>
          <w:lang w:eastAsia="zh-CN"/>
        </w:rPr>
        <w:t>表</w:t>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ab/>
      </w:r>
      <w:r>
        <w:rPr>
          <w:rFonts w:hint="eastAsia" w:ascii="Times New Roman" w:hAnsi="Times New Roman" w:eastAsia="黑体" w:cs="Times New Roman"/>
          <w:sz w:val="32"/>
          <w:szCs w:val="32"/>
          <w:lang w:val="en-US" w:eastAsia="zh-CN"/>
        </w:rPr>
        <w:t>19</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八、一般公共预算财政拨款基本支出决算明细表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十、政府性基金预算财政拨款收入支出决算表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十一、国有资本经营预算财政拨款收入支出决算表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十二、国有资本经营预算财政拨款支出决算表</w:t>
      </w:r>
    </w:p>
    <w:p>
      <w:pPr>
        <w:pStyle w:val="11"/>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十三、财政拨款“三公”经费支出决算表</w:t>
      </w:r>
    </w:p>
    <w:p>
      <w:pPr>
        <w:pStyle w:val="11"/>
        <w:pageBreakBefore w:val="0"/>
        <w:kinsoku/>
        <w:wordWrap/>
        <w:overflowPunct/>
        <w:topLinePunct w:val="0"/>
        <w:autoSpaceDE/>
        <w:autoSpaceDN/>
        <w:bidi w:val="0"/>
        <w:adjustRightInd w:val="0"/>
        <w:snapToGrid w:val="0"/>
        <w:spacing w:line="560" w:lineRule="exact"/>
        <w:ind w:left="0" w:leftChars="0" w:firstLine="642" w:firstLineChars="200"/>
        <w:jc w:val="left"/>
        <w:textAlignment w:val="auto"/>
        <w:rPr>
          <w:rFonts w:hint="default" w:ascii="Times New Roman" w:hAnsi="Times New Roman" w:eastAsia="仿宋_GB2312" w:cs="Times New Roman"/>
          <w:b/>
          <w:bCs/>
          <w:sz w:val="32"/>
          <w:szCs w:val="32"/>
        </w:rPr>
      </w:pPr>
    </w:p>
    <w:p>
      <w:pPr>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kern w:val="44"/>
          <w:sz w:val="32"/>
          <w:szCs w:val="32"/>
        </w:rPr>
      </w:pPr>
      <w:bookmarkStart w:id="12" w:name="_Toc15396599"/>
      <w:bookmarkStart w:id="13" w:name="_Toc15377196"/>
      <w:r>
        <w:rPr>
          <w:rFonts w:hint="default" w:ascii="Times New Roman" w:hAnsi="Times New Roman" w:eastAsia="仿宋_GB2312" w:cs="Times New Roman"/>
          <w:b/>
          <w:sz w:val="32"/>
          <w:szCs w:val="32"/>
        </w:rPr>
        <w:br w:type="page"/>
      </w: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部门概况</w:t>
      </w:r>
      <w:bookmarkEnd w:id="12"/>
      <w:bookmarkEnd w:id="13"/>
    </w:p>
    <w:p>
      <w:pPr>
        <w:pageBreakBefore w:val="0"/>
        <w:widowControl/>
        <w:kinsoku/>
        <w:wordWrap/>
        <w:overflowPunct/>
        <w:topLinePunct w:val="0"/>
        <w:autoSpaceDE/>
        <w:autoSpaceDN/>
        <w:bidi w:val="0"/>
        <w:spacing w:line="560" w:lineRule="exact"/>
        <w:jc w:val="left"/>
        <w:textAlignment w:val="auto"/>
        <w:rPr>
          <w:rFonts w:hint="default" w:ascii="Times New Roman" w:hAnsi="Times New Roman" w:eastAsia="黑体" w:cs="Times New Roman"/>
          <w:sz w:val="32"/>
          <w:szCs w:val="32"/>
        </w:rPr>
      </w:pPr>
    </w:p>
    <w:p>
      <w:pPr>
        <w:pStyle w:val="4"/>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rPr>
      </w:pPr>
      <w:r>
        <w:rPr>
          <w:rFonts w:hint="default" w:ascii="Times New Roman" w:hAnsi="Times New Roman" w:eastAsia="黑体" w:cs="Times New Roman"/>
          <w:b w:val="0"/>
          <w:lang w:val="en-US" w:eastAsia="zh-CN"/>
        </w:rPr>
        <w:t>一、</w:t>
      </w:r>
      <w:r>
        <w:rPr>
          <w:rFonts w:hint="default" w:ascii="Times New Roman" w:hAnsi="Times New Roman" w:eastAsia="黑体" w:cs="Times New Roman"/>
          <w:b w:val="0"/>
        </w:rPr>
        <w:t>部门职责</w:t>
      </w:r>
    </w:p>
    <w:p>
      <w:pPr>
        <w:pStyle w:val="4"/>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rPr>
      </w:pPr>
      <w:r>
        <w:rPr>
          <w:rFonts w:hint="eastAsia" w:ascii="Times New Roman" w:hAnsi="Times New Roman" w:eastAsia="仿宋_GB2312" w:cs="Times New Roman"/>
          <w:b w:val="0"/>
          <w:bCs w:val="0"/>
          <w:kern w:val="2"/>
          <w:sz w:val="32"/>
          <w:szCs w:val="32"/>
          <w:lang w:val="en-US" w:eastAsia="zh-CN" w:bidi="ar-SA"/>
        </w:rPr>
        <w:t>中共阿坝</w:t>
      </w:r>
      <w:r>
        <w:rPr>
          <w:rFonts w:hint="default" w:ascii="Times New Roman" w:hAnsi="Times New Roman" w:eastAsia="仿宋_GB2312" w:cs="Times New Roman"/>
          <w:b w:val="0"/>
          <w:bCs w:val="0"/>
          <w:kern w:val="2"/>
          <w:sz w:val="32"/>
          <w:szCs w:val="32"/>
          <w:lang w:val="en-US" w:eastAsia="zh-CN" w:bidi="ar-SA"/>
        </w:rPr>
        <w:t>州委社会工作部主要职责是负责统筹指导人民信访工作、人民建议征集工作，统筹推进党建引领基层治理和基层政权建设，健全和落实党建引领基层治理领导体制和工作机制，统一领导全州行业协会商会党的工作，协调推动行业协会商会深化改革和转型发展，指导混合所有制企业、非公有制企业和新经济组织、新社会组织、新就业群体党建工作，指导社会工作人才队伍建设，负责志愿服务等工作。</w:t>
      </w:r>
    </w:p>
    <w:p>
      <w:pPr>
        <w:pStyle w:val="4"/>
        <w:pageBreakBefore w:val="0"/>
        <w:kinsoku/>
        <w:wordWrap/>
        <w:overflowPunct/>
        <w:topLinePunct w:val="0"/>
        <w:autoSpaceDE/>
        <w:autoSpaceDN/>
        <w:bidi w:val="0"/>
        <w:spacing w:line="560" w:lineRule="exact"/>
        <w:ind w:firstLine="640" w:firstLineChars="200"/>
        <w:textAlignment w:val="auto"/>
        <w:rPr>
          <w:rStyle w:val="15"/>
          <w:rFonts w:hint="default" w:ascii="Times New Roman" w:hAnsi="Times New Roman" w:cs="Times New Roman"/>
          <w:b w:val="0"/>
          <w:bCs w:val="0"/>
        </w:rPr>
      </w:pPr>
      <w:bookmarkStart w:id="14" w:name="_Toc15377200"/>
      <w:bookmarkStart w:id="15" w:name="_Toc15396601"/>
      <w:r>
        <w:rPr>
          <w:rFonts w:hint="default" w:ascii="Times New Roman" w:hAnsi="Times New Roman" w:eastAsia="黑体" w:cs="Times New Roman"/>
          <w:b w:val="0"/>
        </w:rPr>
        <w:t>二、机</w:t>
      </w:r>
      <w:r>
        <w:rPr>
          <w:rStyle w:val="15"/>
          <w:rFonts w:hint="default" w:ascii="Times New Roman" w:hAnsi="Times New Roman" w:eastAsia="黑体" w:cs="Times New Roman"/>
          <w:b w:val="0"/>
          <w:bCs w:val="0"/>
        </w:rPr>
        <w:t>构设置</w:t>
      </w:r>
      <w:bookmarkEnd w:id="14"/>
      <w:bookmarkEnd w:id="15"/>
    </w:p>
    <w:p>
      <w:pPr>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中共阿坝州委社会工作部部门下属行政单位</w:t>
      </w:r>
      <w:r>
        <w:rPr>
          <w:rFonts w:hint="eastAsia" w:ascii="Times New Roman" w:hAnsi="Times New Roman" w:eastAsia="仿宋_GB2312" w:cs="Times New Roman"/>
          <w:b w:val="0"/>
          <w:bCs w:val="0"/>
          <w:kern w:val="2"/>
          <w:sz w:val="32"/>
          <w:szCs w:val="32"/>
          <w:lang w:val="en-US" w:eastAsia="zh-CN" w:bidi="ar-SA"/>
        </w:rPr>
        <w:t>。</w:t>
      </w: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bookmarkStart w:id="16" w:name="_Toc15377204"/>
      <w:bookmarkStart w:id="17" w:name="_Toc15396602"/>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p>
    <w:p>
      <w:pPr>
        <w:pStyle w:val="14"/>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2024年度部门决算情况说明</w:t>
      </w:r>
      <w:bookmarkEnd w:id="16"/>
      <w:bookmarkEnd w:id="17"/>
    </w:p>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pStyle w:val="14"/>
        <w:pageBreakBefore w:val="0"/>
        <w:kinsoku/>
        <w:wordWrap/>
        <w:overflowPunct/>
        <w:topLinePunct w:val="0"/>
        <w:autoSpaceDE/>
        <w:autoSpaceDN/>
        <w:bidi w:val="0"/>
        <w:spacing w:line="560" w:lineRule="exact"/>
        <w:ind w:firstLine="640"/>
        <w:textAlignment w:val="auto"/>
        <w:outlineLvl w:val="1"/>
        <w:rPr>
          <w:rStyle w:val="15"/>
          <w:rFonts w:hint="default" w:ascii="Times New Roman" w:hAnsi="Times New Roman" w:eastAsia="黑体" w:cs="Times New Roman"/>
          <w:b w:val="0"/>
        </w:rPr>
      </w:pPr>
      <w:bookmarkStart w:id="18" w:name="_Toc15396603"/>
      <w:bookmarkStart w:id="19" w:name="_Toc15377205"/>
      <w:r>
        <w:rPr>
          <w:rFonts w:hint="default" w:ascii="Times New Roman" w:hAnsi="Times New Roman" w:eastAsia="黑体" w:cs="Times New Roman"/>
          <w:sz w:val="32"/>
          <w:szCs w:val="32"/>
        </w:rPr>
        <w:t>一、收</w:t>
      </w:r>
      <w:r>
        <w:rPr>
          <w:rStyle w:val="15"/>
          <w:rFonts w:hint="default" w:ascii="Times New Roman" w:hAnsi="Times New Roman" w:eastAsia="黑体" w:cs="Times New Roman"/>
          <w:b w:val="0"/>
        </w:rPr>
        <w:t>入支出决算总体情况说明</w:t>
      </w:r>
      <w:bookmarkEnd w:id="18"/>
      <w:bookmarkEnd w:id="19"/>
    </w:p>
    <w:p>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2024年度支出总计为</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w:t>
      </w:r>
      <w:bookmarkStart w:id="20" w:name="_Toc15377206"/>
      <w:bookmarkStart w:id="21" w:name="_Toc15396604"/>
      <w:r>
        <w:rPr>
          <w:rFonts w:hint="default" w:ascii="Times New Roman" w:hAnsi="Times New Roman" w:eastAsia="仿宋_GB2312" w:cs="Times New Roman"/>
          <w:sz w:val="32"/>
          <w:szCs w:val="32"/>
        </w:rPr>
        <w:t>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年度相比，收入、支出总计各增加</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万元。主要变动原因是我部为2024年新组建成立部门，202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年度无收入支出预算。</w:t>
      </w:r>
    </w:p>
    <w:p>
      <w:pPr>
        <w:pStyle w:val="14"/>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drawing>
          <wp:anchor distT="0" distB="0" distL="114300" distR="114300" simplePos="0" relativeHeight="251663360" behindDoc="1" locked="0" layoutInCell="1" allowOverlap="1">
            <wp:simplePos x="0" y="0"/>
            <wp:positionH relativeFrom="column">
              <wp:posOffset>242570</wp:posOffset>
            </wp:positionH>
            <wp:positionV relativeFrom="paragraph">
              <wp:posOffset>146050</wp:posOffset>
            </wp:positionV>
            <wp:extent cx="4429125" cy="2184400"/>
            <wp:effectExtent l="4445" t="4445" r="62230" b="40005"/>
            <wp:wrapTight wrapText="bothSides">
              <wp:wrapPolygon>
                <wp:start x="-22" y="-44"/>
                <wp:lineTo x="-22" y="21430"/>
                <wp:lineTo x="21532" y="21430"/>
                <wp:lineTo x="21532" y="-44"/>
                <wp:lineTo x="-22" y="-44"/>
              </wp:wrapPolygon>
            </wp:wrapTight>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14"/>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pStyle w:val="14"/>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pStyle w:val="14"/>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pStyle w:val="14"/>
        <w:pageBreakBefore w:val="0"/>
        <w:kinsoku/>
        <w:wordWrap/>
        <w:overflowPunct/>
        <w:topLinePunct w:val="0"/>
        <w:autoSpaceDE/>
        <w:autoSpaceDN/>
        <w:bidi w:val="0"/>
        <w:spacing w:line="560" w:lineRule="exact"/>
        <w:ind w:firstLine="640"/>
        <w:jc w:val="center"/>
        <w:textAlignment w:val="auto"/>
        <w:outlineLvl w:val="1"/>
        <w:rPr>
          <w:rFonts w:hint="default" w:ascii="Times New Roman" w:hAnsi="Times New Roman" w:eastAsia="宋体" w:cs="Times New Roman"/>
          <w:sz w:val="32"/>
          <w:szCs w:val="32"/>
          <w:lang w:eastAsia="zh-CN"/>
        </w:rPr>
      </w:pPr>
      <w:r>
        <w:rPr>
          <w:rFonts w:hint="default" w:ascii="Times New Roman" w:hAnsi="Times New Roman" w:eastAsia="宋体" w:cs="Times New Roman"/>
          <w:sz w:val="24"/>
          <w:szCs w:val="24"/>
        </w:rPr>
        <w:t>（图1：收入、支出决算总计变动情况图</w:t>
      </w:r>
      <w:r>
        <w:rPr>
          <w:rFonts w:hint="default" w:ascii="Times New Roman" w:hAnsi="Times New Roman" w:cs="Times New Roman"/>
          <w:sz w:val="24"/>
          <w:szCs w:val="24"/>
          <w:lang w:eastAsia="zh-CN"/>
        </w:rPr>
        <w:t>）</w:t>
      </w:r>
    </w:p>
    <w:p>
      <w:pPr>
        <w:pStyle w:val="14"/>
        <w:pageBreakBefore w:val="0"/>
        <w:kinsoku/>
        <w:wordWrap/>
        <w:overflowPunct/>
        <w:topLinePunct w:val="0"/>
        <w:autoSpaceDE/>
        <w:autoSpaceDN/>
        <w:bidi w:val="0"/>
        <w:spacing w:line="560" w:lineRule="exact"/>
        <w:ind w:firstLine="64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二、收入决算情况说明</w:t>
      </w:r>
      <w:bookmarkEnd w:id="20"/>
      <w:bookmarkEnd w:id="21"/>
    </w:p>
    <w:p>
      <w:pPr>
        <w:pStyle w:val="14"/>
        <w:pageBreakBefore w:val="0"/>
        <w:kinsoku/>
        <w:wordWrap/>
        <w:overflowPunct/>
        <w:topLinePunct w:val="0"/>
        <w:autoSpaceDE/>
        <w:autoSpaceDN/>
        <w:bidi w:val="0"/>
        <w:spacing w:line="560" w:lineRule="exact"/>
        <w:ind w:firstLine="64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万元，其中：一般公共预算财政拨款收入</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525" w:firstLineChars="250"/>
        <w:textAlignment w:val="auto"/>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3810</wp:posOffset>
            </wp:positionH>
            <wp:positionV relativeFrom="paragraph">
              <wp:posOffset>32385</wp:posOffset>
            </wp:positionV>
            <wp:extent cx="4773295" cy="2046605"/>
            <wp:effectExtent l="4445" t="4445" r="22860" b="635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Style w:val="14"/>
        <w:pageBreakBefore w:val="0"/>
        <w:kinsoku/>
        <w:wordWrap/>
        <w:overflowPunct/>
        <w:topLinePunct w:val="0"/>
        <w:autoSpaceDE/>
        <w:autoSpaceDN/>
        <w:bidi w:val="0"/>
        <w:spacing w:line="560" w:lineRule="exact"/>
        <w:ind w:left="0" w:leftChars="0" w:firstLine="0" w:firstLineChars="0"/>
        <w:jc w:val="center"/>
        <w:textAlignment w:val="auto"/>
        <w:outlineLvl w:val="1"/>
        <w:rPr>
          <w:rFonts w:hint="default" w:ascii="Times New Roman" w:hAnsi="Times New Roman" w:eastAsia="宋体" w:cs="Times New Roman"/>
          <w:sz w:val="32"/>
          <w:szCs w:val="32"/>
          <w:lang w:val="en-US" w:eastAsia="zh-CN"/>
        </w:rPr>
      </w:pPr>
      <w:bookmarkStart w:id="22" w:name="_Toc15377207"/>
      <w:bookmarkStart w:id="23" w:name="_Toc15396605"/>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图2：收入决算结构图</w:t>
      </w:r>
      <w:r>
        <w:rPr>
          <w:rFonts w:hint="default" w:ascii="Times New Roman" w:hAnsi="Times New Roman" w:cs="Times New Roman"/>
          <w:sz w:val="24"/>
          <w:szCs w:val="24"/>
          <w:lang w:eastAsia="zh-CN"/>
        </w:rPr>
        <w:t>）</w:t>
      </w:r>
    </w:p>
    <w:p>
      <w:pPr>
        <w:pStyle w:val="14"/>
        <w:pageBreakBefore w:val="0"/>
        <w:kinsoku/>
        <w:wordWrap/>
        <w:overflowPunct/>
        <w:topLinePunct w:val="0"/>
        <w:autoSpaceDE/>
        <w:autoSpaceDN/>
        <w:bidi w:val="0"/>
        <w:spacing w:line="560" w:lineRule="exact"/>
        <w:ind w:left="638" w:leftChars="304" w:firstLine="0" w:firstLineChars="0"/>
        <w:textAlignment w:val="auto"/>
        <w:outlineLvl w:val="1"/>
        <w:rPr>
          <w:rStyle w:val="15"/>
          <w:rFonts w:hint="default" w:ascii="Times New Roman" w:hAnsi="Times New Roman" w:eastAsia="黑体" w:cs="Times New Roman"/>
          <w:b w:val="0"/>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支</w:t>
      </w:r>
      <w:r>
        <w:rPr>
          <w:rStyle w:val="15"/>
          <w:rFonts w:hint="default" w:ascii="Times New Roman" w:hAnsi="Times New Roman" w:eastAsia="黑体" w:cs="Times New Roman"/>
          <w:b w:val="0"/>
        </w:rPr>
        <w:t>出决算情况说明</w:t>
      </w:r>
      <w:bookmarkEnd w:id="22"/>
      <w:bookmarkEnd w:id="23"/>
    </w:p>
    <w:p>
      <w:pPr>
        <w:pStyle w:val="14"/>
        <w:pageBreakBefore w:val="0"/>
        <w:kinsoku/>
        <w:wordWrap/>
        <w:overflowPunct/>
        <w:topLinePunct w:val="0"/>
        <w:autoSpaceDE/>
        <w:autoSpaceDN/>
        <w:bidi w:val="0"/>
        <w:spacing w:line="560" w:lineRule="exact"/>
        <w:ind w:firstLine="64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万元，其中：基本支出</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525" w:firstLineChars="250"/>
        <w:textAlignment w:val="auto"/>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21590</wp:posOffset>
            </wp:positionH>
            <wp:positionV relativeFrom="paragraph">
              <wp:posOffset>64135</wp:posOffset>
            </wp:positionV>
            <wp:extent cx="4803775" cy="2361565"/>
            <wp:effectExtent l="5080" t="5080" r="6985" b="10795"/>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sz w:val="32"/>
          <w:szCs w:val="32"/>
        </w:rPr>
      </w:pPr>
      <w:bookmarkStart w:id="24" w:name="_Toc15377208"/>
      <w:bookmarkStart w:id="25" w:name="_Toc15396606"/>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sz w:val="32"/>
          <w:szCs w:val="32"/>
        </w:rPr>
      </w:pPr>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sz w:val="32"/>
          <w:szCs w:val="32"/>
        </w:rPr>
      </w:pPr>
    </w:p>
    <w:p>
      <w:pPr>
        <w:pageBreakBefore w:val="0"/>
        <w:kinsoku/>
        <w:wordWrap/>
        <w:overflowPunct/>
        <w:topLinePunct w:val="0"/>
        <w:autoSpaceDE/>
        <w:autoSpaceDN/>
        <w:bidi w:val="0"/>
        <w:spacing w:line="560" w:lineRule="exact"/>
        <w:ind w:firstLine="2160" w:firstLineChars="900"/>
        <w:textAlignment w:val="auto"/>
        <w:outlineLvl w:val="1"/>
        <w:rPr>
          <w:rFonts w:hint="default" w:ascii="Times New Roman" w:hAnsi="Times New Roman" w:eastAsia="黑体" w:cs="Times New Roman"/>
          <w:sz w:val="32"/>
          <w:szCs w:val="32"/>
        </w:rPr>
      </w:pPr>
      <w:r>
        <w:rPr>
          <w:rFonts w:hint="default" w:ascii="Times New Roman" w:hAnsi="Times New Roman" w:eastAsia="宋体" w:cs="Times New Roman"/>
          <w:sz w:val="24"/>
          <w:szCs w:val="24"/>
        </w:rPr>
        <w:t>（图</w:t>
      </w: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rPr>
        <w:t>：支出决算结构图）</w:t>
      </w:r>
    </w:p>
    <w:p>
      <w:pPr>
        <w:pageBreakBefore w:val="0"/>
        <w:kinsoku/>
        <w:wordWrap/>
        <w:overflowPunct/>
        <w:topLinePunct w:val="0"/>
        <w:autoSpaceDE/>
        <w:autoSpaceDN/>
        <w:bidi w:val="0"/>
        <w:spacing w:line="560" w:lineRule="exact"/>
        <w:ind w:firstLine="640" w:firstLineChars="200"/>
        <w:textAlignment w:val="auto"/>
        <w:outlineLvl w:val="1"/>
        <w:rPr>
          <w:rStyle w:val="15"/>
          <w:rFonts w:hint="default" w:ascii="Times New Roman" w:hAnsi="Times New Roman" w:eastAsia="黑体" w:cs="Times New Roman"/>
          <w:b w:val="0"/>
        </w:rPr>
      </w:pPr>
      <w:r>
        <w:rPr>
          <w:rFonts w:hint="default" w:ascii="Times New Roman" w:hAnsi="Times New Roman" w:eastAsia="黑体" w:cs="Times New Roman"/>
          <w:sz w:val="32"/>
          <w:szCs w:val="32"/>
        </w:rPr>
        <w:t>四、财</w:t>
      </w:r>
      <w:r>
        <w:rPr>
          <w:rStyle w:val="15"/>
          <w:rFonts w:hint="default" w:ascii="Times New Roman" w:hAnsi="Times New Roman" w:eastAsia="黑体" w:cs="Times New Roman"/>
          <w:b w:val="0"/>
        </w:rPr>
        <w:t>政拨款收入支出决算总体情况说明</w:t>
      </w:r>
      <w:bookmarkEnd w:id="24"/>
      <w:bookmarkEnd w:id="25"/>
    </w:p>
    <w:p>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2024年度财政拨款收入、支出总计均为</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与 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年度相比，财政拨款收入总计、支出总计各增加</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万元。主要变动原因是我部为2024年新组建成立部门，202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年度无财政拨款收入支出</w:t>
      </w:r>
      <w:r>
        <w:rPr>
          <w:rFonts w:hint="default" w:ascii="Times New Roman" w:hAnsi="Times New Roman" w:eastAsia="仿宋_GB2312" w:cs="Times New Roman"/>
          <w:sz w:val="32"/>
          <w:szCs w:val="32"/>
          <w:lang w:eastAsia="zh-CN"/>
        </w:rPr>
        <w:t>。</w:t>
      </w:r>
    </w:p>
    <w:p>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仿宋_GB2312" w:cs="Times New Roman"/>
          <w:sz w:val="32"/>
          <w:szCs w:val="32"/>
          <w:lang w:eastAsia="zh-CN"/>
        </w:rPr>
      </w:pPr>
      <w:r>
        <w:drawing>
          <wp:anchor distT="0" distB="0" distL="114300" distR="114300" simplePos="0" relativeHeight="251664384" behindDoc="1" locked="0" layoutInCell="1" allowOverlap="1">
            <wp:simplePos x="0" y="0"/>
            <wp:positionH relativeFrom="column">
              <wp:posOffset>318770</wp:posOffset>
            </wp:positionH>
            <wp:positionV relativeFrom="paragraph">
              <wp:posOffset>273685</wp:posOffset>
            </wp:positionV>
            <wp:extent cx="4429125" cy="2184400"/>
            <wp:effectExtent l="4445" t="4445" r="5080" b="20955"/>
            <wp:wrapTight wrapText="bothSides">
              <wp:wrapPolygon>
                <wp:start x="-22" y="-44"/>
                <wp:lineTo x="-22" y="21430"/>
                <wp:lineTo x="21532" y="21430"/>
                <wp:lineTo x="21532" y="-44"/>
                <wp:lineTo x="-22" y="-44"/>
              </wp:wrapPolygon>
            </wp:wrapTight>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14"/>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p>
    <w:p>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1200" w:firstLineChars="5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宋体" w:cs="Times New Roman"/>
          <w:sz w:val="24"/>
          <w:szCs w:val="24"/>
        </w:rPr>
        <w:t>（图</w:t>
      </w: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rPr>
        <w:t>：财政拨款</w:t>
      </w:r>
      <w:r>
        <w:rPr>
          <w:rFonts w:hint="eastAsia" w:cs="Times New Roman"/>
          <w:sz w:val="24"/>
          <w:szCs w:val="24"/>
          <w:lang w:eastAsia="zh-CN"/>
        </w:rPr>
        <w:t>收入</w:t>
      </w:r>
      <w:r>
        <w:rPr>
          <w:rFonts w:hint="default" w:ascii="Times New Roman" w:hAnsi="Times New Roman" w:eastAsia="宋体" w:cs="Times New Roman"/>
          <w:sz w:val="24"/>
          <w:szCs w:val="24"/>
        </w:rPr>
        <w:t>支出决算变动情况）</w:t>
      </w:r>
    </w:p>
    <w:p>
      <w:pPr>
        <w:pageBreakBefore w:val="0"/>
        <w:kinsoku/>
        <w:wordWrap/>
        <w:overflowPunct/>
        <w:topLinePunct w:val="0"/>
        <w:autoSpaceDE/>
        <w:autoSpaceDN/>
        <w:bidi w:val="0"/>
        <w:spacing w:line="560" w:lineRule="exact"/>
        <w:ind w:firstLine="640" w:firstLineChars="200"/>
        <w:textAlignment w:val="auto"/>
        <w:outlineLvl w:val="1"/>
        <w:rPr>
          <w:rStyle w:val="15"/>
          <w:rFonts w:hint="default" w:ascii="Times New Roman" w:hAnsi="Times New Roman" w:eastAsia="黑体" w:cs="Times New Roman"/>
          <w:b w:val="0"/>
        </w:rPr>
      </w:pPr>
      <w:bookmarkStart w:id="26" w:name="_Toc15396607"/>
      <w:bookmarkStart w:id="27" w:name="_Toc15377209"/>
      <w:r>
        <w:rPr>
          <w:rFonts w:hint="default" w:ascii="Times New Roman" w:hAnsi="Times New Roman" w:eastAsia="黑体" w:cs="Times New Roman"/>
          <w:sz w:val="32"/>
          <w:szCs w:val="32"/>
        </w:rPr>
        <w:t>五、</w:t>
      </w:r>
      <w:r>
        <w:rPr>
          <w:rStyle w:val="15"/>
          <w:rFonts w:hint="default" w:ascii="Times New Roman" w:hAnsi="Times New Roman" w:eastAsia="黑体" w:cs="Times New Roman"/>
          <w:b w:val="0"/>
        </w:rPr>
        <w:t>一般公共预算财政拨款支出决算情况说明</w:t>
      </w:r>
      <w:bookmarkEnd w:id="26"/>
      <w:bookmarkEnd w:id="27"/>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28" w:name="_Toc15377210"/>
      <w:r>
        <w:rPr>
          <w:rFonts w:hint="default" w:ascii="Times New Roman" w:hAnsi="Times New Roman" w:eastAsia="楷体_GB2312" w:cs="Times New Roman"/>
          <w:b/>
          <w:sz w:val="32"/>
          <w:szCs w:val="32"/>
        </w:rPr>
        <w:t>（一）一般公共预算财政拨款支出决算总体情况</w:t>
      </w:r>
      <w:bookmarkEnd w:id="2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2024年度一般公共预算财政拨款支出</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年度相比，一般公共预算财政拨款支出增加</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我</w:t>
      </w:r>
      <w:r>
        <w:rPr>
          <w:rFonts w:hint="default" w:ascii="Times New Roman" w:hAnsi="Times New Roman" w:eastAsia="仿宋_GB2312" w:cs="Times New Roman"/>
          <w:sz w:val="32"/>
          <w:szCs w:val="32"/>
          <w:lang w:val="en-US" w:eastAsia="zh-CN"/>
        </w:rPr>
        <w:t>部为2024年新组建成立部门，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年度无财政拨款收入支出</w:t>
      </w:r>
      <w:r>
        <w:rPr>
          <w:rFonts w:hint="default" w:ascii="Times New Roman" w:hAnsi="Times New Roman" w:eastAsia="仿宋_GB2312" w:cs="Times New Roman"/>
          <w:sz w:val="32"/>
          <w:szCs w:val="32"/>
          <w:lang w:eastAsia="zh-CN"/>
        </w:rPr>
        <w:t>。</w:t>
      </w:r>
      <w:bookmarkStart w:id="29" w:name="_Toc15377211"/>
    </w:p>
    <w:p>
      <w:pPr>
        <w:pageBreakBefore w:val="0"/>
        <w:kinsoku/>
        <w:wordWrap/>
        <w:overflowPunct/>
        <w:topLinePunct w:val="0"/>
        <w:autoSpaceDE/>
        <w:autoSpaceDN/>
        <w:bidi w:val="0"/>
        <w:spacing w:line="560" w:lineRule="exact"/>
        <w:ind w:firstLine="1470" w:firstLineChars="700"/>
        <w:textAlignment w:val="auto"/>
        <w:outlineLvl w:val="2"/>
        <w:rPr>
          <w:rFonts w:hint="default" w:ascii="Times New Roman" w:hAnsi="Times New Roman" w:eastAsia="楷体_GB2312" w:cs="Times New Roman"/>
          <w:b/>
          <w:sz w:val="32"/>
          <w:szCs w:val="32"/>
        </w:rPr>
      </w:pPr>
      <w:r>
        <w:rPr>
          <w:rFonts w:hint="default" w:ascii="Times New Roman" w:hAnsi="Times New Roman" w:cs="Times New Roman"/>
        </w:rPr>
        <w:drawing>
          <wp:anchor distT="0" distB="0" distL="114300" distR="114300" simplePos="0" relativeHeight="251662336" behindDoc="1" locked="0" layoutInCell="1" allowOverlap="1">
            <wp:simplePos x="0" y="0"/>
            <wp:positionH relativeFrom="column">
              <wp:posOffset>332105</wp:posOffset>
            </wp:positionH>
            <wp:positionV relativeFrom="paragraph">
              <wp:posOffset>25400</wp:posOffset>
            </wp:positionV>
            <wp:extent cx="4826000" cy="2573020"/>
            <wp:effectExtent l="4445" t="4445" r="15875" b="13335"/>
            <wp:wrapTight wrapText="bothSides">
              <wp:wrapPolygon>
                <wp:start x="-20" y="-37"/>
                <wp:lineTo x="-20" y="21456"/>
                <wp:lineTo x="21535" y="21456"/>
                <wp:lineTo x="21535" y="-37"/>
                <wp:lineTo x="-20" y="-37"/>
              </wp:wrapPolygon>
            </wp:wrapTight>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宋体" w:cs="Times New Roman"/>
          <w:sz w:val="24"/>
          <w:szCs w:val="24"/>
        </w:rPr>
        <w:t>（图</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rPr>
        <w:t>：财政拨款收、支决算总计变动情况）</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（二）一般公共预算财政拨款支出决算结构情况</w:t>
      </w:r>
      <w:bookmarkEnd w:id="2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2024年度一般公共预算财政拨款支出</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万元，主要用于以下方面：一般公共服务支出</w:t>
      </w:r>
      <w:r>
        <w:rPr>
          <w:rFonts w:hint="eastAsia" w:eastAsia="仿宋_GB2312" w:cs="Times New Roman"/>
          <w:sz w:val="32"/>
          <w:szCs w:val="32"/>
          <w:lang w:val="en-US" w:eastAsia="zh-CN"/>
        </w:rPr>
        <w:t>69.89</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79</w:t>
      </w:r>
      <w:r>
        <w:rPr>
          <w:rFonts w:hint="default" w:ascii="Times New Roman" w:hAnsi="Times New Roman" w:eastAsia="仿宋_GB2312" w:cs="Times New Roman"/>
          <w:sz w:val="32"/>
          <w:szCs w:val="32"/>
        </w:rPr>
        <w:t>%；社会保障和就业支出</w:t>
      </w:r>
      <w:r>
        <w:rPr>
          <w:rFonts w:hint="eastAsia" w:eastAsia="仿宋_GB2312" w:cs="Times New Roman"/>
          <w:sz w:val="32"/>
          <w:szCs w:val="32"/>
          <w:lang w:val="en-US" w:eastAsia="zh-CN"/>
        </w:rPr>
        <w:t>9.21</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%；卫生健康支出</w:t>
      </w:r>
      <w:r>
        <w:rPr>
          <w:rFonts w:hint="eastAsia" w:eastAsia="仿宋_GB2312" w:cs="Times New Roman"/>
          <w:sz w:val="32"/>
          <w:szCs w:val="32"/>
          <w:lang w:val="en-US" w:eastAsia="zh-CN"/>
        </w:rPr>
        <w:t>3.71</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%；住房保障支出</w:t>
      </w:r>
      <w:r>
        <w:rPr>
          <w:rFonts w:hint="eastAsia" w:eastAsia="仿宋_GB2312" w:cs="Times New Roman"/>
          <w:sz w:val="32"/>
          <w:szCs w:val="32"/>
          <w:lang w:val="en-US" w:eastAsia="zh-CN"/>
        </w:rPr>
        <w:t>5.40</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占</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Style w:val="2"/>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eastAsia="zh-CN"/>
        </w:rPr>
      </w:pPr>
      <w:r>
        <w:drawing>
          <wp:anchor distT="0" distB="0" distL="114300" distR="114300" simplePos="0" relativeHeight="251665408" behindDoc="1" locked="0" layoutInCell="1" allowOverlap="1">
            <wp:simplePos x="0" y="0"/>
            <wp:positionH relativeFrom="column">
              <wp:posOffset>213995</wp:posOffset>
            </wp:positionH>
            <wp:positionV relativeFrom="paragraph">
              <wp:posOffset>-6878320</wp:posOffset>
            </wp:positionV>
            <wp:extent cx="4761230" cy="2828925"/>
            <wp:effectExtent l="4445" t="5080" r="15875" b="4445"/>
            <wp:wrapTight wrapText="bothSides">
              <wp:wrapPolygon>
                <wp:start x="-20" y="-39"/>
                <wp:lineTo x="-20" y="21488"/>
                <wp:lineTo x="21499" y="21488"/>
                <wp:lineTo x="21499" y="-39"/>
                <wp:lineTo x="-20" y="-39"/>
              </wp:wrapPolygon>
            </wp:wrapTight>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autoSpaceDE/>
        <w:autoSpaceDN/>
        <w:bidi w:val="0"/>
        <w:spacing w:line="560" w:lineRule="exact"/>
        <w:ind w:firstLine="1920" w:firstLineChars="800"/>
        <w:textAlignment w:val="auto"/>
        <w:outlineLvl w:val="2"/>
        <w:rPr>
          <w:rFonts w:hint="default" w:ascii="Times New Roman" w:hAnsi="Times New Roman" w:eastAsia="宋体" w:cs="Times New Roman"/>
          <w:sz w:val="24"/>
          <w:szCs w:val="24"/>
        </w:rPr>
      </w:pPr>
      <w:bookmarkStart w:id="30" w:name="_Toc15377212"/>
    </w:p>
    <w:p>
      <w:pPr>
        <w:pageBreakBefore w:val="0"/>
        <w:kinsoku/>
        <w:wordWrap/>
        <w:overflowPunct/>
        <w:topLinePunct w:val="0"/>
        <w:autoSpaceDE/>
        <w:autoSpaceDN/>
        <w:bidi w:val="0"/>
        <w:spacing w:line="560" w:lineRule="exact"/>
        <w:ind w:firstLine="1920" w:firstLineChars="800"/>
        <w:textAlignment w:val="auto"/>
        <w:outlineLvl w:val="2"/>
        <w:rPr>
          <w:rFonts w:hint="default" w:ascii="Times New Roman" w:hAnsi="Times New Roman" w:eastAsia="宋体" w:cs="Times New Roman"/>
          <w:sz w:val="24"/>
          <w:szCs w:val="24"/>
        </w:rPr>
      </w:pPr>
    </w:p>
    <w:p>
      <w:pPr>
        <w:pageBreakBefore w:val="0"/>
        <w:kinsoku/>
        <w:wordWrap/>
        <w:overflowPunct/>
        <w:topLinePunct w:val="0"/>
        <w:autoSpaceDE/>
        <w:autoSpaceDN/>
        <w:bidi w:val="0"/>
        <w:spacing w:line="560" w:lineRule="exact"/>
        <w:ind w:firstLine="1920" w:firstLineChars="800"/>
        <w:textAlignment w:val="auto"/>
        <w:outlineLvl w:val="2"/>
        <w:rPr>
          <w:rFonts w:hint="default" w:ascii="Times New Roman" w:hAnsi="Times New Roman" w:eastAsia="宋体" w:cs="Times New Roman"/>
          <w:sz w:val="24"/>
          <w:szCs w:val="24"/>
        </w:rPr>
      </w:pPr>
    </w:p>
    <w:p>
      <w:pPr>
        <w:pageBreakBefore w:val="0"/>
        <w:kinsoku/>
        <w:wordWrap/>
        <w:overflowPunct/>
        <w:topLinePunct w:val="0"/>
        <w:autoSpaceDE/>
        <w:autoSpaceDN/>
        <w:bidi w:val="0"/>
        <w:spacing w:line="560" w:lineRule="exact"/>
        <w:textAlignment w:val="auto"/>
        <w:outlineLvl w:val="2"/>
        <w:rPr>
          <w:rFonts w:hint="default" w:ascii="Times New Roman" w:hAnsi="Times New Roman" w:eastAsia="宋体" w:cs="Times New Roman"/>
          <w:sz w:val="24"/>
          <w:szCs w:val="24"/>
        </w:rPr>
      </w:pPr>
    </w:p>
    <w:p>
      <w:pPr>
        <w:pageBreakBefore w:val="0"/>
        <w:kinsoku/>
        <w:wordWrap/>
        <w:overflowPunct/>
        <w:topLinePunct w:val="0"/>
        <w:autoSpaceDE/>
        <w:autoSpaceDN/>
        <w:bidi w:val="0"/>
        <w:spacing w:line="560" w:lineRule="exact"/>
        <w:ind w:firstLine="1920" w:firstLineChars="800"/>
        <w:textAlignment w:val="auto"/>
        <w:outlineLvl w:val="2"/>
        <w:rPr>
          <w:rFonts w:hint="default" w:ascii="Times New Roman" w:hAnsi="Times New Roman" w:eastAsia="楷体_GB2312" w:cs="Times New Roman"/>
          <w:b/>
          <w:sz w:val="32"/>
          <w:szCs w:val="32"/>
        </w:rPr>
      </w:pPr>
      <w:r>
        <w:rPr>
          <w:rFonts w:hint="default" w:ascii="Times New Roman" w:hAnsi="Times New Roman" w:eastAsia="宋体" w:cs="Times New Roman"/>
          <w:sz w:val="24"/>
          <w:szCs w:val="24"/>
        </w:rPr>
        <w:t>（图6：一般公共预算财政拨款支出决算结构）</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（三）一般公共预算财政拨款支出决算具体情况</w:t>
      </w:r>
      <w:bookmarkEnd w:id="3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31" w:name="_Toc15378460"/>
      <w:bookmarkStart w:id="32" w:name="_Toc15377213"/>
      <w:bookmarkStart w:id="33" w:name="_Toc15377444"/>
      <w:r>
        <w:rPr>
          <w:rFonts w:hint="default" w:ascii="Times New Roman" w:hAnsi="Times New Roman" w:eastAsia="仿宋_GB2312" w:cs="Times New Roman"/>
          <w:sz w:val="32"/>
          <w:szCs w:val="32"/>
        </w:rPr>
        <w:t>2024年度一般公共预算财政拨款支出决算数为</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31"/>
      <w:bookmarkEnd w:id="32"/>
      <w:bookmarkEnd w:id="33"/>
    </w:p>
    <w:p>
      <w:pPr>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一般公共</w:t>
      </w:r>
      <w:r>
        <w:rPr>
          <w:rFonts w:hint="default" w:ascii="Times New Roman" w:hAnsi="Times New Roman" w:eastAsia="仿宋_GB2312" w:cs="Times New Roman"/>
          <w:sz w:val="32"/>
          <w:szCs w:val="32"/>
          <w:lang w:val="en-US" w:eastAsia="zh-CN"/>
        </w:rPr>
        <w:t>服务社会事务</w:t>
      </w:r>
      <w:r>
        <w:rPr>
          <w:rFonts w:hint="default" w:ascii="Times New Roman" w:hAnsi="Times New Roman" w:eastAsia="仿宋_GB2312" w:cs="Times New Roman"/>
          <w:sz w:val="32"/>
          <w:szCs w:val="32"/>
        </w:rPr>
        <w:t>：支出决算为</w:t>
      </w:r>
      <w:r>
        <w:rPr>
          <w:rFonts w:hint="eastAsia" w:eastAsia="仿宋_GB2312" w:cs="Times New Roman"/>
          <w:sz w:val="32"/>
          <w:szCs w:val="32"/>
          <w:lang w:val="en-US" w:eastAsia="zh-CN"/>
        </w:rPr>
        <w:t>69.89</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val="en-US" w:eastAsia="zh-CN"/>
        </w:rPr>
        <w:t>行政事业单位养老支出</w:t>
      </w:r>
      <w:r>
        <w:rPr>
          <w:rFonts w:hint="default" w:ascii="Times New Roman" w:hAnsi="Times New Roman" w:eastAsia="仿宋_GB2312" w:cs="Times New Roman"/>
          <w:sz w:val="32"/>
          <w:szCs w:val="32"/>
        </w:rPr>
        <w:t>：支出决算为</w:t>
      </w:r>
      <w:r>
        <w:rPr>
          <w:rFonts w:hint="eastAsia" w:eastAsia="仿宋_GB2312" w:cs="Times New Roman"/>
          <w:sz w:val="32"/>
          <w:szCs w:val="32"/>
          <w:lang w:val="en-US" w:eastAsia="zh-CN"/>
        </w:rPr>
        <w:t>9.21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行政事业单位医疗支出</w:t>
      </w:r>
      <w:r>
        <w:rPr>
          <w:rFonts w:hint="default" w:ascii="Times New Roman" w:hAnsi="Times New Roman" w:eastAsia="仿宋_GB2312" w:cs="Times New Roman"/>
          <w:sz w:val="32"/>
          <w:szCs w:val="32"/>
        </w:rPr>
        <w:t>：支出决算为</w:t>
      </w:r>
      <w:r>
        <w:rPr>
          <w:rFonts w:hint="eastAsia" w:eastAsia="仿宋_GB2312" w:cs="Times New Roman"/>
          <w:sz w:val="32"/>
          <w:szCs w:val="32"/>
          <w:lang w:val="en-US" w:eastAsia="zh-CN"/>
        </w:rPr>
        <w:t>3.71</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4.住房保障支出</w:t>
      </w:r>
      <w:r>
        <w:rPr>
          <w:rFonts w:hint="default" w:ascii="Times New Roman" w:hAnsi="Times New Roman" w:eastAsia="仿宋_GB2312" w:cs="Times New Roman"/>
          <w:sz w:val="32"/>
          <w:szCs w:val="32"/>
        </w:rPr>
        <w:t>：支出决算为</w:t>
      </w:r>
      <w:r>
        <w:rPr>
          <w:rFonts w:hint="eastAsia" w:eastAsia="仿宋_GB2312" w:cs="Times New Roman"/>
          <w:sz w:val="32"/>
          <w:szCs w:val="32"/>
          <w:lang w:val="en-US" w:eastAsia="zh-CN"/>
        </w:rPr>
        <w:t>5.40</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pageBreakBefore w:val="0"/>
        <w:tabs>
          <w:tab w:val="right" w:pos="8306"/>
        </w:tabs>
        <w:kinsoku/>
        <w:wordWrap/>
        <w:overflowPunct/>
        <w:topLinePunct w:val="0"/>
        <w:autoSpaceDE/>
        <w:autoSpaceDN/>
        <w:bidi w:val="0"/>
        <w:spacing w:line="560" w:lineRule="exact"/>
        <w:ind w:firstLine="640"/>
        <w:textAlignment w:val="auto"/>
        <w:outlineLvl w:val="1"/>
        <w:rPr>
          <w:rStyle w:val="15"/>
          <w:rFonts w:hint="default" w:ascii="Times New Roman" w:hAnsi="Times New Roman" w:cs="Times New Roman"/>
        </w:rPr>
      </w:pPr>
      <w:bookmarkStart w:id="34" w:name="_Toc15396608"/>
      <w:bookmarkStart w:id="35"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w:t>
      </w:r>
      <w:r>
        <w:rPr>
          <w:rFonts w:hint="default" w:ascii="Times New Roman" w:hAnsi="Times New Roman" w:eastAsia="黑体" w:cs="Times New Roman"/>
          <w:b w:val="0"/>
          <w:bCs/>
          <w:sz w:val="32"/>
          <w:szCs w:val="32"/>
        </w:rPr>
        <w:t>一</w:t>
      </w:r>
      <w:r>
        <w:rPr>
          <w:rStyle w:val="15"/>
          <w:rFonts w:hint="default" w:ascii="Times New Roman" w:hAnsi="Times New Roman" w:eastAsia="黑体" w:cs="Times New Roman"/>
          <w:b w:val="0"/>
        </w:rPr>
        <w:t>般公共预算财政拨款基本支出决算情况说明</w:t>
      </w:r>
      <w:bookmarkEnd w:id="34"/>
      <w:bookmarkEnd w:id="35"/>
      <w:r>
        <w:rPr>
          <w:rStyle w:val="15"/>
          <w:rFonts w:hint="default" w:ascii="Times New Roman" w:hAnsi="Times New Roman" w:eastAsia="黑体" w:cs="Times New Roman"/>
          <w:b w:val="0"/>
        </w:rPr>
        <w:tab/>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w:t>
      </w:r>
      <w:r>
        <w:rPr>
          <w:rFonts w:hint="eastAsia" w:eastAsia="仿宋_GB2312" w:cs="Times New Roman"/>
          <w:sz w:val="32"/>
          <w:szCs w:val="32"/>
          <w:lang w:val="en-US" w:eastAsia="zh-CN"/>
        </w:rPr>
        <w:t>88.21</w:t>
      </w:r>
      <w:r>
        <w:rPr>
          <w:rFonts w:hint="default" w:ascii="Times New Roman" w:hAnsi="Times New Roman" w:eastAsia="仿宋_GB2312" w:cs="Times New Roman"/>
          <w:sz w:val="32"/>
          <w:szCs w:val="32"/>
        </w:rPr>
        <w:t>万元，其中：</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eastAsia" w:eastAsia="仿宋_GB2312" w:cs="Times New Roman"/>
          <w:sz w:val="32"/>
          <w:szCs w:val="32"/>
          <w:lang w:val="en-US" w:eastAsia="zh-CN"/>
        </w:rPr>
        <w:t>61.17</w:t>
      </w:r>
      <w:r>
        <w:rPr>
          <w:rFonts w:hint="default" w:ascii="Times New Roman" w:hAnsi="Times New Roman" w:eastAsia="仿宋_GB2312" w:cs="Times New Roman"/>
          <w:sz w:val="32"/>
          <w:szCs w:val="32"/>
        </w:rPr>
        <w:t>万元，主要包括：基本工资、津贴补贴、奖金、绩效工资、机关事业单位基本养老保险缴费、职业年金缴费、其他社会保障缴费、其他工资福利支出、医疗费补助、奖励金、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eastAsia" w:eastAsia="仿宋_GB2312" w:cs="Times New Roman"/>
          <w:sz w:val="32"/>
          <w:szCs w:val="32"/>
          <w:lang w:val="en-US" w:eastAsia="zh-CN"/>
        </w:rPr>
        <w:t>27.04</w:t>
      </w:r>
      <w:r>
        <w:rPr>
          <w:rFonts w:hint="default" w:ascii="Times New Roman" w:hAnsi="Times New Roman" w:eastAsia="仿宋_GB2312" w:cs="Times New Roman"/>
          <w:sz w:val="32"/>
          <w:szCs w:val="32"/>
        </w:rPr>
        <w:t>万元，主要包括：办公费、差旅费、其他交通费等。</w:t>
      </w:r>
    </w:p>
    <w:p>
      <w:pPr>
        <w:pageBreakBefore w:val="0"/>
        <w:kinsoku/>
        <w:wordWrap/>
        <w:overflowPunct/>
        <w:topLinePunct w:val="0"/>
        <w:autoSpaceDE/>
        <w:autoSpaceDN/>
        <w:bidi w:val="0"/>
        <w:spacing w:line="560" w:lineRule="exact"/>
        <w:ind w:firstLine="640"/>
        <w:textAlignment w:val="auto"/>
        <w:outlineLvl w:val="1"/>
        <w:rPr>
          <w:rStyle w:val="15"/>
          <w:rFonts w:hint="default" w:ascii="Times New Roman" w:hAnsi="Times New Roman" w:eastAsia="黑体" w:cs="Times New Roman"/>
          <w:b w:val="0"/>
        </w:rPr>
      </w:pPr>
      <w:bookmarkStart w:id="36" w:name="_Toc15377215"/>
      <w:bookmarkStart w:id="37" w:name="_Toc15396609"/>
      <w:r>
        <w:rPr>
          <w:rFonts w:hint="default" w:ascii="Times New Roman" w:hAnsi="Times New Roman" w:eastAsia="黑体" w:cs="Times New Roman"/>
          <w:sz w:val="32"/>
          <w:szCs w:val="32"/>
        </w:rPr>
        <w:t>七、</w:t>
      </w:r>
      <w:r>
        <w:rPr>
          <w:rStyle w:val="15"/>
          <w:rFonts w:hint="default" w:ascii="Times New Roman" w:hAnsi="Times New Roman" w:eastAsia="黑体" w:cs="Times New Roman"/>
          <w:b w:val="0"/>
        </w:rPr>
        <w:t>财政拨款</w:t>
      </w:r>
      <w:r>
        <w:rPr>
          <w:rStyle w:val="15"/>
          <w:rFonts w:hint="default" w:ascii="Times New Roman" w:hAnsi="Times New Roman" w:eastAsia="黑体" w:cs="Times New Roman"/>
        </w:rPr>
        <w:t>“</w:t>
      </w:r>
      <w:r>
        <w:rPr>
          <w:rStyle w:val="15"/>
          <w:rFonts w:hint="default" w:ascii="Times New Roman" w:hAnsi="Times New Roman" w:eastAsia="黑体" w:cs="Times New Roman"/>
          <w:b w:val="0"/>
        </w:rPr>
        <w:t>三公”经费支出决算情况说明</w:t>
      </w:r>
      <w:bookmarkEnd w:id="36"/>
      <w:bookmarkEnd w:id="37"/>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38" w:name="_Toc15377216"/>
      <w:r>
        <w:rPr>
          <w:rFonts w:hint="default" w:ascii="Times New Roman" w:hAnsi="Times New Roman" w:eastAsia="楷体_GB2312" w:cs="Times New Roman"/>
          <w:b/>
          <w:sz w:val="32"/>
          <w:szCs w:val="32"/>
        </w:rPr>
        <w:t>（一）“三公”经费财政拨款支出决算总体情况说明</w:t>
      </w:r>
      <w:bookmarkEnd w:id="3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2024年度“三公”经费财政拨款支出决算为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中共阿坝州委社会工作部为2024年新组建成立部门，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年度无财政拨款收入支出</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39" w:name="_Toc15377217"/>
      <w:r>
        <w:rPr>
          <w:rFonts w:hint="default" w:ascii="Times New Roman" w:hAnsi="Times New Roman" w:eastAsia="楷体_GB2312" w:cs="Times New Roman"/>
          <w:b/>
          <w:sz w:val="32"/>
          <w:szCs w:val="32"/>
        </w:rPr>
        <w:t>（二）“三公”经费财政拨款支出决算具体情况说明</w:t>
      </w:r>
      <w:bookmarkEnd w:id="3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1.因公出国（境）经费支出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.公务接待费支出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bookmarkStart w:id="40" w:name="_Toc15377218"/>
      <w:bookmarkStart w:id="41" w:name="_Toc15396610"/>
    </w:p>
    <w:p>
      <w:pPr>
        <w:pageBreakBefore w:val="0"/>
        <w:kinsoku/>
        <w:wordWrap/>
        <w:overflowPunct/>
        <w:topLinePunct w:val="0"/>
        <w:autoSpaceDE/>
        <w:autoSpaceDN/>
        <w:bidi w:val="0"/>
        <w:spacing w:line="560" w:lineRule="exact"/>
        <w:ind w:firstLine="640"/>
        <w:textAlignment w:val="auto"/>
        <w:outlineLvl w:val="1"/>
        <w:rPr>
          <w:rStyle w:val="15"/>
          <w:rFonts w:hint="default" w:ascii="Times New Roman" w:hAnsi="Times New Roman" w:eastAsia="黑体" w:cs="Times New Roman"/>
        </w:rPr>
      </w:pPr>
      <w:r>
        <w:rPr>
          <w:rFonts w:hint="default" w:ascii="Times New Roman" w:hAnsi="Times New Roman" w:eastAsia="黑体" w:cs="Times New Roman"/>
          <w:sz w:val="32"/>
          <w:szCs w:val="32"/>
        </w:rPr>
        <w:t>八、</w:t>
      </w:r>
      <w:r>
        <w:rPr>
          <w:rStyle w:val="15"/>
          <w:rFonts w:hint="default" w:ascii="Times New Roman" w:hAnsi="Times New Roman" w:eastAsia="黑体" w:cs="Times New Roman"/>
          <w:b w:val="0"/>
        </w:rPr>
        <w:t>政府性基金预算支出决算情况说明</w:t>
      </w:r>
      <w:bookmarkEnd w:id="40"/>
      <w:bookmarkEnd w:id="41"/>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left="630"/>
        <w:textAlignment w:val="auto"/>
        <w:outlineLvl w:val="1"/>
        <w:rPr>
          <w:rStyle w:val="15"/>
          <w:rFonts w:hint="default" w:ascii="Times New Roman" w:hAnsi="Times New Roman" w:eastAsia="黑体" w:cs="Times New Roman"/>
          <w:b w:val="0"/>
        </w:rPr>
      </w:pPr>
      <w:bookmarkStart w:id="42" w:name="_Toc15396611"/>
      <w:bookmarkStart w:id="43" w:name="_Toc15377219"/>
      <w:r>
        <w:rPr>
          <w:rStyle w:val="15"/>
          <w:rFonts w:hint="default" w:ascii="Times New Roman" w:hAnsi="Times New Roman" w:eastAsia="黑体" w:cs="Times New Roman"/>
          <w:b w:val="0"/>
        </w:rPr>
        <w:t>九、国有资本经营预算支出决算情况说明</w:t>
      </w:r>
      <w:bookmarkEnd w:id="42"/>
      <w:bookmarkEnd w:id="43"/>
    </w:p>
    <w:p>
      <w:pPr>
        <w:pageBreakBefore w:val="0"/>
        <w:kinsoku/>
        <w:wordWrap/>
        <w:overflowPunct/>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bookmarkStart w:id="44" w:name="_Toc15377221"/>
      <w:bookmarkStart w:id="45" w:name="_Toc15396612"/>
    </w:p>
    <w:p>
      <w:pPr>
        <w:pageBreakBefore w:val="0"/>
        <w:kinsoku/>
        <w:wordWrap/>
        <w:overflowPunct/>
        <w:topLinePunct w:val="0"/>
        <w:autoSpaceDE/>
        <w:autoSpaceDN/>
        <w:bidi w:val="0"/>
        <w:spacing w:line="560" w:lineRule="exact"/>
        <w:ind w:left="630"/>
        <w:textAlignment w:val="auto"/>
        <w:outlineLvl w:val="1"/>
        <w:rPr>
          <w:rStyle w:val="15"/>
          <w:rFonts w:hint="default" w:ascii="Times New Roman" w:hAnsi="Times New Roman" w:eastAsia="黑体" w:cs="Times New Roman"/>
          <w:b w:val="0"/>
        </w:rPr>
      </w:pPr>
      <w:r>
        <w:rPr>
          <w:rStyle w:val="15"/>
          <w:rFonts w:hint="default" w:ascii="Times New Roman" w:hAnsi="Times New Roman" w:eastAsia="黑体" w:cs="Times New Roman"/>
          <w:b w:val="0"/>
        </w:rPr>
        <w:t>十、其他重要事项的情况说明</w:t>
      </w:r>
      <w:bookmarkEnd w:id="44"/>
      <w:bookmarkEnd w:id="45"/>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46" w:name="_Toc15377222"/>
      <w:r>
        <w:rPr>
          <w:rFonts w:hint="default" w:ascii="Times New Roman" w:hAnsi="Times New Roman" w:eastAsia="楷体_GB2312" w:cs="Times New Roman"/>
          <w:b/>
          <w:sz w:val="32"/>
          <w:szCs w:val="32"/>
        </w:rPr>
        <w:t>（一）机关运行经费支出情况</w:t>
      </w:r>
      <w:bookmarkEnd w:id="4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en-US" w:eastAsia="zh-CN"/>
        </w:rPr>
        <w:t>中共阿坝州委社会工作部</w:t>
      </w:r>
      <w:r>
        <w:rPr>
          <w:rFonts w:hint="default" w:ascii="Times New Roman" w:hAnsi="Times New Roman" w:eastAsia="仿宋_GB2312" w:cs="Times New Roman"/>
          <w:sz w:val="32"/>
          <w:szCs w:val="32"/>
        </w:rPr>
        <w:t>机关运行经费支出</w:t>
      </w:r>
      <w:r>
        <w:rPr>
          <w:rFonts w:hint="eastAsia" w:eastAsia="仿宋_GB2312" w:cs="Times New Roman"/>
          <w:sz w:val="32"/>
          <w:szCs w:val="32"/>
          <w:lang w:val="en-US" w:eastAsia="zh-CN"/>
        </w:rPr>
        <w:t>27.04</w:t>
      </w:r>
      <w:r>
        <w:rPr>
          <w:rFonts w:hint="default" w:ascii="Times New Roman" w:hAnsi="Times New Roman" w:eastAsia="仿宋_GB2312" w:cs="Times New Roman"/>
          <w:sz w:val="32"/>
          <w:szCs w:val="32"/>
        </w:rPr>
        <w:t>万元，比202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年度增加</w:t>
      </w:r>
      <w:r>
        <w:rPr>
          <w:rFonts w:hint="eastAsia" w:eastAsia="仿宋_GB2312" w:cs="Times New Roman"/>
          <w:sz w:val="32"/>
          <w:szCs w:val="32"/>
          <w:lang w:val="en-US" w:eastAsia="zh-CN"/>
        </w:rPr>
        <w:t>27.04</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我</w:t>
      </w:r>
      <w:r>
        <w:rPr>
          <w:rFonts w:hint="default" w:ascii="Times New Roman" w:hAnsi="Times New Roman" w:eastAsia="仿宋_GB2312" w:cs="Times New Roman"/>
          <w:sz w:val="32"/>
          <w:szCs w:val="32"/>
          <w:lang w:val="en-US" w:eastAsia="zh-CN"/>
        </w:rPr>
        <w:t>部为2024年新组建成立部门，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年度无财政拨款收入支出</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47" w:name="_Toc15377223"/>
      <w:r>
        <w:rPr>
          <w:rFonts w:hint="default" w:ascii="Times New Roman" w:hAnsi="Times New Roman" w:eastAsia="楷体_GB2312" w:cs="Times New Roman"/>
          <w:b/>
          <w:sz w:val="32"/>
          <w:szCs w:val="32"/>
        </w:rPr>
        <w:t>（二）政府采购支出情况</w:t>
      </w:r>
      <w:bookmarkEnd w:id="4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en-US" w:eastAsia="zh-CN"/>
        </w:rPr>
        <w:t>中共阿坝州委社会工作部</w:t>
      </w:r>
      <w:r>
        <w:rPr>
          <w:rFonts w:hint="default" w:ascii="Times New Roman" w:hAnsi="Times New Roman" w:eastAsia="仿宋_GB2312" w:cs="Times New Roman"/>
          <w:sz w:val="32"/>
          <w:szCs w:val="32"/>
        </w:rPr>
        <w:t>采购支出总额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48" w:name="_Toc15377224"/>
      <w:r>
        <w:rPr>
          <w:rFonts w:hint="default" w:ascii="Times New Roman" w:hAnsi="Times New Roman" w:eastAsia="楷体_GB2312" w:cs="Times New Roman"/>
          <w:b/>
          <w:sz w:val="32"/>
          <w:szCs w:val="32"/>
        </w:rPr>
        <w:t>（三）国有资产占有使用情况</w:t>
      </w:r>
      <w:bookmarkEnd w:id="4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截至2024年12月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1日，共有车辆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eastAsia" w:eastAsia="仿宋_GB2312" w:cs="Times New Roman"/>
          <w:sz w:val="32"/>
          <w:szCs w:val="32"/>
          <w:lang w:eastAsia="zh-CN"/>
        </w:rPr>
        <w:t>，无固定资产</w:t>
      </w:r>
      <w:r>
        <w:rPr>
          <w:rFonts w:hint="default"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560" w:lineRule="exact"/>
        <w:ind w:firstLine="642"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4月，我部组建成立，未编制部门预算及设置整体支出绩效目标，为保障部机关组建完成后各项工作的正常运转，切实有效履行州委州政府赋予的职能职责，结合我部2024年年度重点工作任务，科学编制追加年度预算及项目绩效目标，严格落实预算绩效管理相关规定，提高绩效目标编制质量，推动绩效目标科学合理、规范完整、细化量化，确保绩效目标的产出效果与部门预算安排相匹配。</w:t>
      </w: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bookmarkStart w:id="49" w:name="_Toc15396613"/>
      <w:bookmarkStart w:id="50" w:name="_Toc15377225"/>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p>
    <w:p>
      <w:pPr>
        <w:pStyle w:val="2"/>
        <w:pageBreakBefore w:val="0"/>
        <w:widowControl w:val="0"/>
        <w:kinsoku/>
        <w:wordWrap/>
        <w:overflowPunct/>
        <w:topLinePunct w:val="0"/>
        <w:autoSpaceDE/>
        <w:autoSpaceDN/>
        <w:bidi w:val="0"/>
        <w:adjustRightInd/>
        <w:snapToGrid/>
        <w:spacing w:line="560" w:lineRule="exact"/>
        <w:textAlignment w:val="auto"/>
        <w:rPr>
          <w:rFonts w:hint="default"/>
        </w:rPr>
      </w:pP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bookmarkEnd w:id="49"/>
      <w:bookmarkEnd w:id="50"/>
    </w:p>
    <w:p>
      <w:pPr>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b/>
          <w:sz w:val="44"/>
          <w:szCs w:val="44"/>
        </w:rPr>
      </w:pP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.基本支出：指为保障机构正常运转、完成日常工作任务而发生的人员支出和公用支出。</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pacing w:line="560" w:lineRule="exact"/>
        <w:jc w:val="center"/>
        <w:textAlignment w:val="auto"/>
        <w:rPr>
          <w:rStyle w:val="16"/>
          <w:rFonts w:hint="default" w:ascii="Times New Roman" w:hAnsi="Times New Roman" w:eastAsia="黑体" w:cs="Times New Roman"/>
          <w:b w:val="0"/>
        </w:rPr>
      </w:pPr>
      <w:bookmarkStart w:id="51" w:name="_Toc15377226"/>
      <w:r>
        <w:rPr>
          <w:rFonts w:hint="default" w:ascii="Times New Roman" w:hAnsi="Times New Roman" w:eastAsia="仿宋_GB2312" w:cs="Times New Roman"/>
          <w:sz w:val="32"/>
          <w:szCs w:val="32"/>
        </w:rPr>
        <w:br w:type="page"/>
      </w:r>
      <w:bookmarkStart w:id="52" w:name="_Toc15396614"/>
      <w:r>
        <w:rPr>
          <w:rFonts w:hint="default" w:ascii="Times New Roman" w:hAnsi="Times New Roman" w:eastAsia="黑体" w:cs="Times New Roman"/>
          <w:sz w:val="44"/>
          <w:szCs w:val="44"/>
        </w:rPr>
        <w:t>第四部分  附件</w:t>
      </w:r>
      <w:bookmarkEnd w:id="52"/>
    </w:p>
    <w:p>
      <w:pPr>
        <w:pageBreakBefore w:val="0"/>
        <w:kinsoku/>
        <w:wordWrap/>
        <w:overflowPunct/>
        <w:topLinePunct w:val="0"/>
        <w:autoSpaceDE/>
        <w:autoSpaceDN/>
        <w:bidi w:val="0"/>
        <w:spacing w:line="560" w:lineRule="exact"/>
        <w:jc w:val="left"/>
        <w:textAlignment w:val="auto"/>
        <w:outlineLvl w:val="0"/>
        <w:rPr>
          <w:rFonts w:hint="default" w:ascii="Times New Roman" w:hAnsi="Times New Roman" w:eastAsia="黑体" w:cs="Times New Roman"/>
          <w:color w:val="FF0000"/>
          <w:sz w:val="32"/>
          <w:szCs w:val="32"/>
        </w:rPr>
      </w:pPr>
    </w:p>
    <w:p>
      <w:pPr>
        <w:pageBreakBefore w:val="0"/>
        <w:kinsoku/>
        <w:wordWrap/>
        <w:overflowPunct/>
        <w:topLinePunct w:val="0"/>
        <w:autoSpaceDE/>
        <w:autoSpaceDN/>
        <w:bidi w:val="0"/>
        <w:spacing w:line="560" w:lineRule="exact"/>
        <w:jc w:val="left"/>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pPr>
        <w:pStyle w:val="7"/>
        <w:pageBreakBefore w:val="0"/>
        <w:kinsoku/>
        <w:wordWrap/>
        <w:overflowPunct/>
        <w:topLinePunct w:val="0"/>
        <w:autoSpaceDE/>
        <w:autoSpaceDN/>
        <w:bidi w:val="0"/>
        <w:spacing w:line="560" w:lineRule="exact"/>
        <w:ind w:left="0" w:leftChars="0" w:firstLine="640"/>
        <w:jc w:val="center"/>
        <w:textAlignment w:val="auto"/>
        <w:rPr>
          <w:rFonts w:hint="default" w:ascii="Times New Roman" w:hAnsi="Times New Roman" w:eastAsia="宋体" w:cs="Times New Roman"/>
          <w:b/>
          <w:bCs/>
          <w:sz w:val="36"/>
          <w:szCs w:val="36"/>
        </w:rPr>
      </w:pPr>
      <w:r>
        <w:rPr>
          <w:rFonts w:hint="eastAsia" w:ascii="Times New Roman" w:cs="Times New Roman"/>
          <w:b/>
          <w:bCs/>
          <w:sz w:val="36"/>
          <w:szCs w:val="36"/>
          <w:lang w:eastAsia="zh-CN"/>
        </w:rPr>
        <w:t>中共阿坝</w:t>
      </w:r>
      <w:r>
        <w:rPr>
          <w:rFonts w:hint="default" w:ascii="Times New Roman" w:hAnsi="Times New Roman" w:cs="Times New Roman"/>
          <w:b/>
          <w:bCs/>
          <w:sz w:val="36"/>
          <w:szCs w:val="36"/>
          <w:lang w:eastAsia="zh-CN"/>
        </w:rPr>
        <w:t>州</w:t>
      </w:r>
      <w:r>
        <w:rPr>
          <w:rFonts w:hint="default" w:ascii="Times New Roman" w:hAnsi="Times New Roman" w:eastAsia="宋体" w:cs="Times New Roman"/>
          <w:b/>
          <w:bCs/>
          <w:sz w:val="36"/>
          <w:szCs w:val="36"/>
        </w:rPr>
        <w:t>委社会工作部部门预算绩效</w:t>
      </w:r>
    </w:p>
    <w:p>
      <w:pPr>
        <w:pStyle w:val="7"/>
        <w:pageBreakBefore w:val="0"/>
        <w:kinsoku/>
        <w:wordWrap/>
        <w:overflowPunct/>
        <w:topLinePunct w:val="0"/>
        <w:autoSpaceDE/>
        <w:autoSpaceDN/>
        <w:bidi w:val="0"/>
        <w:spacing w:line="560" w:lineRule="exact"/>
        <w:ind w:left="0" w:leftChars="0" w:firstLine="640"/>
        <w:jc w:val="center"/>
        <w:textAlignment w:val="auto"/>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自评报告</w:t>
      </w:r>
    </w:p>
    <w:p>
      <w:pPr>
        <w:pStyle w:val="7"/>
        <w:pageBreakBefore w:val="0"/>
        <w:numPr>
          <w:ilvl w:val="0"/>
          <w:numId w:val="1"/>
        </w:numPr>
        <w:kinsoku/>
        <w:wordWrap/>
        <w:overflowPunct/>
        <w:topLinePunct w:val="0"/>
        <w:autoSpaceDE/>
        <w:autoSpaceDN/>
        <w:bidi w:val="0"/>
        <w:spacing w:line="560" w:lineRule="exact"/>
        <w:ind w:left="60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部门基本情况 </w:t>
      </w:r>
    </w:p>
    <w:p>
      <w:pPr>
        <w:pStyle w:val="7"/>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机构组成</w:t>
      </w:r>
      <w:r>
        <w:rPr>
          <w:rFonts w:hint="default" w:ascii="Times New Roman" w:hAnsi="Times New Roman" w:eastAsia="楷体" w:cs="Times New Roman"/>
          <w:b/>
          <w:bCs/>
          <w:sz w:val="24"/>
          <w:szCs w:val="24"/>
        </w:rPr>
        <w:t xml:space="preserve"> </w:t>
      </w:r>
    </w:p>
    <w:p>
      <w:pPr>
        <w:pStyle w:val="7"/>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委社会工作部为</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本级一级预算单位，部机关下设</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个内设机构，分别为办公室、一</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lang w:eastAsia="zh-CN"/>
        </w:rPr>
        <w:t>科</w:t>
      </w:r>
      <w:r>
        <w:rPr>
          <w:rFonts w:hint="default" w:ascii="Times New Roman" w:hAnsi="Times New Roman" w:eastAsia="仿宋" w:cs="Times New Roman"/>
          <w:sz w:val="32"/>
          <w:szCs w:val="32"/>
        </w:rPr>
        <w:t xml:space="preserve">。 </w:t>
      </w:r>
    </w:p>
    <w:p>
      <w:pPr>
        <w:pStyle w:val="7"/>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 xml:space="preserve">）机构职能 </w:t>
      </w:r>
    </w:p>
    <w:p>
      <w:pPr>
        <w:pStyle w:val="7"/>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委社会工作部主要职责是负责统筹指导人民信访工作， 指导人民建议征集工作，统筹推进党建引领基层治理和基层政权建设，统一领导全</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 xml:space="preserve">行业协会商会党建工作，协调推动行业协会商会深化改革和转型发展，指导混合所有制企业、非公有 制企业和新经济组织、新社会组织、新就业群体党建工作，指导社会工作人才队伍建设，负责志愿服务工作等。 </w:t>
      </w:r>
    </w:p>
    <w:p>
      <w:pPr>
        <w:pStyle w:val="7"/>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eastAsia="zh-CN"/>
        </w:rPr>
        <w:t>）人员概况</w:t>
      </w:r>
    </w:p>
    <w:p>
      <w:pPr>
        <w:pStyle w:val="7"/>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截至2024年12月1日，行政编制</w:t>
      </w: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名，年末行政人员</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人。</w:t>
      </w:r>
    </w:p>
    <w:p>
      <w:pPr>
        <w:pStyle w:val="7"/>
        <w:pageBreakBefore w:val="0"/>
        <w:numPr>
          <w:ilvl w:val="0"/>
          <w:numId w:val="1"/>
        </w:numPr>
        <w:kinsoku/>
        <w:wordWrap/>
        <w:overflowPunct/>
        <w:topLinePunct w:val="0"/>
        <w:autoSpaceDE/>
        <w:autoSpaceDN/>
        <w:bidi w:val="0"/>
        <w:spacing w:line="560" w:lineRule="exact"/>
        <w:ind w:left="60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部门资金收支情况 </w:t>
      </w:r>
    </w:p>
    <w:p>
      <w:pPr>
        <w:pStyle w:val="7"/>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eastAsia="zh-CN"/>
        </w:rPr>
        <w:t>）收入情况</w:t>
      </w:r>
    </w:p>
    <w:p>
      <w:pPr>
        <w:pStyle w:val="7"/>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lang w:val="zh-CN" w:bidi="ar"/>
        </w:rPr>
      </w:pP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委社会工作部2024年收入总额为</w:t>
      </w:r>
      <w:r>
        <w:rPr>
          <w:rFonts w:hint="eastAsia" w:ascii="Times New Roman" w:eastAsia="仿宋" w:cs="Times New Roman"/>
          <w:sz w:val="32"/>
          <w:szCs w:val="32"/>
          <w:lang w:val="en-US" w:eastAsia="zh-CN"/>
        </w:rPr>
        <w:t>88.21</w:t>
      </w:r>
      <w:r>
        <w:rPr>
          <w:rFonts w:hint="default" w:ascii="Times New Roman" w:hAnsi="Times New Roman" w:eastAsia="仿宋" w:cs="Times New Roman"/>
          <w:sz w:val="32"/>
          <w:szCs w:val="32"/>
        </w:rPr>
        <w:t>万元，均为一般公共预算财政拨款收入</w:t>
      </w:r>
      <w:r>
        <w:rPr>
          <w:rFonts w:hint="eastAsia" w:ascii="Times New Roman" w:eastAsia="仿宋" w:cs="Times New Roman"/>
          <w:sz w:val="32"/>
          <w:szCs w:val="32"/>
          <w:lang w:val="en-US" w:eastAsia="zh-CN"/>
        </w:rPr>
        <w:t>88.21</w:t>
      </w:r>
      <w:r>
        <w:rPr>
          <w:rFonts w:hint="default" w:ascii="Times New Roman" w:hAnsi="Times New Roman" w:eastAsia="仿宋" w:cs="Times New Roman"/>
          <w:sz w:val="32"/>
          <w:szCs w:val="32"/>
        </w:rPr>
        <w:t xml:space="preserve">万元，占收入总额的100%。 </w:t>
      </w:r>
    </w:p>
    <w:p>
      <w:pPr>
        <w:pStyle w:val="7"/>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 xml:space="preserve">）支出情况 </w:t>
      </w:r>
    </w:p>
    <w:p>
      <w:pPr>
        <w:pStyle w:val="7"/>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委社会工作部2024年支出总额为</w:t>
      </w:r>
      <w:r>
        <w:rPr>
          <w:rFonts w:hint="eastAsia" w:ascii="Times New Roman" w:eastAsia="仿宋" w:cs="Times New Roman"/>
          <w:sz w:val="32"/>
          <w:szCs w:val="32"/>
          <w:lang w:val="en-US" w:eastAsia="zh-CN"/>
        </w:rPr>
        <w:t>88.21</w:t>
      </w:r>
      <w:r>
        <w:rPr>
          <w:rFonts w:hint="default" w:ascii="Times New Roman" w:hAnsi="Times New Roman" w:eastAsia="仿宋" w:cs="Times New Roman"/>
          <w:sz w:val="32"/>
          <w:szCs w:val="32"/>
        </w:rPr>
        <w:t>万元，其中： 基本支出</w:t>
      </w:r>
      <w:r>
        <w:rPr>
          <w:rFonts w:hint="eastAsia" w:ascii="Times New Roman" w:eastAsia="仿宋" w:cs="Times New Roman"/>
          <w:sz w:val="32"/>
          <w:szCs w:val="32"/>
          <w:lang w:val="en-US" w:eastAsia="zh-CN"/>
        </w:rPr>
        <w:t>88.21</w:t>
      </w:r>
      <w:r>
        <w:rPr>
          <w:rFonts w:hint="default" w:ascii="Times New Roman" w:hAnsi="Times New Roman" w:eastAsia="仿宋" w:cs="Times New Roman"/>
          <w:sz w:val="32"/>
          <w:szCs w:val="32"/>
        </w:rPr>
        <w:t>万元（人员经费</w:t>
      </w:r>
      <w:r>
        <w:rPr>
          <w:rFonts w:hint="eastAsia" w:ascii="Times New Roman" w:eastAsia="仿宋" w:cs="Times New Roman"/>
          <w:sz w:val="32"/>
          <w:szCs w:val="32"/>
          <w:lang w:val="en-US" w:eastAsia="zh-CN"/>
        </w:rPr>
        <w:t>61.17</w:t>
      </w:r>
      <w:r>
        <w:rPr>
          <w:rFonts w:hint="default" w:ascii="Times New Roman" w:hAnsi="Times New Roman" w:eastAsia="仿宋" w:cs="Times New Roman"/>
          <w:sz w:val="32"/>
          <w:szCs w:val="32"/>
        </w:rPr>
        <w:t>万元，公用经费</w:t>
      </w:r>
      <w:r>
        <w:rPr>
          <w:rFonts w:hint="eastAsia" w:ascii="Times New Roman" w:eastAsia="仿宋" w:cs="Times New Roman"/>
          <w:sz w:val="32"/>
          <w:szCs w:val="32"/>
          <w:lang w:val="en-US" w:eastAsia="zh-CN"/>
        </w:rPr>
        <w:t>27.04</w:t>
      </w:r>
      <w:r>
        <w:rPr>
          <w:rFonts w:hint="default" w:ascii="Times New Roman" w:hAnsi="Times New Roman" w:eastAsia="仿宋" w:cs="Times New Roman"/>
          <w:sz w:val="32"/>
          <w:szCs w:val="32"/>
        </w:rPr>
        <w:t>万元），占支出总额的</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w:t>
      </w:r>
      <w:r>
        <w:rPr>
          <w:rFonts w:hint="eastAsia" w:ascii="Times New Roman" w:eastAsia="仿宋" w:cs="Times New Roman"/>
          <w:sz w:val="32"/>
          <w:szCs w:val="32"/>
          <w:lang w:eastAsia="zh-CN"/>
        </w:rPr>
        <w:t>。</w:t>
      </w:r>
    </w:p>
    <w:p>
      <w:pPr>
        <w:pStyle w:val="7"/>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（三）结余分配和结转结余情况</w:t>
      </w:r>
    </w:p>
    <w:p>
      <w:pPr>
        <w:pStyle w:val="7"/>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委社会工作部2024年无结转结余。</w:t>
      </w:r>
    </w:p>
    <w:p>
      <w:pPr>
        <w:pStyle w:val="7"/>
        <w:pageBreakBefore w:val="0"/>
        <w:numPr>
          <w:ilvl w:val="0"/>
          <w:numId w:val="1"/>
        </w:numPr>
        <w:kinsoku/>
        <w:wordWrap/>
        <w:overflowPunct/>
        <w:topLinePunct w:val="0"/>
        <w:autoSpaceDE/>
        <w:autoSpaceDN/>
        <w:bidi w:val="0"/>
        <w:spacing w:line="560" w:lineRule="exact"/>
        <w:ind w:left="60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部门预算绩效分析 </w:t>
      </w:r>
    </w:p>
    <w:p>
      <w:pPr>
        <w:pStyle w:val="7"/>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val="en-US" w:eastAsia="zh-CN"/>
        </w:rPr>
        <w:t>（一）部门预算总体绩效分析</w:t>
      </w:r>
      <w:r>
        <w:rPr>
          <w:rFonts w:hint="default" w:ascii="Times New Roman" w:hAnsi="Times New Roman" w:eastAsia="仿宋" w:cs="Times New Roman"/>
          <w:sz w:val="32"/>
          <w:szCs w:val="32"/>
        </w:rPr>
        <w:t xml:space="preserve"> </w:t>
      </w:r>
    </w:p>
    <w:p>
      <w:pPr>
        <w:pStyle w:val="7"/>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bookmarkStart w:id="67" w:name="_GoBack"/>
      <w:bookmarkEnd w:id="67"/>
      <w:r>
        <w:rPr>
          <w:rFonts w:hint="default" w:ascii="Times New Roman" w:hAnsi="Times New Roman" w:eastAsia="仿宋" w:cs="Times New Roman"/>
          <w:sz w:val="32"/>
          <w:szCs w:val="32"/>
        </w:rPr>
        <w:t>2024年</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月，我部组建成立，未编制部门预算及设置整体 支出绩效目标，为保障部机关组建完成后各项工作的正常运转，切实有效履行</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政府赋予的职能职责，结合我部2024年年度重点工作任务，我们科学编制追加年度预算及项目绩效目标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严格落实预算绩效管理相关规定，提高绩效目标编制质量，推动绩效目标科学合理、规范完整、细化量化，确保绩效目标的产出效果与部门预算安排相匹配。 一是严格部门预算管理。严格按照《中华人民共和国预算法》《国务院关于深化预算管理制度改革的决定》《四川</w:t>
      </w:r>
      <w:r>
        <w:rPr>
          <w:rFonts w:hint="default" w:ascii="Times New Roman" w:hAnsi="Times New Roman" w:eastAsia="仿宋" w:cs="Times New Roman"/>
          <w:sz w:val="32"/>
          <w:szCs w:val="32"/>
          <w:lang w:val="en-US" w:eastAsia="zh-CN"/>
        </w:rPr>
        <w:t>省</w:t>
      </w:r>
      <w:r>
        <w:rPr>
          <w:rFonts w:hint="default" w:ascii="Times New Roman" w:hAnsi="Times New Roman" w:eastAsia="仿宋" w:cs="Times New Roman"/>
          <w:sz w:val="32"/>
          <w:szCs w:val="32"/>
        </w:rPr>
        <w:t>委</w:t>
      </w:r>
      <w:r>
        <w:rPr>
          <w:rFonts w:hint="default" w:ascii="Times New Roman" w:hAnsi="Times New Roman" w:eastAsia="仿宋" w:cs="Times New Roman"/>
          <w:sz w:val="32"/>
          <w:szCs w:val="32"/>
          <w:lang w:val="en-US" w:eastAsia="zh-CN"/>
        </w:rPr>
        <w:t>省</w:t>
      </w:r>
      <w:r>
        <w:rPr>
          <w:rFonts w:hint="default" w:ascii="Times New Roman" w:hAnsi="Times New Roman" w:eastAsia="仿宋" w:cs="Times New Roman"/>
          <w:sz w:val="32"/>
          <w:szCs w:val="32"/>
        </w:rPr>
        <w:t>政府关于全面实施预算绩效管理的实施意见》等有关规定，结合</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委</w:t>
      </w:r>
      <w:r>
        <w:rPr>
          <w:rFonts w:hint="default" w:ascii="Times New Roman" w:hAnsi="Times New Roman" w:eastAsia="仿宋" w:cs="Times New Roman"/>
          <w:sz w:val="32"/>
          <w:szCs w:val="32"/>
          <w:lang w:eastAsia="zh-CN"/>
        </w:rPr>
        <w:t>州</w:t>
      </w:r>
      <w:r>
        <w:rPr>
          <w:rFonts w:hint="default" w:ascii="Times New Roman" w:hAnsi="Times New Roman" w:eastAsia="仿宋" w:cs="Times New Roman"/>
          <w:sz w:val="32"/>
          <w:szCs w:val="32"/>
        </w:rPr>
        <w:t>政府重点工作及我部年度工作，围绕职能职责、行政效能、服务质量、自身建设和中长期发展规划等方面，科学编制追加2024年部门预算及预算绩效目标。积极统筹年度工作任务，严格按照预算计划推动预算执行，提高执行进度。严格落实厉行节约相关规定，把习惯过紧日子贯穿到预算管理的全过程，严控一般性支出。二是规范部门财务管理。为规范我部日常财务管理，保障资金使用效率及安全，提高经费使用效益，结合各类财经法规政策，我部制定了</w:t>
      </w:r>
      <w:r>
        <w:rPr>
          <w:rFonts w:hint="default" w:ascii="Times New Roman" w:hAnsi="Times New Roman" w:eastAsia="仿宋" w:cs="Times New Roman"/>
          <w:sz w:val="32"/>
          <w:szCs w:val="32"/>
          <w:highlight w:val="none"/>
        </w:rPr>
        <w:t>《</w:t>
      </w:r>
      <w:r>
        <w:rPr>
          <w:rFonts w:hint="eastAsia" w:ascii="Times New Roman" w:eastAsia="仿宋" w:cs="Times New Roman"/>
          <w:sz w:val="32"/>
          <w:szCs w:val="32"/>
          <w:highlight w:val="none"/>
          <w:lang w:eastAsia="zh-CN"/>
        </w:rPr>
        <w:t>中共阿坝</w:t>
      </w:r>
      <w:r>
        <w:rPr>
          <w:rFonts w:hint="default" w:ascii="Times New Roman" w:hAnsi="Times New Roman" w:eastAsia="仿宋" w:cs="Times New Roman"/>
          <w:sz w:val="32"/>
          <w:szCs w:val="32"/>
          <w:highlight w:val="none"/>
          <w:lang w:eastAsia="zh-CN"/>
        </w:rPr>
        <w:t>州</w:t>
      </w:r>
      <w:r>
        <w:rPr>
          <w:rFonts w:hint="default" w:ascii="Times New Roman" w:hAnsi="Times New Roman" w:eastAsia="仿宋" w:cs="Times New Roman"/>
          <w:sz w:val="32"/>
          <w:szCs w:val="32"/>
          <w:highlight w:val="none"/>
        </w:rPr>
        <w:t>委社会工作部</w:t>
      </w:r>
      <w:r>
        <w:rPr>
          <w:rFonts w:hint="eastAsia" w:ascii="Times New Roman" w:eastAsia="仿宋" w:cs="Times New Roman"/>
          <w:sz w:val="32"/>
          <w:szCs w:val="32"/>
          <w:highlight w:val="none"/>
          <w:lang w:eastAsia="zh-CN"/>
        </w:rPr>
        <w:t>部机关</w:t>
      </w:r>
      <w:r>
        <w:rPr>
          <w:rFonts w:hint="default" w:ascii="Times New Roman" w:hAnsi="Times New Roman" w:eastAsia="仿宋" w:cs="Times New Roman"/>
          <w:sz w:val="32"/>
          <w:szCs w:val="32"/>
          <w:highlight w:val="none"/>
        </w:rPr>
        <w:t>财务</w:t>
      </w:r>
      <w:r>
        <w:rPr>
          <w:rFonts w:hint="eastAsia" w:ascii="Times New Roman" w:eastAsia="仿宋" w:cs="Times New Roman"/>
          <w:sz w:val="32"/>
          <w:szCs w:val="32"/>
          <w:highlight w:val="none"/>
          <w:lang w:eastAsia="zh-CN"/>
        </w:rPr>
        <w:t>经费</w:t>
      </w:r>
      <w:r>
        <w:rPr>
          <w:rFonts w:hint="default" w:ascii="Times New Roman" w:hAnsi="Times New Roman" w:eastAsia="仿宋" w:cs="Times New Roman"/>
          <w:sz w:val="32"/>
          <w:szCs w:val="32"/>
          <w:highlight w:val="none"/>
        </w:rPr>
        <w:t>管理</w:t>
      </w:r>
      <w:r>
        <w:rPr>
          <w:rFonts w:hint="eastAsia" w:ascii="Times New Roman" w:eastAsia="仿宋" w:cs="Times New Roman"/>
          <w:sz w:val="32"/>
          <w:szCs w:val="32"/>
          <w:highlight w:val="none"/>
          <w:lang w:eastAsia="zh-CN"/>
        </w:rPr>
        <w:t>细则</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rPr>
        <w:t>等内控制度，对部门预算与决算管理、收入管理、费用支出报销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“三公”经费支出管理等作出了明确详细的规定，确保日常财务管 理合法、合规、完整；根据岗位不相容的相关规定，保障会计、出纳财务岗相互监督、相互督促，办公室分设会计和出纳岗位，明确相关职责，实现了不相容岗位分离。按照中央财经法规、财政</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预算批复及单位财务管理制度规定使用资金，资金支出方向符合财政</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批复用途，资金使用合规；大额经费支出严格 履行“三重一大”决策程序，支出报销程序规范、手续完整，报账资料齐全。2024年在预算执行中严格履行相关决策程序。</w:t>
      </w:r>
    </w:p>
    <w:p>
      <w:pPr>
        <w:pStyle w:val="7"/>
        <w:pageBreakBefore w:val="0"/>
        <w:numPr>
          <w:ilvl w:val="0"/>
          <w:numId w:val="0"/>
        </w:numPr>
        <w:kinsoku/>
        <w:wordWrap/>
        <w:overflowPunct/>
        <w:topLinePunct w:val="0"/>
        <w:autoSpaceDE/>
        <w:autoSpaceDN/>
        <w:bidi w:val="0"/>
        <w:spacing w:line="56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（二）绩效结果应用情况</w:t>
      </w:r>
    </w:p>
    <w:p>
      <w:pPr>
        <w:pStyle w:val="7"/>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积极推行绩效运行监控管理机制。将预算编制、执行、监督与预算绩效目标管理相结合，定期通报预算执行进度，分析预算执行偏差原因，加大预算执行监督，把每一笔资金都用在明</w:t>
      </w:r>
      <w:r>
        <w:rPr>
          <w:rFonts w:hint="default" w:ascii="Times New Roman" w:hAnsi="Times New Roman" w:eastAsia="仿宋" w:cs="Times New Roman"/>
          <w:sz w:val="32"/>
          <w:szCs w:val="32"/>
          <w:lang w:val="en-US" w:eastAsia="zh-CN"/>
        </w:rPr>
        <w:t>处</w:t>
      </w:r>
      <w:r>
        <w:rPr>
          <w:rFonts w:hint="default" w:ascii="Times New Roman" w:hAnsi="Times New Roman" w:eastAsia="仿宋" w:cs="Times New Roman"/>
          <w:sz w:val="32"/>
          <w:szCs w:val="32"/>
        </w:rPr>
        <w:t>、用到实</w:t>
      </w:r>
      <w:r>
        <w:rPr>
          <w:rFonts w:hint="default" w:ascii="Times New Roman" w:hAnsi="Times New Roman" w:eastAsia="仿宋" w:cs="Times New Roman"/>
          <w:sz w:val="32"/>
          <w:szCs w:val="32"/>
          <w:lang w:val="en-US" w:eastAsia="zh-CN"/>
        </w:rPr>
        <w:t>处</w:t>
      </w:r>
      <w:r>
        <w:rPr>
          <w:rFonts w:hint="default" w:ascii="Times New Roman" w:hAnsi="Times New Roman" w:eastAsia="仿宋" w:cs="Times New Roman"/>
          <w:sz w:val="32"/>
          <w:szCs w:val="32"/>
        </w:rPr>
        <w:t>、用出效益，确保项目经费开支按时、保质、按规定使用，确实提高资金使用效率。2024年在预算执行等方面未受到财政</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、审计</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提出有关预算执行和预算绩效管理方面的问题。</w:t>
      </w:r>
    </w:p>
    <w:p>
      <w:pPr>
        <w:pStyle w:val="7"/>
        <w:pageBreakBefore w:val="0"/>
        <w:numPr>
          <w:ilvl w:val="0"/>
          <w:numId w:val="1"/>
        </w:numPr>
        <w:kinsoku/>
        <w:wordWrap/>
        <w:overflowPunct/>
        <w:topLinePunct w:val="0"/>
        <w:autoSpaceDE/>
        <w:autoSpaceDN/>
        <w:bidi w:val="0"/>
        <w:spacing w:line="560" w:lineRule="exact"/>
        <w:ind w:left="60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评价结论及建议 </w:t>
      </w:r>
    </w:p>
    <w:p>
      <w:pPr>
        <w:pStyle w:val="7"/>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lang w:val="zh-CN" w:bidi="ar"/>
        </w:rPr>
      </w:pPr>
      <w:r>
        <w:rPr>
          <w:rFonts w:hint="default" w:ascii="Times New Roman" w:hAnsi="Times New Roman" w:eastAsia="仿宋" w:cs="Times New Roman"/>
          <w:sz w:val="32"/>
          <w:szCs w:val="32"/>
        </w:rPr>
        <w:t>按照部门预算绩效评价指标体系评价，我</w:t>
      </w:r>
      <w:r>
        <w:rPr>
          <w:rFonts w:hint="eastAsia" w:ascii="Times New Roman" w:eastAsia="仿宋" w:cs="Times New Roman"/>
          <w:sz w:val="32"/>
          <w:szCs w:val="32"/>
          <w:lang w:val="en-US" w:eastAsia="zh-CN"/>
        </w:rPr>
        <w:t>部门</w:t>
      </w:r>
      <w:r>
        <w:rPr>
          <w:rFonts w:hint="default" w:ascii="Times New Roman" w:hAnsi="Times New Roman" w:eastAsia="仿宋" w:cs="Times New Roman"/>
          <w:sz w:val="32"/>
          <w:szCs w:val="32"/>
        </w:rPr>
        <w:t>2024年度部门预算具有明确的用途和目标，制定了比较详细的执行计划，资金到位及时并严格按照财政有关规定使用。预算决策、管理、执行等工作日益规范，能较好地满足我部各项运转工作需要，取得了良好经济效益和社会效益。</w:t>
      </w:r>
    </w:p>
    <w:p>
      <w:pPr>
        <w:pStyle w:val="7"/>
        <w:pageBreakBefore w:val="0"/>
        <w:kinsoku/>
        <w:wordWrap/>
        <w:overflowPunct/>
        <w:topLinePunct w:val="0"/>
        <w:autoSpaceDE/>
        <w:autoSpaceDN/>
        <w:bidi w:val="0"/>
        <w:spacing w:line="560" w:lineRule="exact"/>
        <w:ind w:left="0" w:leftChars="0" w:firstLine="640"/>
        <w:textAlignment w:val="auto"/>
        <w:rPr>
          <w:rFonts w:hint="default" w:ascii="Times New Roman" w:hAnsi="Times New Roman" w:eastAsia="仿宋" w:cs="Times New Roman"/>
          <w:sz w:val="32"/>
          <w:szCs w:val="32"/>
          <w:lang w:val="zh-CN" w:bidi="ar"/>
        </w:rPr>
      </w:pPr>
      <w:r>
        <w:rPr>
          <w:rFonts w:hint="default" w:ascii="Times New Roman" w:hAnsi="Times New Roman" w:eastAsia="仿宋" w:cs="Times New Roman"/>
          <w:sz w:val="32"/>
          <w:szCs w:val="32"/>
          <w:lang w:val="zh-CN" w:bidi="ar"/>
        </w:rPr>
        <w:t>附表：</w:t>
      </w:r>
      <w:r>
        <w:rPr>
          <w:rFonts w:hint="default" w:ascii="Times New Roman" w:hAnsi="Times New Roman" w:eastAsia="仿宋" w:cs="Times New Roman"/>
          <w:sz w:val="32"/>
          <w:szCs w:val="32"/>
          <w:lang w:bidi="ar"/>
        </w:rPr>
        <w:t>部门预算项目支出绩效自评表（2024年度）</w:t>
      </w: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pStyle w:val="5"/>
        <w:pageBreakBefore w:val="0"/>
        <w:kinsoku/>
        <w:wordWrap/>
        <w:overflowPunct/>
        <w:topLinePunct w:val="0"/>
        <w:autoSpaceDE/>
        <w:autoSpaceDN/>
        <w:bidi w:val="0"/>
        <w:spacing w:before="93" w:line="560" w:lineRule="exact"/>
        <w:textAlignment w:val="auto"/>
        <w:rPr>
          <w:rFonts w:hint="default" w:ascii="Times New Roman" w:hAnsi="Times New Roman" w:cs="Times New Roman"/>
          <w:color w:val="FF0000"/>
          <w:sz w:val="32"/>
          <w:szCs w:val="32"/>
          <w:highlight w:val="yellow"/>
          <w:shd w:val="clear" w:color="auto" w:fill="FFFFFF"/>
          <w:lang w:val="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kern w:val="2"/>
          <w:sz w:val="32"/>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部门预算绩效自评打分表</w:t>
      </w:r>
    </w:p>
    <w:tbl>
      <w:tblPr>
        <w:tblStyle w:val="12"/>
        <w:tblW w:w="11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1275"/>
        <w:gridCol w:w="1770"/>
        <w:gridCol w:w="705"/>
        <w:gridCol w:w="4485"/>
        <w:gridCol w:w="885"/>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6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4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12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4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i w:val="0"/>
                <w:color w:val="000000"/>
                <w:sz w:val="24"/>
                <w:szCs w:val="24"/>
                <w:u w:val="none"/>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i w:val="0"/>
                <w:color w:val="000000"/>
                <w:sz w:val="24"/>
                <w:szCs w:val="24"/>
                <w:u w:val="none"/>
              </w:rPr>
            </w:pPr>
          </w:p>
        </w:tc>
        <w:tc>
          <w:tcPr>
            <w:tcW w:w="12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履职效果</w:t>
            </w:r>
          </w:p>
        </w:tc>
        <w:tc>
          <w:tcPr>
            <w:tcW w:w="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部门整体绩效目标中选定3-5个核心职能目标，反映该项职能目标完成效果情况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单位收入统筹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部门统筹自有收入程度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无年初预算，10月下达资金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支出执行进度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部门1至6月、1至10月预算执行情况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无年初预算，10月下达资金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预算年终结余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部门整体年终预算结余情况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无结余结转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严控一般性支出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财务管理制度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部门财务管理制度建立情况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资金使用规范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人均资产变化率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部门人均资产变化情况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资产盘活率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部门闲置一年以上的资产盘活情况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部门政府采购项目资金支付比例情况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27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2024年无项目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被评价部门配合度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4"/>
                <w:szCs w:val="24"/>
                <w:u w:val="none"/>
                <w:lang w:val="en-US" w:eastAsia="zh-CN" w:bidi="ar"/>
              </w:rPr>
            </w:pPr>
          </w:p>
        </w:tc>
      </w:tr>
    </w:tbl>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44"/>
          <w:szCs w:val="44"/>
        </w:rPr>
      </w:pPr>
      <w:bookmarkStart w:id="53" w:name="_Toc15396618"/>
    </w:p>
    <w:p>
      <w:pPr>
        <w:pStyle w:val="2"/>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44"/>
          <w:szCs w:val="44"/>
        </w:rPr>
      </w:pPr>
    </w:p>
    <w:p>
      <w:pPr>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16"/>
          <w:rFonts w:hint="default" w:ascii="Times New Roman" w:hAnsi="Times New Roman" w:eastAsia="黑体" w:cs="Times New Roman"/>
          <w:b w:val="0"/>
        </w:rPr>
        <w:t>五部分 附表</w:t>
      </w:r>
      <w:bookmarkEnd w:id="51"/>
      <w:bookmarkEnd w:id="53"/>
      <w:bookmarkStart w:id="54" w:name="_Toc15396619"/>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4"/>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55" w:name="_Toc15396620"/>
      <w:r>
        <w:rPr>
          <w:rFonts w:hint="default" w:ascii="Times New Roman" w:hAnsi="Times New Roman" w:eastAsia="仿宋_GB2312" w:cs="Times New Roman"/>
          <w:sz w:val="32"/>
          <w:szCs w:val="32"/>
        </w:rPr>
        <w:t>二、收入决算表</w:t>
      </w:r>
      <w:bookmarkEnd w:id="55"/>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56" w:name="_Toc15396621"/>
      <w:r>
        <w:rPr>
          <w:rFonts w:hint="default" w:ascii="Times New Roman" w:hAnsi="Times New Roman" w:eastAsia="仿宋_GB2312" w:cs="Times New Roman"/>
          <w:sz w:val="32"/>
          <w:szCs w:val="32"/>
        </w:rPr>
        <w:t>三、支出决算表</w:t>
      </w:r>
      <w:bookmarkEnd w:id="56"/>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57" w:name="_Toc15396622"/>
      <w:r>
        <w:rPr>
          <w:rFonts w:hint="default" w:ascii="Times New Roman" w:hAnsi="Times New Roman" w:eastAsia="仿宋_GB2312" w:cs="Times New Roman"/>
          <w:sz w:val="32"/>
          <w:szCs w:val="32"/>
        </w:rPr>
        <w:t>四、财政拨款收入支出决算总表</w:t>
      </w:r>
      <w:bookmarkEnd w:id="57"/>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58" w:name="_Toc15396623"/>
      <w:r>
        <w:rPr>
          <w:rFonts w:hint="default" w:ascii="Times New Roman" w:hAnsi="Times New Roman" w:eastAsia="仿宋_GB2312" w:cs="Times New Roman"/>
          <w:sz w:val="32"/>
          <w:szCs w:val="32"/>
        </w:rPr>
        <w:t>五、财政拨款支出决算明细表</w:t>
      </w:r>
      <w:bookmarkEnd w:id="58"/>
      <w:bookmarkStart w:id="59" w:name="_Toc15396624"/>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59"/>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0" w:name="_Toc15396625"/>
      <w:r>
        <w:rPr>
          <w:rFonts w:hint="default" w:ascii="Times New Roman" w:hAnsi="Times New Roman" w:eastAsia="仿宋_GB2312" w:cs="Times New Roman"/>
          <w:sz w:val="32"/>
          <w:szCs w:val="32"/>
        </w:rPr>
        <w:t>七、一般公共预算财政拨款支出决算明细表</w:t>
      </w:r>
      <w:bookmarkEnd w:id="60"/>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1" w:name="_Toc15396626"/>
      <w:r>
        <w:rPr>
          <w:rFonts w:hint="default" w:ascii="Times New Roman" w:hAnsi="Times New Roman" w:eastAsia="仿宋_GB2312" w:cs="Times New Roman"/>
          <w:sz w:val="32"/>
          <w:szCs w:val="32"/>
        </w:rPr>
        <w:t>八、一般公共预算财政拨款基本支出决算表</w:t>
      </w:r>
      <w:bookmarkEnd w:id="61"/>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2" w:name="_Toc15396627"/>
      <w:r>
        <w:rPr>
          <w:rFonts w:hint="default" w:ascii="Times New Roman" w:hAnsi="Times New Roman" w:eastAsia="仿宋_GB2312" w:cs="Times New Roman"/>
          <w:sz w:val="32"/>
          <w:szCs w:val="32"/>
        </w:rPr>
        <w:t>九、一般公共预算财政拨款项目支出决算表</w:t>
      </w:r>
      <w:bookmarkEnd w:id="62"/>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3" w:name="_Toc15396628"/>
      <w:r>
        <w:rPr>
          <w:rFonts w:hint="default" w:ascii="Times New Roman" w:hAnsi="Times New Roman" w:eastAsia="仿宋_GB2312" w:cs="Times New Roman"/>
          <w:sz w:val="32"/>
          <w:szCs w:val="32"/>
        </w:rPr>
        <w:t>十、</w:t>
      </w:r>
      <w:bookmarkEnd w:id="63"/>
      <w:r>
        <w:rPr>
          <w:rFonts w:hint="default" w:ascii="Times New Roman" w:hAnsi="Times New Roman" w:eastAsia="仿宋_GB2312" w:cs="Times New Roman"/>
          <w:sz w:val="32"/>
          <w:szCs w:val="32"/>
        </w:rPr>
        <w:t>政府性基金预算财政拨款收入支出决算表</w:t>
      </w:r>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4" w:name="_Toc15396629"/>
      <w:r>
        <w:rPr>
          <w:rFonts w:hint="default" w:ascii="Times New Roman" w:hAnsi="Times New Roman" w:eastAsia="仿宋_GB2312" w:cs="Times New Roman"/>
          <w:sz w:val="32"/>
          <w:szCs w:val="32"/>
        </w:rPr>
        <w:t>十一、</w:t>
      </w:r>
      <w:bookmarkEnd w:id="64"/>
      <w:r>
        <w:rPr>
          <w:rFonts w:hint="default" w:ascii="Times New Roman" w:hAnsi="Times New Roman" w:eastAsia="仿宋_GB2312" w:cs="Times New Roman"/>
          <w:sz w:val="32"/>
          <w:szCs w:val="32"/>
        </w:rPr>
        <w:t>国有资本经营预算财政拨款收入支出决算表</w:t>
      </w:r>
    </w:p>
    <w:p>
      <w:pPr>
        <w:pStyle w:val="11"/>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65" w:name="_Toc15396630"/>
      <w:r>
        <w:rPr>
          <w:rFonts w:hint="default" w:ascii="Times New Roman" w:hAnsi="Times New Roman" w:eastAsia="仿宋_GB2312" w:cs="Times New Roman"/>
          <w:sz w:val="32"/>
          <w:szCs w:val="32"/>
        </w:rPr>
        <w:t>十二、</w:t>
      </w:r>
      <w:bookmarkEnd w:id="65"/>
      <w:r>
        <w:rPr>
          <w:rFonts w:hint="default" w:ascii="Times New Roman" w:hAnsi="Times New Roman" w:eastAsia="仿宋_GB2312" w:cs="Times New Roman"/>
          <w:sz w:val="32"/>
          <w:szCs w:val="32"/>
        </w:rPr>
        <w:t>国有资本经营预算财政拨款支出决算表</w:t>
      </w:r>
    </w:p>
    <w:p>
      <w:pPr>
        <w:pStyle w:val="11"/>
        <w:pageBreakBefore w:val="0"/>
        <w:kinsoku/>
        <w:wordWrap/>
        <w:overflowPunct/>
        <w:topLinePunct w:val="0"/>
        <w:autoSpaceDE/>
        <w:autoSpaceDN/>
        <w:bidi w:val="0"/>
        <w:adjustRightInd w:val="0"/>
        <w:snapToGrid w:val="0"/>
        <w:spacing w:line="560" w:lineRule="exact"/>
        <w:jc w:val="left"/>
        <w:textAlignment w:val="auto"/>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66" w:name="_Toc15396631"/>
      <w:r>
        <w:rPr>
          <w:rFonts w:hint="default" w:ascii="Times New Roman" w:hAnsi="Times New Roman" w:eastAsia="仿宋_GB2312" w:cs="Times New Roman"/>
          <w:sz w:val="32"/>
          <w:szCs w:val="32"/>
        </w:rPr>
        <w:t>十三、</w:t>
      </w:r>
      <w:bookmarkEnd w:id="66"/>
      <w:r>
        <w:rPr>
          <w:rFonts w:hint="default" w:ascii="Times New Roman" w:hAnsi="Times New Roman" w:eastAsia="仿宋_GB2312" w:cs="Times New Roman"/>
          <w:sz w:val="32"/>
          <w:szCs w:val="32"/>
        </w:rPr>
        <w:t>财政拨款“三公”经费支出决算表</w:t>
      </w:r>
    </w:p>
    <w:p>
      <w:pPr>
        <w:pageBreakBefore w:val="0"/>
        <w:kinsoku/>
        <w:wordWrap/>
        <w:overflowPunct/>
        <w:topLinePunct w:val="0"/>
        <w:autoSpaceDE/>
        <w:autoSpaceDN/>
        <w:bidi w:val="0"/>
        <w:spacing w:line="560" w:lineRule="exact"/>
      </w:pPr>
    </w:p>
    <w:sectPr>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文鼎霹雳体"/>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霹雳体"/>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Arial"/>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文鼎霹雳体">
    <w:panose1 w:val="020B0602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4521F"/>
    <w:multiLevelType w:val="singleLevel"/>
    <w:tmpl w:val="C104521F"/>
    <w:lvl w:ilvl="0" w:tentative="0">
      <w:start w:val="1"/>
      <w:numFmt w:val="chineseCounting"/>
      <w:suff w:val="nothing"/>
      <w:lvlText w:val="%1、"/>
      <w:lvlJc w:val="left"/>
      <w:pPr>
        <w:ind w:left="6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C5EE2"/>
    <w:rsid w:val="0CDD9D4A"/>
    <w:rsid w:val="1D5BCE43"/>
    <w:rsid w:val="1DCF9E8B"/>
    <w:rsid w:val="1DFBC05C"/>
    <w:rsid w:val="1F6D65FC"/>
    <w:rsid w:val="1FFF0FC0"/>
    <w:rsid w:val="236C5EE2"/>
    <w:rsid w:val="2EFF7754"/>
    <w:rsid w:val="2FF78627"/>
    <w:rsid w:val="2FFF6E14"/>
    <w:rsid w:val="35392A75"/>
    <w:rsid w:val="353D5474"/>
    <w:rsid w:val="3C7CD785"/>
    <w:rsid w:val="3E9F306C"/>
    <w:rsid w:val="3F7D7F3C"/>
    <w:rsid w:val="3FF80D50"/>
    <w:rsid w:val="3FFD1A93"/>
    <w:rsid w:val="4EDF73FA"/>
    <w:rsid w:val="4FBF6DCE"/>
    <w:rsid w:val="4FDAB55C"/>
    <w:rsid w:val="4FF3E49E"/>
    <w:rsid w:val="53F57FD6"/>
    <w:rsid w:val="53FF864D"/>
    <w:rsid w:val="57D74EDC"/>
    <w:rsid w:val="5DBFF158"/>
    <w:rsid w:val="5DF35A6A"/>
    <w:rsid w:val="5FD755F7"/>
    <w:rsid w:val="6DC78487"/>
    <w:rsid w:val="6EFFC85B"/>
    <w:rsid w:val="6FED7122"/>
    <w:rsid w:val="723F6898"/>
    <w:rsid w:val="73158FF3"/>
    <w:rsid w:val="74AC0F0A"/>
    <w:rsid w:val="75FD76E5"/>
    <w:rsid w:val="77A4FD29"/>
    <w:rsid w:val="77AF6386"/>
    <w:rsid w:val="77BFAC2E"/>
    <w:rsid w:val="77EFE0B0"/>
    <w:rsid w:val="798DB02F"/>
    <w:rsid w:val="7AFF5686"/>
    <w:rsid w:val="7BEF9053"/>
    <w:rsid w:val="7BEFC836"/>
    <w:rsid w:val="7BF63229"/>
    <w:rsid w:val="7BFE46AC"/>
    <w:rsid w:val="7D7B795D"/>
    <w:rsid w:val="7DF685F6"/>
    <w:rsid w:val="7E5E5A84"/>
    <w:rsid w:val="7EB9E644"/>
    <w:rsid w:val="7EFF0F5C"/>
    <w:rsid w:val="7F396EA2"/>
    <w:rsid w:val="7F7FEC7D"/>
    <w:rsid w:val="7FB92B7A"/>
    <w:rsid w:val="7FBF19C4"/>
    <w:rsid w:val="7FC18915"/>
    <w:rsid w:val="7FCB69DE"/>
    <w:rsid w:val="7FEF4991"/>
    <w:rsid w:val="7FEF8668"/>
    <w:rsid w:val="9FFAB908"/>
    <w:rsid w:val="9FFF2342"/>
    <w:rsid w:val="BD67B4E3"/>
    <w:rsid w:val="BF7980A3"/>
    <w:rsid w:val="BFF39341"/>
    <w:rsid w:val="BFFE9374"/>
    <w:rsid w:val="CADD5940"/>
    <w:rsid w:val="CF3B247F"/>
    <w:rsid w:val="CF77CB4E"/>
    <w:rsid w:val="D2FDE5A6"/>
    <w:rsid w:val="DA63ACC4"/>
    <w:rsid w:val="DDDA19BD"/>
    <w:rsid w:val="DE7F5DE5"/>
    <w:rsid w:val="DEBFFFEA"/>
    <w:rsid w:val="DFFFB810"/>
    <w:rsid w:val="EADE85AF"/>
    <w:rsid w:val="EB5D7816"/>
    <w:rsid w:val="ED2FD56B"/>
    <w:rsid w:val="EEEB740B"/>
    <w:rsid w:val="EF9D57FC"/>
    <w:rsid w:val="EFF7C9EC"/>
    <w:rsid w:val="EFFFB53C"/>
    <w:rsid w:val="F0FBF233"/>
    <w:rsid w:val="F5D7D12E"/>
    <w:rsid w:val="F6BEC02F"/>
    <w:rsid w:val="F6CF5642"/>
    <w:rsid w:val="F7792270"/>
    <w:rsid w:val="F7DF2654"/>
    <w:rsid w:val="F7FF06CF"/>
    <w:rsid w:val="F863CD81"/>
    <w:rsid w:val="F96F0B46"/>
    <w:rsid w:val="F9E29012"/>
    <w:rsid w:val="FABF2763"/>
    <w:rsid w:val="FBFBA60B"/>
    <w:rsid w:val="FD5AB06E"/>
    <w:rsid w:val="FDEFE6EA"/>
    <w:rsid w:val="FF3F5DAC"/>
    <w:rsid w:val="FFAEDB3B"/>
    <w:rsid w:val="FFB71C09"/>
    <w:rsid w:val="FFCD53D7"/>
    <w:rsid w:val="FFF5E509"/>
    <w:rsid w:val="FFFFE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4">
    <w:name w:val="List Paragraph"/>
    <w:basedOn w:val="1"/>
    <w:qFormat/>
    <w:uiPriority w:val="34"/>
    <w:pPr>
      <w:ind w:firstLine="420" w:firstLineChars="200"/>
    </w:pPr>
  </w:style>
  <w:style w:type="character" w:customStyle="1" w:styleId="15">
    <w:name w:val="标题 2 字符"/>
    <w:basedOn w:val="13"/>
    <w:link w:val="4"/>
    <w:qFormat/>
    <w:uiPriority w:val="9"/>
    <w:rPr>
      <w:rFonts w:asciiTheme="majorHAnsi" w:hAnsiTheme="majorHAnsi" w:eastAsiaTheme="majorEastAsia" w:cstheme="majorBidi"/>
      <w:b/>
      <w:bCs/>
      <w:sz w:val="32"/>
      <w:szCs w:val="32"/>
    </w:rPr>
  </w:style>
  <w:style w:type="character" w:customStyle="1" w:styleId="16">
    <w:name w:val="标题 1 字符"/>
    <w:basedOn w:val="13"/>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收入支出决算总体情况</a:t>
            </a:r>
            <a:endParaRPr b="1"/>
          </a:p>
        </c:rich>
      </c:tx>
      <c:layout>
        <c:manualLayout>
          <c:xMode val="edge"/>
          <c:yMode val="edge"/>
          <c:x val="0.345627240143369"/>
          <c:y val="0.0428655892786756"/>
        </c:manualLayout>
      </c:layout>
      <c:overlay val="0"/>
      <c:spPr>
        <a:noFill/>
        <a:ln>
          <a:noFill/>
        </a:ln>
        <a:effectLst/>
      </c:spPr>
    </c:title>
    <c:autoTitleDeleted val="0"/>
    <c:plotArea>
      <c:layout>
        <c:manualLayout>
          <c:layoutTarget val="inner"/>
          <c:xMode val="edge"/>
          <c:yMode val="edge"/>
          <c:x val="0.0901218637992832"/>
          <c:y val="0.234593023255814"/>
          <c:w val="0.88478853046595"/>
          <c:h val="0.537325581395349"/>
        </c:manualLayout>
      </c:layout>
      <c:barChart>
        <c:barDir val="col"/>
        <c:grouping val="clustered"/>
        <c:varyColors val="0"/>
        <c:ser>
          <c:idx val="0"/>
          <c:order val="0"/>
          <c:spPr>
            <a:solidFill>
              <a:schemeClr val="accent1"/>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88.2</a:t>
                    </a:r>
                    <a:r>
                      <a:rPr lang="en-US" altLang="zh-CN"/>
                      <a:t>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[工作簿1]Sheet1!$F$8:$G$9</c:f>
              <c:multiLvlStrCache>
                <c:ptCount val="2"/>
                <c:lvl>
                  <c:pt idx="0">
                    <c:v>2023年</c:v>
                  </c:pt>
                  <c:pt idx="1">
                    <c:v>2024年</c:v>
                  </c:pt>
                </c:lvl>
                <c:lvl>
                  <c:pt idx="0">
                    <c:v>收入支出决算总体情况</c:v>
                  </c:pt>
                </c:lvl>
              </c:multiLvlStrCache>
            </c:multiLvlStrRef>
          </c:cat>
          <c:val>
            <c:numRef>
              <c:f>[工作簿1]Sheet1!$F$10:$G$10</c:f>
              <c:numCache>
                <c:formatCode>General</c:formatCode>
                <c:ptCount val="2"/>
                <c:pt idx="1">
                  <c:v>88.2</c:v>
                </c:pt>
              </c:numCache>
            </c:numRef>
          </c:val>
        </c:ser>
        <c:dLbls>
          <c:showLegendKey val="0"/>
          <c:showVal val="1"/>
          <c:showCatName val="0"/>
          <c:showSerName val="0"/>
          <c:showPercent val="0"/>
          <c:showBubbleSize val="0"/>
        </c:dLbls>
        <c:gapWidth val="219"/>
        <c:overlap val="-27"/>
        <c:axId val="919316296"/>
        <c:axId val="678698637"/>
      </c:barChart>
      <c:catAx>
        <c:axId val="9193162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698637"/>
        <c:crosses val="autoZero"/>
        <c:auto val="1"/>
        <c:lblAlgn val="ctr"/>
        <c:lblOffset val="100"/>
        <c:noMultiLvlLbl val="0"/>
      </c:catAx>
      <c:valAx>
        <c:axId val="6786986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9316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一般公共预算财政拨款收入</a:t>
            </a:r>
          </a:p>
        </c:rich>
      </c:tx>
      <c:layout/>
      <c:overlay val="0"/>
      <c:spPr>
        <a:noFill/>
        <a:ln>
          <a:noFill/>
        </a:ln>
        <a:effectLst/>
      </c:spPr>
    </c:title>
    <c:autoTitleDeleted val="0"/>
    <c:plotArea>
      <c:layout>
        <c:manualLayout>
          <c:layoutTarget val="inner"/>
          <c:xMode val="edge"/>
          <c:yMode val="edge"/>
          <c:x val="0.302713833157339"/>
          <c:y val="0.432261072261072"/>
          <c:w val="0.231383315733897"/>
          <c:h val="0.510769230769231"/>
        </c:manualLayout>
      </c:layout>
      <c:pieChart>
        <c:varyColors val="1"/>
        <c:ser>
          <c:idx val="0"/>
          <c:order val="0"/>
          <c:tx>
            <c:strRef>
              <c:f>[工作簿1]Sheet1!$E$3</c:f>
              <c:strCache>
                <c:ptCount val="1"/>
                <c:pt idx="0">
                  <c:v>一般公共预算财政拨款收入1</c:v>
                </c:pt>
              </c:strCache>
            </c:strRef>
          </c:tx>
          <c:spPr/>
          <c:explosion val="0"/>
          <c:dPt>
            <c:idx val="0"/>
            <c:bubble3D val="0"/>
            <c:explosion val="0"/>
            <c:spPr>
              <a:solidFill>
                <a:schemeClr val="accent1"/>
              </a:solidFill>
              <a:ln>
                <a:solidFill>
                  <a:schemeClr val="bg1"/>
                </a:solidFill>
              </a:ln>
              <a:effectLst/>
            </c:spPr>
          </c:dPt>
          <c:dLbls>
            <c:dLbl>
              <c:idx val="0"/>
              <c:layout>
                <c:manualLayout>
                  <c:x val="-0.00199608760582623"/>
                  <c:y val="-0.14093048277223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88.21</a:t>
                    </a:r>
                    <a:r>
                      <a:t> 100%</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[工作簿1]Sheet1!$E$4</c:f>
              <c:numCache>
                <c:formatCode>General</c:formatCode>
                <c:ptCount val="1"/>
                <c:pt idx="0">
                  <c:v>110.73</c:v>
                </c:pt>
              </c:numCache>
            </c:numRef>
          </c:val>
        </c:ser>
        <c:dLbls>
          <c:showLegendKey val="0"/>
          <c:showVal val="1"/>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基本支出</a:t>
            </a:r>
          </a:p>
        </c:rich>
      </c:tx>
      <c:layout>
        <c:manualLayout>
          <c:xMode val="edge"/>
          <c:yMode val="edge"/>
          <c:x val="0.403907074973601"/>
          <c:y val="0.00874125874125874"/>
        </c:manualLayout>
      </c:layout>
      <c:overlay val="0"/>
      <c:spPr>
        <a:noFill/>
        <a:ln>
          <a:noFill/>
        </a:ln>
        <a:effectLst/>
      </c:spPr>
    </c:title>
    <c:autoTitleDeleted val="0"/>
    <c:plotArea>
      <c:layout/>
      <c:pieChart>
        <c:varyColors val="1"/>
        <c:ser>
          <c:idx val="0"/>
          <c:order val="0"/>
          <c:tx>
            <c:strRef>
              <c:f>[工作簿1]Sheet1!$E$3</c:f>
              <c:strCache>
                <c:ptCount val="1"/>
                <c:pt idx="0">
                  <c:v>一般公共预算财政拨款收入1</c:v>
                </c:pt>
              </c:strCache>
            </c:strRef>
          </c:tx>
          <c:spPr/>
          <c:explosion val="0"/>
          <c:dPt>
            <c:idx val="0"/>
            <c:bubble3D val="0"/>
            <c:spPr>
              <a:solidFill>
                <a:schemeClr val="accent1"/>
              </a:solidFill>
              <a:ln>
                <a:solidFill>
                  <a:schemeClr val="bg1"/>
                </a:solidFill>
              </a:ln>
              <a:effectLst/>
            </c:spPr>
          </c:dPt>
          <c:dLbls>
            <c:dLbl>
              <c:idx val="0"/>
              <c:layout>
                <c:manualLayout>
                  <c:x val="-0.00198351968947821"/>
                  <c:y val="-0.16329347340392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88.21</a:t>
                    </a:r>
                    <a:r>
                      <a:t>, 100%</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[工作簿1]Sheet1!$E$4</c:f>
              <c:numCache>
                <c:formatCode>General</c:formatCode>
                <c:ptCount val="1"/>
                <c:pt idx="0">
                  <c:v>110.73</c:v>
                </c:pt>
              </c:numCache>
            </c:numRef>
          </c:val>
        </c:ser>
        <c:dLbls>
          <c:showLegendKey val="0"/>
          <c:showVal val="1"/>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财政拨款收入支出决算总体情况</a:t>
            </a:r>
            <a:r>
              <a:rPr lang="en-US" altLang="zh-CN" b="1"/>
              <a:t> </a:t>
            </a:r>
            <a:endParaRPr lang="en-US" altLang="zh-CN" b="1"/>
          </a:p>
        </c:rich>
      </c:tx>
      <c:layout>
        <c:manualLayout>
          <c:xMode val="edge"/>
          <c:yMode val="edge"/>
          <c:x val="0.188243727598566"/>
          <c:y val="0.0523255813953488"/>
        </c:manualLayout>
      </c:layout>
      <c:overlay val="0"/>
      <c:spPr>
        <a:noFill/>
        <a:ln>
          <a:noFill/>
        </a:ln>
        <a:effectLst/>
      </c:spPr>
    </c:title>
    <c:autoTitleDeleted val="0"/>
    <c:plotArea>
      <c:layout>
        <c:manualLayout>
          <c:layoutTarget val="inner"/>
          <c:xMode val="edge"/>
          <c:yMode val="edge"/>
          <c:x val="0.0901218637992832"/>
          <c:y val="0.234593023255814"/>
          <c:w val="0.88478853046595"/>
          <c:h val="0.537325581395349"/>
        </c:manualLayout>
      </c:layout>
      <c:barChart>
        <c:barDir val="col"/>
        <c:grouping val="clustered"/>
        <c:varyColors val="0"/>
        <c:ser>
          <c:idx val="0"/>
          <c:order val="0"/>
          <c:spPr>
            <a:solidFill>
              <a:schemeClr val="accent1"/>
            </a:solidFill>
            <a:ln>
              <a:noFill/>
            </a:ln>
            <a:effectLst/>
          </c:spPr>
          <c:invertIfNegative val="0"/>
          <c:dLbls>
            <c:dLbl>
              <c:idx val="1"/>
              <c:layout>
                <c:manualLayout>
                  <c:x val="0"/>
                  <c:y val="-0.0043604651162790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88.2</a:t>
                    </a:r>
                    <a:r>
                      <a:rPr lang="en-US" altLang="zh-CN"/>
                      <a:t>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[工作簿1]Sheet1!$F$8:$G$9</c:f>
              <c:multiLvlStrCache>
                <c:ptCount val="2"/>
                <c:lvl>
                  <c:pt idx="0">
                    <c:v>2023年</c:v>
                  </c:pt>
                  <c:pt idx="1">
                    <c:v>2024年</c:v>
                  </c:pt>
                </c:lvl>
                <c:lvl>
                  <c:pt idx="0">
                    <c:v>收入支出决算总体情况</c:v>
                  </c:pt>
                </c:lvl>
              </c:multiLvlStrCache>
            </c:multiLvlStrRef>
          </c:cat>
          <c:val>
            <c:numRef>
              <c:f>[工作簿1]Sheet1!$F$10:$G$10</c:f>
              <c:numCache>
                <c:formatCode>General</c:formatCode>
                <c:ptCount val="2"/>
                <c:pt idx="1">
                  <c:v>88.2</c:v>
                </c:pt>
              </c:numCache>
            </c:numRef>
          </c:val>
        </c:ser>
        <c:dLbls>
          <c:showLegendKey val="0"/>
          <c:showVal val="1"/>
          <c:showCatName val="0"/>
          <c:showSerName val="0"/>
          <c:showPercent val="0"/>
          <c:showBubbleSize val="0"/>
        </c:dLbls>
        <c:gapWidth val="219"/>
        <c:overlap val="-27"/>
        <c:axId val="919316296"/>
        <c:axId val="678698637"/>
      </c:barChart>
      <c:catAx>
        <c:axId val="9193162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698637"/>
        <c:crosses val="autoZero"/>
        <c:auto val="1"/>
        <c:lblAlgn val="ctr"/>
        <c:lblOffset val="100"/>
        <c:noMultiLvlLbl val="0"/>
      </c:catAx>
      <c:valAx>
        <c:axId val="6786986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9316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14342105263158"/>
          <c:y val="0.0259131293188549"/>
        </c:manualLayout>
      </c:layout>
      <c:overlay val="0"/>
      <c:spPr>
        <a:noFill/>
        <a:ln>
          <a:noFill/>
        </a:ln>
        <a:effectLst/>
      </c:spPr>
    </c:title>
    <c:autoTitleDeleted val="0"/>
    <c:plotArea>
      <c:layout>
        <c:manualLayout>
          <c:layoutTarget val="inner"/>
          <c:xMode val="edge"/>
          <c:yMode val="edge"/>
          <c:x val="0.0767894736842105"/>
          <c:y val="0.191757156959526"/>
          <c:w val="0.894263157894737"/>
          <c:h val="0.60720631786772"/>
        </c:manualLayout>
      </c:layout>
      <c:barChart>
        <c:barDir val="col"/>
        <c:grouping val="clustered"/>
        <c:varyColors val="0"/>
        <c:ser>
          <c:idx val="0"/>
          <c:order val="0"/>
          <c:spPr>
            <a:solidFill>
              <a:schemeClr val="accent1"/>
            </a:solidFill>
            <a:ln>
              <a:noFill/>
            </a:ln>
            <a:effectLst/>
          </c:spPr>
          <c:invertIfNegative val="0"/>
          <c:dLbls>
            <c:dLbl>
              <c:idx val="1"/>
              <c:layout>
                <c:manualLayout>
                  <c:x val="-0.00592105263157895"/>
                  <c:y val="0.0074037512339585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88</a:t>
                    </a:r>
                    <a:r>
                      <a:t>.</a:t>
                    </a:r>
                    <a:r>
                      <a:rPr lang="en-US" altLang="zh-CN"/>
                      <a:t>21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[工作簿1]Sheet2!$A$25:$B$26</c:f>
              <c:multiLvlStrCache>
                <c:ptCount val="2"/>
                <c:lvl>
                  <c:pt idx="0">
                    <c:v>2023年</c:v>
                  </c:pt>
                  <c:pt idx="1">
                    <c:v>2024年</c:v>
                  </c:pt>
                </c:lvl>
                <c:lvl>
                  <c:pt idx="0">
                    <c:v>财政拨款收、支决算总计变动情况</c:v>
                  </c:pt>
                </c:lvl>
              </c:multiLvlStrCache>
            </c:multiLvlStrRef>
          </c:cat>
          <c:val>
            <c:numRef>
              <c:f>[工作簿1]Sheet2!$A$27:$B$27</c:f>
              <c:numCache>
                <c:formatCode>General</c:formatCode>
                <c:ptCount val="2"/>
                <c:pt idx="0">
                  <c:v>0</c:v>
                </c:pt>
                <c:pt idx="1">
                  <c:v>110.73</c:v>
                </c:pt>
              </c:numCache>
            </c:numRef>
          </c:val>
        </c:ser>
        <c:dLbls>
          <c:showLegendKey val="0"/>
          <c:showVal val="1"/>
          <c:showCatName val="0"/>
          <c:showSerName val="0"/>
          <c:showPercent val="0"/>
          <c:showBubbleSize val="0"/>
        </c:dLbls>
        <c:gapWidth val="246"/>
        <c:overlap val="-28"/>
        <c:axId val="844818185"/>
        <c:axId val="157046466"/>
      </c:barChart>
      <c:catAx>
        <c:axId val="84481818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046466"/>
        <c:crosses val="autoZero"/>
        <c:auto val="1"/>
        <c:lblAlgn val="ctr"/>
        <c:lblOffset val="100"/>
        <c:noMultiLvlLbl val="0"/>
      </c:catAx>
      <c:valAx>
        <c:axId val="1570464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48181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一般公共预算财政拨款支出结构情况</a:t>
            </a:r>
          </a:p>
        </c:rich>
      </c:tx>
      <c:layout>
        <c:manualLayout>
          <c:xMode val="edge"/>
          <c:yMode val="edge"/>
          <c:x val="0.206111111111111"/>
          <c:y val="0.00694444444444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[工作簿1]Sheet1!$I$26:$L$27</c:f>
              <c:multiLvlStrCache>
                <c:ptCount val="4"/>
                <c:lvl>
                  <c:pt idx="0">
                    <c:v>一般公共服务支出</c:v>
                  </c:pt>
                  <c:pt idx="1">
                    <c:v>社会保障和就业支出</c:v>
                  </c:pt>
                  <c:pt idx="2">
                    <c:v>卫生健康支出</c:v>
                  </c:pt>
                  <c:pt idx="3">
                    <c:v>住房保障支出</c:v>
                  </c:pt>
                </c:lvl>
                <c:lvl>
                  <c:pt idx="0">
                    <c:v>一般公共预算财政拨款支出决算结构情况</c:v>
                  </c:pt>
                </c:lvl>
              </c:multiLvlStrCache>
            </c:multiLvlStrRef>
          </c:cat>
          <c:val>
            <c:numRef>
              <c:f>[工作簿1]Sheet1!$I$28:$L$28</c:f>
              <c:numCache>
                <c:formatCode>General</c:formatCode>
                <c:ptCount val="4"/>
                <c:pt idx="0">
                  <c:v>69.89</c:v>
                </c:pt>
                <c:pt idx="1">
                  <c:v>9.21</c:v>
                </c:pt>
                <c:pt idx="2">
                  <c:v>3.71</c:v>
                </c:pt>
                <c:pt idx="3">
                  <c:v>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88783675646839"/>
          <c:y val="0.6398268398268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2025-09-10T08:34:00Z</dcterms:created>
  <dc:creator>WPS_1504838290</dc:creator>
  <cp:lastModifiedBy>huawei</cp:lastModifiedBy>
  <cp:lastPrinted>2025-09-11T08:49:00Z</cp:lastPrinted>
  <dcterms:modified xsi:type="dcterms:W3CDTF">2025-09-11T17:26:39Z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5ECBAFF9A5E74A7CA3E091CF4AE6084C_11</vt:lpwstr>
  </property>
  <property fmtid="{D5CDD505-2E9C-101B-9397-08002B2CF9AE}" pid="4" name="KSOTemplateDocerSaveRecord">
    <vt:lpwstr>eyJoZGlkIjoiY2JkMTJjNjEzOTk3MDNhM2EyZjVlM2M5NDM4MGQzMDAiLCJ1c2VySWQiOiIzMDA5Njk0NTEifQ==</vt:lpwstr>
  </property>
</Properties>
</file>