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71B645">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0" w:name="_Toc15396475"/>
      <w:bookmarkStart w:id="1" w:name="_Toc15396597"/>
      <w:bookmarkStart w:id="2" w:name="_Toc15306267"/>
      <w:bookmarkStart w:id="3" w:name="_Toc15377425"/>
      <w:bookmarkStart w:id="4" w:name="_Toc15378441"/>
      <w:bookmarkStart w:id="5" w:name="_Toc15377193"/>
    </w:p>
    <w:p w14:paraId="70E85226">
      <w:pPr>
        <w:pStyle w:val="6"/>
        <w:rPr>
          <w:rFonts w:hint="eastAsia" w:ascii="Times New Roman" w:hAnsi="Times New Roman" w:eastAsia="方正小标宋简体" w:cs="Times New Roman"/>
          <w:color w:val="auto"/>
          <w:kern w:val="2"/>
          <w:sz w:val="72"/>
          <w:szCs w:val="72"/>
          <w:highlight w:val="none"/>
          <w:lang w:val="en-US" w:eastAsia="zh-CN" w:bidi="ar-SA"/>
        </w:rPr>
      </w:pPr>
    </w:p>
    <w:p w14:paraId="3F11F905">
      <w:pPr>
        <w:pStyle w:val="6"/>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2025年度阿坝州农业科学研究院</w:t>
      </w:r>
    </w:p>
    <w:p w14:paraId="292A6B03">
      <w:pPr>
        <w:pStyle w:val="6"/>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部门</w:t>
      </w:r>
      <w:r>
        <w:rPr>
          <w:rFonts w:hint="eastAsia" w:ascii="Times New Roman" w:hAnsi="Times New Roman" w:eastAsia="方正小标宋简体" w:cs="Times New Roman"/>
          <w:color w:val="auto"/>
          <w:kern w:val="2"/>
          <w:sz w:val="44"/>
          <w:szCs w:val="44"/>
          <w:highlight w:val="none"/>
          <w:lang w:val="en-US" w:eastAsia="zh-CN" w:bidi="ar-SA"/>
        </w:rPr>
        <w:t>决算公</w:t>
      </w:r>
      <w:r>
        <w:rPr>
          <w:rFonts w:hint="eastAsia" w:ascii="Times New Roman" w:eastAsia="方正小标宋简体" w:cs="Times New Roman"/>
          <w:color w:val="auto"/>
          <w:kern w:val="2"/>
          <w:sz w:val="44"/>
          <w:szCs w:val="44"/>
          <w:highlight w:val="none"/>
          <w:lang w:val="en-US" w:eastAsia="zh-CN" w:bidi="ar-SA"/>
        </w:rPr>
        <w:t>开</w:t>
      </w:r>
    </w:p>
    <w:p w14:paraId="38C306A1">
      <w:pPr>
        <w:rPr>
          <w:rFonts w:hint="eastAsia" w:ascii="Times New Roman" w:eastAsia="方正小标宋简体" w:cs="Times New Roman"/>
          <w:color w:val="auto"/>
          <w:kern w:val="2"/>
          <w:sz w:val="44"/>
          <w:szCs w:val="44"/>
          <w:highlight w:val="none"/>
          <w:lang w:val="en-US" w:eastAsia="zh-CN" w:bidi="ar-SA"/>
        </w:rPr>
      </w:pPr>
    </w:p>
    <w:p w14:paraId="36E374F0">
      <w:pPr>
        <w:rPr>
          <w:rFonts w:hint="eastAsia" w:ascii="Times New Roman" w:eastAsia="方正小标宋简体" w:cs="Times New Roman"/>
          <w:color w:val="auto"/>
          <w:kern w:val="2"/>
          <w:sz w:val="44"/>
          <w:szCs w:val="44"/>
          <w:highlight w:val="none"/>
          <w:lang w:val="en-US" w:eastAsia="zh-CN" w:bidi="ar-SA"/>
        </w:rPr>
      </w:pPr>
    </w:p>
    <w:p w14:paraId="2BCCEAF2">
      <w:pPr>
        <w:rPr>
          <w:rFonts w:hint="eastAsia" w:ascii="Times New Roman" w:eastAsia="方正小标宋简体" w:cs="Times New Roman"/>
          <w:color w:val="auto"/>
          <w:kern w:val="2"/>
          <w:sz w:val="44"/>
          <w:szCs w:val="44"/>
          <w:highlight w:val="none"/>
          <w:lang w:val="en-US" w:eastAsia="zh-CN" w:bidi="ar-SA"/>
        </w:rPr>
      </w:pPr>
    </w:p>
    <w:p w14:paraId="50928909">
      <w:pPr>
        <w:rPr>
          <w:rFonts w:hint="eastAsia" w:ascii="Times New Roman" w:eastAsia="方正小标宋简体" w:cs="Times New Roman"/>
          <w:color w:val="auto"/>
          <w:kern w:val="2"/>
          <w:sz w:val="44"/>
          <w:szCs w:val="44"/>
          <w:highlight w:val="none"/>
          <w:lang w:val="en-US" w:eastAsia="zh-CN" w:bidi="ar-SA"/>
        </w:rPr>
      </w:pPr>
    </w:p>
    <w:p w14:paraId="46CB4F8D">
      <w:pPr>
        <w:rPr>
          <w:rFonts w:hint="eastAsia" w:ascii="Times New Roman" w:eastAsia="方正小标宋简体" w:cs="Times New Roman"/>
          <w:color w:val="auto"/>
          <w:kern w:val="2"/>
          <w:sz w:val="44"/>
          <w:szCs w:val="44"/>
          <w:highlight w:val="none"/>
          <w:lang w:val="en-US" w:eastAsia="zh-CN" w:bidi="ar-SA"/>
        </w:rPr>
      </w:pPr>
    </w:p>
    <w:p w14:paraId="63979742">
      <w:pPr>
        <w:rPr>
          <w:rFonts w:hint="eastAsia" w:ascii="Times New Roman" w:eastAsia="方正小标宋简体" w:cs="Times New Roman"/>
          <w:color w:val="auto"/>
          <w:kern w:val="2"/>
          <w:sz w:val="44"/>
          <w:szCs w:val="44"/>
          <w:highlight w:val="none"/>
          <w:lang w:val="en-US" w:eastAsia="zh-CN" w:bidi="ar-SA"/>
        </w:rPr>
      </w:pPr>
    </w:p>
    <w:p w14:paraId="227769AB">
      <w:pPr>
        <w:pStyle w:val="16"/>
        <w:spacing w:before="0" w:beforeAutospacing="0"/>
        <w:jc w:val="center"/>
        <w:rPr>
          <w:rFonts w:hint="eastAsia" w:eastAsia="宋体"/>
          <w:b/>
          <w:sz w:val="28"/>
          <w:szCs w:val="28"/>
          <w:lang w:eastAsia="zh-CN"/>
        </w:rPr>
      </w:pPr>
      <w:r>
        <w:rPr>
          <w:b/>
          <w:sz w:val="28"/>
          <w:szCs w:val="28"/>
          <w:shd w:val="clear" w:color="auto" w:fill="FFFFFF"/>
        </w:rPr>
        <w:t>已经保密审查、内容审定，同意对外公开</w:t>
      </w:r>
      <w:r>
        <w:rPr>
          <w:rFonts w:hint="eastAsia"/>
          <w:b/>
          <w:sz w:val="28"/>
          <w:szCs w:val="28"/>
          <w:shd w:val="clear" w:color="auto" w:fill="FFFFFF"/>
          <w:lang w:eastAsia="zh-CN"/>
        </w:rPr>
        <w:t>。</w:t>
      </w:r>
    </w:p>
    <w:p w14:paraId="7D241D1A">
      <w:pPr>
        <w:pStyle w:val="13"/>
        <w:jc w:val="both"/>
        <w:rPr>
          <w:rFonts w:hint="eastAsia"/>
        </w:rPr>
      </w:pPr>
    </w:p>
    <w:p w14:paraId="466151C9">
      <w:pPr>
        <w:pStyle w:val="13"/>
      </w:pPr>
      <w:r>
        <w:rPr>
          <w:rFonts w:hint="eastAsia"/>
        </w:rPr>
        <w:t>公开时间：202</w:t>
      </w:r>
      <w:r>
        <w:rPr>
          <w:rFonts w:hint="eastAsia"/>
          <w:lang w:val="en-US" w:eastAsia="zh-CN"/>
        </w:rPr>
        <w:t>6</w:t>
      </w:r>
      <w:r>
        <w:rPr>
          <w:rFonts w:hint="eastAsia"/>
        </w:rPr>
        <w:t>年9月</w:t>
      </w:r>
      <w:r>
        <w:rPr>
          <w:rFonts w:hint="eastAsia"/>
          <w:lang w:val="en-US" w:eastAsia="zh-CN"/>
        </w:rPr>
        <w:t>10</w:t>
      </w:r>
      <w:r>
        <w:rPr>
          <w:rFonts w:hint="eastAsia"/>
        </w:rPr>
        <w:t>日</w:t>
      </w:r>
    </w:p>
    <w:p w14:paraId="3BC0563C">
      <w:pPr>
        <w:rPr>
          <w:rFonts w:hint="default" w:ascii="Times New Roman" w:eastAsia="方正小标宋简体" w:cs="Times New Roman"/>
          <w:color w:val="auto"/>
          <w:kern w:val="2"/>
          <w:sz w:val="44"/>
          <w:szCs w:val="44"/>
          <w:highlight w:val="none"/>
          <w:lang w:val="en-US" w:eastAsia="zh-CN" w:bidi="ar-SA"/>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14:paraId="0B775DE4">
      <w:pPr>
        <w:rPr>
          <w:rFonts w:hint="eastAsia"/>
        </w:rPr>
      </w:pPr>
      <w:bookmarkStart w:id="6" w:name="_Toc15396599"/>
      <w:bookmarkStart w:id="7" w:name="_Toc15377196"/>
    </w:p>
    <w:sdt>
      <w:sdtPr>
        <w:rPr>
          <w:rFonts w:ascii="宋体" w:hAnsi="宋体" w:eastAsia="宋体" w:cs="Times New Roman"/>
          <w:kern w:val="2"/>
          <w:sz w:val="21"/>
          <w:szCs w:val="24"/>
          <w:lang w:val="en-US" w:eastAsia="zh-CN" w:bidi="ar-SA"/>
        </w:rPr>
        <w:id w:val="147459472"/>
        <w15:color w:val="DBDBDB"/>
        <w:docPartObj>
          <w:docPartGallery w:val="Table of Contents"/>
          <w:docPartUnique/>
        </w:docPartObj>
      </w:sdtPr>
      <w:sdtEndPr>
        <w:rPr>
          <w:rFonts w:hint="eastAsia" w:ascii="Times New Roman" w:hAnsi="Times New Roman" w:eastAsia="方正小标宋简体" w:cs="方正小标宋简体"/>
          <w:b/>
          <w:bCs/>
          <w:color w:val="auto"/>
          <w:kern w:val="44"/>
          <w:sz w:val="44"/>
          <w:szCs w:val="44"/>
          <w:highlight w:val="none"/>
          <w:lang w:val="en-US" w:eastAsia="zh-CN" w:bidi="ar-SA"/>
        </w:rPr>
      </w:sdtEndPr>
      <w:sdtContent>
        <w:p w14:paraId="01C8B66C">
          <w:pPr>
            <w:spacing w:before="0" w:beforeLines="0" w:after="0" w:afterLines="0" w:line="240" w:lineRule="auto"/>
            <w:ind w:left="0" w:leftChars="0" w:right="0" w:rightChars="0" w:firstLine="0" w:firstLineChars="0"/>
            <w:jc w:val="center"/>
            <w:rPr>
              <w:b/>
              <w:bCs/>
              <w:sz w:val="32"/>
              <w:szCs w:val="32"/>
            </w:rPr>
          </w:pPr>
          <w:r>
            <w:rPr>
              <w:rFonts w:ascii="宋体" w:hAnsi="宋体" w:eastAsia="宋体"/>
              <w:b/>
              <w:bCs/>
              <w:sz w:val="32"/>
              <w:szCs w:val="32"/>
            </w:rPr>
            <w:t>目录</w:t>
          </w:r>
        </w:p>
        <w:p w14:paraId="34A0A419">
          <w:pPr>
            <w:pStyle w:val="13"/>
            <w:tabs>
              <w:tab w:val="right" w:leader="dot" w:pos="8845"/>
              <w:tab w:val="clear" w:pos="8296"/>
            </w:tabs>
            <w:rPr>
              <w:rFonts w:hint="eastAsia" w:ascii="宋体" w:hAnsi="宋体" w:eastAsia="宋体" w:cs="宋体"/>
              <w:sz w:val="28"/>
              <w:szCs w:val="28"/>
            </w:rPr>
          </w:pPr>
          <w:r>
            <w:rPr>
              <w:rFonts w:hint="eastAsia" w:ascii="Times New Roman" w:hAnsi="Times New Roman" w:eastAsia="方正小标宋简体" w:cs="方正小标宋简体"/>
              <w:b w:val="0"/>
              <w:color w:val="auto"/>
              <w:highlight w:val="none"/>
            </w:rPr>
            <w:fldChar w:fldCharType="begin"/>
          </w:r>
          <w:r>
            <w:rPr>
              <w:rFonts w:hint="eastAsia" w:ascii="Times New Roman" w:hAnsi="Times New Roman" w:eastAsia="方正小标宋简体" w:cs="方正小标宋简体"/>
              <w:b w:val="0"/>
              <w:color w:val="auto"/>
              <w:highlight w:val="none"/>
            </w:rPr>
            <w:instrText xml:space="preserve">TOC \o "1-2" \h \u </w:instrText>
          </w:r>
          <w:r>
            <w:rPr>
              <w:rFonts w:hint="eastAsia" w:ascii="Times New Roman" w:hAnsi="Times New Roman" w:eastAsia="方正小标宋简体" w:cs="方正小标宋简体"/>
              <w:b w:val="0"/>
              <w:color w:val="auto"/>
              <w:highlight w:val="none"/>
            </w:rPr>
            <w:fldChar w:fldCharType="separate"/>
          </w: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_Toc29065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第一部分</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 xml:space="preserve"> </w:t>
          </w:r>
          <w:r>
            <w:rPr>
              <w:rFonts w:hint="eastAsia" w:ascii="宋体" w:hAnsi="宋体" w:eastAsia="宋体" w:cs="宋体"/>
              <w:bCs w:val="0"/>
              <w:sz w:val="28"/>
              <w:szCs w:val="28"/>
              <w:highlight w:val="none"/>
            </w:rPr>
            <w:t>部门概况</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_Toc29065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2E9AA607">
          <w:pPr>
            <w:pStyle w:val="15"/>
            <w:tabs>
              <w:tab w:val="right" w:leader="dot" w:pos="8845"/>
              <w:tab w:val="clear" w:pos="8296"/>
            </w:tabs>
            <w:rPr>
              <w:rFonts w:hint="eastAsia" w:ascii="宋体" w:hAnsi="宋体" w:eastAsia="宋体" w:cs="宋体"/>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_Toc17224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lang w:eastAsia="zh-CN"/>
            </w:rPr>
            <w:t xml:space="preserve">一、 </w:t>
          </w:r>
          <w:r>
            <w:rPr>
              <w:rFonts w:hint="eastAsia" w:ascii="宋体" w:hAnsi="宋体" w:eastAsia="宋体" w:cs="宋体"/>
              <w:sz w:val="28"/>
              <w:szCs w:val="28"/>
              <w:highlight w:val="none"/>
              <w:lang w:eastAsia="zh-CN"/>
            </w:rPr>
            <w:t>部门职责</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_Toc17224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4F177134">
          <w:pPr>
            <w:pStyle w:val="15"/>
            <w:tabs>
              <w:tab w:val="right" w:leader="dot" w:pos="8845"/>
              <w:tab w:val="clear" w:pos="8296"/>
            </w:tabs>
            <w:rPr>
              <w:rFonts w:hint="eastAsia" w:ascii="宋体" w:hAnsi="宋体" w:eastAsia="宋体" w:cs="宋体"/>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_Toc14819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lang w:eastAsia="zh-CN"/>
            </w:rPr>
            <w:t xml:space="preserve">二、 </w:t>
          </w:r>
          <w:r>
            <w:rPr>
              <w:rFonts w:hint="eastAsia" w:ascii="宋体" w:hAnsi="宋体" w:eastAsia="宋体" w:cs="宋体"/>
              <w:sz w:val="28"/>
              <w:szCs w:val="28"/>
              <w:highlight w:val="none"/>
              <w:lang w:eastAsia="zh-CN"/>
            </w:rPr>
            <w:t>机构设置</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_Toc14819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7878C89F">
          <w:pPr>
            <w:pStyle w:val="13"/>
            <w:tabs>
              <w:tab w:val="right" w:leader="dot" w:pos="8845"/>
              <w:tab w:val="clear" w:pos="8296"/>
            </w:tabs>
            <w:rPr>
              <w:rFonts w:hint="eastAsia" w:ascii="宋体" w:hAnsi="宋体" w:eastAsia="宋体" w:cs="宋体"/>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_Toc19261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第二部分</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 xml:space="preserve"> </w:t>
          </w:r>
          <w:r>
            <w:rPr>
              <w:rFonts w:hint="eastAsia" w:ascii="宋体" w:hAnsi="宋体" w:eastAsia="宋体" w:cs="宋体"/>
              <w:sz w:val="28"/>
              <w:szCs w:val="28"/>
              <w:highlight w:val="none"/>
              <w:lang w:val="en-US" w:eastAsia="zh-CN"/>
            </w:rPr>
            <w:t>2025年度</w:t>
          </w:r>
          <w:r>
            <w:rPr>
              <w:rFonts w:hint="eastAsia" w:ascii="宋体" w:hAnsi="宋体" w:eastAsia="宋体" w:cs="宋体"/>
              <w:sz w:val="28"/>
              <w:szCs w:val="28"/>
              <w:highlight w:val="none"/>
            </w:rPr>
            <w:t>部门决算情况说明</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_Toc19261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73181930">
          <w:pPr>
            <w:pStyle w:val="15"/>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_Toc19865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lang w:eastAsia="zh-CN"/>
            </w:rPr>
            <w:t>一、</w:t>
          </w:r>
          <w:r>
            <w:rPr>
              <w:rFonts w:hint="eastAsia" w:ascii="宋体" w:hAnsi="宋体" w:eastAsia="宋体" w:cs="宋体"/>
              <w:sz w:val="28"/>
              <w:szCs w:val="28"/>
              <w:highlight w:val="none"/>
            </w:rPr>
            <w:t>收入支出决算总体情况说明</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_Toc19865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7B7B2AE1">
          <w:pPr>
            <w:pStyle w:val="15"/>
            <w:tabs>
              <w:tab w:val="right" w:leader="dot" w:pos="8845"/>
              <w:tab w:val="clear" w:pos="8296"/>
            </w:tabs>
            <w:rPr>
              <w:rFonts w:hint="eastAsia" w:ascii="宋体" w:hAnsi="宋体" w:eastAsia="宋体" w:cs="宋体"/>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_Toc8569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lang w:eastAsia="zh-CN"/>
            </w:rPr>
            <w:t>二、收入决算情况说明</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_Toc8569 \h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2A8FF993">
          <w:pPr>
            <w:pStyle w:val="15"/>
            <w:tabs>
              <w:tab w:val="right" w:leader="dot" w:pos="8845"/>
              <w:tab w:val="clear" w:pos="8296"/>
            </w:tabs>
            <w:rPr>
              <w:rFonts w:hint="eastAsia" w:ascii="宋体" w:hAnsi="宋体" w:eastAsia="宋体" w:cs="宋体"/>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_Toc369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lang w:eastAsia="zh-CN"/>
            </w:rPr>
            <w:t>三、</w:t>
          </w:r>
          <w:r>
            <w:rPr>
              <w:rFonts w:hint="eastAsia" w:ascii="宋体" w:hAnsi="宋体" w:eastAsia="宋体" w:cs="宋体"/>
              <w:sz w:val="28"/>
              <w:szCs w:val="28"/>
              <w:highlight w:val="none"/>
            </w:rPr>
            <w:t>支出决算情况说明</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_Toc369 \h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24975926">
          <w:pPr>
            <w:pStyle w:val="15"/>
            <w:tabs>
              <w:tab w:val="right" w:leader="dot" w:pos="8845"/>
              <w:tab w:val="clear" w:pos="8296"/>
            </w:tabs>
            <w:rPr>
              <w:rFonts w:hint="eastAsia" w:ascii="宋体" w:hAnsi="宋体" w:eastAsia="宋体" w:cs="宋体"/>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_Toc15340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lang w:val="en-US" w:eastAsia="zh-CN"/>
            </w:rPr>
            <w:t>四</w:t>
          </w:r>
          <w:r>
            <w:rPr>
              <w:rFonts w:hint="eastAsia" w:ascii="宋体" w:hAnsi="宋体" w:eastAsia="宋体" w:cs="宋体"/>
              <w:sz w:val="28"/>
              <w:szCs w:val="28"/>
              <w:highlight w:val="none"/>
            </w:rPr>
            <w:t>、财政拨款收入支出决算总体情况说明</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_Toc15340 \h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5C2BEF68">
          <w:pPr>
            <w:pStyle w:val="15"/>
            <w:tabs>
              <w:tab w:val="right" w:leader="dot" w:pos="8845"/>
              <w:tab w:val="clear" w:pos="8296"/>
            </w:tabs>
            <w:rPr>
              <w:rFonts w:hint="eastAsia" w:ascii="宋体" w:hAnsi="宋体" w:eastAsia="宋体" w:cs="宋体"/>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_Toc7840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五、一般公共预算财政拨款支出决算情况说明</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_Toc7840 \h </w:instrText>
          </w:r>
          <w:r>
            <w:rPr>
              <w:rFonts w:hint="eastAsia" w:ascii="宋体" w:hAnsi="宋体" w:eastAsia="宋体" w:cs="宋体"/>
              <w:sz w:val="28"/>
              <w:szCs w:val="28"/>
            </w:rPr>
            <w:fldChar w:fldCharType="separate"/>
          </w:r>
          <w:r>
            <w:rPr>
              <w:rFonts w:hint="eastAsia" w:ascii="宋体" w:hAnsi="宋体" w:eastAsia="宋体" w:cs="宋体"/>
              <w:sz w:val="28"/>
              <w:szCs w:val="28"/>
            </w:rPr>
            <w:t>5</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795AF16F">
          <w:pPr>
            <w:pStyle w:val="15"/>
            <w:tabs>
              <w:tab w:val="right" w:leader="dot" w:pos="8845"/>
              <w:tab w:val="clear" w:pos="8296"/>
            </w:tabs>
            <w:rPr>
              <w:rFonts w:hint="eastAsia" w:ascii="宋体" w:hAnsi="宋体" w:eastAsia="宋体" w:cs="宋体"/>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_Toc25467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六、一般公共预算财政拨款基本支出决算情况说明</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_Toc25467 \h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616A48CF">
          <w:pPr>
            <w:pStyle w:val="15"/>
            <w:tabs>
              <w:tab w:val="right" w:leader="dot" w:pos="8845"/>
              <w:tab w:val="clear" w:pos="8296"/>
            </w:tabs>
            <w:rPr>
              <w:rFonts w:hint="eastAsia" w:ascii="宋体" w:hAnsi="宋体" w:eastAsia="宋体" w:cs="宋体"/>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_Toc23097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七、财政拨款“三公”经费支出决算情况说明</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_Toc23097 \h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0E56FE7B">
          <w:pPr>
            <w:pStyle w:val="15"/>
            <w:tabs>
              <w:tab w:val="right" w:leader="dot" w:pos="8845"/>
              <w:tab w:val="clear" w:pos="8296"/>
            </w:tabs>
            <w:rPr>
              <w:rFonts w:hint="eastAsia" w:ascii="宋体" w:hAnsi="宋体" w:eastAsia="宋体" w:cs="宋体"/>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_Toc16767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八、政府性基金预算支出决算情况说明</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_Toc16767 \h </w:instrText>
          </w:r>
          <w:r>
            <w:rPr>
              <w:rFonts w:hint="eastAsia" w:ascii="宋体" w:hAnsi="宋体" w:eastAsia="宋体" w:cs="宋体"/>
              <w:sz w:val="28"/>
              <w:szCs w:val="28"/>
            </w:rPr>
            <w:fldChar w:fldCharType="separate"/>
          </w:r>
          <w:r>
            <w:rPr>
              <w:rFonts w:hint="eastAsia" w:ascii="宋体" w:hAnsi="宋体" w:eastAsia="宋体" w:cs="宋体"/>
              <w:sz w:val="28"/>
              <w:szCs w:val="28"/>
            </w:rPr>
            <w:t>10</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39E3EB31">
          <w:pPr>
            <w:pStyle w:val="15"/>
            <w:tabs>
              <w:tab w:val="right" w:leader="dot" w:pos="8845"/>
              <w:tab w:val="clear" w:pos="8296"/>
            </w:tabs>
            <w:rPr>
              <w:rFonts w:hint="eastAsia" w:ascii="宋体" w:hAnsi="宋体" w:eastAsia="宋体" w:cs="宋体"/>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_Toc5852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lang w:eastAsia="zh-CN"/>
            </w:rPr>
            <w:t>九、</w:t>
          </w:r>
          <w:r>
            <w:rPr>
              <w:rFonts w:hint="eastAsia" w:ascii="宋体" w:hAnsi="宋体" w:eastAsia="宋体" w:cs="宋体"/>
              <w:sz w:val="28"/>
              <w:szCs w:val="28"/>
              <w:highlight w:val="none"/>
            </w:rPr>
            <w:t>国有资本经营预算支出决算情况说明</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_Toc5852 \h </w:instrText>
          </w:r>
          <w:r>
            <w:rPr>
              <w:rFonts w:hint="eastAsia" w:ascii="宋体" w:hAnsi="宋体" w:eastAsia="宋体" w:cs="宋体"/>
              <w:sz w:val="28"/>
              <w:szCs w:val="28"/>
            </w:rPr>
            <w:fldChar w:fldCharType="separate"/>
          </w:r>
          <w:r>
            <w:rPr>
              <w:rFonts w:hint="eastAsia" w:ascii="宋体" w:hAnsi="宋体" w:eastAsia="宋体" w:cs="宋体"/>
              <w:sz w:val="28"/>
              <w:szCs w:val="28"/>
            </w:rPr>
            <w:t>10</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156F1CEB">
          <w:pPr>
            <w:pStyle w:val="15"/>
            <w:tabs>
              <w:tab w:val="right" w:leader="dot" w:pos="8845"/>
              <w:tab w:val="clear" w:pos="8296"/>
            </w:tabs>
            <w:rPr>
              <w:rFonts w:hint="eastAsia" w:ascii="宋体" w:hAnsi="宋体" w:eastAsia="宋体" w:cs="宋体"/>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_Toc27683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lang w:eastAsia="zh-CN"/>
            </w:rPr>
            <w:t>十、</w:t>
          </w:r>
          <w:r>
            <w:rPr>
              <w:rFonts w:hint="eastAsia" w:ascii="宋体" w:hAnsi="宋体" w:eastAsia="宋体" w:cs="宋体"/>
              <w:sz w:val="28"/>
              <w:szCs w:val="28"/>
              <w:highlight w:val="none"/>
            </w:rPr>
            <w:t>其他重要事项的情况说明</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_Toc27683 \h </w:instrText>
          </w:r>
          <w:r>
            <w:rPr>
              <w:rFonts w:hint="eastAsia" w:ascii="宋体" w:hAnsi="宋体" w:eastAsia="宋体" w:cs="宋体"/>
              <w:sz w:val="28"/>
              <w:szCs w:val="28"/>
            </w:rPr>
            <w:fldChar w:fldCharType="separate"/>
          </w:r>
          <w:r>
            <w:rPr>
              <w:rFonts w:hint="eastAsia" w:ascii="宋体" w:hAnsi="宋体" w:eastAsia="宋体" w:cs="宋体"/>
              <w:sz w:val="28"/>
              <w:szCs w:val="28"/>
            </w:rPr>
            <w:t>11</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03C3876F">
          <w:pPr>
            <w:pStyle w:val="13"/>
            <w:tabs>
              <w:tab w:val="right" w:leader="dot" w:pos="8845"/>
              <w:tab w:val="clear" w:pos="8296"/>
            </w:tabs>
            <w:rPr>
              <w:rFonts w:hint="eastAsia" w:ascii="宋体" w:hAnsi="宋体" w:eastAsia="宋体" w:cs="宋体"/>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_Toc18279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第</w:t>
          </w:r>
          <w:r>
            <w:rPr>
              <w:rFonts w:hint="eastAsia" w:ascii="宋体" w:hAnsi="宋体" w:eastAsia="宋体" w:cs="宋体"/>
              <w:sz w:val="28"/>
              <w:szCs w:val="28"/>
              <w:highlight w:val="none"/>
              <w:lang w:eastAsia="zh-CN"/>
            </w:rPr>
            <w:t>三</w:t>
          </w:r>
          <w:r>
            <w:rPr>
              <w:rFonts w:hint="eastAsia" w:ascii="宋体" w:hAnsi="宋体" w:eastAsia="宋体" w:cs="宋体"/>
              <w:sz w:val="28"/>
              <w:szCs w:val="28"/>
              <w:highlight w:val="none"/>
            </w:rPr>
            <w:t>部分</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名词解释</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_Toc18279 \h </w:instrText>
          </w:r>
          <w:r>
            <w:rPr>
              <w:rFonts w:hint="eastAsia" w:ascii="宋体" w:hAnsi="宋体" w:eastAsia="宋体" w:cs="宋体"/>
              <w:sz w:val="28"/>
              <w:szCs w:val="28"/>
            </w:rPr>
            <w:fldChar w:fldCharType="separate"/>
          </w:r>
          <w:r>
            <w:rPr>
              <w:rFonts w:hint="eastAsia" w:ascii="宋体" w:hAnsi="宋体" w:eastAsia="宋体" w:cs="宋体"/>
              <w:sz w:val="28"/>
              <w:szCs w:val="28"/>
            </w:rPr>
            <w:t>13</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6BF43764">
          <w:pPr>
            <w:pStyle w:val="13"/>
            <w:tabs>
              <w:tab w:val="right" w:leader="dot" w:pos="8845"/>
              <w:tab w:val="clear" w:pos="8296"/>
            </w:tabs>
            <w:rPr>
              <w:rFonts w:hint="eastAsia" w:ascii="宋体" w:hAnsi="宋体" w:eastAsia="宋体" w:cs="宋体"/>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_Toc21184 </w:instrText>
          </w:r>
          <w:r>
            <w:rPr>
              <w:rFonts w:hint="eastAsia" w:ascii="宋体" w:hAnsi="宋体" w:eastAsia="宋体" w:cs="宋体"/>
              <w:sz w:val="28"/>
              <w:szCs w:val="28"/>
              <w:highlight w:val="none"/>
            </w:rPr>
            <w:fldChar w:fldCharType="separate"/>
          </w:r>
          <w:r>
            <w:rPr>
              <w:rFonts w:hint="eastAsia" w:ascii="宋体" w:hAnsi="宋体" w:eastAsia="宋体" w:cs="宋体"/>
              <w:bCs w:val="0"/>
              <w:sz w:val="28"/>
              <w:szCs w:val="28"/>
              <w:highlight w:val="none"/>
            </w:rPr>
            <w:t>第四部分</w:t>
          </w:r>
          <w:r>
            <w:rPr>
              <w:rFonts w:hint="eastAsia" w:ascii="宋体" w:hAnsi="宋体" w:eastAsia="宋体" w:cs="宋体"/>
              <w:bCs w:val="0"/>
              <w:sz w:val="28"/>
              <w:szCs w:val="28"/>
              <w:highlight w:val="none"/>
              <w:lang w:val="en-US" w:eastAsia="zh-CN"/>
            </w:rPr>
            <w:t xml:space="preserve"> </w:t>
          </w:r>
          <w:r>
            <w:rPr>
              <w:rFonts w:hint="eastAsia" w:ascii="宋体" w:hAnsi="宋体" w:eastAsia="宋体" w:cs="宋体"/>
              <w:bCs w:val="0"/>
              <w:sz w:val="28"/>
              <w:szCs w:val="28"/>
              <w:highlight w:val="none"/>
            </w:rPr>
            <w:t xml:space="preserve"> 附件</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_Toc21184 \h </w:instrText>
          </w:r>
          <w:r>
            <w:rPr>
              <w:rFonts w:hint="eastAsia" w:ascii="宋体" w:hAnsi="宋体" w:eastAsia="宋体" w:cs="宋体"/>
              <w:sz w:val="28"/>
              <w:szCs w:val="28"/>
            </w:rPr>
            <w:fldChar w:fldCharType="separate"/>
          </w:r>
          <w:r>
            <w:rPr>
              <w:rFonts w:hint="eastAsia" w:ascii="宋体" w:hAnsi="宋体" w:eastAsia="宋体" w:cs="宋体"/>
              <w:sz w:val="28"/>
              <w:szCs w:val="28"/>
            </w:rPr>
            <w:t>18</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6AD4C191">
          <w:pPr>
            <w:pStyle w:val="13"/>
            <w:tabs>
              <w:tab w:val="right" w:leader="dot" w:pos="8845"/>
              <w:tab w:val="clear" w:pos="8296"/>
            </w:tabs>
            <w:rPr>
              <w:rFonts w:hint="eastAsia" w:ascii="Times New Roman" w:hAnsi="Times New Roman" w:eastAsia="方正小标宋简体" w:cs="方正小标宋简体"/>
              <w:b w:val="0"/>
              <w:color w:val="auto"/>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_Toc10915 </w:instrText>
          </w:r>
          <w:r>
            <w:rPr>
              <w:rFonts w:hint="eastAsia" w:ascii="宋体" w:hAnsi="宋体" w:eastAsia="宋体" w:cs="宋体"/>
              <w:sz w:val="28"/>
              <w:szCs w:val="28"/>
              <w:highlight w:val="none"/>
            </w:rPr>
            <w:fldChar w:fldCharType="separate"/>
          </w:r>
          <w:r>
            <w:rPr>
              <w:rFonts w:hint="eastAsia" w:ascii="宋体" w:hAnsi="宋体" w:eastAsia="宋体" w:cs="宋体"/>
              <w:bCs w:val="0"/>
              <w:sz w:val="28"/>
              <w:szCs w:val="28"/>
              <w:highlight w:val="none"/>
            </w:rPr>
            <w:t>第五部分 附表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_Toc10915 \h </w:instrText>
          </w:r>
          <w:r>
            <w:rPr>
              <w:rFonts w:hint="eastAsia" w:ascii="宋体" w:hAnsi="宋体" w:eastAsia="宋体" w:cs="宋体"/>
              <w:sz w:val="28"/>
              <w:szCs w:val="28"/>
            </w:rPr>
            <w:fldChar w:fldCharType="separate"/>
          </w:r>
          <w:r>
            <w:rPr>
              <w:rFonts w:hint="eastAsia" w:ascii="宋体" w:hAnsi="宋体" w:eastAsia="宋体" w:cs="宋体"/>
              <w:sz w:val="28"/>
              <w:szCs w:val="28"/>
            </w:rPr>
            <w:t>35</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r>
            <w:rPr>
              <w:rFonts w:hint="eastAsia" w:ascii="Times New Roman" w:hAnsi="Times New Roman" w:eastAsia="方正小标宋简体" w:cs="方正小标宋简体"/>
              <w:color w:val="auto"/>
              <w:highlight w:val="none"/>
            </w:rPr>
            <w:fldChar w:fldCharType="end"/>
          </w:r>
        </w:p>
      </w:sdtContent>
    </w:sdt>
    <w:p w14:paraId="0669B2AE">
      <w:pPr>
        <w:pStyle w:val="2"/>
        <w:keepNext/>
        <w:keepLines/>
        <w:pageBreakBefore w:val="0"/>
        <w:widowControl w:val="0"/>
        <w:kinsoku/>
        <w:wordWrap/>
        <w:overflowPunct/>
        <w:topLinePunct w:val="0"/>
        <w:autoSpaceDE/>
        <w:autoSpaceDN/>
        <w:bidi w:val="0"/>
        <w:adjustRightInd/>
        <w:snapToGrid/>
        <w:spacing w:line="579" w:lineRule="auto"/>
        <w:jc w:val="center"/>
        <w:textAlignment w:val="auto"/>
        <w:rPr>
          <w:rFonts w:hint="eastAsia" w:ascii="Times New Roman" w:hAnsi="Times New Roman" w:eastAsia="方正小标宋简体" w:cs="方正小标宋简体"/>
          <w:b w:val="0"/>
          <w:color w:val="auto"/>
          <w:highlight w:val="none"/>
        </w:rPr>
        <w:sectPr>
          <w:headerReference r:id="rId5" w:type="default"/>
          <w:footerReference r:id="rId6" w:type="default"/>
          <w:pgSz w:w="11906" w:h="16838"/>
          <w:pgMar w:top="2098" w:right="1474" w:bottom="1984" w:left="1587" w:header="851" w:footer="992" w:gutter="0"/>
          <w:pgNumType w:fmt="decimal" w:start="1"/>
          <w:cols w:space="425" w:num="1"/>
          <w:docGrid w:type="lines" w:linePitch="312" w:charSpace="0"/>
        </w:sectPr>
      </w:pPr>
    </w:p>
    <w:p w14:paraId="5E7063D0">
      <w:pPr>
        <w:pStyle w:val="2"/>
        <w:keepNext/>
        <w:keepLines/>
        <w:pageBreakBefore w:val="0"/>
        <w:widowControl w:val="0"/>
        <w:kinsoku/>
        <w:wordWrap/>
        <w:overflowPunct/>
        <w:topLinePunct w:val="0"/>
        <w:autoSpaceDE/>
        <w:autoSpaceDN/>
        <w:bidi w:val="0"/>
        <w:adjustRightInd/>
        <w:snapToGrid/>
        <w:spacing w:line="579" w:lineRule="auto"/>
        <w:jc w:val="center"/>
        <w:textAlignment w:val="auto"/>
        <w:rPr>
          <w:rStyle w:val="31"/>
          <w:rFonts w:hint="eastAsia" w:ascii="Times New Roman" w:hAnsi="Times New Roman" w:eastAsia="方正小标宋简体" w:cs="方正小标宋简体"/>
          <w:b/>
          <w:bCs w:val="0"/>
          <w:color w:val="auto"/>
          <w:highlight w:val="none"/>
        </w:rPr>
      </w:pPr>
      <w:bookmarkStart w:id="8" w:name="_Toc29065"/>
      <w:bookmarkStart w:id="9" w:name="_Toc7308"/>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1"/>
          <w:rFonts w:hint="eastAsia" w:ascii="Times New Roman" w:hAnsi="Times New Roman" w:eastAsia="方正小标宋简体" w:cs="方正小标宋简体"/>
          <w:b w:val="0"/>
          <w:bCs w:val="0"/>
          <w:color w:val="auto"/>
          <w:highlight w:val="none"/>
        </w:rPr>
        <w:t>部门概况</w:t>
      </w:r>
      <w:bookmarkEnd w:id="6"/>
      <w:bookmarkEnd w:id="7"/>
      <w:bookmarkEnd w:id="8"/>
      <w:bookmarkEnd w:id="9"/>
    </w:p>
    <w:p w14:paraId="3E79FC6C">
      <w:pPr>
        <w:pStyle w:val="3"/>
        <w:keepNext/>
        <w:keepLines/>
        <w:pageBreakBefore w:val="0"/>
        <w:widowControl w:val="0"/>
        <w:numPr>
          <w:ilvl w:val="0"/>
          <w:numId w:val="1"/>
        </w:numPr>
        <w:kinsoku/>
        <w:wordWrap/>
        <w:overflowPunct/>
        <w:topLinePunct w:val="0"/>
        <w:autoSpaceDE/>
        <w:autoSpaceDN/>
        <w:bidi w:val="0"/>
        <w:adjustRightInd/>
        <w:snapToGrid/>
        <w:spacing w:line="416" w:lineRule="auto"/>
        <w:ind w:left="629" w:leftChars="0" w:firstLineChars="0"/>
        <w:textAlignment w:val="auto"/>
        <w:rPr>
          <w:rFonts w:hint="eastAsia" w:ascii="Times New Roman" w:hAnsi="Times New Roman" w:eastAsia="黑体"/>
          <w:b w:val="0"/>
          <w:color w:val="auto"/>
          <w:highlight w:val="none"/>
          <w:lang w:eastAsia="zh-CN"/>
        </w:rPr>
      </w:pPr>
      <w:bookmarkStart w:id="10" w:name="_Toc28424"/>
      <w:bookmarkStart w:id="11" w:name="_Toc17224"/>
      <w:r>
        <w:rPr>
          <w:rFonts w:hint="eastAsia" w:ascii="Times New Roman" w:hAnsi="Times New Roman" w:eastAsia="黑体"/>
          <w:b w:val="0"/>
          <w:color w:val="auto"/>
          <w:highlight w:val="none"/>
          <w:lang w:eastAsia="zh-CN"/>
        </w:rPr>
        <w:t>部门职责</w:t>
      </w:r>
      <w:bookmarkEnd w:id="10"/>
      <w:bookmarkEnd w:id="11"/>
    </w:p>
    <w:p w14:paraId="5F0A6067">
      <w:pPr>
        <w:snapToGrid w:val="0"/>
        <w:spacing w:line="520" w:lineRule="exact"/>
        <w:ind w:firstLine="640" w:firstLineChars="200"/>
        <w:rPr>
          <w:rFonts w:hint="default" w:ascii="仿宋_GB2312" w:hAnsi="仿宋" w:eastAsia="仿宋_GB2312"/>
          <w:color w:val="auto"/>
          <w:sz w:val="32"/>
          <w:szCs w:val="32"/>
          <w:highlight w:val="none"/>
          <w:lang w:val="en-US" w:eastAsia="zh-CN"/>
        </w:rPr>
      </w:pPr>
      <w:r>
        <w:rPr>
          <w:rFonts w:hint="eastAsia" w:ascii="仿宋_GB2312" w:hAnsi="仿宋" w:eastAsia="仿宋_GB2312"/>
          <w:color w:val="auto"/>
          <w:sz w:val="32"/>
          <w:szCs w:val="32"/>
          <w:highlight w:val="none"/>
          <w:lang w:val="en-US" w:eastAsia="zh-CN"/>
        </w:rPr>
        <w:t>承担全州农业推广应用研究，为阿坝州农业现代化和乡村振兴提供科技支撑；承担全州农业新品种的选育、引进和推广应用工作，科技成果示范转化工作，技术培训与科普服务工作；组织全州农业科技力量协同攻关，开展重大农业科技创新活动，发挥农业科研骨干引领作用，开展人才培养，推动全州农业科技水平稳步提升；完成州委、州政府交办其他工作任务。</w:t>
      </w:r>
    </w:p>
    <w:p w14:paraId="4BF469DC">
      <w:pPr>
        <w:pStyle w:val="3"/>
        <w:keepNext/>
        <w:keepLines/>
        <w:pageBreakBefore w:val="0"/>
        <w:widowControl w:val="0"/>
        <w:numPr>
          <w:ilvl w:val="0"/>
          <w:numId w:val="1"/>
        </w:numPr>
        <w:kinsoku/>
        <w:wordWrap/>
        <w:overflowPunct/>
        <w:topLinePunct w:val="0"/>
        <w:autoSpaceDE/>
        <w:autoSpaceDN/>
        <w:bidi w:val="0"/>
        <w:adjustRightInd/>
        <w:snapToGrid/>
        <w:spacing w:line="416" w:lineRule="auto"/>
        <w:ind w:left="629" w:leftChars="0" w:firstLineChars="0"/>
        <w:textAlignment w:val="auto"/>
        <w:rPr>
          <w:rFonts w:hint="eastAsia" w:ascii="Times New Roman" w:hAnsi="Times New Roman" w:eastAsia="黑体"/>
          <w:b w:val="0"/>
          <w:color w:val="auto"/>
          <w:highlight w:val="none"/>
          <w:lang w:eastAsia="zh-CN"/>
        </w:rPr>
      </w:pPr>
      <w:bookmarkStart w:id="12" w:name="_Toc8536"/>
      <w:bookmarkStart w:id="13" w:name="_Toc14819"/>
      <w:r>
        <w:rPr>
          <w:rFonts w:hint="eastAsia" w:ascii="Times New Roman" w:hAnsi="Times New Roman" w:eastAsia="黑体"/>
          <w:b w:val="0"/>
          <w:color w:val="auto"/>
          <w:highlight w:val="none"/>
          <w:lang w:eastAsia="zh-CN"/>
        </w:rPr>
        <w:t>机构设置</w:t>
      </w:r>
      <w:bookmarkEnd w:id="12"/>
      <w:bookmarkEnd w:id="13"/>
    </w:p>
    <w:p w14:paraId="427F6097">
      <w:pPr>
        <w:snapToGrid w:val="0"/>
        <w:spacing w:line="520" w:lineRule="exact"/>
        <w:ind w:firstLine="640" w:firstLineChars="200"/>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lang w:val="en-US" w:eastAsia="zh-CN"/>
        </w:rPr>
        <w:t>阿坝州农业科学研究院</w:t>
      </w:r>
      <w:r>
        <w:rPr>
          <w:rFonts w:hint="eastAsia" w:ascii="仿宋_GB2312" w:hAnsi="仿宋" w:eastAsia="仿宋_GB2312"/>
          <w:color w:val="auto"/>
          <w:sz w:val="32"/>
          <w:szCs w:val="32"/>
          <w:highlight w:val="none"/>
        </w:rPr>
        <w:t>是州政府直属正县级公益一类事业单位。州科技局、州农业农村局、州林草局为业务指导部门。</w:t>
      </w:r>
    </w:p>
    <w:p w14:paraId="16ED10C3">
      <w:pPr>
        <w:snapToGrid w:val="0"/>
        <w:spacing w:line="520" w:lineRule="exact"/>
        <w:ind w:firstLine="640" w:firstLineChars="200"/>
        <w:rPr>
          <w:rFonts w:hint="eastAsia"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val="en-US" w:eastAsia="zh-CN"/>
        </w:rPr>
        <w:t>2025年阿坝州农业科学研究院单位年末编制内实有人数80人，较上年增加40人；其他人员20人，较上年增加3人。</w:t>
      </w:r>
    </w:p>
    <w:p w14:paraId="2DDDF530">
      <w:pPr>
        <w:pStyle w:val="2"/>
        <w:keepNext/>
        <w:keepLines/>
        <w:pageBreakBefore w:val="0"/>
        <w:widowControl w:val="0"/>
        <w:kinsoku/>
        <w:wordWrap/>
        <w:overflowPunct/>
        <w:topLinePunct w:val="0"/>
        <w:autoSpaceDE/>
        <w:autoSpaceDN/>
        <w:bidi w:val="0"/>
        <w:adjustRightInd/>
        <w:snapToGrid/>
        <w:spacing w:line="579" w:lineRule="auto"/>
        <w:jc w:val="center"/>
        <w:textAlignment w:val="auto"/>
        <w:rPr>
          <w:rFonts w:hint="eastAsia" w:ascii="Times New Roman" w:hAnsi="Times New Roman" w:eastAsia="方正小标宋简体" w:cs="方正小标宋简体"/>
          <w:b w:val="0"/>
          <w:color w:val="auto"/>
          <w:highlight w:val="none"/>
        </w:rPr>
      </w:pPr>
      <w:bookmarkStart w:id="14" w:name="_Toc15396602"/>
      <w:bookmarkStart w:id="15" w:name="_Toc16785"/>
      <w:bookmarkStart w:id="16" w:name="_Toc15377204"/>
      <w:bookmarkStart w:id="17" w:name="_Toc19261"/>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4"/>
      <w:bookmarkEnd w:id="15"/>
      <w:bookmarkEnd w:id="16"/>
      <w:bookmarkEnd w:id="17"/>
    </w:p>
    <w:p w14:paraId="60536CE4">
      <w:pPr>
        <w:rPr>
          <w:rFonts w:ascii="Times New Roman" w:hAnsi="Times New Roman"/>
          <w:color w:val="auto"/>
          <w:highlight w:val="none"/>
        </w:rPr>
      </w:pPr>
    </w:p>
    <w:p w14:paraId="032582EB">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bookmarkStart w:id="18" w:name="_Toc15396603"/>
      <w:bookmarkStart w:id="19" w:name="_Toc15377205"/>
      <w:bookmarkStart w:id="20" w:name="_Toc1986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2"/>
          <w:rFonts w:hint="eastAsia" w:ascii="Times New Roman" w:hAnsi="Times New Roman" w:eastAsia="黑体"/>
          <w:b w:val="0"/>
          <w:color w:val="auto"/>
          <w:highlight w:val="none"/>
        </w:rPr>
        <w:t>入支出决算总体情况说明</w:t>
      </w:r>
      <w:bookmarkEnd w:id="18"/>
      <w:bookmarkEnd w:id="19"/>
      <w:bookmarkEnd w:id="20"/>
    </w:p>
    <w:p w14:paraId="3184923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 w:eastAsia="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3465.13</w:t>
      </w:r>
      <w:r>
        <w:rPr>
          <w:rFonts w:hint="eastAsia" w:ascii="Times New Roman" w:hAnsi="Times New Roman" w:eastAsia="仿宋_GB2312" w:cs="仿宋_GB2312"/>
          <w:color w:val="auto"/>
          <w:sz w:val="32"/>
          <w:szCs w:val="32"/>
          <w:highlight w:val="none"/>
        </w:rPr>
        <w:t>万元。</w:t>
      </w:r>
      <w:r>
        <w:rPr>
          <w:rFonts w:hint="eastAsia" w:ascii="仿宋_GB2312" w:hAnsi="仿宋" w:eastAsia="仿宋_GB2312"/>
          <w:color w:val="auto"/>
          <w:sz w:val="32"/>
          <w:szCs w:val="32"/>
          <w:highlight w:val="none"/>
        </w:rPr>
        <w:t>较</w:t>
      </w:r>
      <w:r>
        <w:rPr>
          <w:rFonts w:hint="eastAsia" w:ascii="仿宋_GB2312" w:hAnsi="仿宋" w:eastAsia="仿宋_GB2312"/>
          <w:color w:val="auto"/>
          <w:sz w:val="32"/>
          <w:szCs w:val="32"/>
          <w:highlight w:val="none"/>
          <w:lang w:val="en-US" w:eastAsia="zh-CN"/>
        </w:rPr>
        <w:t>2024年</w:t>
      </w:r>
      <w:r>
        <w:rPr>
          <w:rFonts w:hint="eastAsia" w:ascii="仿宋" w:hAnsi="仿宋" w:eastAsia="仿宋"/>
          <w:color w:val="auto"/>
          <w:sz w:val="32"/>
          <w:szCs w:val="32"/>
          <w:highlight w:val="none"/>
          <w:lang w:eastAsia="zh-CN"/>
        </w:rPr>
        <w:t>增加1,819.2</w:t>
      </w:r>
      <w:r>
        <w:rPr>
          <w:rFonts w:hint="eastAsia" w:ascii="仿宋" w:hAnsi="仿宋" w:eastAsia="仿宋"/>
          <w:color w:val="auto"/>
          <w:sz w:val="32"/>
          <w:szCs w:val="32"/>
          <w:highlight w:val="none"/>
          <w:lang w:val="en-US" w:eastAsia="zh-CN"/>
        </w:rPr>
        <w:t>3</w:t>
      </w:r>
      <w:r>
        <w:rPr>
          <w:rFonts w:hint="eastAsia" w:ascii="仿宋_GB2312" w:hAnsi="仿宋" w:eastAsia="仿宋_GB2312"/>
          <w:color w:val="auto"/>
          <w:sz w:val="32"/>
          <w:szCs w:val="32"/>
          <w:highlight w:val="none"/>
        </w:rPr>
        <w:t>万元，</w:t>
      </w:r>
      <w:r>
        <w:rPr>
          <w:rFonts w:hint="eastAsia" w:ascii="仿宋_GB2312" w:hAnsi="仿宋" w:eastAsia="仿宋_GB2312"/>
          <w:color w:val="auto"/>
          <w:sz w:val="32"/>
          <w:szCs w:val="32"/>
          <w:highlight w:val="none"/>
          <w:lang w:eastAsia="zh-CN"/>
        </w:rPr>
        <w:t>上升110.53</w:t>
      </w:r>
      <w:r>
        <w:rPr>
          <w:rFonts w:hint="eastAsia" w:ascii="仿宋_GB2312" w:hAnsi="仿宋" w:eastAsia="仿宋_GB2312"/>
          <w:color w:val="auto"/>
          <w:sz w:val="32"/>
          <w:szCs w:val="32"/>
          <w:highlight w:val="none"/>
        </w:rPr>
        <w:t>%；总支出为</w:t>
      </w:r>
      <w:r>
        <w:rPr>
          <w:rFonts w:hint="eastAsia" w:ascii="仿宋_GB2312" w:hAnsi="仿宋" w:eastAsia="仿宋_GB2312"/>
          <w:color w:val="auto"/>
          <w:sz w:val="32"/>
          <w:szCs w:val="32"/>
          <w:highlight w:val="none"/>
          <w:lang w:eastAsia="zh-CN"/>
        </w:rPr>
        <w:t>3524</w:t>
      </w:r>
      <w:r>
        <w:rPr>
          <w:rFonts w:hint="eastAsia" w:ascii="仿宋" w:hAnsi="仿宋" w:eastAsia="仿宋"/>
          <w:color w:val="auto"/>
          <w:sz w:val="32"/>
          <w:szCs w:val="32"/>
          <w:highlight w:val="none"/>
          <w:lang w:eastAsia="zh-CN"/>
        </w:rPr>
        <w:t>.76</w:t>
      </w:r>
      <w:r>
        <w:rPr>
          <w:rFonts w:hint="eastAsia" w:ascii="仿宋_GB2312" w:hAnsi="仿宋" w:eastAsia="仿宋_GB2312"/>
          <w:color w:val="auto"/>
          <w:sz w:val="32"/>
          <w:szCs w:val="32"/>
          <w:highlight w:val="none"/>
        </w:rPr>
        <w:t>万元，较</w:t>
      </w:r>
      <w:r>
        <w:rPr>
          <w:rFonts w:hint="eastAsia" w:ascii="仿宋_GB2312" w:hAnsi="仿宋" w:eastAsia="仿宋_GB2312"/>
          <w:color w:val="auto"/>
          <w:sz w:val="32"/>
          <w:szCs w:val="32"/>
          <w:highlight w:val="none"/>
          <w:lang w:val="en-US" w:eastAsia="zh-CN"/>
        </w:rPr>
        <w:t>2024年</w:t>
      </w:r>
      <w:r>
        <w:rPr>
          <w:rFonts w:hint="eastAsia" w:ascii="仿宋_GB2312" w:hAnsi="仿宋" w:eastAsia="仿宋_GB2312"/>
          <w:color w:val="auto"/>
          <w:sz w:val="32"/>
          <w:szCs w:val="32"/>
          <w:highlight w:val="none"/>
          <w:lang w:eastAsia="zh-CN"/>
        </w:rPr>
        <w:t>增加1940.08</w:t>
      </w:r>
      <w:r>
        <w:rPr>
          <w:rFonts w:hint="eastAsia" w:ascii="仿宋_GB2312" w:hAnsi="仿宋" w:eastAsia="仿宋_GB2312"/>
          <w:color w:val="auto"/>
          <w:sz w:val="32"/>
          <w:szCs w:val="32"/>
          <w:highlight w:val="none"/>
        </w:rPr>
        <w:t>万元，</w:t>
      </w:r>
      <w:r>
        <w:rPr>
          <w:rFonts w:hint="eastAsia" w:ascii="仿宋_GB2312" w:hAnsi="仿宋" w:eastAsia="仿宋_GB2312"/>
          <w:color w:val="auto"/>
          <w:sz w:val="32"/>
          <w:szCs w:val="32"/>
          <w:highlight w:val="none"/>
          <w:lang w:eastAsia="zh-CN"/>
        </w:rPr>
        <w:t>上升122.43</w:t>
      </w:r>
      <w:r>
        <w:rPr>
          <w:rFonts w:hint="eastAsia" w:ascii="仿宋_GB2312" w:hAnsi="仿宋" w:eastAsia="仿宋_GB2312"/>
          <w:color w:val="auto"/>
          <w:sz w:val="32"/>
          <w:szCs w:val="32"/>
          <w:highlight w:val="none"/>
        </w:rPr>
        <w:t>%</w:t>
      </w:r>
      <w:r>
        <w:rPr>
          <w:rFonts w:hint="eastAsia"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rPr>
        <w:t>主要原因是</w:t>
      </w:r>
      <w:r>
        <w:rPr>
          <w:rFonts w:hint="eastAsia" w:ascii="仿宋" w:hAnsi="仿宋" w:eastAsia="仿宋"/>
          <w:color w:val="auto"/>
          <w:sz w:val="32"/>
          <w:szCs w:val="32"/>
          <w:highlight w:val="none"/>
          <w:lang w:eastAsia="zh-CN"/>
        </w:rPr>
        <w:t>单位机构改革，变动较大</w:t>
      </w:r>
      <w:r>
        <w:rPr>
          <w:rFonts w:hint="eastAsia" w:ascii="仿宋_GB2312" w:hAnsi="仿宋" w:eastAsia="仿宋_GB2312"/>
          <w:color w:val="auto"/>
          <w:sz w:val="32"/>
          <w:szCs w:val="32"/>
          <w:highlight w:val="none"/>
        </w:rPr>
        <w:t>。</w:t>
      </w:r>
    </w:p>
    <w:p w14:paraId="68B2B5F3">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eastAsia" w:ascii="Times New Roman" w:hAnsi="Times New Roman" w:eastAsia="仿宋_GB2312" w:cs="仿宋_GB2312"/>
          <w:b/>
          <w:bCs/>
          <w:color w:val="auto"/>
          <w:sz w:val="32"/>
          <w:szCs w:val="32"/>
          <w:highlight w:val="none"/>
        </w:rPr>
      </w:pPr>
      <w:r>
        <w:rPr>
          <w:rFonts w:hint="eastAsia"/>
          <w:color w:val="auto"/>
          <w:highlight w:val="none"/>
        </w:rPr>
        <w:object>
          <v:shape id="_x0000_i1025" o:spt="75" type="#_x0000_t75" style="height:241pt;width:420pt;" o:ole="t" filled="f" o:preferrelative="t" stroked="f" coordsize="21600,21600" o:gfxdata="UEsDBAoAAAAAAIdO4kAAAAAAAAAAAAAAAAAEAAAAZHJzL1BLAwQUAAAACACHTuJAC48EptUAAAAF&#10;AQAADwAAAGRycy9kb3ducmV2LnhtbE2PQUvDQBCF70L/wzIFL2J3W0MNMZtSCj0JgrHidZudJtHs&#10;bMhum/jvHb3Yy4PHG977Jt9MrhMXHELrScNyoUAgVd62VGs4vO3vUxAhGrKm84QavjHAppjd5Caz&#10;fqRXvJSxFlxCITMamhj7TMpQNehMWPgeibOTH5yJbIda2sGMXO46uVJqLZ1piRca0+OuweqrPDsN&#10;PsHD3cf0vtpX2/YzLZ9fTuMatb6dL9UTiIhT/D+GX3xGh4KZjv5MNohOAz8S/5Sz9EGxPWpIHhMF&#10;ssjlNX3xA1BLAwQUAAAACACHTuJAO7Huqg4BAACFAgAADgAAAGRycy9lMm9Eb2MueG1srZJBSwMx&#10;EIXvgv8hzN1mW1rdLs32UgRPXvQHxGSyG9hNwiR19d87tkWqp1K8zbyBL+89stl+jIN4R8o+BgXz&#10;WQUCg4nWh07B68vjXQ0iFx2sHmJABZ+YYdve3mym1OAi9nGwSIIhITdTUtCXkhops+lx1HkWEwY+&#10;ukijLrxSJy3pienjIBdVdS+nSDZRNJgzq7vjEU5EugQYnfMGd9HsRwzlSCUcdOFIufcpQ3tw6xya&#10;8uxcxiIGBauq5rBFwXK5XIHgp+p6zcob1/AwZ0m2G910pFPvzcmPvsTPn4Cj9oEd/KB2umixJ38F&#10;yvSaCrNMc5hOpszVpP9tWVDjrQJ6svPv7uSvxOc7z+e/p/0CUEsDBAoAAAAAAIdO4kAAAAAAAAAA&#10;AAAAAAAPAAAAZHJzL2VtYmVkZGluZ3MvUEsDBBQAAAAIAIdO4kC9aPffYR4AAGAiAAAdAAAAZHJz&#10;L2VtYmVkZGluZ3MvV29ya2Jvb2sxLnhsc3iNeQVUXMuyNhLcIcGCu+vgrsHd3X1wd3d3d4IEDQR3&#10;dwjuEjRokABBH+Tc/yQn776z/po1e++ZNVU9VV3d9VV/cpLgr16DQENDg4gGmGuB/CZoz8+aQjbW&#10;jsbWjrpKbrbGDtp0rkCrT4nSMj0MyEFVqG4RqA00yILSLRumMEkUUAxXhTUHC8mmGkvLzOKwqKRi&#10;IkA2u0y2i/YU8e0hq+VGK3AY4LciTAziOL/5LrUOmr7lL5Qdb7Diz0WbNvJec/EzZsigt0Cn2lUN&#10;KMwIn8lIzLAAYCOQu2oVgmYovgA1hksuJWgFdGJE2RSgZDcoi+eEpMiR5Eo/FRy1+6xppAj27Zer&#10;9NZs92eAT3vaqJHYaiPMsX55gxF6ZDdC93BYHS6IJ8BuZXW9ct0dID7X2ZEfVPYRW2ryMFgT1kwb&#10;IZWbjE7KSD/HoRKV50MwAinGhLrI0Fwf5VFVzX7sBoWepivq2QbwOzYlYCCvZcqhm5FMDtISxELL&#10;75OEng7lWdU9V//cED4ExqgAFxtDCCt/sVa01MFqF3IjWrVu/942Wg5IT6/KfpUpBJ63vU6EqDpf&#10;4iZx4awH9IeRM01BlyeMdjR555FrHCOXVBk+UDlJKOjkxzdxBqAgIBEQICBy/+cUwT1Pka69sZUD&#10;Pd3LtSK+y6KHAT5Yt29/jf24H7PAmt54chlzFdysPj2wN7lmltbrLu24+lPhpECM6Ny1j5hG5Tu+&#10;EiSJpi09PZ3ZXAo1Z20z+NbjbNOY3I96tuy2BODvhqt1aHXN+Slpm44NVIJQPvqpkPCaZwEl8Rz6&#10;4gRLjzjcEs+loqLNPKzE6A9uBYo74NmNyyqYY+utES1CSgkZGRBvExSfxldUITRhB8TmA8+919WX&#10;qnlcYZnivK7AL+tGvsz31XiJa3Ey9muOTFK8xmlSp4FJLKRG69BzZNM34vj8lEhHL+KB6khxI90m&#10;uO8tsR8b9FBRfCnEozhFbtp0C/YSq0wusc2L50isgv1brJCff2FkYyhnb2PrQK9va/uSy1lxXRK9&#10;DK9Frr1FhrzJjgmISMcIShpR4FSuGb2yYOrExbKLbmmttaAf/aifRLsmGIA1zjNJLXf2NtbjxFar&#10;LE4z/hfD+5EkI6nCuUWUSWtG22Xs2jjxLOuGTczoOFTf5BtzvUTrQ1mLZkZoAd30ARUBiljz0PAF&#10;y3KKyhLdNXENCGaFH9h5cycJ91GHg7JghxZS62/Wp6YGsyd0MVxYL+2cjYAVhZ3VaHyqU1g2VJEy&#10;nDAsBQ4JWX77qmNB9tm16NPoJNgYbk5IWOpx+6Ku+5bMU7DFgaJM/f36k5++79/cjUwvH/YMbDEX&#10;TC8S7H1uUrnjxgITOIL82otySaefVw3pI7/TvYnfOYTjqkfA3DtCC0LWcdOuc/tZuuMp0+dnbI1t&#10;+4XxnvOQ/F9ji/J7bA1t7I1fgusV9/dGkbMgQ1knHy/h25yPiiqidERjmi7ay7dAZz7RFU4L5yyW&#10;CWsHnzkZrEvopn/X9uOeO0GGNR/xpHNBYgj+c2guCImqCOkIvPZ48SY0xByjerWG+OAkOk36NuU8&#10;jCrkeNSUnhYE6zccc7RK5jp7GXJMzXawLqtt3KkISeNXDo9mEuVYHfqkG6mxQjSdNf4cwZp6JR5E&#10;S4Rwa8Tfl2ZwczcwLZAJsvoA+TfTh53Qd6YCxZfjURXuqtMAeeZ9T16UvojFRREM3nKjOxdEClmX&#10;/cC3eojhneCoDbPtpB47Frb2nDn53GSXBCRbsXhjQxSEAMJtzj6+A82NAZ00z80MXbq5c+cxo0kN&#10;jyKg41h5xo8wGmqK6IYfyyNbhxfThz1e4T4RXlI1LXdsptzwlAiGU7s4tyyP8Q5Igy2m7UhcPlAv&#10;GW6qipb47nkW2P51Fl427L8z3NDJwdEG+DIPRXEjLxu2yLWnyHbb1jsd6aTCYUVBGv58xwiqAXPi&#10;WWcjriDYs9NGf4UaPfCRz1kcDoCECp2+Li57oCipA78nPDdd2sG7ppGu6eYAuGoq649QFWSVx4NR&#10;e5CFQ11rS+ZhsfoedPX9LjWOQ7l1CxqqB7gKPQxMaxSscHS0+ZgDoWP9VKDFNjg327QxV1WDOjW1&#10;WYvlsglbbxYx7rcRuqO9ENfSS6zTod/F1psjwJC9kQoA+Ln6MVaYrRYZ3yG2fl2R8iNv8N/bODlb&#10;079LW7TAQ3oItgzhXdrRd2dUwXj97jXqQUvED0CoYHqeZWpeRA8f0D9iDNj2o6ZdSlwt3l2gmRVG&#10;EqdYOV5JG5mMJXq5USZ7qEpw/3bkC/hLZJH6LgyxniP79Pz+v/fZ18+RdbWidzDTtzc2UnS0N7c2&#10;dXgJLTBGGrab4XXgdTZRa9t7Wioicy3obH4k5INpSCmFC4UzsC8Qrf6WbET7Xgcckc3nphzrnvCR&#10;mMCxcOBkgjNrSF0CiJBmY1P9CI7JtLgHCPEiqrDfm8p6Qk7K6qUDp6gttn3QCOJkewqhkuBMRfl8&#10;+Rm7N0sLNJlsVL37KZlUMRYypAYM1Nmk4jlvi2jFBDTCv+FgKxTBjhKmB3oHEKRtCMA+AnSSW/Hp&#10;xk5uJGXHHq+ka0kOWecv8FfuOrl1EpFe/F+DZGtqf/YO6V/9R/iP/45uVsY/HT/WOo5ZFsN6GtfV&#10;b/JHCrU6OpM8aiMxZmuJkymT60MPfFViHy8+103fZefeEiJDdTncnUeUBxY0LY7jQrUDrr3Br+Wk&#10;5fEklXDi/UVX7551azES1zTDKGF5TOLtctr6xf2um/fFlzDy2UOo+r5Vv7VOxyxsemtobqis+mXG&#10;LJ2op/EKE/GtqvkOBdybEPSV5ZDJvaOr3Qyege+RyRCW937FFzgfN+Et7ttPr9lGdgQ88Jf69XqO&#10;haC8ppx4lr99Lp2nRrrFA3AGdEYDk/wISoyXGbIWut+v0hn0srbiI9wV1VteI6xbpSV/xQ+uR2UO&#10;nQ7EXbbyOOk8vn0Lrercol2LQL4farEY4DJKgM6pW8Up1GJ+B155jIjb0T9yg4rR1rYogCGSHTHI&#10;soIYPgA8OVz5ZKPVQrayuwYd7SMnkeN1PCA071Pwui1ovt0tY2uEpmWjfBX6soMe7x2UORsaflGb&#10;jCc7OAxlgf3b7rTbOLjE74fzF8cjfVRpahNlprt7HEbDds6Hs5WHsSTgfjGVMx8CGpq4goOwgzAT&#10;bVqSD+14FdCIsHXs4N+KkooOdLj/uNdXs1j/BlkSJ8wvjsgjspv/1MO0XD1vOXtD5g6zrzzYzNAC&#10;PL6vdziGLJ8wb0jaLZd6pcHpkjt2r6fU3fGlsMebhM40o+RupCoMMJBex2TBpNpzi3O8ayEi6HMx&#10;OfwRyNZAxQVXG6UDZ55yscetCMVOrA0IpO+tXFOTaihmUzKOdt6aHE84aKp90w5hWGCu7mol/ODg&#10;WKQjwkyP7y6DlmV7dlbRw2u/04gYeRS48z7xxK0/Dzrxi6+fZVqWr0hVl7VgxQ349NdO8NBdTIsZ&#10;viKa8S7VghqAbi5M8o6l5KJC8s6HvBM6Zt2knR9LqzrVVY3yBU21NpBjCgtyjpfxAG2IZjLYiHH9&#10;I90mvacDiLsq5CdUe13519IoTgQRt/b3liN2BQkWKnIsLPKzAOkUUvnsWZ+b4P7E5EOn3JB3SbA5&#10;WmWqtAvfUVaYPe66Wk6vwPErTws8rtw/GWLzzDOWdwr4ixE32Sbl99/dve+RjZxb1uM6Eh8R+Lzw&#10;TkBYjbVQEdlXgqwVjii/e/owFSWrNwKBa3dydyLy6VyK7hyLvEG6rycURaQnFDTo+X5RamiPL98a&#10;jSlfF40p1xiNyUhe6riiP+Kf4O1v7D//raf8VZGQaNSELSXN8g2IExXQTN3Dr+bUachfuzrUZVKa&#10;lh2myz0hAEne5zW+qHN+gvts9Wi2odAAkoqoVy3uaPTy/mtRlweoVWaTAqeP5s4cBesNiBnWC2lk&#10;piUUHMuIkgkXFYFQTY7TDl4LVz2zSw7ySfPBZe2sUgUiG99zYeeCLcpqwhVTvS3NGnLn4VPiVQMY&#10;1bj6KVl8AYaMOYxFcX1MiXN078+XGFXmomvSuzBHO11r4KmpJ+Q0NYM/fJDMYkieiizS6ofDe6eY&#10;1ZpJRqpLQskYMBMkSsXiS02NVlqOIqee5kxlguB2cCAnFWVncdZuNMS8NlOtoq4eXxonrfl8zRPS&#10;VY+/fTM0knjyWtwu+Mdo385d+E7RoGt6UeNHmu/UySk0W+bJesbqB6o09Or90zRFScalujWtRliy&#10;tYmqyUXefecjaWf2t4c3+yM/Zq7PvzS1J+8hNn8WsINccBML8qYD0d31hzK0vN9frE0gP0Wl17I0&#10;02j/KmxqDLnR1ZYygR/pfXYxfe2T0SkMS1ajR/7kzeR+Nf0KhMJ3FKz1dgtu2+je5Ug4n2EYYL2O&#10;4Z1KYAxbajItqf8aVlHf4NHh6XIz4qwKnxwzqdtMKjjH297+vu9rwZbqaQeXX5Wca1YQ/tNhVfG7&#10;U1KQKLDQUc8s7oeRfbbTKB8fwOOGDYxMsR3R9HTIu2L8B1DTVJXgQfinoYQYlKazVfI6trjkkO6Z&#10;d9vRaIyhyaGDoxrwYJjClsJG72khxTGFR4SMdmkhhzCFD4WMyA63+3o+e2VqxyVD6ZnCCUTz9iBr&#10;oPimlSRs8XVwegcS1pGB6M3tbrVs8fHg8dys7j+2nYXkGNJUwHVKKZEswtDkQoClAt3vJwrOVp8M&#10;oJ+/tp6Kydk6ryMBUUQtkI2xc9NA8C0Nnm7h8/hxRBk8qQFyxHr/w5T8qTEEwOt+u39ZgCTj/QMm&#10;jjbXCTS1GaRbtQk1xTJ4Lrx3Jpx7Fb4CP6wU36kZS0MRVVERHrxRG0xDDVVRLU2+y4REwxBV0TBN&#10;ntBkHF5VatVYNCg1b4eiZofdHMSFG7VCNqx0YrQEmbnOhPS9CXOB4OjkcFLq8FgkLKMQtarJBCEZ&#10;wka2cj4LNTNLBtYbg+C58tEZKxOlUCyNJibFphf7Rj+f4MFhWfktVUwsWJmpekfTwjAUa1+GNNsZ&#10;ltoxeRkyiRrjGKhs5TtXzq1pIzk6ma5scggMezYzbNVG+zJWGF4i+fQP908Osc2l0Fcojv6lT5Y2&#10;xUOLe3IlDB7XQoNAaWhRTf6th0D9K7J6NLK3ECmhEtm3MjzG2dcbrjeZHG5KrdWSFpY7HIp9w2Kb&#10;nbII/LuIkMPzdWNwSpuUd+jveTpztNndPH3Wv482yNPCU+MnNJSWSUUaGTmTaqIvAhh5jJpmZQ3U&#10;pWaqKDfppaXCrwUV367FMzfePDqMR3l6LW1roNBkf5ktl9Tf3KnP6g7XEoXTOuanp5Lo8gGcXgWs&#10;P+bPz3x+UIJyjsrbWe/Gn3O195wOAN+XbGhY6hJsC5VcB5w2emul47wrAqXLcsZa59tOPYFy7mbx&#10;bO1L5fp2OZYXZk3snb/PtVwGiU0qMrcT39pSq7mkAFFBAo3gpWoOK40rdiqH50KL6b24EVLqZbn+&#10;SW8fV5lI/ZTONGU9BDJ8o2G1wdaOtKrxNH9RurkuU7XZ0h0cv9TEjAuTYAeUxjCfO/UA5PPiBU+t&#10;rAUNOokTJLp0BUx03LwViq33ZYIDSVWXAbc4jRx1cxlLXfyS1UnidnBhcj02Qk3hqXXYGK78dGK/&#10;io4BORrpLpkzkaKBtUEtkTqgw9SuyRzRzqNnjmRgxQpJb9mJU2rlMhLK6W29P0W6TAxI0FfERTEe&#10;pAU292pzwQ8OPWYClr4CGoSTLgiW0DAlTIQjMzAHpxt+PoYbIacrk8xxc84N1Lfj1miJAH1N6iFU&#10;JYnmj20Bt4n9V+Myihi+k65QT3h5FDmn19AQbeXv+GLVqoiIM8Dhks6/RLOd8F8PfsLO4WxCWZkU&#10;IUbPx31AopYn69hRe+J7wWwLDlpbbjDPmFX+/wOzOuobPGM2+p83xp+YNVrgBbMKP2PW+zZpoLKw&#10;lAgsnfZXUIM7IPiQrHj+ftuKK8GpvjBcOJ3pWkBa37kVgCvvYjjeVz4eTKjMqqIEpXq5MoRZDT1A&#10;JNYjSmpWHlSFet3cbVEsAKxeFlXyVgIRCUylwC0NPAJuG6KO0NFh3Gs2P463BleBBOowEp6xOfhu&#10;PK/cKwIzclc9XaYpLjzXdSxFBR/BTWWRGAL0h8t6jseDXqeP+dw0zVj/9fL3nAQf9oSGHr69OzXu&#10;Z4gOBR0bkJjU9gxIuf4Vsr40Q8+Q3dHMGGj81/Wn98dpmjbLrK8H1q8poduqzqWdcWYoUXWXKsTf&#10;kpiH8OJJ1vWmo0LEyxw05HnhMOipsV0ad1an8MAvw9Z1QpbfAb5yOuJOVjFI2FtNvXdX187tSQcJ&#10;E3sc38zZiw2xt3/srkjNNxyF0BcfKM3+wA5NzgsnhuqcafkuAIktE04TPzNEGmsTs+CVwYpdZbRo&#10;78D+WVUHz8NJdkBihLCV4EBYoRSbtupNOIRddBG7vCFxv2Fs2ZAQ24ZtvtbATIUylTQbZDy7puna&#10;ndKDWOEgp+cw0kMSpQMrpmqtrgFVc2KBYS7uux/wC0Mo7aS4wgJiLJN2VD9StqyzXPZElZIXLJwD&#10;7i1N2Jih+z+tRIf0NOkXbLKkLzs8fep+opq3+Z7xsLuii+h7+iFJRVXNprht+sKkHPJNDPp6m0qV&#10;DovrmI9X0PrVR5uAKvqbflg+TEcMxpncL59rewuVD1nh1zS/jb1pV148YdGAzBFCIR1yDap0HXO/&#10;tvrkYNS7T0q9doUdoAIMpqdQXdYO8iIaudKAZ8PCpyCQpROLJ+CQPoP27HPyiyckN0sJjBt97ycN&#10;v+T6eSciqdJKlMRTRmHRjleG0A6w/aMAP4fP3Tebr9nH/W7z67GuzOkKR9tDbd83VJI865ujO/rH&#10;x13Fy/kAm5zVh+FxuKynreIJvKfHItxEzpvtwzsf3tan7bU9WZ9Gy64GDnin+9BetVzqm1e41WoV&#10;Y0ygeOfztezhvpjoyJRTYFfGRr6q7/mBK4isAS5ZH5j0wOllrLE1kIh543rBdKINwFcMI08YrLXH&#10;d6zovDgSSOpkx8k5XUBsrTJaWhKXHkmU79IWtJyJrQZXiqmWkb+8kkyMqmHsR699G4hpt0rMa+of&#10;RdIsMImIbCkWPSi3FEUXp7ZjbIFWogDsNTnlXNKf2W0PiZFWwIXOZU1JxdZvhUaDqVFm7FUidxEQ&#10;ZY0LUTx5C4qhYMzZm5jn7RtUvai1oyh0YqzMe2S+XjC9QNJEYvi2CS7yq1FMVAtKb6kyszhR1oNY&#10;5Cw6RN1EofIrZlmxORU330LA6jxMcpVLeVXpsPk6weJg4HL0K5Ndt8wplA0jlZ0od9yE7aK+O69F&#10;3p4Gjhq87B0D7f4HKElHJLIhXpXiL15B3rp5TzFvmo9oqjro6CVqPnTY7Vl/mZo/Rcm7lJOhXHvj&#10;hoJh4dbF77QbtWL2WJ8jemDHmtUVhHNu2pt2Hzi4z+CvJK04ZgrdN+pEITcceBu5mXg7XhUn3jrg&#10;n9+gwXPnWwrPT3dLvdaqq835cR9Yj55TuHtyoULhCKpzcjkrYpaQRnSAjlJx+yGsRGWuKB8oXyPv&#10;FQerOhLO6QP9kU/ENUowbsmG3y52p7Sab+RkiVkbXcphkWXkfCnqk/ESch6QTTGwHoEY+pv9dbrD&#10;qvWyonbtsBmwNUqr5cMnPzITuKwSZtXrxLf4U9HMCvS+B4wySXxxs9K5+lN2nhxwlx2lNJQYH6GI&#10;qKo9S9R8pEh2Q+PVjp14EADqZh/mNJJcVLVazk9ExrVlmPCiqukl3dGlWVTYa6LbCTNZFoTDeCP9&#10;0QCFaN4gVHI6H9IhGAgExwuwkCuBJyKvU4ZnjyiwfW40cORzzV/VvhWh34XI5pvYMTscTKKrGv4U&#10;ZIuJOGd32L5iVmqWrEVQMUV1dUXnJq28WjlcO9d8JbrT19CboQudXofQUtesrbG4WtOPAQZsNhFf&#10;sSha9OxZ1nObb17yMF7T+IEE/nZNiaujWEeVXAnWBRT48PNAxHgx8Br3+dD5Dda/FRekv3ZXFxt7&#10;SwMbG8uXuhKloGmTwfDae72q+h4REnXJV7BMzl+ltLQMINlQHNZJqAYRaWUqXHa1buogzuaE1Hqj&#10;dZ91qpXiklIm3OELN3wAsvw+CGWGcsTMC/Zbg5cVzbfVg5GPxvfHgwtvFb5pvGqM/XgGg2IOqkwk&#10;Ncdf4W3f/0GYKiEn1IydJI0CxEgZdeCjtVjSJPY1PG9Od9d55nvkmkstAVoPVERjIuWa/NwozMWP&#10;hin7w4vdn63e6r9nAcXdWzDy3ZhlKibFuY2WnwLIikOAtidiJoXFZkRKDIJxK5JZbvZsGvROSLu+&#10;L2JqTdvR+9gcvZNGLUQNBVtx880S7VPduNqdBLP6q4Wm77vhZddeEO5USrP1W42Vu8Q+do470aiz&#10;2kn0Gg2MB55IZchFDjlUQXxGzgMMwUXiabwOhSJQl1YjZwAwunP5QZl85mJQb6RVEbMx7oHUAWer&#10;UeAEU/c3E+tGeW4Hm+N9763+jgF5XYDho7nHG2kONJoUk+Eyfbsc606dWDpsVLddghk6d1bdjrON&#10;Nk6ohclbPph77ULNNBBP+RCtbmFbz1ToVp+lkwa0mpiMh4l5VyrXNoSC74737g2aTws27TGUgz5Q&#10;EjOVdw3L3FgTDt9/njgWMJoYDT8X2Cfwf0sD7L/S4C8K4vdk+A8dMfJMRyCL+IiMtuNx0RYlUiwG&#10;CtYDb0EFsflCaWHGSCqe2sswpOFhHDfHoO0+N0EBDo+vJz8wk574z8u9IaU4Z20cZ8PmRbJBos9V&#10;i3R5j5QNiOytXi1fL2WLz7FdFlFJ21QXokbVRVmsB2DSCZLkJHAWdom1v4csqHk3jVw5fI41zQK+&#10;K/XJBXtqTTkXkYyFBLtdkNNekiRyWv4NVvYW45RPmZC2S7JzVzbkuX0PyBMsiM1IOR1TvAd0cVPj&#10;gHDb3jdXu405Env8+HPdsylU5huetGJqLCwPjTWD/Me5Last1p94bJ8f58f2cyQa//V0FvPXknEw&#10;MzZ2dHg+Tny+/UQlUYnyNksMyC+ohKaDTQZ60h9aGUrwQ5347MKcaYJWaBCaRz3hKu/DOIw+5WZe&#10;q17O0+P6aXwLDd66hLiMXrmcsmABQeGrMiXj/CXyy72YsVVwLy1vjZlhHCvQDegD6ozJbg4e09H3&#10;EIkrkBJCQeRNTKQujSweJp9As1lSJIZE9dmNSTHeAHF3d4nxqCZEYC2T8CRLtCwN+O1D6uqRl5yt&#10;bRZD7pl6LMvLt74SVi4nROgC8G6SiFiGy1YgSqkmzHqoTK2uKseZHqDVhsY2S04n1QztuAiD7qYZ&#10;nFk3Hu9mnHBnliDNWTz5P/OAN3BqFA+zuGTSYSAsR+iPiJDJbesCGGPJLynTqwyGx8N1wSyWNdEG&#10;XDRjYzkHqxkpzmirFQ82kHIYX7ufim7gcjxm6UEokDniSlPUdGSQeEdRLvQ1dJycA9PJzwzEIDn4&#10;JBoUzpWNKsX2I51rTssewQx02QPDwKVyo2XCYdu7YUjwyBwveYPJeOdm93L67fWVpKUUo2dXru0A&#10;MTXRM1A5DOEnC4r1FSd18BhHgZ1f1c/cSkLXqVWE+m7y9VIf/BmawxiwtWIqkTVEZlWlBhL0nPsY&#10;E/u2vpKEflkGnEmnu/IzN+eHhQASQuwYvBq7sQ6+DJnhrMhW2aqdapu3h9isHIkYhwXinIZ0ObJG&#10;9Ihf93xlAEqusNtJ3N3w1A/LcGSGWKtudPqfcRUOJ9mvBn/iaNiITjer7LLq0zVLl8Pyu5j1dEEt&#10;S7ILhtujrzPJ6A+ypbya/WDbh7U8H46dSQJDv8L+HD1mDHaRXY6IdNCvEQs7Di33P1c00nUdjN5z&#10;hub9K6NI/L+y9K/F/StXfy7tqImx5yYCHuqbKmXTsjWesNEqHdER1QWoQYrXxlzy+3APD7gW9m8b&#10;lIF8P0gpy665wzAg8LJmY0fgX6lvLX2+wrYeM3Z51YUCjEioLdQnDC6jqQToSxFzR2aLMNFYYhpc&#10;khctwAOIJfeG3hc66PenLk1Sx+z68ZR6JeMq3bDqWYY3zyIfsEJ91tuntIhVEGmV7bUcMv6o2Ox6&#10;a1p72Px5cjFtT4r1kV1PWSApaIlb1ftn3xAeV0JU/ewe8c++ARTsNcgv3vt3uvWlc/in/BcWXE7y&#10;nwZ+5yBfWNlfUvA83G8c7Z+KvxNsyL+0np8mnifrbzrnP4Tln9q/E0Mo/9CmfvWb9v+j5P5U/539&#10;+KfbNc9Z8vfgv7ikPw38Th+8kCS/BA7qv1Mmf1r4vZl9oRl+CRz0Xxb+Jh3+VP29Efzn4B3PsXhp&#10;/v7sff+08DvY+af/7aj/tX3808DvZfIFE/0SnOf9/vkv/F4U/1T+vW68VNJfQvz88Vn5/6irf9r5&#10;fWW/VJlfIvv27z/xv2rOn1Z+Xx4vu8Av+Y77p5X/uifISUJAvighPL+UwEFArvBePv0PUEsDBAoA&#10;AAAAAIdO4kAAAAAAAAAAAAAAAAALAAAAZHJzL2NoYXJ0cy9QSwMEFAAAAAgAh07iQNBtuiThCAAA&#10;uiUAABUAAABkcnMvY2hhcnRzL2NoYXJ0MS54bWztWt1u47gVvi/Qd1CF3BW29S/LGGfh2PEi2MxM&#10;MMnsAntHS7SthvpZis7PLOay6AvsK/S6N8UC2/eZfY6eQ1K2FCXZdCcuBm1iIKAOySOS55zv/FCv&#10;vrrJmHFFeZUW+di0+5Zp0DwukjRfjc33F/Pe0DQqQfKEsCKnY/OWVuZXh3/8w6t4FK8JF+cliakB&#10;TPJqFI/NtRDlaDCo4jXNSNUvSppD37LgGRHwyFeDhJNrYJ6xgWNZwUAyMTUD8jsYZCTN6/n8KfOL&#10;5TKN6ayINxnNhVoFp4wIOIFqnZaVeQibS4igdmR5xhVhY9MyB0hkJF8pwod1b/pGEXmxyROaTAue&#10;wzE2xmfxaMIE5Tmwmha5gLfpfWZPOqmM8MtN2YuLrITFLVKWilu5XFgg8J6uC9iH8Y7+sEk5rcZm&#10;bHv1QUCzcxRZGvOiKpaiDxwH6hRqaSDbcDAcOFoesFnbG1XillG1IdtycLeD7XvlEuaEsQWJL/Fs&#10;GoO3Q3f9OPHuYeAsKX5siFQwKhs3+J+n8frwFRktiuT2jBu8ECgEoyrjecorcUoqcUY46AsQQXvF&#10;W/i3ZMX12KSMgQzTStHhFAr+wTSuOSnHZvXDhnBqGlywaSHFapA8hhFjU5i6ORXwZONmyYhV4hzP&#10;QD6USClhMYStwFQYSIGMErp8ByRUjLGplMKoPgCDoQUrWyAnI5Wr3IzNHCwIrYmnl2BJeXEuW6Zx&#10;CToCI0EGMIVUlKVoaZZ8QVWwNJmnjOHbKr5aTBnXOmbhn5QK9DSHoS7nhrgt6RKMc2z+Oct7TKgt&#10;UXKngxLVEVd3OuJK81Z7BOHL7eM6uPy33TfNe+/PFRdxaOA4IUfLYTRPUFK7U1Kj1SnZ2w3A6Q5q&#10;sUNDSC1g5LbYCGl6BQgYHhvmhaNqpSEbUVzgw4wyKmjSGBaPSlaICacE9UpxxFZG8g1hp/INu54L&#10;wldUqOlpDgaN24pHN6+LRFsCTVZUEW/vI97oV/etwHVDJ4x8N7DtaOjpOXW37Ue2P/Qd23KDKNS9&#10;13VvZA1dP/Kt0HZC1/HV3HXdG7iR5Qe+4/rDIJKqCmfR3g8QdltdED5FrMadQHuWag2KC6Y4rwDD&#10;SgBl9YKYbSqALZqozivCb8Faiha2gb1TEG88SpN6x2p0wRNaK6iiKFGC1r+jS5yxPDxfUyrsPx0c&#10;HdgodEmF/ikBr4EjSjEFTNVSkPtDmgGvUlYRj64OHcvxPv3yT5x/JVWnRJ1DGKr5qAf5UmjqVYD9&#10;SkNqmkvLqnx/eDzzTRzENhlIWJ1JUNuaJL9dLhXZq8mg85qN1Py2OebILS/QikGbYCiTFLpc0lic&#10;VqjguFi5NjjRHAHtZPmGrsCOr7TaaQ+UnC5YhWekRjfY1lyf/B5xo85iPxDLTnJwSe4QLdwQ8gHc&#10;qQ8PvNmzaPbUWBwL/mQ0xqN9EIQRHxGE4f+eQNiz8NdRl9DX0NxWF6cmP6ou+0VveLXCWiV/iHRA&#10;pc4KHbgA3B7n2vCrdXF9SlcA4N/QJvCC8kHPtwTiRoyNtIEibUrEG5K1NRbp55TfSz+jPMaoSPLR&#10;Go7jjzaLBaPn6Ycuq1NKAGBOwUM2Q614RG/QktAyoGVsOMj7x+lx4LvhxO7Ngvm05y0DvxfNIrsX&#10;Oo439SLPHx4dfdyFTP5/GjLZzXDJ14CL/sL25RF11qqOCnrZbhdNY2a5ARFM5APiGzEGLEtw5dDM&#10;ygSCl3wFViFjDzSQx2FsEuCvo5durYBtvQxq8mN6WULcNSOV9kIS4RDgIRrAAPg3gW2Ap9LaN2Ae&#10;yEpiXy09IG0RLiZSnADoHccxOXBGB5MD97e9hwxFu97j159+/vTXv7edx26UDeeGbuXXn/7x6W//&#10;ao9CoH7AxegFgzLj9HyTddZ9hOs+aqwbBm29nkqSphBoHH5NIfIgTG5Ppk6SCkxbnvGBvdmB5/ej&#10;9qq7e4Pgw+sHw/Yw2NxuReqh9p9yV7h55fbven8NAg3vrykPe//p53l/fx/efz4P59YxqjVaQjNI&#10;UC77yc71xYm/OPE9pmAvTvzFiaPrhRRlm4u8OHEZL9SJ4t6c+BSd+HTPTtz1Ar9vywBnl952vbjr&#10;O14/DH6vF9/GWhh0f0GhPsQZ26WtSPldmggddjpeoOsMsh5UqtSh5wwVldyc6IQ9dEM/DKxht8P3&#10;XceC6F96eVkQ2RZHIIKbyMLTg3yqmEB1boUBXsFTyF0gWStytYoszV+TG822MTCRNalWkkNuthnX&#10;Qq0c4q55JoxdEDg2dRQIFcNiA3kS5DyXFPIAnSdl5C8Fv0jjy9dQJlbMZX0R848RLOXhTgGTmjlf&#10;DtH3RaGWcW9Z4bmSkhlkX7Ook5TYdfbRxrNhTd5jUoJ1oW4VpCerPbJ48EwF5+eubER7L2xA9RF+&#10;HVltnUxbVtu88jFZ7bks3YmJ8LqjmujyZNg0e7h3wL66hIDV4+8p1yaAT8qedArDFmwCabeiYVgr&#10;TQyo4HqrulisK9mQQBWvN0ykp1cMbKxh9IBpW3iBZKqDM+31NeDjmXBGl3olbHzN0wQvGVqVxOcr&#10;PhwH+OvoTmThDYfOrdRNRjfP+uwqAxTCARhbO3w6tmqJf7HYus0/oYj3eeWYF+R76F7tfw752pHQ&#10;I8gnu46ouKZUo91CPUijhYpYDVv3RgmYj2z1E8D4kUsOwMLWpZwsMmPcwmTrbmykbrIk6navAb/8&#10;q5AX54+Z6n/1VgMUTKkSKhWq2rdp9TZn+hZDo3ySVuUR3NxfVhN9lwC5hg6DIR+agf+u8LsCCOob&#10;fvz+qwZrYfvL2I56YRImPc8jSW8YO0nPiV3ihjF1oPERy8p4D3vGi7JSn4KoK4cKPpm5pov+dVn1&#10;43xA8asUezhQn7bIKScQ+P9oERKGgef13Gi4gJcsnR4JidOzoshLkthNbHvxUdvqPZV1yQgPpDbf&#10;VoGzdQs6l3+1r27XQf9/sgFAHFDc+74BwY57bh1VbCPvcTvRKAgEPwViMyKIweHefGzyk0RVKTDk&#10;fF/iJ0cNRQMdbs6R9yRShPKTq8N/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CgAAAAAAh07iQAAAAAAAAAAAAAAAABEAAABkcnMv&#10;Y2hhcnRzL19yZWxzL1BLAwQUAAAACACHTuJAIy06Vr8AAAAvAQAAIAAAAGRycy9jaGFydHMvX3Jl&#10;bHMvY2hhcnQxLnhtbC5yZWxzhY89awMxEET7QP6D2D7aOxchhNO5CQG3wSa1LO19cCet0Crm/O+t&#10;FIEYAimHYd5juv0WVnWhLDNHA61uQFF07Oc4Gjgd359eQEmx0duVIxm4ksC+f3zoPmi1pY5kmpOo&#10;SoliYColvSKKmyhY0Zwo1mbgHGypMY+YrFvsSLhrmmfMvxnQ3zHVwRvIB9+COl5TNf/P5mGYHb2x&#10;+woUyx+KH3tF2jxSMaA1UjiT//4r+Ml5OTMvrd5W2QD7Du9u9jdQSwMECgAAAAAAh07iQAAAAAAA&#10;AAAAAAAAAAoAAABkcnMvX3JlbHMvUEsDBBQAAAAIAIdO4kCrFs1GswAAACIBAAAZAAAAZHJzL19y&#10;ZWxzL2Uyb0RvYy54bWwucmVsc4WPzQrCMBCE74LvEPZu03oQkSa9iNCr1AdY0u0PtknIRrFvb9CL&#10;guBxdphvdsrqMU/iToFHZxUUWQ6CrHHtaHsFl+a02YPgiLbFyVlSsBBDpder8kwTxhTiYfQsEsWy&#10;giFGf5CSzUAzcuY82eR0LswYkwy99Giu2JPc5vlOhk8G6C+mqFsFoW4LEM3iU/N/tuu60dDRmdtM&#10;Nv6okGbAEBMQQ09RwUvy+1pk6VOQupRfy/QTUEsDBBQAAAAIAIdO4kCtaumHIgEAAMkCAAATAAAA&#10;W0NvbnRlbnRfVHlwZXNdLnhtbJVSS08CMRC+m/gfml4NLXAwxrBwcPGoxuAPaNrZR+grnbIs/95h&#10;WS5GRE7NdPq9ZrpY9c6yDhK2wRd8JqacgdfBtL4u+NfmdfLEGWbljbLBQ8EPgHy1vL9bbA4RkBHa&#10;Y8GbnOOzlKgbcApFiOCpU4XkVKYy1TIqvVU1yPl0+ih18Bl8nuQjB18uSqjUzma27un65KS32HP2&#10;cnp41Cq4itG2WmVyKjtvfqhMQlW1GkzQO0fcAmMCZbAByM6K4eTyV6kEFm+TGsMIQg52sGkjPlDi&#10;CwrHzuUsI+6dtpBaA+xDpfymHCWWJqHUDdXjMRN/U10fi0lqT7ulkQy8Z9OXxE3Y+wTdP2QdjhsQ&#10;ZcKSYJ/QXWOHeSiDvpV8PaDO3HL4iMtvUEsBAhQAFAAAAAgAh07iQK1q6YciAQAAyQIAABMAAAAA&#10;AAAAAQAgAAAAwC0AAFtDb250ZW50X1R5cGVzXS54bWxQSwECFAAKAAAAAACHTuJAAAAAAAAAAAAA&#10;AAAABgAAAAAAAAAAABAAAABkKgAAX3JlbHMvUEsBAhQAFAAAAAgAh07iQIoUZjzRAAAAlAEAAAsA&#10;AAAAAAAAAQAgAAAAiCoAAF9yZWxzLy5yZWxzUEsBAhQACgAAAAAAh07iQAAAAAAAAAAAAAAAAAQA&#10;AAAAAAAAAAAQAAAAAAAAAGRycy9QSwECFAAKAAAAAACHTuJAAAAAAAAAAAAAAAAACgAAAAAAAAAA&#10;ABAAAACuLAAAZHJzL19yZWxzL1BLAQIUABQAAAAIAIdO4kCrFs1GswAAACIBAAAZAAAAAAAAAAEA&#10;IAAAANYsAABkcnMvX3JlbHMvZTJvRG9jLnhtbC5yZWxzUEsBAhQACgAAAAAAh07iQAAAAAAAAAAA&#10;AAAAAAsAAAAAAAAAAAAQAAAAJyEAAGRycy9jaGFydHMvUEsBAhQACgAAAAAAh07iQAAAAAAAAAAA&#10;AAAAABEAAAAAAAAAAAAQAAAAgisAAGRycy9jaGFydHMvX3JlbHMvUEsBAhQAFAAAAAgAh07iQCMt&#10;Ola/AAAALwEAACAAAAAAAAAAAQAgAAAAsSsAAGRycy9jaGFydHMvX3JlbHMvY2hhcnQxLnhtbC5y&#10;ZWxzUEsBAhQAFAAAAAgAh07iQNBtuiThCAAAuiUAABUAAAAAAAAAAQAgAAAAUCEAAGRycy9jaGFy&#10;dHMvY2hhcnQxLnhtbFBLAQIUABQAAAAIAIdO4kALjwSm1QAAAAUBAAAPAAAAAAAAAAEAIAAAACIA&#10;AABkcnMvZG93bnJldi54bWxQSwECFAAUAAAACACHTuJAO7Huqg4BAACFAgAADgAAAAAAAAABACAA&#10;AAAkAQAAZHJzL2Uyb0RvYy54bWxQSwECFAAKAAAAAACHTuJAAAAAAAAAAAAAAAAADwAAAAAAAAAA&#10;ABAAAABeAgAAZHJzL2VtYmVkZGluZ3MvUEsBAhQAFAAAAAgAh07iQL1o999hHgAAYCIAAB0AAAAA&#10;AAAAAQAgAAAAiwIAAGRycy9lbWJlZGRpbmdzL1dvcmtib29rMS54bHN4UEsFBgAAAAAOAA4AaQMA&#10;ABMvAAAAAA==&#10;">
            <v:path/>
            <v:fill on="f" focussize="0,0"/>
            <v:stroke on="f"/>
            <v:imagedata r:id="rId14" o:title=""/>
            <o:lock v:ext="edit" aspectratio="t"/>
            <w10:wrap type="none"/>
            <w10:anchorlock/>
          </v:shape>
          <o:OLEObject Type="Embed" ProgID="excel.sheet.8" ShapeID="_x0000_i1025" DrawAspect="Content" ObjectID="_1468075725" r:id="rId13">
            <o:LockedField>false</o:LockedField>
          </o:OLEObject>
        </w:object>
      </w:r>
      <w:r>
        <w:rPr>
          <w:rFonts w:hint="eastAsia" w:ascii="Times New Roman" w:hAnsi="Times New Roman" w:eastAsia="仿宋_GB2312" w:cs="仿宋_GB2312"/>
          <w:b/>
          <w:bCs/>
          <w:color w:val="auto"/>
          <w:sz w:val="32"/>
          <w:szCs w:val="32"/>
          <w:highlight w:val="none"/>
        </w:rPr>
        <w:t>图1：</w:t>
      </w:r>
      <w:r>
        <w:rPr>
          <w:rFonts w:hint="eastAsia" w:ascii="Times New Roman" w:hAnsi="Times New Roman" w:eastAsia="仿宋_GB2312" w:cs="仿宋_GB2312"/>
          <w:b/>
          <w:bCs/>
          <w:color w:val="auto"/>
          <w:sz w:val="32"/>
          <w:szCs w:val="32"/>
          <w:highlight w:val="none"/>
          <w:lang w:eastAsia="zh-CN"/>
        </w:rPr>
        <w:t>收入</w:t>
      </w:r>
      <w:r>
        <w:rPr>
          <w:rFonts w:hint="eastAsia" w:ascii="Times New Roman" w:hAnsi="Times New Roman" w:eastAsia="仿宋_GB2312" w:cs="仿宋_GB2312"/>
          <w:b/>
          <w:bCs/>
          <w:color w:val="auto"/>
          <w:sz w:val="32"/>
          <w:szCs w:val="32"/>
          <w:highlight w:val="none"/>
        </w:rPr>
        <w:t>、</w:t>
      </w:r>
      <w:r>
        <w:rPr>
          <w:rFonts w:hint="eastAsia" w:ascii="Times New Roman" w:hAnsi="Times New Roman" w:eastAsia="仿宋_GB2312" w:cs="仿宋_GB2312"/>
          <w:b/>
          <w:bCs/>
          <w:color w:val="auto"/>
          <w:sz w:val="32"/>
          <w:szCs w:val="32"/>
          <w:highlight w:val="none"/>
          <w:lang w:eastAsia="zh-CN"/>
        </w:rPr>
        <w:t>支出</w:t>
      </w:r>
      <w:r>
        <w:rPr>
          <w:rFonts w:hint="eastAsia" w:ascii="Times New Roman" w:hAnsi="Times New Roman" w:eastAsia="仿宋_GB2312" w:cs="仿宋_GB2312"/>
          <w:b/>
          <w:bCs/>
          <w:color w:val="auto"/>
          <w:sz w:val="32"/>
          <w:szCs w:val="32"/>
          <w:highlight w:val="none"/>
        </w:rPr>
        <w:t>决算总计变动情况图</w:t>
      </w:r>
    </w:p>
    <w:p w14:paraId="488E737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color w:val="auto"/>
          <w:highlight w:val="none"/>
        </w:rPr>
      </w:pPr>
    </w:p>
    <w:p w14:paraId="2913116E">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1" w:name="_Toc15377206"/>
      <w:bookmarkStart w:id="22" w:name="_Toc8569"/>
      <w:bookmarkStart w:id="23" w:name="_Toc15396604"/>
      <w:r>
        <w:rPr>
          <w:rFonts w:hint="eastAsia" w:ascii="Times New Roman" w:hAnsi="Times New Roman" w:eastAsia="黑体"/>
          <w:color w:val="auto"/>
          <w:sz w:val="32"/>
          <w:szCs w:val="32"/>
          <w:highlight w:val="none"/>
          <w:lang w:eastAsia="zh-CN"/>
        </w:rPr>
        <w:t>二、收入决算情况说明</w:t>
      </w:r>
      <w:bookmarkEnd w:id="21"/>
      <w:bookmarkEnd w:id="22"/>
      <w:bookmarkEnd w:id="23"/>
    </w:p>
    <w:p w14:paraId="5CDF4515">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bookmarkStart w:id="24" w:name="_Toc24091"/>
      <w:bookmarkStart w:id="25" w:name="_Toc23153"/>
      <w:bookmarkStart w:id="26" w:name="_Toc9581"/>
      <w:bookmarkStart w:id="27" w:name="_Toc29450"/>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3465.13</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3373.89</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97.37</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%；上级补助收入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%；事业收入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%；经营收入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%；附属单位上缴收入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%；其他收入</w:t>
      </w:r>
      <w:r>
        <w:rPr>
          <w:rFonts w:hint="eastAsia" w:eastAsia="仿宋_GB2312" w:cs="仿宋_GB2312"/>
          <w:color w:val="auto"/>
          <w:sz w:val="32"/>
          <w:szCs w:val="32"/>
          <w:highlight w:val="none"/>
          <w:lang w:val="en-US" w:eastAsia="zh-CN"/>
        </w:rPr>
        <w:t>91.24</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2.63</w:t>
      </w:r>
      <w:r>
        <w:rPr>
          <w:rFonts w:hint="eastAsia" w:ascii="Times New Roman" w:hAnsi="Times New Roman" w:eastAsia="仿宋_GB2312" w:cs="仿宋_GB2312"/>
          <w:color w:val="auto"/>
          <w:sz w:val="32"/>
          <w:szCs w:val="32"/>
          <w:highlight w:val="none"/>
          <w:lang w:eastAsia="zh-CN"/>
        </w:rPr>
        <w:t>%。</w:t>
      </w:r>
      <w:bookmarkEnd w:id="24"/>
      <w:bookmarkEnd w:id="25"/>
      <w:bookmarkEnd w:id="26"/>
      <w:bookmarkEnd w:id="27"/>
    </w:p>
    <w:p w14:paraId="0E69A6AD">
      <w:pPr>
        <w:ind w:firstLine="525" w:firstLineChars="250"/>
        <w:jc w:val="center"/>
        <w:rPr>
          <w:rFonts w:hint="eastAsia" w:ascii="Times New Roman" w:hAnsi="Times New Roman" w:eastAsia="黑体"/>
          <w:color w:val="auto"/>
          <w:sz w:val="32"/>
          <w:szCs w:val="32"/>
          <w:highlight w:val="none"/>
          <w:lang w:eastAsia="zh-CN"/>
        </w:rPr>
      </w:pPr>
      <w:bookmarkStart w:id="28" w:name="_Toc15377207"/>
      <w:bookmarkStart w:id="29" w:name="_Toc15396605"/>
      <w:r>
        <w:rPr>
          <w:rFonts w:hint="eastAsia"/>
          <w:color w:val="auto"/>
          <w:highlight w:val="none"/>
        </w:rPr>
        <w:object>
          <v:shape id="_x0000_i1026" o:spt="75" type="#_x0000_t75" style="height:240.95pt;width:419.7pt;" o:ole="t" filled="f" o:preferrelative="t" stroked="f" coordsize="21600,21600" o:gfxdata="UEsDBAoAAAAAAIdO4kAAAAAAAAAAAAAAAAAEAAAAZHJzL1BLAwQUAAAACACHTuJAait7uNMAAAAF&#10;AQAADwAAAGRycy9kb3ducmV2LnhtbE2PzUoEMRCE74LvEFrw5iaji66zk1lUUPAiugp7TSa9M4NJ&#10;Z0iyP769rRe9FBTVVH3drI7Biz2mPEbSUM0UCKQuupF6DR/vjxcLELkYcsZHQg1fmGHVnp40pnbx&#10;QG+4X5decAnl2mgYSplqKXM3YDB5FickzrYxBVPYpl66ZA5cHry8VOpaBjMSLwxmwocBu8/1Lmh4&#10;fdnYjbt9pvR076Nz0WJ1Z7U+P6vUEkTBY/k7hh98RoeWmWzckcvCa+BHyq9ytrhSbK2G+c1cgWwb&#10;+Z++/QZQSwMEFAAAAAgAh07iQDux7qoOAQAAhQIAAA4AAABkcnMvZTJvRG9jLnhtbK2SQUsDMRCF&#10;74L/IczdZlta3S7N9lIET170B8RkshvYTcIkdfXfO7ZFqqdSvM28gS/vPbLZfoyDeEfKPgYF81kF&#10;AoOJ1odOwevL410NIhcdrB5iQAWfmGHb3t5sptTgIvZxsEiCISE3U1LQl5IaKbPpcdR5FhMGPrpI&#10;oy68Uict6Ynp4yAXVXUvp0g2UTSYM6u74xFORLoEGJ3zBnfR7EcM5UglHHThSLn3KUN7cOscmvLs&#10;XMYiBgWrquawRcFyuVyB4Kfqes3KG9fwMGdJthvddKRT783Jj77Ez5+Ao/aBHfygdrposSd/Bcr0&#10;mgqzTHOYTqbM1aT/bVlQ460CerLz7+7kr8TnO8/nv6f9AlBLAwQKAAAAAACHTuJAAAAAAAAAAAAA&#10;AAAADwAAAGRycy9lbWJlZGRpbmdzL1BLAwQUAAAACACHTuJAunY5m7seAAC8IgAAHQAAAGRycy9l&#10;bWJlZGRpbmdzL1dvcmtib29rMS54bHN4jXkFWFRr1zYp3Z2CdHcISIN0d9fQMAIjpbR0lwhIl4B0&#10;t3R3M3RJt3T84Hm/o8fv/c71r7lm7z0ze61n9v2sZ8VzK8lCw2BDwMPDQ0j6WelB/CZYj9e6YkB7&#10;EMAeZKjm9gbgpM/samdbFSev0M6K7l+C6RaKWcOILirfsGyBEE8Lx3qeXbYz89FCZw7MIY2ISSUl&#10;Ycfj8JnntDlBer3XFlxrC41gd5SDj0cR7TPdqtXC2AlepWvBIYg5kaxbzsDmF2ZLVsBtgP/kUNKt&#10;MiF+rCAzwcWJGIreWqHiP0G7aqfT9+VMhknEIFKSRwVOcZkub0pMjgZNKb8qa6/Za1EnQbRz66tG&#10;R9l6VzL0+HugFuUbfZQp7lUcvKA9h37mu93SEFFSEV5b24v5izY/6alvLZn+BeWEciO7AbqIlvoo&#10;nwSomeXMjNOcijFfFQagUOENa0v0TnXS7ZWUbUUt0xrpumIeL9v9IKTj7M5oGHNqY6NWemYDYa3n&#10;UyVjZEB3XHLL3zXV+xwWb0CEn4c1kFs4Ty9CbmehFb0Wq9Sw6/s6VhpEe4fGVokFLKmno0GopLZQ&#10;3ApF9uQ7+ML+Y11Rlwe8Zixl5/4LYjOXTwpCkEqycPAf73GiTSAhIEJhISCU/s8pQnqcIkNHgK0T&#10;C/PTsSim1bqdFTnAsHNrkXe/Cz/LngUwAsZfgLasTvrQ8bFsksnjJnG/tCp7RCRScurCS0qn+LXQ&#10;FzSZujUjI4PJdFotZ31L5Mb9VIvI9HKjN7xvyKBf95UaMBlaCdMx1e2baPhjlPtoUApapdjJkjp1&#10;Rovm7710izuRC4+wfGcrxbJzLZLXgswLKCjiiKq2R7UOzCdnY0W9jlV9GJrXhNVF7Jaa/nDiuaQ9&#10;V/rKFZE92uMc+qyyf3W6s8xDWo+PrUu3f4QWm7hOmxEhLpsBq8UIxGNs9nL0IY6ZReIdJoj2Ur5J&#10;dMtTZivK/64o70zsleoYjUXdNdQTVp/5pVZOH5FYgPo3rNAf7zADmio5At84sRi/efPkyynRrTId&#10;rNgSF54SvZ7U+2QvqAbJvtRiIGlcsHmkIFRKS6XmXDPZ68Hf+zA8SLYOs9qVOU/EN9w4Au2HKGwX&#10;uN5O+J72bYVR9n8ST8+hi180Wy/g1SeO4VoyrePAJaY/Uq5N95CsDuLOmehn4mxj8SvyUyWYhkfO&#10;Aiupqsu0lUXXoFhmF/IKpo+Qb2H2+acg9s58qr5cGhvrSR02xHPhPnNwNrMryv5WiiWkOUYApA9T&#10;4EPgynKKTfHZ0hz0d0ytwB3HpSTEc3uLRqAdvSXpumXDMYaY90GSvavLeKTqx9blTf84eLe9e40j&#10;a3yW7PtoncaNAAGUyN6z7Q6MM2bjjNJnXsobbSvPv/USuxqRcXT0M0FQt1w2G1yPyrc8fPb6iS3g&#10;TZc46aMf0vwrthi/Y2sKdAQ8gesR/XegSJtRQLIrooyHeCtBRen7ZUZ7iDNciti0IfsVHEM14wy5&#10;Q0GI6fIH7tuQlP2LzeTviZb1+TKHpJV01gQUhOjrPthvNXoEJDW3B55TDGsxcxhMYZpUwvrlSlNi&#10;Y1UFIOkzjFRDrL2M4JT7gl/0VR3ZlEJDyQGLNxC0Wj6FU3NQ4PS1tnbj5XJUlKmezwZBDXGNsOEP&#10;8crX5pmvC6qY+YWpWeOUfCqfjXuvKpbA6icKIfHluNjLjTYk5SIkiXx3CqY1GBhmaTjyJAe3IAlL&#10;V77myPDR7RGAM3IunJdC7fuxfMaYkkFJCdqKDVZ8TUfAIUpAzoNxr7wEJTRUpYBrf3llwnQ4pede&#10;VKU5J5IwP1MH7in33jNLbmwS3DdIdYlEw7hnOmcrvAO3vGynSFMRIs41a9v6ED2a8BlOeKzqqnlv&#10;neTJxeH74NmkHqeB51+n4Sli/+3ipm+dQEC7p4nIie5/itgSF+8l1pvWXhvIx2f3qYoyCmeCQum7&#10;rSgmnc34/RGPD2t9VcqMoPtHU146ccYWGXS28jvaSVI5Cb9HFmBO3Hld1986Xu+HVEpvXw5XRF28&#10;3xP+/Vl2b+vinFVwlPE75uoulzJQb3rljI7mDolKOyv7Ii03EjNTJn530GAXPWQekPhynSnyvKTH&#10;oKwiZfarYuwazize7TpKW4QH6mLSF/sk+NdR1VYoCNQ4cn6cPq4+bEWWCzmAG9TG7Xk5H5oa3+/L&#10;B8eLxjeJs9akaHcBNoGCcxvG7mwaeNivsTF3GkKvOINEkzJsPmWEtgvZ+YYO2jVdlTXLSWvFuIvU&#10;cyPIEuepx6jpo1NzRYBrFVJ7S0S3rvtXoZ+QRes8NSV4RPbh8f1/B1rsR2RdbVmcLI0dAWaqIEcr&#10;ewunJ2grykp6BpVpZZnohwaGK9TZJziUVKQGZYcUewdka9QRURzGq5TKa9bK6ZiZlaWGWAYZytTL&#10;lVRoB/sZGeXfBhzJx2N7m6/jgOkBcXHYWtu7eDQW2ZvUuLsbeNmbkICxk1BHLFnv+UzQ3apv5kRH&#10;3GrYxETMPLEHBTQ0x918x4AAFX/yqhx/MmaUiEYnbHBvfrWMcHxnvgQgX8YZkfuaypn7mgzHSN15&#10;ONf23Vw9tv5Zb0QAHolNajXUaFdCqE5qSfK9SX+mheq50K7Bse2gILG781uhWTakhvnxKTtFZ0Wx&#10;hHG4gA8kj7jAwRf2MqFuPqLA/a84ofwHJ5CbLeAnQPt6+5FgKYKHIUPjOl+0IFuBtYSZd9J99s4U&#10;KWoZIUzwCEoblLFf/Q19186c0VLUtuL9xSREYRHzYnkP1Prg6r/51O7Unt8nUi/cdbR8u7Tbmw0j&#10;sUg2iwUPyhCBE5dObzfdPE9Xg2kmd+E+9i6IHHx7s0eIxg2TKuYM3sZ3Luny+q5RkX0yvWuYj9oo&#10;hrW/T7HuoPHudDB1v9a9X5zr/tukKyq4FI7Lc+n0OnnjJL0pktGjdOUsOlxom684593lxH48nAfe&#10;dooPsJu9Xwk9rjyHyNnMeNwaj81k+yAy4E4FXHZdb1GJPH6ECq1bRjBg1RYBqNS3WAY1oYQx8C8U&#10;j0pigbxVnEdJ2iP9u6YLz0esdRa9bfjFwIXHmHUd/kCg85HENyfyuoDx1uPaQY+UhvNwm+kP4Hmi&#10;+2M0me2KkjvXLVdgXFvN8hwP0Ol9IgAvtYrI9/6ic+2IbN98NatyOhjNgozcXM1ejFe1ZR0KcHf9&#10;4/2NSplM11TFTuKVG2qiY9yCe9XujHRMxrdAzZ3JVvA8yUJHONTlBjhiu/Zz4OSH4GeatguixsGj&#10;xyUGgl74cXPTC5D2lORKcVCKGXVHD6UD3HvnOlzNwYZQnjjlzAP2uq9a9vUaBHed5uxyXvZj+eAO&#10;k1hSCOHHL5fwbqc/D+7TfnZwf2LzYqiMuigsaWCylPt1Q50OxvGSQGW5LXiwqG+ozXZtWnRu4/bl&#10;8ATkkBQe2gpSWSEX7vi+FYpEatYCbeVptvuBLSzwfsbyEzUBkcMDsUG+5vFAv1jxQgeNHuj9bmmk&#10;/mxEuCi/SB1dzrtiT/h0PWLWN3JZaxVbXDPyX3A8jGZIQN5HxGIIN3lxnS8vrTk/biJxr5S/t+vV&#10;PSl/zxW3ANgsLBcwbAAjneNwWQu4nCO3aCMSlQcYZhbQKan6lG4RS95vIJ2X6JU+yKwadhwwlH/t&#10;E/bDHPm4ZqgfQcSUbw6rqQobUlCQRAllpfHQSkSqqhMBFmEmUKd//z7fgEt5uv3N9Nb+zWHq+IUH&#10;b2rg4ezuZETGBbEujwcc24vwdV/1EMLDfSJuITYdYPt+Og3TjQTFc1gMkVlvBREIZoJT5iB4JMUS&#10;U0mQCQvuDr5YqBDHvSxHXY8F8RI3DhqFCDYKBSQ2KoXIQF7EsYf4MR+m+CgfpvAKH2bH5+wxhwAm&#10;LPnr4wQEg3a0Csw4VAIuwfacUtss6Pn8ymirg6uu5ml53L1biUY/e+tW6aPpZFvHoJusLdZKrNSJ&#10;wnqrM1uk2dQW9h0COy/n+a482sZdoa1UNqLiWPmK/u27ZrcZkO8Qp2C7RGzFfjrIsRnnVIp5AUSC&#10;VtVkVHWup5ZTlVFQhDL+BsP11Ze2qowk669GiONAlCJcx+RWlRNr1gCbbt6cZ5/MkU8IVAm1GcUc&#10;9k3oi0hM3fbxGQjCVpDD8PpLy0+QJ6sAtfX1E5hdJklln/pdW9csC2ITxrKzQylh2aX0LbNVoGsb&#10;2aP7CCE34q3yyGx6VDUCTazDVEMuqGRTj3MDqvr6YuTCbXcejygkc30xE8VSBrmgPClfgk0OvIRD&#10;ho8JL9asPhoBtK01GVm0u8YZV/rKJ4q1DMrD8rRDGPpVGkzcetlTzemKGGX3QzYSONY2zqaPVxJO&#10;8w83Op08mIZJQO1+Eh6xxGALf6TP7QyfinRKVqqJYXl/4MPcocPUDVwpQk5fjlZY0Cguyl/Zo6CM&#10;c+wdfR2AEKi9OLnyG2Xx9Ly+B5ripxu9QHI+OaTJshAKh4yCkmL8VijU/E2hy4tGQRyRQnHt3GMl&#10;kE0lM0qGuwlbMpcVh3pT6ELxeTP+w7VDmDJtWJ/Z5TYNTbfhZ0E+zx/3DViXiP7TWpfHLffu7mcG&#10;yEp0EEabu+vbhpItbsDbm6xjOK9QB8JwaDnF56QpnmdwMcY6BN4E97E0z00d1xoULYHeHwMHJl5v&#10;RUDDiMvCsFbg+pBBjhJCDlRKkEV7W7pBmC++iBIXrhSE4NCmYSGNOIjdg9IhjUphQn55HSZsKSFs&#10;nqkQ8XC7c4nhM5LkHaWdHHkY8XDmerbsknVz0fXcU6G0kpmMQznDjKY0ChferHr7WCiyy+VBluzx&#10;6wZpIU+FvvEYbznpMMFX1BtWXMK5hAqH93sbFXkwojaQ5eCj72kpt2ukU5db21njkYK8Vxs0wbbk&#10;RUg9E7DYzX3xtXoclRriuRrZ2+aWd0Fyd7TjgyNJmIlJJvhk+5hjbZiJbX1hiGwUY4RYiYT9YTIm&#10;mwNvOif0zdUwOSqJJaqJaVCiIl5n/6Bj/5FIEN+BXKQdnT878IXS3HIjRG7DXJKKTYxB02SYnBol&#10;KlU9m4uBjSv5r9uC/+c2mafb/D9FW248XrEj93RAFGn/58chucZPSYOPYwZoFHeo2f8c0zEns6lI&#10;FHkkKd581w6Lo9J8Y9Yd/Diunlv1IvfTYKgusJTjV+5VTlHzIpBe4+Ldadct54sZn+VJ/BEratxh&#10;5qc+GNUucc0JEJgBTQ7NGhkcg79cYlxMUPxwU+yFQ5ukGe7Ec5bep3hlUaBFQEd8mQ/ZM18scpVU&#10;repHLwCI7apcQJz1X2tCvImwaQy3yUi++tRIYrbRISVprlkOoOIXzw1krLl2YAwNvuaius0Jlj42&#10;sLRu13V8hrfkNVQXXaKYrMfg26namPSWjrFxvlpVK7rf0qeQZEtCovch8vtC6oOYxVkSX3PaTnqx&#10;IGeT7no7YRrxEmgUwm11v6i6RQlNaju5i6Q7VIam29hKSiZPX/IC7WXuTXOKEUraXt4mqp6dk+Uy&#10;OCitZ26oOrNNUvojZz7l/sHex2psESYEUTFwfLKoqt8qf1y3PhasIberiPXSnIsctmt3fNB0Q//s&#10;xkV0BMWl3XcmFb0hhoOXrs6xzEwb8QeEB9/aCwh0uCGD3CBU02jR8vi+gc4FprdouJ7BSqf4+Kvu&#10;wnT32FTD87LcejRRltybvI/R+qLGKWH3hSpndp5OGkWZzo6LMD17395nE1VJva4sPmGmV9xnvkPB&#10;DHGdmpshRuL0HW5C8iZEDY+tvOPA4DlEFUlDe4f8cK1hjXF/ZKbxBWY66wI5Uf4G5I07GheKmbP9&#10;FpMZKrwUE8x1sT2qMlSBXA/7W98bftDyAr5rKz8PCOVr1cJ+SHUF+AOV+oyGbEzQegw18HBZMKes&#10;qWJ8AoaWc5FcqBk++/TuMjM9vupommxX3dbMyWhVxX7iWJJky8CxqCtPwf6SB7QS5G8V+OAnExf7&#10;vPjrw/OnIs6V7BQlBAECYk/l/6PYBRmbPBZxLD9PbE/FLiBCBLGNFVv8IvXFbZN8EZmKnARsQvEO&#10;pMlNlc96HmX+FmSjj+YR4qLUsLE4Ykh/Is/AgK0nexLJqBtA+huttA+5erUGCL2UabqdbiC0lbEn&#10;RTJ3Bx9Sg2HJ2m1Ryg+qjyeY+o428B1kqHIzMXQo0josJ3nly+/N1iNSaTO4dDFNbyUDaBd8bqYy&#10;vnr44Ydtaicp1EaHpF8OlHw9QHbTmI3w9d6bPhz28GRdfuDc3T5199KzP4R/sD8AHP9sZXnj8L0b&#10;HutT3H+tYJ96qMdKH2QJsAP8dfz57PuJukAwN3b30gUdfFPJibwz8QQdpuFckTQRpVWgIKlsZUcS&#10;JmyMwk5Nhgcxq5EWzxngW2nCK2QwYuW3Z19vOLf5QCQjJawyjrZjue7a+untSRDBUvdDK2nfowId&#10;He/bij5lmg7AGkt356cW8sLTCCJJYTp/tnnth8bzGUn3+edAeYIV/CwYk3mH4gjJju6t45KWV3cH&#10;qX5xoeK2ot3B2XI8+pqXIbAOETm8yqYUXaZRBb1iPMtvMvW6J4rU6eV5nsXw6los3qjdSWX38L3v&#10;Q7uLp3PixtesMDShr4/LMk0neX2FPNOL0UxFIi4ixTXiQH+VsGaf4vJdUu3jjLWz362NOQ8HfFfV&#10;fERge51x1gpXEtjpoartgX4a+CP5bnPeENX7sDBeQ1MLmNc0fmr+9RlOJO5Sk0aJAZfroJeH/9J5&#10;OdCvhOWyC1EIH4THNpG+OlrRka2+y428qHs0iNOsPnvApfMsTQyDqtfVv9h10P3CtsrJrGOLimHx&#10;nNBPwy6AhVYTrO/v8aL/XAeZh+A5LZkis1QM2Uv5Y/j3nW99YshpLBM+RA/k+sgjz7mOboTGF9tK&#10;Ur5XUJl1EFQgd+Bcv8p6nibk7p0qVO/lfrOyvW+ocDj/sumuovMIkzLD/nLvhuX+flP1bNoPmLZw&#10;1zeElPKwljdM+nCfQxLHd7m+e+Ml2Piwvvhd0avWprXmJfLb26AOrXSGSxiSUq2iQXZI0pPpCt4Q&#10;b3xcdLoxqHOAmbdmrrDdPCq3n0tKIbsRNIuCPaEOGoVgdAeUQYQJ9Lxp2AGrvf7Qhi2zx8tYykrF&#10;IRo+F4g3tskNDXFz95TqN4kzes4Utj3zefRg9FUY2bjwMrYu3AqiD/gOCxSCFr7hlPUiI6joNlIR&#10;PUpz4czRWhsAa6wvKnYd5od8c8YTm82BkfIqJPDp3AmfCI0b4bEQytTZOtRoXEQkuaMDVQ+IIPFU&#10;AHwdcRme3v6ls3obqmIHAHXBPaulrPEZyjpKU6I6pLBts8jwBoyOfHUO6Rcpd1Jhk7iwlcPZ6jAc&#10;ilJTGm7e2ZwL0wgfS1y+luT3WS2RzfZ8AEfAmG+6fR7DWDbT2Ah3J4ldz+m88ZgVbK95WUaaumGi&#10;33UHJwtCo+4V1Mhb9fD3NMx4iMSp32MsaWFmkSkrbHH4br86Nn2IkXGmpEC3iOOGgWft1ir8djN8&#10;3vK+Ok1yx4E7pdWf+MSiI/H2Q88Wq6+avOqgBXznwFtapb4P12ErcddDJdHSjd2+mTU6r26885GF&#10;ma8ZFhsN9fnKt+yqcdOyNw9ONWhBkAYHZ5MSlrGJL3ZwMYquC4O/aEzlZNoplyl7RCNq9ofwecGX&#10;C0m4hotGzwGFHaI28kuF+g/mOPRx5ZxmufpP5sKrAHPoGXY8qh+qUSjgjxwvkpwW7MGq+hV9lnaN&#10;4XoNhVU+1OZIKV84NC/iiJ6PRXCosHjvsCnEC0VPyqcbjzm8f4l01pLPSIdXDveCvvT9Fy0vOcrN&#10;oBit/bevUDi1LQundOJdNPUaTg4khvQV2EnDS1lk3XHluTR4yyKayT9zzYgHC4b5YnFmY3lC0CsZ&#10;FCbBspKJDmURoBfbHUhgJ/RN7tESel3qECunW8FUEEmwbMKmCg1vWO72xDOX9FX5v8FHnXLYbZ63&#10;zLf8qEdWNEZ/fs7sJq++UNxXMVV/LrnRWdORbAifVInSUFmvrzO7UNaFB2VXby49b50z+74dbOQ2&#10;XT/3DrCoc4UGTbSoxt+SZ6BJo4boAml393MfBTD74YLkcbMah+DfUgvaX9HVBehoYwIE2jxllXAV&#10;XWAyK7bnUknpLeozzDlv0QIlX438/AJO2Zq84G/kWrBhthbiBedLFk7SPG/RGi/1blMO9RJcEgrE&#10;W7yR+nYgwLn+GBN0/ZYeiEc1HraMRws7/eWA2/2eGSKVIx2Y2qjyYwQMK0j1F3JTwkWejl2F4vSx&#10;aUGWvJSJtBBm6pjd5fZS8SOEF8iCaW2tJ59z0cvO9ESY3mGiAl6ol2Wmh+PPlpsmbPXNto3aEhnn&#10;ckGSfJ8x816eZM+jIr6OUB7jVJSGhWyOw48PjkoOk+mBElCltllpXzHpGJZ3zc1hb0zcMCqvj9hI&#10;ZBBjgEMsujyywaqqHNK6keHQhpmp+7EZUnDhAetOrzZZvVZbvEnh5QDaiMCc1I9n0alh23mPVoCe&#10;45RG7y9k5tzNGpAjnSjolC0Bd2bbf8wJxXyi3KOQyZEH6Ym2IGE5KND9qdvZdsBumL3tyNy+VlnA&#10;Cbi/5bnW1dKtbMhpem/1Dkf+JRZjgnlfgbFDmv03gyhmQky3TbIJZnduw5bj5SY+uJmRayGEW/1s&#10;3USI98qBem3ib95/gm/0mjuowSqLTL4bnnald21CyfoBunWv0X2YATZH0vV4wclMFN/UgAUIhp1+&#10;wD1VGFls5mZ9T9tp0P/mBoR/ucFf1MXvzvAfGqP/kcZAl/CSGGgm5WfKiaOd/SBabXcNKUooFMSE&#10;MEhZ9NBcgCePjABaGYR3GK2D49zdvxgp5KA68J1WwqGiPeGuHeIhFEQDorGka4W55KKlcoZ1lC58&#10;XcrniUl7A5bQSFzRFmPANMSYrebEZxalTIvly26Vas59llX2ehy9uO+EYJwLelOuyoVwbFE9HZWa&#10;i5KwWZTPUZYybFwZhyB1jW3Mq0BM3+Wjc2vqsxPHdogHRAhg/1dm9ph38Hl1td3iTd+PXB2Wpygd&#10;n8ecGB6PYXJcvkrMYyAgeKezaJJ5P7Vmu8Yt9ITVljDx1fojErX/uqmL/2vJOFkCACCnx13Ix9PP&#10;qiRcbelx7aB7LhkaXzV9Ep6Lo83eQZMorJRWbygaRiVuLWgd4M4AG7ZU+IRxj04JwIBdLjyWUg4b&#10;692LKGf9uEUn6VJgyamULOjxfjDnLLXYDTFvT16PF6hed8ZBfEz3slPR0QEzEnBoI+Dw+FinS8pm&#10;gDqZ7H9EJEpCD3soUWljB+B9Xc3MfdWm4gUjhuPfs6wAsIOt2hfhlLJXLqKTMJWsnL4Vc63bJDHn&#10;3kmUatxlgmucvYUvwUzUkMTh7lHjkuIfYjfuTRYo3KNooy82nNtE9iGSs2fILm1p7MJ4tmf4uXjX&#10;t5hNROM5nmW1kRFQ11T9bTdT3m789Hn6rHs8EsgRT54Tm64plQm4GYdCKgQDMi+n/ghMExY1J+/u&#10;Su+o+qaRj2fR2J01YvwOLrDnuCJQN4o9J5k2t+P2jNI+HHvPm18/8j2RYTCcvCOtK8N+UczwixqA&#10;DBZf6quCA44gfStlOeLPqpk6DBIohkZomOF04Uup5EHj4euJMV0PsTITggkhLdfATSSuN9oLULmz&#10;QHOECKhkcQkxtbPhL7Jqm2P7dDdDbTZaJZU7Qeefc1fsvc374ZE+1bXbCHRWlibKG07d8emVNfkR&#10;CNhHvDKHQwuYgfPdohQBYZM2UQQ1FuXlv0MQKQ/Cy9NejWU8xui/JZHdsxsl+shaH6RYMaBYPvDQ&#10;z/5cy/32wt8kVtfqErXZsQmrihwTsQPFL5QyuP30OBD6y00xv3FZgcN3pL2uovIZrLXiDh7ISrBx&#10;l7+K83xp6imCLTgqgCc9rQN45FFc+Q3jXFFXhiinaLOt3pvUdk0ZPsFEUwhJF7VcH2UELlC9DXp6&#10;Sm5KnAUWtaB5+A6/NB+Lv3Fr96cn39b3IHx49GKYZ/+26in+lyf/FQB++fPP5R8+PPjYZiDDHWnS&#10;1YHtScXNFphf7NGfQpokeCxPfcwNefcOqYH3aJnug9AVFV3BhUAwHixpymRUPzKM9trc6Dmh/SDA&#10;BaYVwy40tiLbmDyggLGY01iOQiAsVYKd0Qbf5IwmZwaZk0L2e29utpNx16e5EYbITZ9X+R4fSdQu&#10;uY1sQuon0Xe44UaNtuiso1QkGhU7bHoB5ar1rtcWFbv1oyOzid/luO95jdRF4v3nBDQ9f+6Oh0R/&#10;eVH6+HgUP3sLSChsiF+c+u9U7lN38U/5Lwy7kuw/DfzObz4xvr8k63G43/jfPxV/J+/Qf2k9Xg0/&#10;TtbfTNF/yNA/tX/nnDD+oc0A85v2/9B9f6r/Tqz887HLH8uEvwf/RVP9aeB3xuGJf/klyHD/nY35&#10;08Lv7e4TM/FLOOH/svA3T/Gn6u/N4j8Hv3rE4qlB/LM7/tPC7wXRP5//HPO/tph/Gvg9lT7VTb9E&#10;7TEnPP6F3xPnn8q/55anbPtLdB8/Pir/H7n3Tzu/r+ynTPRLAon+/hP/Ky/9aeX35fEUBX6JMumf&#10;Vv5rTFCShX0MLRAQKI8vNWgICJXnT5/+H1BLAwQKAAAAAACHTuJAAAAAAAAAAAAAAAAACwAAAGRy&#10;cy9jaGFydHMvUEsDBBQAAAAIAIdO4kC4WzwPUgcAAHQVAAAVAAAAZHJzL2NoYXJ0cy9jaGFydDEu&#10;eG1s1Vjdaxy3Fn8v9H+YDu7TZb3zsbOzs2Rd7N26hLqNiZO+azWa3cEaaSppYzslcB8aKNzXcvse&#10;uHAfQqFwKRcK7T/TpO1/0XOkmf200zSNHxqHRXMkHZ3v35HufHBZce8RU7qUYuSH+4HvMUFlXorZ&#10;yH/44Lgz8D1tiMgJl4KN/Cum/Q8O3n3nDh3SOVHmrCaUecBE6CEd+XNj6mG3q+mcVUTvy5oJmCuk&#10;qoiBTzXr5opcAPOKd6Mg6HctE79hQN6AQUVK0e5Xr7NfFkVJ2UTSRcWEcVIoxokBC+h5WWv/AJTL&#10;iWFhFvS8R4SP/MDvIpETMXOEx/PO+FNHVHIhcpaPpRJgxrX1FR0ecsOUAFZjKQyc1uhZvZalKqLO&#10;F3WHyqoG4aYlL82VFRcEBN7juQQ9vPvs80WpmB75NOy1hoDhjimqkiqpZWH2gWPXWaH1BrJNu4Nu&#10;1PgDlA17Q22uOHMKhUGE2naX51oRjgnnU0LP0TZri5dLV/O4cdsYuMu6HwemNJzZwSX+qpLOD+6Q&#10;4VTmV6fKU9KgEzxd0+NSaXNCtDklCuIFiBC95h78FFxejHzGOfiw1I4OVpDqse9dKFKPfP35gijm&#10;e8rwsbRu9YigsGLkG78Zjg18hagsGXJtztAG9qNGSg3CED6DVOHgBTLMWXEfSBgYI98FhacfA4NB&#10;AJJNkZNXWikXI19ABmE2qfIcMknIMzvyvXOIEVgJPoAtRDNeYqYF9gAteZkfl5zjaVrNpmOumhgL&#10;8J/1CsysL8NYFp65qlkByTny/1GJDjdOJUa2JhhxE1RvTVDd8HY6gvOt+iiHsj9LvZnoPDxzXMyB&#10;h+uMXW2XMZGjp1ZWcqudlcKlAmDdbut2GBgbBZxcyYWxqSfBwfC5ll64qg0asjDyAX5MGGeG5WvL&#10;6LDm0hwqRjCuHEccVUQsCD+xJ6xmHhA1Y8ZtLwUkNKpFh5efyLzJBJbPmCNeXUe8bI7eD/pxnEZp&#10;lsT9MMwGvWZPOx0mWZgMkigM4n6WNrMX7WwWDOIkS4I0jNI4StzeeTvbj7Mg6SdRnAz6mQ1VsMWm&#10;PkBYqVqXbIy1GjV5RNQVxL5sK5XdDtnLwFl0WOat/O5IqXLWhpujOMdADN9nBe4oDs7mjJnwvb2j&#10;vRBdaKkwPyaAAbiiNmOokI1Nm+Nq48FRLsZBpoOXX3//4ul/cPsjGwc1BhDWlJaN+7BnwrARApIR&#10;A5EVBaPmRGOg4DpLpkN2CY5HWGvM5uTPT60ZthWdLqZTzuLJxlrHaSu5NnKwdzwIjybIGYJ+MwcF&#10;iiYkpq6b5pZyrbAgdSPXtniNvd5QvHGQBL23Kt7JlGt0qlhUx5XxHLCPITnAl/tB8D6UN7lQlJ2U&#10;4pzl6GCbP60ll/aA2vpnDIQud86+HUDgdwUAaDzAeuQZ+wHgn8CHWp+Zrs+0yEGNem3swJi4ETKw&#10;miNkwO8tQUYvwD8fpeCLCsqXC/c0aYDEku8VhSNHLRlj2yHPNXF+u1iDmGOz2vkf8gQi8FQ2bRaA&#10;w4cib0JsLi9O2Azg5mO2DhNQEGDmMwJdLnZybb0D2piYT0nVlPU2UIF+xtS19FMGgd0WsrX1R7Z2&#10;nJWPd1mdMAIFFJKBNRI3x7NLrFeYSDDyFgr8/cX4w34Sp4dhZ9I/Hnd6RT/pZJMs7KRR1Bv3sl4y&#10;ODp6smrwkj/b4IXrzV3SwANmZ5hYE90gK8zylRYocpvMXHjQb2UJ4JNHsb0qoPGAYVVD4msxg6yw&#10;nRImCIbcRn3cKKOHffzbicu4DcDNuOy35FfFZQ1d4oToBjPt0Rgn0Ltgu/4aFXlbb6jR4Csbi633&#10;sGy3BZES605ArB1gPNyLhnuHe/Efo6NtnBExN9Hx5///89evnr94Cv+/++3Zl798+82v/3v28uuf&#10;Xv7rvy+f/3gddq54hGBVRNUXT7//+Yd/X7cWIfMGnG2UgsRBJlDzd3Q7Qt2O1nSDRUvkX6HDwUcM&#10;einCrQnsZRAxA5ludAc36B/sZ2mc4t5Vd7CrIeBP1LdGXq2CLSuB3EfbQ1ilUHfX+SwdidXib1JH&#10;QPql2AVei8443AgP2zuquxuAodbavzZ33xSI4ciNdtoWXPQjt6NlZZ66oux6UNsC7Dbwq0ryptLc&#10;dlvwtiE+u3WEh0sD/O1U0mXJ3KykywL7qkp6y7fJLYSHAHOhZIsD3Nw+K/U9wRtEb+AzL3V9BHfu&#10;c33Y4OqM1Ks2YIJFGV8EPiGb15m2cK/DbjANk4KGWSfN07zT65G8M6BR3oloTOKUsggGT7CI4g3q&#10;VMlau0ccB78aHrsu2HT/otb7VHQZvieFg657lLJb7gIYfhEQkqb9Xq8TZ4MpHFJEHZKSqBNkWS/P&#10;aZyH4fQJKgDqX4Myy1eSNn1vhtJj+8+y2kLctwfXE+hLJrtBFra4vBlkg5b8qiD7i3C9XQgs0l/7&#10;enNDB+4aAntz3ApI6xB8xOMTYoin4I488tXd3AErPjw8rPGxcO3m6Jy43GO9al1oH0sPfg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RAAAAZHJzL2NoYXJ0cy9fcmVscy9QSwMEFAAAAAgAh07i&#10;QCMtOla/AAAALwEAACAAAABkcnMvY2hhcnRzL19yZWxzL2NoYXJ0MS54bWwucmVsc4WPPWsDMRBE&#10;+0D+g9g+2jsXIYTTuQkBt8EmtSztfXAnrdAq5vzvrRSBGAIph2HeY7r9FlZ1oSwzRwOtbkBRdOzn&#10;OBo4Hd+fXkBJsdHblSMZuJLAvn986D5otaWOZJqTqEqJYmAqJb0iipsoWNGcKNZm4BxsqTGPmKxb&#10;7Ei4a5pnzL8Z0N8x1cEbyAffgjpeUzX/z+ZhmB29sfsKFMsfih97Rdo8UjGgNVI4k//+K/jJeTkz&#10;L63eVtkA+w7vbvY3UEsDBAoAAAAAAIdO4kAAAAAAAAAAAAAAAAAKAAAAZHJzL19yZWxzL1BLAwQU&#10;AAAACACHTuJAqxbNRrMAAAAiAQAAGQAAAGRycy9fcmVscy9lMm9Eb2MueG1sLnJlbHOFj80KwjAQ&#10;hO+C7xD2btN6EJEmvYjQq9QHWNLtD7ZJyEaxb2/Qi4LgcXaYb3bK6jFP4k6BR2cVFFkOgqxx7Wh7&#10;BZfmtNmD4Ii2xclZUrAQQ6XXq/JME8YU4mH0LBLFsoIhRn+Qks1AM3LmPNnkdC7MGJMMvfRortiT&#10;3Ob5ToZPBugvpqhbBaFuCxDN4lPzf7brutHQ0ZnbTDb+qJBmwBATEENPUcFL8vtaZOlTkLqUX8v0&#10;E1BLAwQUAAAACACHTuJArWrphyIBAADJAgAAEwAAAFtDb250ZW50X1R5cGVzXS54bWyVUktPAjEQ&#10;vpv4H5peDS1wMMawcHDxqMbgD2ja2UfoK52yLP/eYVkuRkROzXT6vWa6WPXOsg4StsEXfCamnIHX&#10;wbS+LvjX5nXyxBlm5Y2ywUPBD4B8tby/W2wOEZAR2mPBm5zjs5SoG3AKRYjgqVOF5FSmMtUyKr1V&#10;Ncj5dPoodfAZfJ7kIwdfLkqo1M5mtu7p+uSkt9hz9nJ6eNQquIrRtlplcio7b36oTEJVtRpM0DtH&#10;3AJjAmWwAcjOiuHk8lepBBZvkxrDCEIOdrBpIz5Q4gsKx87lLCPunbaQWgPsQ6X8phwlliah1A3V&#10;4zETf1NdH4tJak+7pZEMvGfTl8RN2PsE3T9kHY4bEGXCkmCf0F1jh3kog76VfD2gztxy+IjLb1BL&#10;AQIUABQAAAAIAIdO4kCtaumHIgEAAMkCAAATAAAAAAAAAAEAIAAAAIksAABbQ29udGVudF9UeXBl&#10;c10ueG1sUEsBAhQACgAAAAAAh07iQAAAAAAAAAAAAAAAAAYAAAAAAAAAAAAQAAAALSkAAF9yZWxz&#10;L1BLAQIUABQAAAAIAIdO4kCKFGY80QAAAJQBAAALAAAAAAAAAAEAIAAAAFEpAABfcmVscy8ucmVs&#10;c1BLAQIUAAoAAAAAAIdO4kAAAAAAAAAAAAAAAAAEAAAAAAAAAAAAEAAAAAAAAABkcnMvUEsBAhQA&#10;CgAAAAAAh07iQAAAAAAAAAAAAAAAAAoAAAAAAAAAAAAQAAAAdysAAGRycy9fcmVscy9QSwECFAAU&#10;AAAACACHTuJAqxbNRrMAAAAiAQAAGQAAAAAAAAABACAAAACfKwAAZHJzL19yZWxzL2Uyb0RvYy54&#10;bWwucmVsc1BLAQIUAAoAAAAAAIdO4kAAAAAAAAAAAAAAAAALAAAAAAAAAAAAEAAAAH8hAABkcnMv&#10;Y2hhcnRzL1BLAQIUAAoAAAAAAIdO4kAAAAAAAAAAAAAAAAARAAAAAAAAAAAAEAAAAEsqAABkcnMv&#10;Y2hhcnRzL19yZWxzL1BLAQIUABQAAAAIAIdO4kAjLTpWvwAAAC8BAAAgAAAAAAAAAAEAIAAAAHoq&#10;AABkcnMvY2hhcnRzL19yZWxzL2NoYXJ0MS54bWwucmVsc1BLAQIUABQAAAAIAIdO4kC4WzwPUgcA&#10;AHQVAAAVAAAAAAAAAAEAIAAAAKghAABkcnMvY2hhcnRzL2NoYXJ0MS54bWxQSwECFAAUAAAACACH&#10;TuJAait7uNMAAAAFAQAADwAAAAAAAAABACAAAAAiAAAAZHJzL2Rvd25yZXYueG1sUEsBAhQAFAAA&#10;AAgAh07iQDux7qoOAQAAhQIAAA4AAAAAAAAAAQAgAAAAIgEAAGRycy9lMm9Eb2MueG1sUEsBAhQA&#10;CgAAAAAAh07iQAAAAAAAAAAAAAAAAA8AAAAAAAAAAAAQAAAAXAIAAGRycy9lbWJlZGRpbmdzL1BL&#10;AQIUABQAAAAIAIdO4kC6djmbux4AALwiAAAdAAAAAAAAAAEAIAAAAIkCAABkcnMvZW1iZWRkaW5n&#10;cy9Xb3JrYm9vazEueGxzeFBLBQYAAAAADgAOAGkDAADcLQAAAAA=&#10;">
            <v:path/>
            <v:fill on="f" focussize="0,0"/>
            <v:stroke on="f"/>
            <v:imagedata r:id="rId16" o:title=""/>
            <o:lock v:ext="edit" aspectratio="t"/>
            <w10:wrap type="none"/>
            <w10:anchorlock/>
          </v:shape>
          <o:OLEObject Type="Embed" ProgID="excel.sheet.8" ShapeID="_x0000_i1026" DrawAspect="Content" ObjectID="_1468075726" r:id="rId15">
            <o:LockedField>false</o:LockedField>
          </o:OLEObject>
        </w:object>
      </w:r>
      <w:r>
        <w:rPr>
          <w:rFonts w:hint="eastAsia" w:ascii="Times New Roman" w:hAnsi="Times New Roman" w:eastAsia="仿宋_GB2312" w:cs="仿宋_GB2312"/>
          <w:b/>
          <w:color w:val="auto"/>
          <w:kern w:val="2"/>
          <w:sz w:val="32"/>
          <w:szCs w:val="32"/>
          <w:highlight w:val="none"/>
          <w:lang w:val="en-US" w:eastAsia="zh-CN" w:bidi="ar-SA"/>
        </w:rPr>
        <w:t>图2：收入决算结构图</w:t>
      </w:r>
    </w:p>
    <w:p w14:paraId="6BFFDF13">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bookmarkStart w:id="30" w:name="_Toc369"/>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2"/>
          <w:rFonts w:hint="eastAsia" w:ascii="Times New Roman" w:hAnsi="Times New Roman" w:eastAsia="黑体"/>
          <w:b w:val="0"/>
          <w:color w:val="auto"/>
          <w:highlight w:val="none"/>
        </w:rPr>
        <w:t>出决算情况说明</w:t>
      </w:r>
      <w:bookmarkEnd w:id="28"/>
      <w:bookmarkEnd w:id="29"/>
      <w:bookmarkEnd w:id="30"/>
    </w:p>
    <w:p w14:paraId="17552F3E">
      <w:pPr>
        <w:spacing w:line="600" w:lineRule="exact"/>
        <w:ind w:firstLine="640" w:firstLineChars="200"/>
        <w:outlineLvl w:val="1"/>
        <w:rPr>
          <w:rFonts w:hint="eastAsia" w:ascii="Times New Roman" w:hAnsi="Times New Roman" w:eastAsia="仿宋_GB2312" w:cs="仿宋_GB2312"/>
          <w:color w:val="auto"/>
          <w:sz w:val="32"/>
          <w:szCs w:val="32"/>
          <w:highlight w:val="none"/>
          <w:lang w:eastAsia="zh-CN"/>
        </w:rPr>
      </w:pPr>
      <w:bookmarkStart w:id="31" w:name="_Toc24168"/>
      <w:bookmarkStart w:id="32" w:name="_Toc19719"/>
      <w:bookmarkStart w:id="33" w:name="_Toc1963"/>
      <w:bookmarkStart w:id="34" w:name="_Toc26828"/>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3524.76</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2963.43</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84</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561.32</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16</w:t>
      </w:r>
      <w:r>
        <w:rPr>
          <w:rFonts w:hint="eastAsia" w:ascii="Times New Roman" w:hAnsi="Times New Roman" w:eastAsia="仿宋_GB2312" w:cs="仿宋_GB2312"/>
          <w:color w:val="auto"/>
          <w:sz w:val="32"/>
          <w:szCs w:val="32"/>
          <w:highlight w:val="none"/>
          <w:lang w:eastAsia="zh-CN"/>
        </w:rPr>
        <w:t>%；上缴上级支出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%；经营支出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w:t>
      </w:r>
      <w:bookmarkEnd w:id="31"/>
      <w:bookmarkEnd w:id="32"/>
      <w:bookmarkEnd w:id="33"/>
      <w:bookmarkEnd w:id="34"/>
      <w:bookmarkStart w:id="35" w:name="_Toc15396606"/>
      <w:bookmarkStart w:id="36" w:name="_Toc15377208"/>
    </w:p>
    <w:p w14:paraId="7515F67C">
      <w:pPr>
        <w:spacing w:line="600" w:lineRule="exact"/>
        <w:jc w:val="center"/>
        <w:outlineLvl w:val="1"/>
        <w:rPr>
          <w:rFonts w:hint="eastAsia" w:ascii="Times New Roman" w:hAnsi="Times New Roman" w:eastAsia="仿宋_GB2312" w:cs="仿宋_GB2312"/>
          <w:color w:val="auto"/>
          <w:sz w:val="32"/>
          <w:szCs w:val="32"/>
          <w:highlight w:val="none"/>
          <w:lang w:val="en-US" w:eastAsia="zh-CN"/>
        </w:rPr>
      </w:pPr>
      <w:bookmarkStart w:id="37" w:name="_Toc19496"/>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59264" behindDoc="0" locked="0" layoutInCell="1" allowOverlap="1">
            <wp:simplePos x="0" y="0"/>
            <wp:positionH relativeFrom="column">
              <wp:posOffset>384810</wp:posOffset>
            </wp:positionH>
            <wp:positionV relativeFrom="paragraph">
              <wp:posOffset>-5405755</wp:posOffset>
            </wp:positionV>
            <wp:extent cx="5335270" cy="3060065"/>
            <wp:effectExtent l="4445" t="4445" r="6985" b="8890"/>
            <wp:wrapTopAndBottom/>
            <wp:docPr id="8" name="图表 8" descr="7b0a202020202263686172745265734964223a202232303437323230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r>
        <w:rPr>
          <w:rFonts w:hint="eastAsia" w:ascii="Times New Roman" w:hAnsi="Times New Roman" w:eastAsia="仿宋_GB2312" w:cs="仿宋_GB2312"/>
          <w:b/>
          <w:color w:val="auto"/>
          <w:kern w:val="2"/>
          <w:sz w:val="32"/>
          <w:szCs w:val="32"/>
          <w:highlight w:val="none"/>
          <w:lang w:val="en-US" w:eastAsia="zh-CN" w:bidi="ar-SA"/>
        </w:rPr>
        <w:t>图3：支出决算结构图</w:t>
      </w:r>
    </w:p>
    <w:p w14:paraId="466ACD89">
      <w:pPr>
        <w:spacing w:line="600" w:lineRule="exact"/>
        <w:ind w:firstLine="320" w:firstLineChars="100"/>
        <w:outlineLvl w:val="1"/>
        <w:rPr>
          <w:rStyle w:val="32"/>
          <w:rFonts w:ascii="Times New Roman" w:hAnsi="Times New Roman" w:eastAsia="黑体"/>
          <w:b w:val="0"/>
          <w:color w:val="auto"/>
          <w:highlight w:val="none"/>
        </w:rPr>
      </w:pPr>
      <w:bookmarkStart w:id="38" w:name="_Toc15340"/>
      <w:r>
        <w:rPr>
          <w:rFonts w:hint="eastAsia" w:eastAsia="黑体"/>
          <w:color w:val="auto"/>
          <w:sz w:val="32"/>
          <w:szCs w:val="32"/>
          <w:highlight w:val="none"/>
          <w:lang w:val="en-US" w:eastAsia="zh-CN"/>
        </w:rPr>
        <w:t>四</w:t>
      </w:r>
      <w:r>
        <w:rPr>
          <w:rFonts w:hint="eastAsia" w:ascii="Times New Roman" w:hAnsi="Times New Roman" w:eastAsia="黑体"/>
          <w:color w:val="auto"/>
          <w:sz w:val="32"/>
          <w:szCs w:val="32"/>
          <w:highlight w:val="none"/>
        </w:rPr>
        <w:t>、财</w:t>
      </w:r>
      <w:r>
        <w:rPr>
          <w:rStyle w:val="32"/>
          <w:rFonts w:hint="eastAsia" w:ascii="Times New Roman" w:hAnsi="Times New Roman" w:eastAsia="黑体"/>
          <w:b w:val="0"/>
          <w:color w:val="auto"/>
          <w:highlight w:val="none"/>
        </w:rPr>
        <w:t>政拨款收入支出决算总体情况说明</w:t>
      </w:r>
      <w:bookmarkEnd w:id="35"/>
      <w:bookmarkEnd w:id="36"/>
      <w:bookmarkEnd w:id="37"/>
      <w:bookmarkEnd w:id="38"/>
    </w:p>
    <w:p w14:paraId="6796FD17">
      <w:pPr>
        <w:snapToGrid w:val="0"/>
        <w:spacing w:line="520" w:lineRule="exact"/>
        <w:ind w:firstLine="640" w:firstLineChars="200"/>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lang w:eastAsia="zh-CN"/>
        </w:rPr>
        <w:t>202</w:t>
      </w:r>
      <w:r>
        <w:rPr>
          <w:rFonts w:hint="eastAsia" w:ascii="仿宋_GB2312" w:hAnsi="仿宋" w:eastAsia="仿宋_GB2312"/>
          <w:color w:val="auto"/>
          <w:sz w:val="32"/>
          <w:szCs w:val="32"/>
          <w:highlight w:val="none"/>
          <w:lang w:val="en-US" w:eastAsia="zh-CN"/>
        </w:rPr>
        <w:t>5</w:t>
      </w:r>
      <w:r>
        <w:rPr>
          <w:rFonts w:hint="eastAsia" w:ascii="仿宋_GB2312" w:hAnsi="仿宋" w:eastAsia="仿宋_GB2312"/>
          <w:color w:val="auto"/>
          <w:sz w:val="32"/>
          <w:szCs w:val="32"/>
          <w:highlight w:val="none"/>
          <w:lang w:eastAsia="zh-CN"/>
        </w:rPr>
        <w:t>年</w:t>
      </w:r>
      <w:r>
        <w:rPr>
          <w:rFonts w:hint="eastAsia" w:ascii="仿宋_GB2312" w:hAnsi="仿宋" w:eastAsia="仿宋_GB2312"/>
          <w:color w:val="auto"/>
          <w:sz w:val="32"/>
          <w:szCs w:val="32"/>
          <w:highlight w:val="none"/>
          <w:lang w:val="en-US" w:eastAsia="zh-CN"/>
        </w:rPr>
        <w:t>财政拨款</w:t>
      </w:r>
      <w:r>
        <w:rPr>
          <w:rFonts w:hint="eastAsia" w:ascii="仿宋_GB2312" w:hAnsi="仿宋" w:eastAsia="仿宋_GB2312"/>
          <w:color w:val="auto"/>
          <w:sz w:val="32"/>
          <w:szCs w:val="32"/>
          <w:highlight w:val="none"/>
        </w:rPr>
        <w:t>总收入为</w:t>
      </w:r>
      <w:r>
        <w:rPr>
          <w:rFonts w:hint="eastAsia" w:ascii="仿宋" w:hAnsi="仿宋" w:eastAsia="仿宋"/>
          <w:color w:val="auto"/>
          <w:sz w:val="32"/>
          <w:szCs w:val="32"/>
          <w:highlight w:val="none"/>
          <w:lang w:val="en-US" w:eastAsia="zh-CN"/>
        </w:rPr>
        <w:t>3373.89</w:t>
      </w:r>
      <w:r>
        <w:rPr>
          <w:rFonts w:hint="eastAsia" w:ascii="仿宋_GB2312" w:hAnsi="仿宋" w:eastAsia="仿宋_GB2312"/>
          <w:color w:val="auto"/>
          <w:sz w:val="32"/>
          <w:szCs w:val="32"/>
          <w:highlight w:val="none"/>
        </w:rPr>
        <w:t>万元，较</w:t>
      </w:r>
      <w:r>
        <w:rPr>
          <w:rFonts w:hint="eastAsia" w:ascii="仿宋_GB2312" w:hAnsi="仿宋" w:eastAsia="仿宋_GB2312"/>
          <w:color w:val="auto"/>
          <w:sz w:val="32"/>
          <w:szCs w:val="32"/>
          <w:highlight w:val="none"/>
          <w:lang w:val="en-US" w:eastAsia="zh-CN"/>
        </w:rPr>
        <w:t>2024年</w:t>
      </w:r>
      <w:r>
        <w:rPr>
          <w:rFonts w:hint="eastAsia" w:ascii="仿宋" w:hAnsi="仿宋" w:eastAsia="仿宋"/>
          <w:color w:val="auto"/>
          <w:sz w:val="32"/>
          <w:szCs w:val="32"/>
          <w:highlight w:val="none"/>
          <w:lang w:eastAsia="zh-CN"/>
        </w:rPr>
        <w:t>增加1,8</w:t>
      </w:r>
      <w:r>
        <w:rPr>
          <w:rFonts w:hint="eastAsia" w:ascii="仿宋" w:hAnsi="仿宋" w:eastAsia="仿宋"/>
          <w:color w:val="auto"/>
          <w:sz w:val="32"/>
          <w:szCs w:val="32"/>
          <w:highlight w:val="none"/>
          <w:lang w:val="en-US" w:eastAsia="zh-CN"/>
        </w:rPr>
        <w:t>03.63</w:t>
      </w:r>
      <w:r>
        <w:rPr>
          <w:rFonts w:hint="eastAsia" w:ascii="仿宋_GB2312" w:hAnsi="仿宋" w:eastAsia="仿宋_GB2312"/>
          <w:color w:val="auto"/>
          <w:sz w:val="32"/>
          <w:szCs w:val="32"/>
          <w:highlight w:val="none"/>
        </w:rPr>
        <w:t>万元，</w:t>
      </w:r>
      <w:r>
        <w:rPr>
          <w:rFonts w:hint="eastAsia" w:ascii="仿宋_GB2312" w:hAnsi="仿宋" w:eastAsia="仿宋_GB2312"/>
          <w:color w:val="auto"/>
          <w:sz w:val="32"/>
          <w:szCs w:val="32"/>
          <w:highlight w:val="none"/>
          <w:lang w:eastAsia="zh-CN"/>
        </w:rPr>
        <w:t>上升11</w:t>
      </w:r>
      <w:r>
        <w:rPr>
          <w:rFonts w:hint="eastAsia" w:ascii="仿宋_GB2312" w:hAnsi="仿宋" w:eastAsia="仿宋_GB2312"/>
          <w:color w:val="auto"/>
          <w:sz w:val="32"/>
          <w:szCs w:val="32"/>
          <w:highlight w:val="none"/>
          <w:lang w:val="en-US" w:eastAsia="zh-CN"/>
        </w:rPr>
        <w:t>4</w:t>
      </w:r>
      <w:r>
        <w:rPr>
          <w:rFonts w:hint="eastAsia"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val="en-US" w:eastAsia="zh-CN"/>
        </w:rPr>
        <w:t>86</w:t>
      </w:r>
      <w:r>
        <w:rPr>
          <w:rFonts w:hint="eastAsia" w:ascii="仿宋_GB2312" w:hAnsi="仿宋" w:eastAsia="仿宋_GB2312"/>
          <w:color w:val="auto"/>
          <w:sz w:val="32"/>
          <w:szCs w:val="32"/>
          <w:highlight w:val="none"/>
        </w:rPr>
        <w:t>%；总支出为</w:t>
      </w:r>
      <w:r>
        <w:rPr>
          <w:rFonts w:hint="eastAsia" w:ascii="仿宋" w:hAnsi="仿宋" w:eastAsia="仿宋"/>
          <w:color w:val="auto"/>
          <w:sz w:val="32"/>
          <w:szCs w:val="32"/>
          <w:highlight w:val="none"/>
          <w:lang w:val="en-US" w:eastAsia="zh-CN"/>
        </w:rPr>
        <w:t>3373.89</w:t>
      </w:r>
      <w:r>
        <w:rPr>
          <w:rFonts w:hint="eastAsia" w:ascii="仿宋_GB2312" w:hAnsi="仿宋" w:eastAsia="仿宋_GB2312"/>
          <w:color w:val="auto"/>
          <w:sz w:val="32"/>
          <w:szCs w:val="32"/>
          <w:highlight w:val="none"/>
        </w:rPr>
        <w:t>万元，较</w:t>
      </w:r>
      <w:r>
        <w:rPr>
          <w:rFonts w:hint="eastAsia" w:ascii="仿宋_GB2312" w:hAnsi="仿宋" w:eastAsia="仿宋_GB2312"/>
          <w:color w:val="auto"/>
          <w:sz w:val="32"/>
          <w:szCs w:val="32"/>
          <w:highlight w:val="none"/>
          <w:lang w:val="en-US" w:eastAsia="zh-CN"/>
        </w:rPr>
        <w:t>2024年</w:t>
      </w:r>
      <w:r>
        <w:rPr>
          <w:rFonts w:hint="eastAsia" w:ascii="仿宋_GB2312" w:hAnsi="仿宋" w:eastAsia="仿宋_GB2312"/>
          <w:color w:val="auto"/>
          <w:sz w:val="32"/>
          <w:szCs w:val="32"/>
          <w:highlight w:val="none"/>
          <w:lang w:eastAsia="zh-CN"/>
        </w:rPr>
        <w:t>增加1,803</w:t>
      </w:r>
      <w:r>
        <w:rPr>
          <w:rFonts w:hint="eastAsia" w:ascii="仿宋_GB2312" w:hAnsi="仿宋" w:eastAsia="仿宋_GB2312"/>
          <w:color w:val="auto"/>
          <w:sz w:val="32"/>
          <w:szCs w:val="32"/>
          <w:highlight w:val="none"/>
          <w:lang w:val="en-US" w:eastAsia="zh-CN"/>
        </w:rPr>
        <w:t>.63</w:t>
      </w:r>
      <w:r>
        <w:rPr>
          <w:rFonts w:hint="eastAsia" w:ascii="仿宋_GB2312" w:hAnsi="仿宋" w:eastAsia="仿宋_GB2312"/>
          <w:color w:val="auto"/>
          <w:sz w:val="32"/>
          <w:szCs w:val="32"/>
          <w:highlight w:val="none"/>
        </w:rPr>
        <w:t>万元，</w:t>
      </w:r>
      <w:r>
        <w:rPr>
          <w:rFonts w:hint="eastAsia" w:ascii="仿宋_GB2312" w:hAnsi="仿宋" w:eastAsia="仿宋_GB2312"/>
          <w:color w:val="auto"/>
          <w:sz w:val="32"/>
          <w:szCs w:val="32"/>
          <w:highlight w:val="none"/>
          <w:lang w:eastAsia="zh-CN"/>
        </w:rPr>
        <w:t>上升</w:t>
      </w:r>
      <w:r>
        <w:rPr>
          <w:rFonts w:hint="eastAsia" w:ascii="仿宋_GB2312" w:hAnsi="仿宋" w:eastAsia="仿宋_GB2312"/>
          <w:color w:val="auto"/>
          <w:sz w:val="32"/>
          <w:szCs w:val="32"/>
          <w:highlight w:val="none"/>
          <w:lang w:val="en-US" w:eastAsia="zh-CN"/>
        </w:rPr>
        <w:t>114.86</w:t>
      </w:r>
      <w:r>
        <w:rPr>
          <w:rFonts w:hint="eastAsia" w:ascii="仿宋_GB2312" w:hAnsi="仿宋" w:eastAsia="仿宋_GB2312"/>
          <w:color w:val="auto"/>
          <w:sz w:val="32"/>
          <w:szCs w:val="32"/>
          <w:highlight w:val="none"/>
        </w:rPr>
        <w:t>%</w:t>
      </w:r>
      <w:r>
        <w:rPr>
          <w:rFonts w:hint="eastAsia"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rPr>
        <w:t>主要原因是</w:t>
      </w:r>
      <w:r>
        <w:rPr>
          <w:rFonts w:hint="eastAsia" w:ascii="仿宋" w:hAnsi="仿宋" w:eastAsia="仿宋"/>
          <w:color w:val="auto"/>
          <w:sz w:val="32"/>
          <w:szCs w:val="32"/>
          <w:highlight w:val="none"/>
          <w:lang w:eastAsia="zh-CN"/>
        </w:rPr>
        <w:t>单位机构改革，变动较大</w:t>
      </w:r>
      <w:r>
        <w:rPr>
          <w:rFonts w:hint="eastAsia" w:ascii="仿宋_GB2312" w:hAnsi="仿宋" w:eastAsia="仿宋_GB2312"/>
          <w:color w:val="auto"/>
          <w:sz w:val="32"/>
          <w:szCs w:val="32"/>
          <w:highlight w:val="none"/>
        </w:rPr>
        <w:t>。</w:t>
      </w:r>
    </w:p>
    <w:p w14:paraId="331CB0F4">
      <w:pPr>
        <w:pStyle w:val="5"/>
        <w:bidi w:val="0"/>
        <w:jc w:val="center"/>
        <w:rPr>
          <w:rFonts w:hint="eastAsia"/>
          <w:color w:val="auto"/>
          <w:highlight w:val="none"/>
        </w:rPr>
      </w:pPr>
      <w:r>
        <w:rPr>
          <w:rFonts w:hint="eastAsia"/>
          <w:color w:val="auto"/>
          <w:highlight w:val="none"/>
        </w:rPr>
        <w:object>
          <v:shape id="_x0000_i1027" o:spt="75" type="#_x0000_t75" style="height:227.2pt;width:395.1pt;" o:ole="t" filled="f" o:preferrelative="t" stroked="f" coordsize="21600,21600" o:gfxdata="UEsDBAoAAAAAAIdO4kAAAAAAAAAAAAAAAAAEAAAAZHJzL1BLAwQUAAAACACHTuJAC48EptUAAAAF&#10;AQAADwAAAGRycy9kb3ducmV2LnhtbE2PQUvDQBCF70L/wzIFL2J3W0MNMZtSCj0JgrHidZudJtHs&#10;bMhum/jvHb3Yy4PHG977Jt9MrhMXHELrScNyoUAgVd62VGs4vO3vUxAhGrKm84QavjHAppjd5Caz&#10;fqRXvJSxFlxCITMamhj7TMpQNehMWPgeibOTH5yJbIda2sGMXO46uVJqLZ1piRca0+OuweqrPDsN&#10;PsHD3cf0vtpX2/YzLZ9fTuMatb6dL9UTiIhT/D+GX3xGh4KZjv5MNohOAz8S/5Sz9EGxPWpIHhMF&#10;ssjlNX3xA1BLAwQUAAAACACHTuJAO7Huqg4BAACFAgAADgAAAGRycy9lMm9Eb2MueG1srZJBSwMx&#10;EIXvgv8hzN1mW1rdLs32UgRPXvQHxGSyG9hNwiR19d87tkWqp1K8zbyBL+89stl+jIN4R8o+BgXz&#10;WQUCg4nWh07B68vjXQ0iFx2sHmJABZ+YYdve3mym1OAi9nGwSIIhITdTUtCXkhops+lx1HkWEwY+&#10;ukijLrxSJy3pienjIBdVdS+nSDZRNJgzq7vjEU5EugQYnfMGd9HsRwzlSCUcdOFIufcpQ3tw6xya&#10;8uxcxiIGBauq5rBFwXK5XIHgp+p6zcob1/AwZ0m2G910pFPvzcmPvsTPn4Cj9oEd/KB2umixJ38F&#10;yvSaCrNMc5hOpszVpP9tWVDjrQJ6svPv7uSvxOc7z+e/p/0CUEsDBAoAAAAAAIdO4kAAAAAAAAAA&#10;AAAAAAAPAAAAZHJzL2VtYmVkZGluZ3MvUEsDBBQAAAAIAIdO4kC9aPffYR4AAGAiAAAdAAAAZHJz&#10;L2VtYmVkZGluZ3MvV29ya2Jvb2sxLnhsc3iNeQVUXMuyNhLcIcGCu+vgrsHd3X1wd3d3d4IEDQR3&#10;dwjuEjRokABBH+Tc/yQn776z/po1e++ZNVU9VV3d9VV/cpLgr16DQENDg4gGmGuB/CZoz8+aQjbW&#10;jsbWjrpKbrbGDtp0rkCrT4nSMj0MyEFVqG4RqA00yILSLRumMEkUUAxXhTUHC8mmGkvLzOKwqKRi&#10;IkA2u0y2i/YU8e0hq+VGK3AY4LciTAziOL/5LrUOmr7lL5Qdb7Diz0WbNvJec/EzZsigt0Cn2lUN&#10;KMwIn8lIzLAAYCOQu2oVgmYovgA1hksuJWgFdGJE2RSgZDcoi+eEpMiR5Eo/FRy1+6xppAj27Zer&#10;9NZs92eAT3vaqJHYaiPMsX55gxF6ZDdC93BYHS6IJ8BuZXW9ct0dID7X2ZEfVPYRW2ryMFgT1kwb&#10;IZWbjE7KSD/HoRKV50MwAinGhLrI0Fwf5VFVzX7sBoWepivq2QbwOzYlYCCvZcqhm5FMDtISxELL&#10;75OEng7lWdU9V//cED4ExqgAFxtDCCt/sVa01MFqF3IjWrVu/942Wg5IT6/KfpUpBJ63vU6EqDpf&#10;4iZx4awH9IeRM01BlyeMdjR555FrHCOXVBk+UDlJKOjkxzdxBqAgIBEQICBy/+cUwT1Pka69sZUD&#10;Pd3LtSK+y6KHAT5Yt29/jf24H7PAmt54chlzFdysPj2wN7lmltbrLu24+lPhpECM6Ny1j5hG5Tu+&#10;EiSJpi09PZ3ZXAo1Z20z+NbjbNOY3I96tuy2BODvhqt1aHXN+Slpm44NVIJQPvqpkPCaZwEl8Rz6&#10;4gRLjzjcEs+loqLNPKzE6A9uBYo74NmNyyqYY+utES1CSgkZGRBvExSfxldUITRhB8TmA8+919WX&#10;qnlcYZnivK7AL+tGvsz31XiJa3Ey9muOTFK8xmlSp4FJLKRG69BzZNM34vj8lEhHL+KB6khxI90m&#10;uO8tsR8b9FBRfCnEozhFbtp0C/YSq0wusc2L50isgv1brJCff2FkYyhnb2PrQK9va/uSy1lxXRK9&#10;DK9Frr1FhrzJjgmISMcIShpR4FSuGb2yYOrExbKLbmmttaAf/aifRLsmGIA1zjNJLXf2NtbjxFar&#10;LE4z/hfD+5EkI6nCuUWUSWtG22Xs2jjxLOuGTczoOFTf5BtzvUTrQ1mLZkZoAd30ARUBiljz0PAF&#10;y3KKyhLdNXENCGaFH9h5cycJ91GHg7JghxZS62/Wp6YGsyd0MVxYL+2cjYAVhZ3VaHyqU1g2VJEy&#10;nDAsBQ4JWX77qmNB9tm16NPoJNgYbk5IWOpx+6Ku+5bMU7DFgaJM/f36k5++79/cjUwvH/YMbDEX&#10;TC8S7H1uUrnjxgITOIL82otySaefVw3pI7/TvYnfOYTjqkfA3DtCC0LWcdOuc/tZuuMp0+dnbI1t&#10;+4XxnvOQ/F9ji/J7bA1t7I1fgusV9/dGkbMgQ1knHy/h25yPiiqidERjmi7ay7dAZz7RFU4L5yyW&#10;CWsHnzkZrEvopn/X9uOeO0GGNR/xpHNBYgj+c2guCImqCOkIvPZ48SY0xByjerWG+OAkOk36NuU8&#10;jCrkeNSUnhYE6zccc7RK5jp7GXJMzXawLqtt3KkISeNXDo9mEuVYHfqkG6mxQjSdNf4cwZp6JR5E&#10;S4Rwa8Tfl2ZwczcwLZAJsvoA+TfTh53Qd6YCxZfjURXuqtMAeeZ9T16UvojFRREM3nKjOxdEClmX&#10;/cC3eojhneCoDbPtpB47Frb2nDn53GSXBCRbsXhjQxSEAMJtzj6+A82NAZ00z80MXbq5c+cxo0kN&#10;jyKg41h5xo8wGmqK6IYfyyNbhxfThz1e4T4RXlI1LXdsptzwlAiGU7s4tyyP8Q5Igy2m7UhcPlAv&#10;GW6qipb47nkW2P51Fl427L8z3NDJwdEG+DIPRXEjLxu2yLWnyHbb1jsd6aTCYUVBGv58xwiqAXPi&#10;WWcjriDYs9NGf4UaPfCRz1kcDoCECp2+Li57oCipA78nPDdd2sG7ppGu6eYAuGoq649QFWSVx4NR&#10;e5CFQ11rS+ZhsfoedPX9LjWOQ7l1CxqqB7gKPQxMaxSscHS0+ZgDoWP9VKDFNjg327QxV1WDOjW1&#10;WYvlsglbbxYx7rcRuqO9ENfSS6zTod/F1psjwJC9kQoA+Ln6MVaYrRYZ3yG2fl2R8iNv8N/bODlb&#10;079LW7TAQ3oItgzhXdrRd2dUwXj97jXqQUvED0CoYHqeZWpeRA8f0D9iDNj2o6ZdSlwt3l2gmRVG&#10;EqdYOV5JG5mMJXq5USZ7qEpw/3bkC/hLZJH6LgyxniP79Pz+v/fZ18+RdbWidzDTtzc2UnS0N7c2&#10;dXgJLTBGGrab4XXgdTZRa9t7Wioicy3obH4k5INpSCmFC4UzsC8Qrf6WbET7Xgcckc3nphzrnvCR&#10;mMCxcOBkgjNrSF0CiJBmY1P9CI7JtLgHCPEiqrDfm8p6Qk7K6qUDp6gttn3QCOJkewqhkuBMRfl8&#10;+Rm7N0sLNJlsVL37KZlUMRYypAYM1Nmk4jlvi2jFBDTCv+FgKxTBjhKmB3oHEKRtCMA+AnSSW/Hp&#10;xk5uJGXHHq+ka0kOWecv8FfuOrl1EpFe/F+DZGtqf/YO6V/9R/iP/45uVsY/HT/WOo5ZFsN6GtfV&#10;b/JHCrU6OpM8aiMxZmuJkymT60MPfFViHy8+103fZefeEiJDdTncnUeUBxY0LY7jQrUDrr3Br+Wk&#10;5fEklXDi/UVX7551azES1zTDKGF5TOLtctr6xf2um/fFlzDy2UOo+r5Vv7VOxyxsemtobqis+mXG&#10;LJ2op/EKE/GtqvkOBdybEPSV5ZDJvaOr3Qyege+RyRCW937FFzgfN+Et7ttPr9lGdgQ88Jf69XqO&#10;haC8ppx4lr99Lp2nRrrFA3AGdEYDk/wISoyXGbIWut+v0hn0srbiI9wV1VteI6xbpSV/xQ+uR2UO&#10;nQ7EXbbyOOk8vn0Lrercol2LQL4farEY4DJKgM6pW8Up1GJ+B155jIjb0T9yg4rR1rYogCGSHTHI&#10;soIYPgA8OVz5ZKPVQrayuwYd7SMnkeN1PCA071Pwui1ovt0tY2uEpmWjfBX6soMe7x2UORsaflGb&#10;jCc7OAxlgf3b7rTbOLjE74fzF8cjfVRpahNlprt7HEbDds6Hs5WHsSTgfjGVMx8CGpq4goOwgzAT&#10;bVqSD+14FdCIsHXs4N+KkooOdLj/uNdXs1j/BlkSJ8wvjsgjspv/1MO0XD1vOXtD5g6zrzzYzNAC&#10;PL6vdziGLJ8wb0jaLZd6pcHpkjt2r6fU3fGlsMebhM40o+RupCoMMJBex2TBpNpzi3O8ayEi6HMx&#10;OfwRyNZAxQVXG6UDZ55yscetCMVOrA0IpO+tXFOTaihmUzKOdt6aHE84aKp90w5hWGCu7mol/ODg&#10;WKQjwkyP7y6DlmV7dlbRw2u/04gYeRS48z7xxK0/Dzrxi6+fZVqWr0hVl7VgxQ349NdO8NBdTIsZ&#10;viKa8S7VghqAbi5M8o6l5KJC8s6HvBM6Zt2knR9LqzrVVY3yBU21NpBjCgtyjpfxAG2IZjLYiHH9&#10;I90mvacDiLsq5CdUe13519IoTgQRt/b3liN2BQkWKnIsLPKzAOkUUvnsWZ+b4P7E5EOn3JB3SbA5&#10;WmWqtAvfUVaYPe66Wk6vwPErTws8rtw/GWLzzDOWdwr4ixE32Sbl99/dve+RjZxb1uM6Eh8R+Lzw&#10;TkBYjbVQEdlXgqwVjii/e/owFSWrNwKBa3dydyLy6VyK7hyLvEG6rycURaQnFDTo+X5RamiPL98a&#10;jSlfF40p1xiNyUhe6riiP+Kf4O1v7D//raf8VZGQaNSELSXN8g2IExXQTN3Dr+bUachfuzrUZVKa&#10;lh2myz0hAEne5zW+qHN+gvts9Wi2odAAkoqoVy3uaPTy/mtRlweoVWaTAqeP5s4cBesNiBnWC2lk&#10;piUUHMuIkgkXFYFQTY7TDl4LVz2zSw7ySfPBZe2sUgUiG99zYeeCLcpqwhVTvS3NGnLn4VPiVQMY&#10;1bj6KVl8AYaMOYxFcX1MiXN078+XGFXmomvSuzBHO11r4KmpJ+Q0NYM/fJDMYkieiizS6ofDe6eY&#10;1ZpJRqpLQskYMBMkSsXiS02NVlqOIqee5kxlguB2cCAnFWVncdZuNMS8NlOtoq4eXxonrfl8zRPS&#10;VY+/fTM0knjyWtwu+Mdo385d+E7RoGt6UeNHmu/UySk0W+bJesbqB6o09Or90zRFScalujWtRliy&#10;tYmqyUXefecjaWf2t4c3+yM/Zq7PvzS1J+8hNn8WsINccBML8qYD0d31hzK0vN9frE0gP0Wl17I0&#10;02j/KmxqDLnR1ZYygR/pfXYxfe2T0SkMS1ajR/7kzeR+Nf0KhMJ3FKz1dgtu2+je5Ug4n2EYYL2O&#10;4Z1KYAxbajItqf8aVlHf4NHh6XIz4qwKnxwzqdtMKjjH297+vu9rwZbqaQeXX5Wca1YQ/tNhVfG7&#10;U1KQKLDQUc8s7oeRfbbTKB8fwOOGDYxMsR3R9HTIu2L8B1DTVJXgQfinoYQYlKazVfI6trjkkO6Z&#10;d9vRaIyhyaGDoxrwYJjClsJG72khxTGFR4SMdmkhhzCFD4WMyA63+3o+e2VqxyVD6ZnCCUTz9iBr&#10;oPimlSRs8XVwegcS1pGB6M3tbrVs8fHg8dys7j+2nYXkGNJUwHVKKZEswtDkQoClAt3vJwrOVp8M&#10;oJ+/tp6Kydk6ryMBUUQtkI2xc9NA8C0Nnm7h8/hxRBk8qQFyxHr/w5T8qTEEwOt+u39ZgCTj/QMm&#10;jjbXCTS1GaRbtQk1xTJ4Lrx3Jpx7Fb4CP6wU36kZS0MRVVERHrxRG0xDDVVRLU2+y4REwxBV0TBN&#10;ntBkHF5VatVYNCg1b4eiZofdHMSFG7VCNqx0YrQEmbnOhPS9CXOB4OjkcFLq8FgkLKMQtarJBCEZ&#10;wka2cj4LNTNLBtYbg+C58tEZKxOlUCyNJibFphf7Rj+f4MFhWfktVUwsWJmpekfTwjAUa1+GNNsZ&#10;ltoxeRkyiRrjGKhs5TtXzq1pIzk6ma5scggMezYzbNVG+zJWGF4i+fQP908Osc2l0Fcojv6lT5Y2&#10;xUOLe3IlDB7XQoNAaWhRTf6th0D9K7J6NLK3ECmhEtm3MjzG2dcbrjeZHG5KrdWSFpY7HIp9w2Kb&#10;nbII/LuIkMPzdWNwSpuUd+jveTpztNndPH3Wv482yNPCU+MnNJSWSUUaGTmTaqIvAhh5jJpmZQ3U&#10;pWaqKDfppaXCrwUV367FMzfePDqMR3l6LW1roNBkf5ktl9Tf3KnP6g7XEoXTOuanp5Lo8gGcXgWs&#10;P+bPz3x+UIJyjsrbWe/Gn3O195wOAN+XbGhY6hJsC5VcB5w2emul47wrAqXLcsZa59tOPYFy7mbx&#10;bO1L5fp2OZYXZk3snb/PtVwGiU0qMrcT39pSq7mkAFFBAo3gpWoOK40rdiqH50KL6b24EVLqZbn+&#10;SW8fV5lI/ZTONGU9BDJ8o2G1wdaOtKrxNH9RurkuU7XZ0h0cv9TEjAuTYAeUxjCfO/UA5PPiBU+t&#10;rAUNOokTJLp0BUx03LwViq33ZYIDSVWXAbc4jRx1cxlLXfyS1UnidnBhcj02Qk3hqXXYGK78dGK/&#10;io4BORrpLpkzkaKBtUEtkTqgw9SuyRzRzqNnjmRgxQpJb9mJU2rlMhLK6W29P0W6TAxI0FfERTEe&#10;pAU292pzwQ8OPWYClr4CGoSTLgiW0DAlTIQjMzAHpxt+PoYbIacrk8xxc84N1Lfj1miJAH1N6iFU&#10;JYnmj20Bt4n9V+Myihi+k65QT3h5FDmn19AQbeXv+GLVqoiIM8Dhks6/RLOd8F8PfsLO4WxCWZkU&#10;IUbPx31AopYn69hRe+J7wWwLDlpbbjDPmFX+/wOzOuobPGM2+p83xp+YNVrgBbMKP2PW+zZpoLKw&#10;lAgsnfZXUIM7IPiQrHj+ftuKK8GpvjBcOJ3pWkBa37kVgCvvYjjeVz4eTKjMqqIEpXq5MoRZDT1A&#10;JNYjSmpWHlSFet3cbVEsAKxeFlXyVgIRCUylwC0NPAJuG6KO0NFh3Gs2P463BleBBOowEp6xOfhu&#10;PK/cKwIzclc9XaYpLjzXdSxFBR/BTWWRGAL0h8t6jseDXqeP+dw0zVj/9fL3nAQf9oSGHr69OzXu&#10;Z4gOBR0bkJjU9gxIuf4Vsr40Q8+Q3dHMGGj81/Wn98dpmjbLrK8H1q8poduqzqWdcWYoUXWXKsTf&#10;kpiH8OJJ1vWmo0LEyxw05HnhMOipsV0ad1an8MAvw9Z1QpbfAb5yOuJOVjFI2FtNvXdX187tSQcJ&#10;E3sc38zZiw2xt3/srkjNNxyF0BcfKM3+wA5NzgsnhuqcafkuAIktE04TPzNEGmsTs+CVwYpdZbRo&#10;78D+WVUHz8NJdkBihLCV4EBYoRSbtupNOIRddBG7vCFxv2Fs2ZAQ24ZtvtbATIUylTQbZDy7puna&#10;ndKDWOEgp+cw0kMSpQMrpmqtrgFVc2KBYS7uux/wC0Mo7aS4wgJiLJN2VD9StqyzXPZElZIXLJwD&#10;7i1N2Jih+z+tRIf0NOkXbLKkLzs8fep+opq3+Z7xsLuii+h7+iFJRVXNprht+sKkHPJNDPp6m0qV&#10;DovrmI9X0PrVR5uAKvqbflg+TEcMxpncL59rewuVD1nh1zS/jb1pV148YdGAzBFCIR1yDap0HXO/&#10;tvrkYNS7T0q9doUdoAIMpqdQXdYO8iIaudKAZ8PCpyCQpROLJ+CQPoP27HPyiyckN0sJjBt97ycN&#10;v+T6eSciqdJKlMRTRmHRjleG0A6w/aMAP4fP3Tebr9nH/W7z67GuzOkKR9tDbd83VJI865ujO/rH&#10;x13Fy/kAm5zVh+FxuKynreIJvKfHItxEzpvtwzsf3tan7bU9WZ9Gy64GDnin+9BetVzqm1e41WoV&#10;Y0ygeOfztezhvpjoyJRTYFfGRr6q7/mBK4isAS5ZH5j0wOllrLE1kIh543rBdKINwFcMI08YrLXH&#10;d6zovDgSSOpkx8k5XUBsrTJaWhKXHkmU79IWtJyJrQZXiqmWkb+8kkyMqmHsR699G4hpt0rMa+of&#10;RdIsMImIbCkWPSi3FEUXp7ZjbIFWogDsNTnlXNKf2W0PiZFWwIXOZU1JxdZvhUaDqVFm7FUidxEQ&#10;ZY0LUTx5C4qhYMzZm5jn7RtUvai1oyh0YqzMe2S+XjC9QNJEYvi2CS7yq1FMVAtKb6kyszhR1oNY&#10;5Cw6RN1EofIrZlmxORU330LA6jxMcpVLeVXpsPk6weJg4HL0K5Ndt8wplA0jlZ0od9yE7aK+O69F&#10;3p4Gjhq87B0D7f4HKElHJLIhXpXiL15B3rp5TzFvmo9oqjro6CVqPnTY7Vl/mZo/Rcm7lJOhXHvj&#10;hoJh4dbF77QbtWL2WJ8jemDHmtUVhHNu2pt2Hzi4z+CvJK04ZgrdN+pEITcceBu5mXg7XhUn3jrg&#10;n9+gwXPnWwrPT3dLvdaqq835cR9Yj55TuHtyoULhCKpzcjkrYpaQRnSAjlJx+yGsRGWuKB8oXyPv&#10;FQerOhLO6QP9kU/ENUowbsmG3y52p7Sab+RkiVkbXcphkWXkfCnqk/ESch6QTTGwHoEY+pv9dbrD&#10;qvWyonbtsBmwNUqr5cMnPzITuKwSZtXrxLf4U9HMCvS+B4wySXxxs9K5+lN2nhxwlx2lNJQYH6GI&#10;qKo9S9R8pEh2Q+PVjp14EADqZh/mNJJcVLVazk9ExrVlmPCiqukl3dGlWVTYa6LbCTNZFoTDeCP9&#10;0QCFaN4gVHI6H9IhGAgExwuwkCuBJyKvU4ZnjyiwfW40cORzzV/VvhWh34XI5pvYMTscTKKrGv4U&#10;ZIuJOGd32L5iVmqWrEVQMUV1dUXnJq28WjlcO9d8JbrT19CboQudXofQUtesrbG4WtOPAQZsNhFf&#10;sSha9OxZ1nObb17yMF7T+IEE/nZNiaujWEeVXAnWBRT48PNAxHgx8Br3+dD5Dda/FRekv3ZXFxt7&#10;SwMbG8uXuhKloGmTwfDae72q+h4REnXJV7BMzl+ltLQMINlQHNZJqAYRaWUqXHa1buogzuaE1Hqj&#10;dZ91qpXiklIm3OELN3wAsvw+CGWGcsTMC/Zbg5cVzbfVg5GPxvfHgwtvFb5pvGqM/XgGg2IOqkwk&#10;Ncdf4W3f/0GYKiEn1IydJI0CxEgZdeCjtVjSJPY1PG9Od9d55nvkmkstAVoPVERjIuWa/NwozMWP&#10;hin7w4vdn63e6r9nAcXdWzDy3ZhlKibFuY2WnwLIikOAtidiJoXFZkRKDIJxK5JZbvZsGvROSLu+&#10;L2JqTdvR+9gcvZNGLUQNBVtx880S7VPduNqdBLP6q4Wm77vhZddeEO5USrP1W42Vu8Q+do470aiz&#10;2kn0Gg2MB55IZchFDjlUQXxGzgMMwUXiabwOhSJQl1YjZwAwunP5QZl85mJQb6RVEbMx7oHUAWer&#10;UeAEU/c3E+tGeW4Hm+N9763+jgF5XYDho7nHG2kONJoUk+Eyfbsc606dWDpsVLddghk6d1bdjrON&#10;Nk6ohclbPph77ULNNBBP+RCtbmFbz1ToVp+lkwa0mpiMh4l5VyrXNoSC74737g2aTws27TGUgz5Q&#10;EjOVdw3L3FgTDt9/njgWMJoYDT8X2Cfwf0sD7L/S4C8K4vdk+A8dMfJMRyCL+IiMtuNx0RYlUiwG&#10;CtYDb0EFsflCaWHGSCqe2sswpOFhHDfHoO0+N0EBDo+vJz8wk574z8u9IaU4Z20cZ8PmRbJBos9V&#10;i3R5j5QNiOytXi1fL2WLz7FdFlFJ21QXokbVRVmsB2DSCZLkJHAWdom1v4csqHk3jVw5fI41zQK+&#10;K/XJBXtqTTkXkYyFBLtdkNNekiRyWv4NVvYW45RPmZC2S7JzVzbkuX0PyBMsiM1IOR1TvAd0cVPj&#10;gHDb3jdXu405Env8+HPdsylU5huetGJqLCwPjTWD/Me5Last1p94bJ8f58f2cyQa//V0FvPXknEw&#10;MzZ2dHg+Tny+/UQlUYnyNksMyC+ohKaDTQZ60h9aGUrwQ5347MKcaYJWaBCaRz3hKu/DOIw+5WZe&#10;q17O0+P6aXwLDd66hLiMXrmcsmABQeGrMiXj/CXyy72YsVVwLy1vjZlhHCvQDegD6ozJbg4e09H3&#10;EIkrkBJCQeRNTKQujSweJp9As1lSJIZE9dmNSTHeAHF3d4nxqCZEYC2T8CRLtCwN+O1D6uqRl5yt&#10;bRZD7pl6LMvLt74SVi4nROgC8G6SiFiGy1YgSqkmzHqoTK2uKseZHqDVhsY2S04n1QztuAiD7qYZ&#10;nFk3Hu9mnHBnliDNWTz5P/OAN3BqFA+zuGTSYSAsR+iPiJDJbesCGGPJLynTqwyGx8N1wSyWNdEG&#10;XDRjYzkHqxkpzmirFQ82kHIYX7ufim7gcjxm6UEokDniSlPUdGSQeEdRLvQ1dJycA9PJzwzEIDn4&#10;JBoUzpWNKsX2I51rTssewQx02QPDwKVyo2XCYdu7YUjwyBwveYPJeOdm93L67fWVpKUUo2dXru0A&#10;MTXRM1A5DOEnC4r1FSd18BhHgZ1f1c/cSkLXqVWE+m7y9VIf/BmawxiwtWIqkTVEZlWlBhL0nPsY&#10;E/u2vpKEflkGnEmnu/IzN+eHhQASQuwYvBq7sQ6+DJnhrMhW2aqdapu3h9isHIkYhwXinIZ0ObJG&#10;9Ihf93xlAEqusNtJ3N3w1A/LcGSGWKtudPqfcRUOJ9mvBn/iaNiITjer7LLq0zVLl8Pyu5j1dEEt&#10;S7ILhtujrzPJ6A+ypbya/WDbh7U8H46dSQJDv8L+HD1mDHaRXY6IdNCvEQs7Di33P1c00nUdjN5z&#10;hub9K6NI/L+y9K/F/StXfy7tqImx5yYCHuqbKmXTsjWesNEqHdER1QWoQYrXxlzy+3APD7gW9m8b&#10;lIF8P0gpy665wzAg8LJmY0fgX6lvLX2+wrYeM3Z51YUCjEioLdQnDC6jqQToSxFzR2aLMNFYYhpc&#10;khctwAOIJfeG3hc66PenLk1Sx+z68ZR6JeMq3bDqWYY3zyIfsEJ91tuntIhVEGmV7bUcMv6o2Ox6&#10;a1p72Px5cjFtT4r1kV1PWSApaIlb1ftn3xAeV0JU/ewe8c++ARTsNcgv3vt3uvWlc/in/BcWXE7y&#10;nwZ+5yBfWNlfUvA83G8c7Z+KvxNsyL+0np8mnifrbzrnP4Tln9q/E0Mo/9CmfvWb9v+j5P5U/539&#10;+KfbNc9Z8vfgv7ikPw38Th+8kCS/BA7qv1Mmf1r4vZl9oRl+CRz0Xxb+Jh3+VP29Efzn4B3PsXhp&#10;/v7sff+08DvY+af/7aj/tX3808DvZfIFE/0SnOf9/vkv/F4U/1T+vW68VNJfQvz88Vn5/6irf9r5&#10;fWW/VJlfIvv27z/xv2rOn1Z+Xx4vu8Av+Y77p5X/uifISUJAvighPL+UwEFArvBePv0PUEsDBAoA&#10;AAAAAIdO4kAAAAAAAAAAAAAAAAALAAAAZHJzL2NoYXJ0cy9QSwMEFAAAAAgAh07iQNBtuiThCAAA&#10;uiUAABUAAABkcnMvY2hhcnRzL2NoYXJ0MS54bWztWt1u47gVvi/Qd1CF3BW29S/LGGfh2PEi2MxM&#10;MMnsAntHS7SthvpZis7PLOay6AvsK/S6N8UC2/eZfY6eQ1K2FCXZdCcuBm1iIKAOySOS55zv/FCv&#10;vrrJmHFFeZUW+di0+5Zp0DwukjRfjc33F/Pe0DQqQfKEsCKnY/OWVuZXh3/8w6t4FK8JF+cliakB&#10;TPJqFI/NtRDlaDCo4jXNSNUvSppD37LgGRHwyFeDhJNrYJ6xgWNZwUAyMTUD8jsYZCTN6/n8KfOL&#10;5TKN6ayINxnNhVoFp4wIOIFqnZaVeQibS4igdmR5xhVhY9MyB0hkJF8pwod1b/pGEXmxyROaTAue&#10;wzE2xmfxaMIE5Tmwmha5gLfpfWZPOqmM8MtN2YuLrITFLVKWilu5XFgg8J6uC9iH8Y7+sEk5rcZm&#10;bHv1QUCzcxRZGvOiKpaiDxwH6hRqaSDbcDAcOFoesFnbG1XillG1IdtycLeD7XvlEuaEsQWJL/Fs&#10;GoO3Q3f9OPHuYeAsKX5siFQwKhs3+J+n8frwFRktiuT2jBu8ECgEoyrjecorcUoqcUY46AsQQXvF&#10;W/i3ZMX12KSMgQzTStHhFAr+wTSuOSnHZvXDhnBqGlywaSHFapA8hhFjU5i6ORXwZONmyYhV4hzP&#10;QD6USClhMYStwFQYSIGMErp8ByRUjLGplMKoPgCDoQUrWyAnI5Wr3IzNHCwIrYmnl2BJeXEuW6Zx&#10;CToCI0EGMIVUlKVoaZZ8QVWwNJmnjOHbKr5aTBnXOmbhn5QK9DSHoS7nhrgt6RKMc2z+Oct7TKgt&#10;UXKngxLVEVd3OuJK81Z7BOHL7eM6uPy33TfNe+/PFRdxaOA4IUfLYTRPUFK7U1Kj1SnZ2w3A6Q5q&#10;sUNDSC1g5LbYCGl6BQgYHhvmhaNqpSEbUVzgw4wyKmjSGBaPSlaICacE9UpxxFZG8g1hp/INu54L&#10;wldUqOlpDgaN24pHN6+LRFsCTVZUEW/vI97oV/etwHVDJ4x8N7DtaOjpOXW37Ue2P/Qd23KDKNS9&#10;13VvZA1dP/Kt0HZC1/HV3HXdG7iR5Qe+4/rDIJKqCmfR3g8QdltdED5FrMadQHuWag2KC6Y4rwDD&#10;SgBl9YKYbSqALZqozivCb8Faiha2gb1TEG88SpN6x2p0wRNaK6iiKFGC1r+jS5yxPDxfUyrsPx0c&#10;HdgodEmF/ikBr4EjSjEFTNVSkPtDmgGvUlYRj64OHcvxPv3yT5x/JVWnRJ1DGKr5qAf5UmjqVYD9&#10;SkNqmkvLqnx/eDzzTRzENhlIWJ1JUNuaJL9dLhXZq8mg85qN1Py2OebILS/QikGbYCiTFLpc0lic&#10;VqjguFi5NjjRHAHtZPmGrsCOr7TaaQ+UnC5YhWekRjfY1lyf/B5xo85iPxDLTnJwSe4QLdwQ8gHc&#10;qQ8PvNmzaPbUWBwL/mQ0xqN9EIQRHxGE4f+eQNiz8NdRl9DX0NxWF6cmP6ou+0VveLXCWiV/iHRA&#10;pc4KHbgA3B7n2vCrdXF9SlcA4N/QJvCC8kHPtwTiRoyNtIEibUrEG5K1NRbp55TfSz+jPMaoSPLR&#10;Go7jjzaLBaPn6Ycuq1NKAGBOwUM2Q614RG/QktAyoGVsOMj7x+lx4LvhxO7Ngvm05y0DvxfNIrsX&#10;Oo439SLPHx4dfdyFTP5/GjLZzXDJ14CL/sL25RF11qqOCnrZbhdNY2a5ARFM5APiGzEGLEtw5dDM&#10;ygSCl3wFViFjDzSQx2FsEuCvo5durYBtvQxq8mN6WULcNSOV9kIS4RDgIRrAAPg3gW2Ap9LaN2Ae&#10;yEpiXy09IG0RLiZSnADoHccxOXBGB5MD97e9hwxFu97j159+/vTXv7edx26UDeeGbuXXn/7x6W//&#10;ao9CoH7AxegFgzLj9HyTddZ9hOs+aqwbBm29nkqSphBoHH5NIfIgTG5Ppk6SCkxbnvGBvdmB5/ej&#10;9qq7e4Pgw+sHw/Yw2NxuReqh9p9yV7h55fbven8NAg3vrykPe//p53l/fx/efz4P59YxqjVaQjNI&#10;UC77yc71xYm/OPE9pmAvTvzFiaPrhRRlm4u8OHEZL9SJ4t6c+BSd+HTPTtz1Ar9vywBnl952vbjr&#10;O14/DH6vF9/GWhh0f0GhPsQZ26WtSPldmggddjpeoOsMsh5UqtSh5wwVldyc6IQ9dEM/DKxht8P3&#10;XceC6F96eVkQ2RZHIIKbyMLTg3yqmEB1boUBXsFTyF0gWStytYoszV+TG822MTCRNalWkkNuthnX&#10;Qq0c4q55JoxdEDg2dRQIFcNiA3kS5DyXFPIAnSdl5C8Fv0jjy9dQJlbMZX0R848RLOXhTgGTmjlf&#10;DtH3RaGWcW9Z4bmSkhlkX7Ook5TYdfbRxrNhTd5jUoJ1oW4VpCerPbJ48EwF5+eubER7L2xA9RF+&#10;HVltnUxbVtu88jFZ7bks3YmJ8LqjmujyZNg0e7h3wL66hIDV4+8p1yaAT8qedArDFmwCabeiYVgr&#10;TQyo4HqrulisK9mQQBWvN0ykp1cMbKxh9IBpW3iBZKqDM+31NeDjmXBGl3olbHzN0wQvGVqVxOcr&#10;PhwH+OvoTmThDYfOrdRNRjfP+uwqAxTCARhbO3w6tmqJf7HYus0/oYj3eeWYF+R76F7tfw752pHQ&#10;I8gnu46ouKZUo91CPUijhYpYDVv3RgmYj2z1E8D4kUsOwMLWpZwsMmPcwmTrbmykbrIk6navAb/8&#10;q5AX54+Z6n/1VgMUTKkSKhWq2rdp9TZn+hZDo3ySVuUR3NxfVhN9lwC5hg6DIR+agf+u8LsCCOob&#10;fvz+qwZrYfvL2I56YRImPc8jSW8YO0nPiV3ihjF1oPERy8p4D3vGi7JSn4KoK4cKPpm5pov+dVn1&#10;43xA8asUezhQn7bIKScQ+P9oERKGgef13Gi4gJcsnR4JidOzoshLkthNbHvxUdvqPZV1yQgPpDbf&#10;VoGzdQs6l3+1r27XQf9/sgFAHFDc+74BwY57bh1VbCPvcTvRKAgEPwViMyKIweHefGzyk0RVKTDk&#10;fF/iJ0cNRQMdbs6R9yRShPKTq8N/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CgAAAAAAh07iQAAAAAAAAAAAAAAAABEAAABkcnMv&#10;Y2hhcnRzL19yZWxzL1BLAwQUAAAACACHTuJAIy06Vr8AAAAvAQAAIAAAAGRycy9jaGFydHMvX3Jl&#10;bHMvY2hhcnQxLnhtbC5yZWxzhY89awMxEET7QP6D2D7aOxchhNO5CQG3wSa1LO19cCet0Crm/O+t&#10;FIEYAimHYd5juv0WVnWhLDNHA61uQFF07Oc4Gjgd359eQEmx0duVIxm4ksC+f3zoPmi1pY5kmpOo&#10;SoliYColvSKKmyhY0Zwo1mbgHGypMY+YrFvsSLhrmmfMvxnQ3zHVwRvIB9+COl5TNf/P5mGYHb2x&#10;+woUyx+KH3tF2jxSMaA1UjiT//4r+Ml5OTMvrd5W2QD7Du9u9jdQSwMECgAAAAAAh07iQAAAAAAA&#10;AAAAAAAAAAoAAABkcnMvX3JlbHMvUEsDBBQAAAAIAIdO4kCrFs1GswAAACIBAAAZAAAAZHJzL19y&#10;ZWxzL2Uyb0RvYy54bWwucmVsc4WPzQrCMBCE74LvEPZu03oQkSa9iNCr1AdY0u0PtknIRrFvb9CL&#10;guBxdphvdsrqMU/iToFHZxUUWQ6CrHHtaHsFl+a02YPgiLbFyVlSsBBDpder8kwTxhTiYfQsEsWy&#10;giFGf5CSzUAzcuY82eR0LswYkwy99Giu2JPc5vlOhk8G6C+mqFsFoW4LEM3iU/N/tuu60dDRmdtM&#10;Nv6okGbAEBMQQ09RwUvy+1pk6VOQupRfy/QTUEsDBBQAAAAIAIdO4kCtaumHIgEAAMkCAAATAAAA&#10;W0NvbnRlbnRfVHlwZXNdLnhtbJVSS08CMRC+m/gfml4NLXAwxrBwcPGoxuAPaNrZR+grnbIs/95h&#10;WS5GRE7NdPq9ZrpY9c6yDhK2wRd8JqacgdfBtL4u+NfmdfLEGWbljbLBQ8EPgHy1vL9bbA4RkBHa&#10;Y8GbnOOzlKgbcApFiOCpU4XkVKYy1TIqvVU1yPl0+ih18Bl8nuQjB18uSqjUzma27un65KS32HP2&#10;cnp41Cq4itG2WmVyKjtvfqhMQlW1GkzQO0fcAmMCZbAByM6K4eTyV6kEFm+TGsMIQg52sGkjPlDi&#10;CwrHzuUsI+6dtpBaA+xDpfymHCWWJqHUDdXjMRN/U10fi0lqT7ulkQy8Z9OXxE3Y+wTdP2QdjhsQ&#10;ZcKSYJ/QXWOHeSiDvpV8PaDO3HL4iMtvUEsBAhQAFAAAAAgAh07iQK1q6YciAQAAyQIAABMAAAAA&#10;AAAAAQAgAAAAwC0AAFtDb250ZW50X1R5cGVzXS54bWxQSwECFAAKAAAAAACHTuJAAAAAAAAAAAAA&#10;AAAABgAAAAAAAAAAABAAAABkKgAAX3JlbHMvUEsBAhQAFAAAAAgAh07iQIoUZjzRAAAAlAEAAAsA&#10;AAAAAAAAAQAgAAAAiCoAAF9yZWxzLy5yZWxzUEsBAhQACgAAAAAAh07iQAAAAAAAAAAAAAAAAAQA&#10;AAAAAAAAAAAQAAAAAAAAAGRycy9QSwECFAAKAAAAAACHTuJAAAAAAAAAAAAAAAAACgAAAAAAAAAA&#10;ABAAAACuLAAAZHJzL19yZWxzL1BLAQIUABQAAAAIAIdO4kCrFs1GswAAACIBAAAZAAAAAAAAAAEA&#10;IAAAANYsAABkcnMvX3JlbHMvZTJvRG9jLnhtbC5yZWxzUEsBAhQACgAAAAAAh07iQAAAAAAAAAAA&#10;AAAAAAsAAAAAAAAAAAAQAAAAJyEAAGRycy9jaGFydHMvUEsBAhQACgAAAAAAh07iQAAAAAAAAAAA&#10;AAAAABEAAAAAAAAAAAAQAAAAgisAAGRycy9jaGFydHMvX3JlbHMvUEsBAhQAFAAAAAgAh07iQCMt&#10;Ola/AAAALwEAACAAAAAAAAAAAQAgAAAAsSsAAGRycy9jaGFydHMvX3JlbHMvY2hhcnQxLnhtbC5y&#10;ZWxzUEsBAhQAFAAAAAgAh07iQNBtuiThCAAAuiUAABUAAAAAAAAAAQAgAAAAUCEAAGRycy9jaGFy&#10;dHMvY2hhcnQxLnhtbFBLAQIUABQAAAAIAIdO4kALjwSm1QAAAAUBAAAPAAAAAAAAAAEAIAAAACIA&#10;AABkcnMvZG93bnJldi54bWxQSwECFAAUAAAACACHTuJAO7Huqg4BAACFAgAADgAAAAAAAAABACAA&#10;AAAkAQAAZHJzL2Uyb0RvYy54bWxQSwECFAAKAAAAAACHTuJAAAAAAAAAAAAAAAAADwAAAAAAAAAA&#10;ABAAAABeAgAAZHJzL2VtYmVkZGluZ3MvUEsBAhQAFAAAAAgAh07iQL1o999hHgAAYCIAAB0AAAAA&#10;AAAAAQAgAAAAiwIAAGRycy9lbWJlZGRpbmdzL1dvcmtib29rMS54bHN4UEsFBgAAAAAOAA4AaQMA&#10;ABMvAAAAAA==&#10;">
            <v:path/>
            <v:fill on="f" focussize="0,0"/>
            <v:stroke on="f"/>
            <v:imagedata r:id="rId19" o:title=""/>
            <o:lock v:ext="edit" aspectratio="t"/>
            <w10:wrap type="none"/>
            <w10:anchorlock/>
          </v:shape>
          <o:OLEObject Type="Embed" ProgID="excel.sheet.8" ShapeID="_x0000_i1027" DrawAspect="Content" ObjectID="_1468075727" r:id="rId18">
            <o:LockedField>false</o:LockedField>
          </o:OLEObject>
        </w:object>
      </w:r>
    </w:p>
    <w:p w14:paraId="3B24B4B3">
      <w:pPr>
        <w:pStyle w:val="5"/>
        <w:bidi w:val="0"/>
        <w:jc w:val="center"/>
        <w:rPr>
          <w:rFonts w:hint="eastAsia" w:ascii="Times New Roman" w:hAnsi="Times New Roman" w:eastAsia="仿宋_GB2312" w:cs="仿宋_GB2312"/>
          <w:b/>
          <w:color w:val="auto"/>
          <w:kern w:val="2"/>
          <w:sz w:val="32"/>
          <w:szCs w:val="32"/>
          <w:highlight w:val="none"/>
          <w:lang w:val="en-US" w:eastAsia="zh-CN" w:bidi="ar-SA"/>
        </w:rPr>
      </w:pPr>
      <w:r>
        <w:rPr>
          <w:rFonts w:hint="eastAsia" w:ascii="Times New Roman" w:hAnsi="Times New Roman" w:eastAsia="仿宋_GB2312" w:cs="仿宋_GB2312"/>
          <w:b/>
          <w:color w:val="auto"/>
          <w:kern w:val="2"/>
          <w:sz w:val="32"/>
          <w:szCs w:val="32"/>
          <w:highlight w:val="none"/>
          <w:lang w:val="en-US" w:eastAsia="zh-CN" w:bidi="ar-SA"/>
        </w:rPr>
        <w:t>图4：财政拨款收、支决算总计变动情况图</w:t>
      </w:r>
    </w:p>
    <w:p w14:paraId="7564D735">
      <w:pPr>
        <w:rPr>
          <w:rFonts w:hint="eastAsia"/>
        </w:rPr>
      </w:pPr>
    </w:p>
    <w:p w14:paraId="6083FCA9">
      <w:pPr>
        <w:spacing w:line="600" w:lineRule="exact"/>
        <w:ind w:firstLine="640" w:firstLineChars="200"/>
        <w:outlineLvl w:val="1"/>
        <w:rPr>
          <w:rStyle w:val="32"/>
          <w:rFonts w:ascii="Times New Roman" w:hAnsi="Times New Roman" w:eastAsia="黑体"/>
          <w:b w:val="0"/>
          <w:color w:val="auto"/>
          <w:highlight w:val="none"/>
        </w:rPr>
      </w:pPr>
      <w:bookmarkStart w:id="39" w:name="_Toc3120"/>
      <w:bookmarkStart w:id="40" w:name="_Toc15377209"/>
      <w:bookmarkStart w:id="41" w:name="_Toc15396607"/>
      <w:bookmarkStart w:id="42" w:name="_Toc7840"/>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般公共预算财政拨款支出决算情况说明</w:t>
      </w:r>
      <w:bookmarkEnd w:id="39"/>
      <w:bookmarkEnd w:id="40"/>
      <w:bookmarkEnd w:id="41"/>
      <w:bookmarkEnd w:id="42"/>
    </w:p>
    <w:p w14:paraId="256148C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3"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43"/>
    </w:p>
    <w:p w14:paraId="00B40F37">
      <w:pPr>
        <w:snapToGrid w:val="0"/>
        <w:spacing w:line="52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3373.89</w:t>
      </w:r>
      <w:r>
        <w:rPr>
          <w:rFonts w:hint="eastAsia" w:ascii="Times New Roman" w:hAnsi="Times New Roman" w:eastAsia="仿宋_GB2312" w:cs="仿宋_GB2312"/>
          <w:color w:val="auto"/>
          <w:kern w:val="2"/>
          <w:sz w:val="32"/>
          <w:szCs w:val="32"/>
          <w:highlight w:val="none"/>
          <w:lang w:val="en-US" w:eastAsia="zh-CN" w:bidi="ar-SA"/>
        </w:rPr>
        <w:t>万元，占本年支出</w:t>
      </w:r>
      <w:r>
        <w:rPr>
          <w:rFonts w:hint="eastAsia" w:eastAsia="仿宋_GB2312" w:cs="仿宋_GB2312"/>
          <w:color w:val="auto"/>
          <w:kern w:val="2"/>
          <w:sz w:val="32"/>
          <w:szCs w:val="32"/>
          <w:highlight w:val="none"/>
          <w:lang w:val="en-US" w:eastAsia="zh-CN" w:bidi="ar-SA"/>
        </w:rPr>
        <w:t>总额</w:t>
      </w:r>
      <w:r>
        <w:rPr>
          <w:rFonts w:hint="eastAsia" w:ascii="Times New Roman" w:hAnsi="Times New Roman" w:eastAsia="仿宋_GB2312" w:cs="仿宋_GB2312"/>
          <w:color w:val="auto"/>
          <w:kern w:val="2"/>
          <w:sz w:val="32"/>
          <w:szCs w:val="32"/>
          <w:highlight w:val="none"/>
          <w:lang w:val="en-US" w:eastAsia="zh-CN" w:bidi="ar-SA"/>
        </w:rPr>
        <w:t>的</w:t>
      </w:r>
      <w:r>
        <w:rPr>
          <w:rFonts w:hint="eastAsia" w:eastAsia="仿宋_GB2312" w:cs="仿宋_GB2312"/>
          <w:color w:val="auto"/>
          <w:kern w:val="2"/>
          <w:sz w:val="32"/>
          <w:szCs w:val="32"/>
          <w:highlight w:val="none"/>
          <w:lang w:val="en-US" w:eastAsia="zh-CN" w:bidi="ar-SA"/>
        </w:rPr>
        <w:t>95</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1803.63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114.86</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 w:eastAsia="仿宋_GB2312"/>
          <w:color w:val="auto"/>
          <w:sz w:val="32"/>
          <w:szCs w:val="32"/>
          <w:highlight w:val="none"/>
        </w:rPr>
        <w:t>主要原因是</w:t>
      </w:r>
      <w:r>
        <w:rPr>
          <w:rFonts w:hint="eastAsia" w:ascii="仿宋" w:hAnsi="仿宋" w:eastAsia="仿宋"/>
          <w:color w:val="auto"/>
          <w:sz w:val="32"/>
          <w:szCs w:val="32"/>
          <w:highlight w:val="none"/>
          <w:lang w:eastAsia="zh-CN"/>
        </w:rPr>
        <w:t>单位机构改革，变动较大</w:t>
      </w:r>
      <w:r>
        <w:rPr>
          <w:rFonts w:hint="eastAsia" w:ascii="仿宋_GB2312" w:hAnsi="仿宋" w:eastAsia="仿宋_GB2312"/>
          <w:color w:val="auto"/>
          <w:sz w:val="32"/>
          <w:szCs w:val="32"/>
          <w:highlight w:val="none"/>
        </w:rPr>
        <w:t>。</w:t>
      </w:r>
    </w:p>
    <w:p w14:paraId="48DDAD2F">
      <w:pPr>
        <w:spacing w:line="600" w:lineRule="exact"/>
        <w:ind w:firstLine="420" w:firstLineChars="200"/>
        <w:outlineLvl w:val="2"/>
        <w:rPr>
          <w:rFonts w:hint="eastAsia" w:ascii="Times New Roman" w:hAnsi="Times New Roman" w:eastAsia="楷体_GB2312" w:cs="楷体_GB2312"/>
          <w:b/>
          <w:color w:val="auto"/>
          <w:sz w:val="32"/>
          <w:szCs w:val="32"/>
          <w:highlight w:val="none"/>
        </w:rPr>
      </w:pPr>
      <w:bookmarkStart w:id="44" w:name="_Toc15377211"/>
      <w:r>
        <w:rPr>
          <w:rFonts w:hint="eastAsia"/>
          <w:color w:val="auto"/>
          <w:highlight w:val="none"/>
        </w:rPr>
        <w:pict>
          <v:shape id="_x0000_s1026" o:spid="_x0000_s1026" o:spt="75" type="#_x0000_t75" style="position:absolute;left:0pt;margin-left:30.15pt;margin-top:10.9pt;height:219.4pt;width:400.05pt;mso-wrap-distance-bottom:0pt;mso-wrap-distance-left:9pt;mso-wrap-distance-right:9pt;mso-wrap-distance-top:0pt;z-index:251660288;mso-width-relative:page;mso-height-relative:page;" o:ole="t" filled="f" o:preferrelative="t" stroked="f" coordsize="21600,21600">
            <v:path/>
            <v:fill on="f" focussize="0,0"/>
            <v:stroke on="f"/>
            <v:imagedata r:id="rId21" o:title=""/>
            <o:lock v:ext="edit" aspectratio="t"/>
            <w10:wrap type="square"/>
          </v:shape>
          <o:OLEObject Type="Embed" ProgID="excel.sheet.8" ShapeID="_x0000_s1026" DrawAspect="Content" ObjectID="_1468075728" r:id="rId20">
            <o:LockedField>false</o:LockedField>
          </o:OLEObject>
        </w:pict>
      </w:r>
    </w:p>
    <w:p w14:paraId="70A1EC1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14:paraId="2115838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14:paraId="22339F0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14:paraId="3E2AE8B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14:paraId="1B225BC1">
      <w:pPr>
        <w:spacing w:line="600" w:lineRule="exact"/>
        <w:ind w:firstLine="643" w:firstLineChars="200"/>
        <w:jc w:val="center"/>
        <w:outlineLvl w:val="2"/>
        <w:rPr>
          <w:rFonts w:hint="eastAsia" w:ascii="Times New Roman" w:hAnsi="Times New Roman" w:eastAsia="仿宋_GB2312" w:cs="仿宋_GB2312"/>
          <w:b/>
          <w:color w:val="auto"/>
          <w:kern w:val="2"/>
          <w:sz w:val="32"/>
          <w:szCs w:val="32"/>
          <w:highlight w:val="none"/>
          <w:lang w:val="en-US" w:eastAsia="zh-CN" w:bidi="ar-SA"/>
        </w:rPr>
      </w:pPr>
      <w:r>
        <w:rPr>
          <w:rFonts w:hint="eastAsia" w:ascii="Times New Roman" w:hAnsi="Times New Roman" w:eastAsia="仿宋_GB2312" w:cs="仿宋_GB2312"/>
          <w:b/>
          <w:color w:val="auto"/>
          <w:kern w:val="2"/>
          <w:sz w:val="32"/>
          <w:szCs w:val="32"/>
          <w:highlight w:val="none"/>
          <w:lang w:val="en-US" w:eastAsia="zh-CN" w:bidi="ar-SA"/>
        </w:rPr>
        <w:t>图</w:t>
      </w:r>
    </w:p>
    <w:p w14:paraId="6F8BABB9">
      <w:pPr>
        <w:spacing w:line="600" w:lineRule="exact"/>
        <w:ind w:firstLine="643" w:firstLineChars="200"/>
        <w:jc w:val="center"/>
        <w:outlineLvl w:val="2"/>
        <w:rPr>
          <w:rFonts w:hint="eastAsia" w:ascii="Times New Roman" w:hAnsi="Times New Roman" w:eastAsia="仿宋_GB2312" w:cs="仿宋_GB2312"/>
          <w:b/>
          <w:color w:val="auto"/>
          <w:kern w:val="2"/>
          <w:sz w:val="32"/>
          <w:szCs w:val="32"/>
          <w:highlight w:val="none"/>
          <w:lang w:val="en-US" w:eastAsia="zh-CN" w:bidi="ar-SA"/>
        </w:rPr>
      </w:pPr>
    </w:p>
    <w:p w14:paraId="446DA77F">
      <w:pPr>
        <w:spacing w:line="600" w:lineRule="exact"/>
        <w:ind w:firstLine="643" w:firstLineChars="200"/>
        <w:jc w:val="center"/>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仿宋_GB2312" w:cs="仿宋_GB2312"/>
          <w:b/>
          <w:color w:val="auto"/>
          <w:kern w:val="2"/>
          <w:sz w:val="32"/>
          <w:szCs w:val="32"/>
          <w:highlight w:val="none"/>
          <w:lang w:val="en-US" w:eastAsia="zh-CN" w:bidi="ar-SA"/>
        </w:rPr>
        <w:t>图5：一般公共预算财政拨款支出决算变动情况图</w:t>
      </w:r>
    </w:p>
    <w:p w14:paraId="6337C57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（二）一般公共预算财政拨款支出决算结构情况</w:t>
      </w:r>
      <w:bookmarkEnd w:id="44"/>
    </w:p>
    <w:p w14:paraId="5FFF1984">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3373.89</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601.95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17.61</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340.28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9.65</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149.74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4.25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农林水支出2119.97万元，占63.9</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161.95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4.59</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220E4E7">
      <w:pPr>
        <w:spacing w:line="600" w:lineRule="exact"/>
        <w:ind w:firstLine="640"/>
        <w:rPr>
          <w:rFonts w:hint="eastAsia" w:eastAsia="仿宋_GB2312" w:cs="仿宋_GB2312"/>
          <w:color w:val="auto"/>
          <w:kern w:val="2"/>
          <w:sz w:val="32"/>
          <w:szCs w:val="32"/>
          <w:highlight w:val="none"/>
          <w:lang w:val="en-US" w:eastAsia="zh-CN" w:bidi="ar-SA"/>
        </w:rPr>
      </w:pPr>
      <w:r>
        <w:rPr>
          <w:rFonts w:hint="eastAsia"/>
          <w:color w:val="auto"/>
          <w:highlight w:val="none"/>
        </w:rPr>
        <w:pict>
          <v:shape id="_x0000_s1029" o:spid="_x0000_s1029" o:spt="75" type="#_x0000_t75" style="position:absolute;left:0pt;margin-left:39.5pt;margin-top:9.9pt;height:318.05pt;width:360pt;mso-wrap-distance-bottom:0pt;mso-wrap-distance-left:9pt;mso-wrap-distance-right:9pt;mso-wrap-distance-top:0pt;z-index:251660288;mso-width-relative:page;mso-height-relative:page;" o:ole="t" filled="f" o:preferrelative="t" stroked="f" coordsize="21600,21600" o:gfxdata="UEsDBAoAAAAAAIdO4kAAAAAAAAAAAAAAAAAEAAAAZHJzL1BLAwQUAAAACACHTuJAOVgp6tQAAAAF&#10;AQAADwAAAGRycy9kb3ducmV2LnhtbE2PT0sDMRDF74LfIYzgpdikCrpsN9uDULx40FoEb+lmdrM1&#10;mYRN+sdv7+hFL8M83vDm95rVOXhxxCmPkTQs5goEUhftSIOG7dv6pgKRiyFrfCTU8IUZVu3lRWNq&#10;G0/0isdNGQSHUK6NBldKqqXMncNg8jwmJPb6OAVTWE6DtJM5cXjw8lapexnMSPzBmYSPDrvPzSFo&#10;SP3LzHfuY1Y9P+E+JtW/01pqfX21UEsQBc/l7xh+8BkdWmbaxQPZLLwGLlJ+J3vVnWK54+WhUiDb&#10;Rv6nb78BUEsDBBQAAAAIAIdO4kBj7jpACwEAAIYCAAAOAAAAZHJzL2Uyb0RvYy54bWytksFOwzAM&#10;hu9IvEPkO0tXdcCqtbtUSJy4wAOYxGkjtUnkZBTenrANNDhNE7fftvT5/y1vtu/TKN6Io/WugeWi&#10;AEFOeW1d38DL88PNPYiY0GkcvaMGPijCtr2+2syhptIPftTEIkNcrOfQwJBSqKWMaqAJ48IHcnlo&#10;PE+Ycsm91Ixzpk+jLIviVs6edWCvKMbc7Q5DOBL5HKA3xirqvNpN5NKByjRiypHiYEOEdu/WGFLp&#10;yZhISYwNVFW1ApG+RV61XJVVzv+aVXG3XoFsN1j3jGGw6mgIzzH0J+GE1mULP6gOE4od2wtQakBO&#10;maXqvTqaUheT/vfMgmurG+BHvfy6nfyV+LTO+vR92k9QSwMECgAAAAAAh07iQAAAAAAAAAAAAAAA&#10;AA8AAABkcnMvZW1iZWRkaW5ncy9QSwMEFAAAAAgAh07iQONOxGIrHwAALCMAAB0AAABkcnMvZW1i&#10;ZWRkaW5ncy9Xb3JrYm9vazEueGxzeI15BVhbS7c27u5eWtxdS3F3p7gGlwIp1uKlFHcv7lDcvbi7&#10;E6BQXIIV1x96vnva0/vd8/yTJzt7J7PWZN5Zs2ReZTloGBwIBAQECEl/Kz2I3xr2472umIM9EGAP&#10;NFR3fwNw1md2s7OtiVVQ7GTFCCjDcg/BqmPEEFVoWrFAjKOFZz3Pqdidi7fQWQBxyCBhUUlL2PE4&#10;fub50Zogs95vC6q3hUa0O8olwKeI8p1tf93G2A36TteGSxh9ItmwkonzUpgtRRGvCSHRsaxXdUr8&#10;WFF2iosTKQSjvUo1YIr2u53OQMGpLJOIQYQkjyq80gpd/oyYPA26cmFN9n6r97JOgmj39hfNror1&#10;nhToyfcOrynf6KPOcH/Hxf+07zjIfLdXHixKJsJra3uxeNHhLzPztS0roKiSSH5s76MukqU+aqIA&#10;NbO8mXG6cynWq+KPqFT4o9oS/TPddPtlFduRK7RGum5Yxyt2Z0R0nL2ZTRPOHWzUynA2ENZ6vjWy&#10;RgZ0x2W3L3tm+p/B4g+JvORhDeQWztcLl99daseoxy437Nlax06H6OzS3C6zgCXzcjIIkdQWil2l&#10;yJl+h1A8eKwr6vqA34qt4jJ4QWLmmqgoBKksB48Qf48bZQIJARECCwGh/H8uEfLjEhk6AWydWZif&#10;riXR7dadrCgfDbu3l3nBPQTZ9iyAMRDBErRlbfKHrviKaSbPmyRweU3OmEiE5MyFt7ROqZRQAbps&#10;w5qRkcF0Bu1rF31LlGZwmkVERqXRG9435NBSA+UGTIZWwnRMDWATzQDMSl9NSkGrVDs5MufuKNHC&#10;fT732BP5sHDLd7bSLLvXIvltKLyAohKOyFp7NOvAwudsrGjXMWoPI4tasLpIvdKzH068vmkvlL9y&#10;Q2KP8jyHPq0e/D7bXeEpo8fP1qM7OEaLQ9KgzYgYm8OA3WYE5DE24xt/iGVmkXiHBaS9VGgR3faS&#10;3Y4MuCvJPxV7pTZBY9FwDfWE1eeX0qs/HpFYgvo3rDAee5g5mCo7ObxxZjF+8+bJllOj2mW7WHEk&#10;Lrwk+r2oweQvqIbJC+oxkTUv2DxTEatlpNNyr5ns9RDufRkeJNtHWe0qXKbimm6cHOxHKGyXuN5O&#10;+f0Y2A6lHEwUz8ili1s2Wy/i1SeJ5vpm2sCBR0J/pFKf4SlZ+4k7d2qQibODxb/EX41wFgElG6Ss&#10;piHbURFVh2qZU8wrmDH2fBtrICAVqX8usfby28REX9qoIb4r96mji5ldSc7XcmwhrQlCB/pQRX5E&#10;rmznmFTfba3hAKe0KrxJPEoifPe36ITaUduSbts2HBNI+R8k2Xt6jMdqzrYvbwYnQXudvWsc2ZPz&#10;5FvjDZo3AoRQIvtwO12Yp8zGmeVw3iobHavPvvaTuBmRc3QNMkFQt122GlyPK7Q9fPb+iS3gTY84&#10;2aMd0vwrtpi/Y2vq4AR4Atcz6m9HkT6niGxXQhkH8VaCitKvYE57hDNMmsS0KecVPEMt49xzx6Jg&#10;05UP3LfBqeCLzZStJMvGQtlDsmo6a0IKIox1X5y3mn0Cklo7Q88oRl8zcxjMYJlUw/rnyVDiYNd8&#10;RNZnGKuFWOML55QvICj5ooFiSqGp7IjNGwj8XjmDW3dQ5Pylvn6DbyUy0lTPd4OwjqRO2PBMvFrK&#10;PEuqqIb5pTA1a6yybzXcpM93pTJY/SQhZP5cV3v58abkPMRkkS3nIFqDoVGWpiOv56A2ZGGZaimO&#10;TF/dPgF4I5fiRWm0gbOVU8bUTEpK4HZMkJIUHSGHKOFzHsx7lW9QQiM1inj2l1cmTIczeh4lNVoL&#10;IgmLcw2gvkqffbOU5hZBsEGaawQ65j3TOVvxHaiNr5MiXVWIJM+sY/tD1HjCZ3jhiZqr1v110icT&#10;RxhAYJN+XAaef12GJ4/9t4mbvnUGOtg9LURu1OCTx5a4eC+x3rImZaAQlzOgJsoonAUMoe+1oph2&#10;MXsZgHR8WO+nWmEEPTieyufMGVNi0N3+0slOkspZ+D2KAHPSrlTDYPtkoz9yOb19JXwJdSm4L2wL&#10;Lqe/fXnBKijS+B1zbY9rBbA/o3pOR2uXVLWTlX2ZlhuZmSmLoPfTcA89ZL4DyeU6U8R5WZ9BRVXq&#10;/BelmDXcefzbddSOcE+05eQC+2QEqchaK1REalx5f05fN1+2EsulXMANWvPOorwvTZ3f1srB8bLx&#10;TdK8NRn63UebQMGFDWMPNk18HCkcrN2mkCvOT6LJmTaJmSGdQnZ+IcN2LVcVrfIyr6M9RBq5EeVI&#10;8jWi1fUxqLnCQfWKaf1lotvXg9+hn5BF7/5hSviI7MPj+/92tDiPyLrZsjhbGjsBzNSATlb2Fs5P&#10;0L6NGpeFEsH5ePguGHDgXB2CME/K4peWQWakTaP/xqIuVXtnIoOp/0UwlXEFVD9SpToGNsMFwMX8&#10;jIkI/CISd2T46uHw9qFbBblXU6LQJCGZe1yYOQYWifqjPqeMDDT8zbuUlxk+3OqySSZzZMbR/ZDd&#10;FJtRga4PsEmiBXADoXzuCIUqPfGKHLX+QUA0u9mJJL0lrJzwkLMXTKZDX5AWB8zrMnNTYMjjkqUB&#10;IRkCb4HQNsLROE0aKJFZoh/V68njcbDaP92kanCRzZqfMV9soGyCJ9ez+YhrJTCCeoq3FWcX5YmO&#10;eeUv6oWC2w4mXmGeXl6ZaSgY2F/eVNUXBGk6oB5zhrV18jamBzJ5veu/8Qd4Eg2ULUevRKUDL9ed&#10;UR1nsNAVxp/lgY5HawqkvPWLYWKfSbQ9YY47spnB/oj3/b9ijvofzIHutoCfYIP1wBEgacKHEUPj&#10;Bj/0T7YCawlz72QG7F0oUtUzg5kQEJU3KGO+BBj6rZ26oKeqb8cFiEmIwiLlx/AeqA/AN371rd+t&#10;P79Pol6662r7emm3Px9KapFiFgMaliUGJX37cbvp7vXjexDN9B58fP+SyMHXN/tE6NwwaWIuoB0C&#10;l7Ie7y3NqpyT2T3DQrRmMWwwmGLdUfPdj+E0cL3HoDjX/ddpNzRQOTyX17cf1ykbJxktEYye5aun&#10;UWFCO/ylue8up8Bx8J74O6m+Dr3sg8oYsZW5xC5mxpPW+GwmOwcRH+9UQRXXjRbVKJNHaNC6FYRD&#10;Vh3hgGp9ixVgC2oow8ul0nFJbKCPqss4aWdEQM9s8fmYtc6yj81LMVDxMVZDV4CDg8uRxFfn5w0f&#10;J9uP64c9U5vOw2xmP4AWie+P0WV3qsru3LbdHGI76lYWeByc3ycB8NNqiP3uL7rXjsjB5t+zq2eD&#10;0C3In5ur24vxqrWtQwHurs/e36hWyPbMVO0mXbmjJTnFLnnU7M3JRGd+DdTanW4HLZIudYVBXW6A&#10;wnfqPwdOfwiC07JdEjUOGj8uMxD0JohdmF2CtKd8rhwLpZTZcPRQPsS9f67D1RpkCOWFW8k8ZK/7&#10;qg2s1yS457xgl8s3iO2LN0pqSSFEELdSxruT8SxoQBvu4P7E5sVIBXVJaPLQdDm3VFODDubxN4Hq&#10;SlvQcMnASIft2qzowsYt3+gU5Ig0PvoqckUxF94k2ApVIi17ibb6R47HgS2sw/2cZSI1IbHjA4lB&#10;odbx0KBY6VIXjR7w/V55hP58eJjoS5EGutx3pV4IGXokrG/ks9eqtrnmFApwPY3mSIE+RyRiiDf5&#10;sd18l9ac8ZvI3KuV7+36dU8q33PFLgE2iysFDJtAyOe4XNYCrucobdpIxJUfDbOK6JTVfMu3SSTv&#10;N5DPy/TKH2S/G3YdMFR+GRD2xxqLXzPUDydmKjSH1VKDDS4qSqaEstJ8aCcmU9MJB4kwE2rQv39f&#10;aMClMtv5ZnYbfHOYNnnhyZsWeDi/Nx2eeUGiy+MJz/YibN1PI5joEEzMLcSm49AJzqBhupGgeAaL&#10;KTLvoygCwUz4g/kTArJSmakk0IQFb5dALESI416Oo6HPguQbNy46hQgOKgUkDhqFyFB++LGn+DE/&#10;lvg4P5bwKj9W1+ecCcePTNgK18cJiAad6FVYsWiEXIKdueW22dCLhdVRVgdXPa2zCnj7txLN/vbW&#10;7TJHsym2Tp9usrdZq7HTpoobrU5tkefT2th3Ce28XRZ78mmb94S209iIS2MUqgZ37lrd54B+I5yC&#10;nRIxVeAMoFMr7g9p5iUgKXpNi1HNuZ56bk1mUQnq5BtMt1cFHTWZydZfjJAmHVBL8JxS2lVPrFk/&#10;2vTy5sIlmqOcEKoRaTOKOYJN6EtITd3BBAyEoasoofiD5ZUnKNM1gPrGximsHpPkisRBt/Y1y6KY&#10;hImcnBBKWHZpfcscVej6ZvaoASLIjTirfHKbPjXNQBPrULXgCyq5tOO8jzUDA9HyYba7j1dU0oWB&#10;6KlSaYM8YL60H+EmB37CIUN8wos1q3gjgLa1FiOLds8k4+pA5VTpa4PK0HztYIZB1SYT9372NHO6&#10;EkY5cPBGAsfaxuns8WrCj8LDjW5nT6ZRUmCnv4RnDAnIIgD5cydDYolO2WotCSzvGQHMHQZMw9CV&#10;EuTs5XiVBY3SssKVPSrqJMf+0ZchCIH6i5Mr/3EWL6/rewdTggyjF8guJ4c02RZCYZCRUNKMX4uF&#10;Wr8q9njTKIojUSitnXuuBrKpZkXKcrfgSOax4lJvCl0oPWsleLh2DFWhDR0wu9yhoek1/CzI73V2&#10;34R9iRQw+/ryuO3ew+PUAEWZDsJoc299x1Cyzd3h9ib7GN47xJEoDFpe6RlZqtcpfLSxDqEP4X0M&#10;zTNTp7UmJUsHn/jAoSmp7XBoGHE5GNYqPF9yyHEiyKFqCfIoH0t3CPPlF5HiwtWCEBzaNCxk4Qcx&#10;+1A6ZJGpTCh816HClhLC5lmK4Q+3u5eYvmPJPpHaKRGH4Q+nbqcrrtk3Fz3PvBTLq5nJOVQyzWjK&#10;I/EQzGp3joUielwf5Mgfv26SEfJSHJiM9pGXCRV8Rb1hxSWcR6R4eL+/UZUPI2oDWQk62kpPvV0j&#10;m7nc3smejBDkvdqgCbJ9XoLcNwWL0zoQV6/HUa0pnqeZs2NuefdJ/o52cngsGSsp2YSAHIw10YGV&#10;1DEQisRGMUGEnUQ0GCprsjn0pntK31wdi6OaRKKWhAY1Mlwq54yO/SyJMK4LpUQ7qnB+qIDS3HIj&#10;WH7DXJKKTYxBy2T0OTVqZJpGDhcDG1fKX92C/qeb7FO3gMQoy43HO3aUvi6IEu3//Dgi35yYPPw4&#10;5kfN0i51+59jOuVmtZSIoowlx5nv2WFzVJtvzHuAHsfVc69d5n4aDM0VlnLyyqPGOXJRBNJ7Urw3&#10;/brtfDnzswJpAFJVnQfM4swHo/pvXAsChGYOJodmzQxOQQWXmBdTFGfuSv3w6NM0o934LjJgilcW&#10;Ra8J6UguCyH7FktFrpJr1fzpBQAxPdVLSPMBay1IN+E2zWE2mSlXic2kZhtd0pLmWpUAqpfieYGM&#10;ddeOjCFB11xUt7lBMscGltaduk5w+N+8RxqiypRS9Bj8utWak9/SMTYv1qq9jhq09C0m3ZaQ6H+I&#10;2FpKexCzOE3mb03fzSgV5GzRXe8kSif5BhyHcP8OLqltU0aX3knpIe0NkaXpNbaSls3Xl7xA58u7&#10;aU01Qk3fz99E07NztlwBfUrvWxipzeqQlInnLKQEH+zH1+KIMCGKioHiUkTV/L+/jO3Vx4Y15HYT&#10;sf624CqP49Yb92m2aXB+4yIqnOLSbotJVW+E4YDPzSWGmWkj7oDo4GtnEaEON+Qndwi1dFr0fP6v&#10;wHOB2W0aLjhYmVTfALU9mN4+m1oEXpZbzxbKsnuT99GvC9Q5JewKqHLnF+lkUFXo7LiIMnLA9r6b&#10;aMoaDRVxCXP94r6LXYpmSOvU3AzREj/e4SWkbELU8dgqOA0Nn0PUkDZ1dimM1hvWGQ9GZBlfYGWw&#10;Lj0nLtyAvPFA50I1c7HfZjJDQ5BmgrkutUdTgSqS72N/63fzEriyRODW/pIHiPqlZgkcXFsF+kCl&#10;MacpF/1pPZra4XBFMLeipWpyCoaWc/m5UCtCzo+7y6yMuJqjWfI9DVszZ6PvqvZTx5Kk2wZOJT35&#10;ivaXPMDVTwFWgQ/+srExz0q/PDx7SuLcyH+gBiNCQOyr/n8kzkBjk8ckjuXnB9tT4gwIF0HqYMUR&#10;v0h7cduiAM6SZmOirwdqoGOAylAphaiCsmiOoJY7Wy7GnQmi/L47baJycBQrSlZR8JcxIiZS0rHm&#10;9NQGn0Nxn1kLBBSRDPstWpsVhWEalZy0xG/VcNJmeMVYTkQ41WOzpuOEkLzWI2fJQM5k4b1QCJS8&#10;7jqXjtr/wsEuvnO+eIEG2HvZZcQ5OsG5JUnvd8LRVn1t1FfVQ0aL0Od1t7q4BQ99r1TlK1hW17tx&#10;H350uCkSz/I0d5+xGvvGx/QU718T2Kdy7LFoAFoC7AB/XX9OHZyk6wDixun9dkGH0FJ2ouBCMkWH&#10;ZbhQIkNMaRUoSCZX3ZWMBRutuFuX6UnCavSa5xTwtTzhFQoIqfor3Jcbzh1+IOlYGausk+1Enoe2&#10;fkZnMkSQ9P3IavpWZKCT031HSWKW6RCssUxvYVoxLwKNILI0lstnGyl/dJ7PyLrPPgcqEK4SZMOY&#10;LDqWhkt29W4fl7W9ujtI848NEbcV7Q3KkefR17oMhnUMz+VVMaXoMY0s6hfjWXmTpdc7VaJBr8AD&#10;F82ra7F8o34nndPH/34A/S6OzpmbQKvK0IS+MTbbNINU6gplrh+zlYpUXESaa8yR/iphzT7VdUtS&#10;PX7O2sX/1sachwOhp2YxPLCzwTh7lSsZ5PxQ0/FAP+twlnK3uWiI5nNYHKep9dohv2Xyh/kXONwI&#10;vG8tmmUGXG7D3p4B384rHfzLWC57kIQIgPhsUxnfx6u6cjT2uFGWdY+GcVs15g+4dODSxTCp+t0C&#10;St2GPS5sa5zNurapGJbPifw17T6y0GqB9AM8Xwye66DwED6jJVdilo4m51M4Rnjf/dY3+jmNZcKH&#10;qKE8XwWUBbfxjZC4UltJyveKqvOOgorPHTnXr7KfpQt5+KQJNXp73KzugA0VDxf5Wu6quo+wKDPt&#10;L/dvWO7vN9VOZ/0d0pfuBkaQUx/W8kfJHu5zSWP5L9f3brwFmx/Wl7eUvOtt2uv4UN7efup6ncFw&#10;CUNa/rpkmB2S7GS2ijfYhwAPg24C6hxg5qOVJ2y3iMbt75pazG4EzaJoT6SDTiEY1QVlEG4CvWga&#10;esBqrz+yYcvsyRdDWa00QsPvCvHGNqWpKXbhnlLjJmlOz4XCtm8xnx6E8R1GLjasgq0Hr4r4A4Hj&#10;EoWghV8YZaPIGBqGjXR4n/JCGHPU6w2ANXaBql2X+SH/gvHUZmtghIIqKUIGd0IikXEzAjZihQZb&#10;lzqNq4gkd1Sg2gExJL4qgL8rNtPLJ6B8Xm9DTewAoCG4b/Ute3KOsoHSlLgBOXTHLCKsCbOrUIND&#10;5kXqnXToNB5s9WiOBgyHkvSMprtPDufSLGJ8meuXssIBq2/k830fQOEw5pvunycwV8w0N8I8SGPW&#10;c7tvPOcFO+v4KsjSNkz0e+7g5YDo1P2CmvnfPQO8DDMfInAb9xnL2phZZCuK2xy37L9PzB5iZp4q&#10;K9It47pj4lu7twu/3QxbtLyvTZfcdeRObQ8gObHoSrr90LfN6qeuoDZsgdA99JZWeeDDdehq7PVI&#10;WZRMc69fVp3OqxufQhRh5muG5WZDff7KbbtavPSczYMfmrRASIOD02kJy5ikF7t4mCXXxUEFmjO5&#10;WXYqFSqeUUhag8H83giVQhJuYaJRCw7CjpEbheVCgwcLHPp48s7zXIMnC2E1gAWMTDsetQ+1qBQI&#10;R04Xyc5L9iA1/aoBS7vmML2m4hpfanPk1AIOrYtY4mcT4RyqLD67bIpxQlHTChnGE47v+ZBP2woZ&#10;6fAr4V/Ql78veO0tT7n5Kfo1+O0rVE5ty+IZnThXLb2mkwOJEX1FdrKwchY5DzwFLk3eivDW55+5&#10;5sSDBEP9sDlzsL0g6JUNipNhWclFR7IJMUrtDiRwEgam92mJvC91SFQyrGCqiCVYNmHThEY3LPf6&#10;4pjLBmoC3hCgzTjutS5aFlrG65GXTNCfnzO7K2gslQ5UzTSeS25013WlGCIkV6M2VTfq68wvVfTg&#10;Q9k1msssWufOv+8EGbnPNi68AyzrXKFDEy+rv2zLN9CiUUdyhbS7+3kkA5j/cEH6eO6NS/hvkQX9&#10;L+/q6uBkY+LgYPMUVMJUdR1SWHG8vpWV36LBYS34iBYp+2kWFhZxytXlB319/ho21NZCvOj8m4Wz&#10;DM9b9OZLvdvUQ70E14Qi8TYf5IFdCFBeAOYU3aClJ9JRnact49HS7mAl4BbcN0eseqQDUx9ZeYyI&#10;aQWp8UJ+RrjEy6mnWJw+Jv2TJS9lEi2EmQZWb6W9dNwY0QWKYHpH+8nnPIyKUz0RpndYaIAXGhVZ&#10;GWEE85WmCdsD8x3jtsTGeVyQpFtzZj4r0+z5VCTX4SoTnEoysJCtsQRxQZEpobJ9UAJq1Darnasm&#10;XaMKbnm57M1JG0aVjeEbSQxiDPBIJZdHNtg11SOvb2Q5tGHmGs42g4suPGE96NWna9fqSzcpvB2B&#10;G+FY0/pxLDp1bLvv0Yswcp3T6QOEzFx6WT/myiQJOudIwJ/aDh5zQjGfqPQpZnHkQ3qhL0lYDgv0&#10;Jva62A7ZjbJ3HJnb16sIODuAt73Wetp6VQw5Te+t3uEq8GEzJpgPFBk7ptt/NYhkJsJy3ySfYvbg&#10;Nmw7Xmnhh58buxZCvNXP0U2CeK8SqNch/uZ9IkKz98JBHXZFRMrd6KwbvVsLavYZ8NajTvdhzqE1&#10;gq7PG152qvSmDiRAOOp8Bv8UZLPZzM0GHgPsA/S/mQHRX2bwFwvyuzH8hxEZfGREMCS8JYZayV4y&#10;5cbSzn8QrbW7hhQlEvrEhDhMWfLQWoSvgIIIXB1GcBxvgOfcA1+MFXNQHfjNKuNS0Z5w14/wEAmi&#10;O6CzZLwOdc1DT+MM7Spf+vKtkCc6/Q1IQjNpVVuMAcsQc76Wk4BZlDI9hj+nXbo1Dy67QmoSo3Tg&#10;hHCSC3pTvsaVaGJZIwONmouSqFWU30mOMnRSBZcwbY1twrtITN813qU9De7EqRPiAQnCYfALM3v0&#10;O4T8hvpe8ZatIzfHlRlKp2fRJ4bHE1gcl6+S8hkICd/pLJtk3c+s2a5xCz1htS1McrX+iET9v54P&#10;E/zaMs6WAADQ+fFA8/HjZ1YSFvdz7zxlJZHfQhooc8Sfa7AEa1rFFAF000l5YYrhOECIS4J3aNRm&#10;nGOF7tL7zld3o8dMxSmzqrxSysmD9M9b9zDhi9TNmxdo1nsvhqe5GrS9dbhUW7ahvvISGO58wOmZ&#10;kpN9qyPcX81gUzAWI6fB7q9Wk9+o+ZU9RR2JyM1AXK6HYQIzfpcCJWlLIAA+iUy2QB5ehTyx3fpt&#10;u83SpEEV+jF7N9H+lzIL5e9iW3w/buc/aZ2oyzA5r+VVCsRxH7DnHacIDp5SBMTJt5DsMsDMzi2G&#10;I9t7gYjeoSR6f86zWsybsdcJw+8zVGa9gLczu/qKQrEXVwKWGT+jXyOYsq/OJlfqK2lrDkF4JXG7&#10;PrbdPsdmWwcLWeiLgg7nuEBRHnOS+1Ywq99mnjuDiv2Wr+MVQlSkAgaW1EPlCzAB1XbSS5ILD+Im&#10;LKWBfnILeOODXLfNJDosrJjlcwXudN9DZP/uDwefeU+MYMpWkElEMjier+oSiy40qgjEiYIc8tfj&#10;wLlmZec8NchvJ9h3IebMeY5Nm5GAkbifK/0ezPVNAXZNqWaulW+IZxioiKW0FfSrzqGuBiHwWe3C&#10;6iy7a49Y9+y1I2wcJCKYNnEcecIT0yloK0eh2nOEWWUjmGGg9vbMikphZg3F76tleQuxwtXx8Okz&#10;z2Ad1Jt5PfIT5nMGbHOcPDPZU1STYA8LhkbXrz6RGEZu0WwaZS/Shua3jxOShH2934CTwjZz4G4T&#10;n2yPKpona2Wv2YpzgVlPDO/uctwevkEX1XAFUAtIzpR4+r4C57RDL40ivR8TruFYLNWTnVSyzG+A&#10;dS5ITZ7OqL1Fn5Ojx+296G0dRCzMZQ92nKQGlofl8sofeZ4NKTjSN9nhmh7lYh51xY77V2THkxgS&#10;niXOv5QPFDm9da2+R34y9/haIGHho6m3w/2ba6D4X+b+l5f4ZfQ/fUTY6PBjKYICf6RF1wCyJxM3&#10;W2J+sU//A9IkwXNlJj4v+N075CbeoxW6D0JXVHRFFwJB+LBkqdORgygw2msL4+dE9sMAV5h2TLuQ&#10;mKoc4+cfixhLOY3lKQRC0yTYGW0ITE5pcudQOCnktvrzcpyNexIXxhgiNn1fFXrGk6pfchvZBDdO&#10;Y+xyw48bbdNZR6pKNCt12fQDKtUa3a4tqvYax8fmk7bkue95jTRE4gIWBLS8HlkKeITgqIIX5Y/T&#10;o/hZgEBC4UD84vB/p46fSpB/tv/C6CvL/VPB73zqE8P8q2U/Dvcb3/yn4O9kIcYvqce70cfF+puZ&#10;+g/5+qf07xwX5j+kGWB+k/4fevFP8d+JnH9Ou/Ixl/h78F+02J8KfmclnvieXw0F/r+zP39q+L0k&#10;fmIvfjUfhL80/M1l/Cn6e0X5z8ElsP6qIv+soP/U8HvW9M/5izw+/pc69E8Fv8fbp+TqV0t/DByP&#10;Cn6Prn8K/x6AnkLyr5b3+Pgo/H8E6D/1/L6zn8LVrzZB/Pef+F/B608tv28Pil8qHu/ayf7U8l99&#10;grIc7KNrgYBAfXypQ0NAdDx7evp/UEsDBAoAAAAAAIdO4kAAAAAAAAAAAAAAAAALAAAAZHJzL2No&#10;YXJ0cy9QSwMEFAAAAAgAh07iQMjer+LHBwAAuhcAABUAAABkcnMvY2hhcnRzL2NoYXJ0MS54bWzV&#10;WFtvI0kVfkfiPzSt8IRs99V2W+OsYnuDRmR3osnMvperq+1Wqqt7q8uTZFYjwQsgBEKglZBGA7xw&#10;eUBoFwkJtAL2z0wy4l9wTlWXb3GyM9nNA4lkVVedOnXu56t68N55wZ1nTNZ5KYau3/ZchwlaprmY&#10;Dd2nTw5bfdepFREp4aVgQ/eC1e57+9/+1gM6oHMi1UlFKHOAiagHdOjOlaoGnU5N56wgdbusmIC1&#10;rJQFUfApZ51UkjNgXvBO4HndjmbiNgzIHRgUJBd2v3yb/WWW5ZRNSroomFBGCsk4UWCBep5XtbsP&#10;yqVEMT/xIucZ4UPXczs4yYmYmYnn89b4QzMpy4VIWToupQAzrtEXdHDAFZMCWI1LoeC0Rs/irSxV&#10;EHm6qFq0LCoQbprzXF1ocUFA4D2el6CH85h9vMglq4cu9SNrCBheM0WRU1nWZabawLFjrGC9gWx7&#10;nX4naPwByvrRoFYXnBmFfC9AbTvLc7UIh4TzKaGnaJs14iXpah03bhsDd2n340DlijM9OMdfmdP5&#10;/gMymJbpxbF0ZKnQCU5d0cNc1uqI1OqYSIgXmIToVY/gJ+Pl2dBlnIMP89rMgxVK+dx1ziSphm79&#10;8YJI5jpS8XGp3eoQQYFi6Cq3GY4VfPmoLBnwWp2gDfRHhTMVCEP4DFKFgxfIIGXZY5jCwBi6Jiic&#10;+jkw6Hsg2RQ5ObmWcjF0BWQQZpPMTyGTRHmiR65zCjEClOAD2EJqxnPMNE8fUJc8Tw9zzvG0Ws6m&#10;Yy6bGPPwT3sFVtbJMJaFoy4qlkFyDt3vFaLFlVGJka0FRswCrbcWaN3wNjqC87X6KIfUP0u9mWg9&#10;PTFc1L6DdEpTazImUvTUykqG2ljJXyoA1u1Yt8NA6Sjg5KJcKJ16JTgYPtfSC6ls0JCFKp/gx4Rx&#10;pli6RkYHFS/VgWQE48pwxFFBxILwI33CauUJkTOmzPZcQEKjWnRw/kGZNpnA0hkzkxe7Js+bo9te&#10;Nwx7QS+Jw67vJ/2o2WOX/Tjx434c+F7YTXrN6pldTbx+GCex1/ODXhjEZu/crnbDxIu7cRDG/W6i&#10;QxVssakPTKxUrXI2xlqNmjwj8gJiv7SVSm+H7GXgLDrIUyu/ObKUKbPhZmaMYyCGH7MMd2T7J3PG&#10;lP+dvdGejy7Us7A+JtADkKJSY6iQjU2b4yrlwFEmxkGm/atPP7v8yRe4/ZmOgwoDCGuKZWM+9Jkw&#10;bISAZMRAZFnGqDqqMVCQTk/TATsHx2Nba8xm5E+PtRm2FZ0uplPOwskGreG0lVwbORgd9v3RBDlD&#10;0G/moEDRRImpa5a5ntkpLEjdyLUtXmOvO4o39mIvuk/xdKWngzuKl4xGozi5R+uFxue3iveODmky&#10;9WuxPJryGjNDLIrDQjkGHY2hwkBCtD3vu9AjyoWk7CgXpyzFLNFFyIbjMqigQb1LlGHemIy5n67K&#10;HwpAIWEfi7qj9AcgqBg+5PrKdH3Ftl+q5Fs3YEysG/sutkTsu/B7T3038vDfRSn4ooAeYGpGL266&#10;sZ5+lGVmOrDTWCBM+95RLO63YWPj1qXR+B+KDUTgcdlgVeiw74u0CbF5eXbEZtCzf8DWey1UVVj5&#10;iMBVAeGwbRowNybqQ1I0vdEGKsyfMLlz/phBYNtusEY/0gX4JH9+ndURI9CFIBlYI3FzPDvHoo+J&#10;BCNnIcHfn4zf78Zh78BvTbqH41aUdeNWMkn8Vi8IonGURHF/NHqxQsnxu6Jkfx0hx02Pxez0Y22i&#10;G2SFVb7SAkW2ycyFA6A1iaHJOxQxagboDYZFBYlfixlkhYabmCAYchtNZqMXHXTx/1pchjYAN+Oy&#10;a6dvi8sKoPaE1A3w0EdjnAAAxDvPW7S1bb2h0YGvdCxa72HvswWREu1OaPvX0MXBXjDYO9jrfjXE&#10;aNDSNsR48+dfXf71T1c/++HVq892wQ0EKgaU+GBDBCJv/vCf1/96+frL3/735avLX//88vO/vf7n&#10;y9u3Bs3Wy1/85c2nv7/80R8vv/jH7TtCu+PHr65+95urz/9+O3nUkL/+9y+vfvqlkW3XDsRBN4Cn&#10;xsiQyKgm9KBrth6hrUdrtgaiJZxbdav97zMAyIRrl+gbPvYwZLoB+W7wh9f2e12NGFeQ77oPoB8m&#10;3RhP2EVlzQ1UUXAjlTWx1wbgfBMra1hkFW9RwekrC5gPi0S1FdHYBj8vIxnL5f9JIQXpl2JneLk+&#10;4fCucGBfOswNEzyzdomwxeuuSASO3LiU6Y6DgcP1aNmapqYrmZuMxkDXr4GrUnpXae4bF33TGCe5&#10;d4gDV0/4h1KzCXGWPWOzlSw7zG2t5J7fJLYgDgSYCSVdjeD+/1FePxK8gTQNfkjzuhrBy81pfdAA&#10;ixmpVjhogl0J35U+IJuXYtu51nGHN/XjjPpJq5f20lYUkbTVp0HaCmhIwh5lAQxeYO3Ge/ixLKva&#10;PAUa/FHDk+kZm7bPqrpNRYfhq6Tf75inTb3lIaCBTzxCer1uFLXCpD+FQ7KgRXokaHlJEqUpDVPf&#10;n75ABUD9HW12+dZm0/dmLHGo/zSrLcjxzeGVCQCzyfUg8y0w2Qyyvp2+Lci+Jl7ZLgQa6ux8A8TM&#10;2HEFMYhIvz9sBaR2CD4F8wlRxJHw0jJ05cPUYA18vnpa4ZPz2vuDceJyj/aqdqF+ct//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BEAAABkcnMvY2hhcnRzL19yZWxzL1BLAwQUAAAACACHTuJA&#10;Iy06Vr8AAAAvAQAAIAAAAGRycy9jaGFydHMvX3JlbHMvY2hhcnQxLnhtbC5yZWxzhY89awMxEET7&#10;QP6D2D7aOxchhNO5CQG3wSa1LO19cCet0Crm/O+tFIEYAimHYd5juv0WVnWhLDNHA61uQFF07Oc4&#10;Gjgd359eQEmx0duVIxm4ksC+f3zoPmi1pY5kmpOoSoliYColvSKKmyhY0Zwo1mbgHGypMY+YrFvs&#10;SLhrmmfMvxnQ3zHVwRvIB9+COl5TNf/P5mGYHb2x+woUyx+KH3tF2jxSMaA1UjiT//4r+Ml5OTMv&#10;rd5W2QD7Du9u9jdQSwMECgAAAAAAh07iQAAAAAAAAAAAAAAAAAoAAABkcnMvX3JlbHMvUEsDBBQA&#10;AAAIAIdO4kCrFs1GswAAACIBAAAZAAAAZHJzL19yZWxzL2Uyb0RvYy54bWwucmVsc4WPzQrCMBCE&#10;74LvEPZu03oQkSa9iNCr1AdY0u0PtknIRrFvb9CLguBxdphvdsrqMU/iToFHZxUUWQ6CrHHtaHsF&#10;l+a02YPgiLbFyVlSsBBDpder8kwTxhTiYfQsEsWygiFGf5CSzUAzcuY82eR0LswYkwy99Giu2JPc&#10;5vlOhk8G6C+mqFsFoW4LEM3iU/N/tuu60dDRmdtMNv6okGbAEBMQQ09RwUvy+1pk6VOQupRfy/QT&#10;UEsDBBQAAAAIAIdO4kCtaumHIgEAAMkCAAATAAAAW0NvbnRlbnRfVHlwZXNdLnhtbJVSS08CMRC+&#10;m/gfml4NLXAwxrBwcPGoxuAPaNrZR+grnbIs/95hWS5GRE7NdPq9ZrpY9c6yDhK2wRd8JqacgdfB&#10;tL4u+NfmdfLEGWbljbLBQ8EPgHy1vL9bbA4RkBHaY8GbnOOzlKgbcApFiOCpU4XkVKYy1TIqvVU1&#10;yPl0+ih18Bl8nuQjB18uSqjUzma27un65KS32HP2cnp41Cq4itG2WmVyKjtvfqhMQlW1GkzQO0fc&#10;AmMCZbAByM6K4eTyV6kEFm+TGsMIQg52sGkjPlDiCwrHzuUsI+6dtpBaA+xDpfymHCWWJqHUDdXj&#10;MRN/U10fi0lqT7ulkQy8Z9OXxE3Y+wTdP2QdjhsQZcKSYJ/QXWOHeSiDvpV8PaDO3HL4iMtvUEsB&#10;AhQAFAAAAAgAh07iQK1q6YciAQAAyQIAABMAAAAAAAAAAQAgAAAAbC0AAFtDb250ZW50X1R5cGVz&#10;XS54bWxQSwECFAAKAAAAAACHTuJAAAAAAAAAAAAAAAAABgAAAAAAAAAAABAAAAAQKgAAX3JlbHMv&#10;UEsBAhQAFAAAAAgAh07iQIoUZjzRAAAAlAEAAAsAAAAAAAAAAQAgAAAANCoAAF9yZWxzLy5yZWxz&#10;UEsBAhQACgAAAAAAh07iQAAAAAAAAAAAAAAAAAQAAAAAAAAAAAAQAAAAAAAAAGRycy9QSwECFAAK&#10;AAAAAACHTuJAAAAAAAAAAAAAAAAACgAAAAAAAAAAABAAAABaLAAAZHJzL19yZWxzL1BLAQIUABQA&#10;AAAIAIdO4kCrFs1GswAAACIBAAAZAAAAAAAAAAEAIAAAAIIsAABkcnMvX3JlbHMvZTJvRG9jLnht&#10;bC5yZWxzUEsBAhQACgAAAAAAh07iQAAAAAAAAAAAAAAAAAsAAAAAAAAAAAAQAAAA7SEAAGRycy9j&#10;aGFydHMvUEsBAhQACgAAAAAAh07iQAAAAAAAAAAAAAAAABEAAAAAAAAAAAAQAAAALisAAGRycy9j&#10;aGFydHMvX3JlbHMvUEsBAhQAFAAAAAgAh07iQCMtOla/AAAALwEAACAAAAAAAAAAAQAgAAAAXSsA&#10;AGRycy9jaGFydHMvX3JlbHMvY2hhcnQxLnhtbC5yZWxzUEsBAhQAFAAAAAgAh07iQMjer+LHBwAA&#10;uhcAABUAAAAAAAAAAQAgAAAAFiIAAGRycy9jaGFydHMvY2hhcnQxLnhtbFBLAQIUABQAAAAIAIdO&#10;4kA5WCnq1AAAAAUBAAAPAAAAAAAAAAEAIAAAACIAAABkcnMvZG93bnJldi54bWxQSwECFAAUAAAA&#10;CACHTuJAY+46QAsBAACGAgAADgAAAAAAAAABACAAAAAjAQAAZHJzL2Uyb0RvYy54bWxQSwECFAAK&#10;AAAAAACHTuJAAAAAAAAAAAAAAAAADwAAAAAAAAAAABAAAABaAgAAZHJzL2VtYmVkZGluZ3MvUEsB&#10;AhQAFAAAAAgAh07iQONOxGIrHwAALCMAAB0AAAAAAAAAAQAgAAAAhwIAAGRycy9lbWJlZGRpbmdz&#10;L1dvcmtib29rMS54bHN4UEsFBgAAAAAOAA4AaQMAAL8uAAAAAA==&#10;">
            <v:path/>
            <v:fill on="f" focussize="0,0"/>
            <v:stroke on="f"/>
            <v:imagedata r:id="rId23" o:title=""/>
            <o:lock v:ext="edit" aspectratio="t"/>
            <w10:wrap type="square"/>
          </v:shape>
          <o:OLEObject Type="Embed" ProgID="excel.sheet.8" ShapeID="_x0000_s1029" DrawAspect="Content" ObjectID="_1468075729" r:id="rId22">
            <o:LockedField>false</o:LockedField>
          </o:OLEObject>
        </w:pict>
      </w:r>
    </w:p>
    <w:p w14:paraId="1DEB8468">
      <w:pPr>
        <w:spacing w:line="600" w:lineRule="exact"/>
        <w:ind w:firstLine="640"/>
        <w:rPr>
          <w:rFonts w:hint="eastAsia" w:eastAsia="仿宋_GB2312" w:cs="仿宋_GB2312"/>
          <w:color w:val="auto"/>
          <w:kern w:val="2"/>
          <w:sz w:val="32"/>
          <w:szCs w:val="32"/>
          <w:highlight w:val="none"/>
          <w:lang w:val="en-US" w:eastAsia="zh-CN" w:bidi="ar-SA"/>
        </w:rPr>
      </w:pPr>
    </w:p>
    <w:p w14:paraId="79EDE4CE">
      <w:pPr>
        <w:spacing w:line="600" w:lineRule="exact"/>
        <w:ind w:firstLine="640"/>
        <w:rPr>
          <w:rFonts w:hint="eastAsia" w:eastAsia="仿宋_GB2312" w:cs="仿宋_GB2312"/>
          <w:color w:val="auto"/>
          <w:kern w:val="2"/>
          <w:sz w:val="32"/>
          <w:szCs w:val="32"/>
          <w:highlight w:val="none"/>
          <w:lang w:val="en-US" w:eastAsia="zh-CN" w:bidi="ar-SA"/>
        </w:rPr>
      </w:pPr>
    </w:p>
    <w:p w14:paraId="4B8F058B">
      <w:pPr>
        <w:spacing w:line="600" w:lineRule="exact"/>
        <w:ind w:firstLine="640"/>
        <w:rPr>
          <w:rFonts w:hint="eastAsia" w:eastAsia="仿宋_GB2312" w:cs="仿宋_GB2312"/>
          <w:color w:val="auto"/>
          <w:kern w:val="2"/>
          <w:sz w:val="32"/>
          <w:szCs w:val="32"/>
          <w:highlight w:val="none"/>
          <w:lang w:val="en-US" w:eastAsia="zh-CN" w:bidi="ar-SA"/>
        </w:rPr>
      </w:pPr>
    </w:p>
    <w:p w14:paraId="5524AA6F">
      <w:pPr>
        <w:spacing w:line="600" w:lineRule="exact"/>
        <w:ind w:firstLine="640"/>
        <w:rPr>
          <w:rFonts w:hint="eastAsia" w:eastAsia="仿宋_GB2312" w:cs="仿宋_GB2312"/>
          <w:color w:val="auto"/>
          <w:kern w:val="2"/>
          <w:sz w:val="32"/>
          <w:szCs w:val="32"/>
          <w:highlight w:val="none"/>
          <w:lang w:val="en-US" w:eastAsia="zh-CN" w:bidi="ar-SA"/>
        </w:rPr>
      </w:pPr>
    </w:p>
    <w:p w14:paraId="619BBF3F">
      <w:pPr>
        <w:spacing w:line="600" w:lineRule="exact"/>
        <w:ind w:firstLine="640"/>
        <w:rPr>
          <w:rFonts w:hint="eastAsia" w:eastAsia="仿宋_GB2312" w:cs="仿宋_GB2312"/>
          <w:color w:val="auto"/>
          <w:kern w:val="2"/>
          <w:sz w:val="32"/>
          <w:szCs w:val="32"/>
          <w:highlight w:val="none"/>
          <w:lang w:val="en-US" w:eastAsia="zh-CN" w:bidi="ar-SA"/>
        </w:rPr>
      </w:pPr>
    </w:p>
    <w:p w14:paraId="4C42AFB2">
      <w:pPr>
        <w:spacing w:line="600" w:lineRule="exact"/>
        <w:ind w:firstLine="640"/>
        <w:rPr>
          <w:rFonts w:hint="eastAsia" w:eastAsia="仿宋_GB2312" w:cs="仿宋_GB2312"/>
          <w:color w:val="auto"/>
          <w:kern w:val="2"/>
          <w:sz w:val="32"/>
          <w:szCs w:val="32"/>
          <w:highlight w:val="none"/>
          <w:lang w:val="en-US" w:eastAsia="zh-CN" w:bidi="ar-SA"/>
        </w:rPr>
      </w:pPr>
    </w:p>
    <w:p w14:paraId="302D4AF1">
      <w:pPr>
        <w:spacing w:line="600" w:lineRule="exact"/>
        <w:rPr>
          <w:rFonts w:hint="eastAsia" w:eastAsia="仿宋_GB2312" w:cs="仿宋_GB2312"/>
          <w:color w:val="auto"/>
          <w:kern w:val="2"/>
          <w:sz w:val="32"/>
          <w:szCs w:val="32"/>
          <w:highlight w:val="none"/>
          <w:lang w:val="en-US" w:eastAsia="zh-CN" w:bidi="ar-SA"/>
        </w:rPr>
      </w:pPr>
    </w:p>
    <w:p w14:paraId="4D63AEAF">
      <w:pPr>
        <w:spacing w:line="600" w:lineRule="exact"/>
        <w:ind w:firstLine="640"/>
        <w:rPr>
          <w:rFonts w:hint="eastAsia" w:eastAsia="仿宋_GB2312" w:cs="仿宋_GB2312"/>
          <w:color w:val="auto"/>
          <w:kern w:val="2"/>
          <w:sz w:val="32"/>
          <w:szCs w:val="32"/>
          <w:highlight w:val="none"/>
          <w:lang w:val="en-US" w:eastAsia="zh-CN" w:bidi="ar-SA"/>
        </w:rPr>
      </w:pPr>
    </w:p>
    <w:p w14:paraId="351CCE74">
      <w:pPr>
        <w:spacing w:line="600" w:lineRule="exact"/>
        <w:ind w:firstLine="640"/>
        <w:rPr>
          <w:rFonts w:hint="eastAsia" w:eastAsia="仿宋_GB2312" w:cs="仿宋_GB2312"/>
          <w:color w:val="auto"/>
          <w:kern w:val="2"/>
          <w:sz w:val="32"/>
          <w:szCs w:val="32"/>
          <w:highlight w:val="none"/>
          <w:lang w:val="en-US" w:eastAsia="zh-CN" w:bidi="ar-SA"/>
        </w:rPr>
      </w:pPr>
    </w:p>
    <w:p w14:paraId="4965DD7B">
      <w:pPr>
        <w:spacing w:line="600" w:lineRule="exact"/>
        <w:ind w:firstLine="643" w:firstLineChars="200"/>
        <w:jc w:val="center"/>
        <w:outlineLvl w:val="2"/>
        <w:rPr>
          <w:rFonts w:hint="eastAsia" w:ascii="Times New Roman" w:hAnsi="Times New Roman" w:eastAsia="仿宋_GB2312" w:cs="仿宋_GB2312"/>
          <w:b/>
          <w:color w:val="auto"/>
          <w:kern w:val="2"/>
          <w:sz w:val="32"/>
          <w:szCs w:val="32"/>
          <w:highlight w:val="none"/>
          <w:lang w:val="en-US" w:eastAsia="zh-CN" w:bidi="ar-SA"/>
        </w:rPr>
      </w:pPr>
    </w:p>
    <w:p w14:paraId="3F94E732">
      <w:pPr>
        <w:spacing w:line="600" w:lineRule="exact"/>
        <w:ind w:firstLine="643" w:firstLineChars="200"/>
        <w:jc w:val="center"/>
        <w:outlineLvl w:val="2"/>
        <w:rPr>
          <w:rFonts w:hint="eastAsia" w:ascii="Times New Roman" w:hAnsi="Times New Roman" w:eastAsia="仿宋_GB2312" w:cs="仿宋_GB2312"/>
          <w:b/>
          <w:color w:val="auto"/>
          <w:kern w:val="2"/>
          <w:sz w:val="32"/>
          <w:szCs w:val="32"/>
          <w:highlight w:val="none"/>
          <w:lang w:val="en-US" w:eastAsia="zh-CN" w:bidi="ar-SA"/>
        </w:rPr>
      </w:pPr>
      <w:r>
        <w:rPr>
          <w:rFonts w:hint="eastAsia" w:ascii="Times New Roman" w:hAnsi="Times New Roman" w:eastAsia="仿宋_GB2312" w:cs="仿宋_GB2312"/>
          <w:b/>
          <w:color w:val="auto"/>
          <w:kern w:val="2"/>
          <w:sz w:val="32"/>
          <w:szCs w:val="32"/>
          <w:highlight w:val="none"/>
          <w:lang w:val="en-US" w:eastAsia="zh-CN" w:bidi="ar-SA"/>
        </w:rPr>
        <w:t>图6：一般公共预算财政拨款支出决算结构图</w:t>
      </w:r>
    </w:p>
    <w:p w14:paraId="2FEA1CF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5"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45"/>
    </w:p>
    <w:p w14:paraId="678EF2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6" w:name="_Toc15377213"/>
      <w:bookmarkStart w:id="47" w:name="_Toc15378460"/>
      <w:bookmarkStart w:id="48"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3373.89万元，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46"/>
      <w:bookmarkEnd w:id="47"/>
      <w:bookmarkEnd w:id="48"/>
    </w:p>
    <w:p w14:paraId="367932BA">
      <w:pPr>
        <w:numPr>
          <w:ilvl w:val="0"/>
          <w:numId w:val="2"/>
        </w:num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 xml:space="preserve"> 科学技术支出2060206专项基础科研：</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6.98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；科学技术支出2060204实验室及相关设施：</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49.98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；科学技术支出2060208科技人才队伍建设2.41万元，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；科学技术支出2060301机构运行：</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407.3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；科学技术支出2060302社会公益研究：</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44.83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；科学技术支出2060404科技成果转化与扩散：</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48.45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；科学技术支出2060499其他技术研究与开发：</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7.18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；科学技术支出2060902重点研发计划：</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34.74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；科学技术支出2069999其他科学技术支出：</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18.68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E5DE22E">
      <w:pPr>
        <w:numPr>
          <w:ilvl w:val="0"/>
          <w:numId w:val="2"/>
        </w:num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社会保障和就业支出2080505机关事业单位基本养老保险支出：支出决算为204.15万元，完成预算100%；社会保障和就业支出2080506机关事业单位职业年金支出：支出决算为101.92万元，完成预算100%；社会保障和就业支出2080599其他行政事业单位养老支出：支出决算为34.2万元，完成预算100%。</w:t>
      </w:r>
    </w:p>
    <w:p w14:paraId="30D3F463">
      <w:pPr>
        <w:numPr>
          <w:ilvl w:val="0"/>
          <w:numId w:val="2"/>
        </w:num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卫生健康支出2101102事业单位医疗：支出决算为110.11万元，完成预算100%；卫生健康支出2101199其他行政单位医疗支出：支出决算为39.63万元，完成预算100%。</w:t>
      </w:r>
    </w:p>
    <w:p w14:paraId="296EDCA4">
      <w:pPr>
        <w:numPr>
          <w:ilvl w:val="0"/>
          <w:numId w:val="2"/>
        </w:numPr>
        <w:spacing w:line="600" w:lineRule="exact"/>
        <w:ind w:left="0" w:leftChars="0" w:firstLine="640" w:firstLineChars="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农林水支出2130104事业运行：支出决算为1904.16万元，完成预算100%；农林水支出2130106</w:t>
      </w:r>
      <w:r>
        <w:rPr>
          <w:rFonts w:hint="eastAsia" w:eastAsia="仿宋_GB2312" w:cs="仿宋_GB2312"/>
          <w:color w:val="auto"/>
          <w:kern w:val="2"/>
          <w:sz w:val="32"/>
          <w:szCs w:val="32"/>
          <w:highlight w:val="none"/>
          <w:lang w:val="en-US" w:eastAsia="zh-CN" w:bidi="ar-SA"/>
        </w:rPr>
        <w:t>科技转化与推广服务</w:t>
      </w:r>
      <w:r>
        <w:rPr>
          <w:rFonts w:hint="eastAsia" w:ascii="Times New Roman" w:hAnsi="Times New Roman" w:eastAsia="仿宋_GB2312" w:cs="仿宋_GB2312"/>
          <w:color w:val="auto"/>
          <w:kern w:val="2"/>
          <w:sz w:val="32"/>
          <w:szCs w:val="32"/>
          <w:highlight w:val="none"/>
          <w:lang w:val="en-US" w:eastAsia="zh-CN" w:bidi="ar-SA"/>
        </w:rPr>
        <w:t>：支出决算为142.04万元，完成预算100%；农林水支出2130135农业生态资源保护：支出决算为</w:t>
      </w:r>
      <w:r>
        <w:rPr>
          <w:rFonts w:hint="eastAsia" w:eastAsia="仿宋_GB2312" w:cs="仿宋_GB2312"/>
          <w:color w:val="auto"/>
          <w:kern w:val="2"/>
          <w:sz w:val="32"/>
          <w:szCs w:val="32"/>
          <w:highlight w:val="none"/>
          <w:lang w:val="en-US" w:eastAsia="zh-CN" w:bidi="ar-SA"/>
        </w:rPr>
        <w:t>79.84</w:t>
      </w:r>
      <w:r>
        <w:rPr>
          <w:rFonts w:hint="eastAsia" w:ascii="Times New Roman" w:hAnsi="Times New Roman" w:eastAsia="仿宋_GB2312" w:cs="仿宋_GB2312"/>
          <w:color w:val="auto"/>
          <w:kern w:val="2"/>
          <w:sz w:val="32"/>
          <w:szCs w:val="32"/>
          <w:highlight w:val="none"/>
          <w:lang w:val="en-US" w:eastAsia="zh-CN" w:bidi="ar-SA"/>
        </w:rPr>
        <w:t>万元，完成预算100%；农林水支出2130199其他农业农村支出：支出决算为</w:t>
      </w:r>
      <w:r>
        <w:rPr>
          <w:rFonts w:hint="eastAsia" w:eastAsia="仿宋_GB2312" w:cs="仿宋_GB2312"/>
          <w:color w:val="auto"/>
          <w:kern w:val="2"/>
          <w:sz w:val="32"/>
          <w:szCs w:val="32"/>
          <w:highlight w:val="none"/>
          <w:lang w:val="en-US" w:eastAsia="zh-CN" w:bidi="ar-SA"/>
        </w:rPr>
        <w:t>126.2</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25D42583">
      <w:pPr>
        <w:numPr>
          <w:ilvl w:val="0"/>
          <w:numId w:val="2"/>
        </w:numPr>
        <w:spacing w:line="600" w:lineRule="exact"/>
        <w:ind w:left="0" w:leftChars="0"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住房保障支出2210201住房公积金：支出决算为160.95万元，完成预算100%；住房保障支出2210203购房补贴：支出决算为1万元，完成预算100%。</w:t>
      </w:r>
    </w:p>
    <w:p w14:paraId="598268D0">
      <w:pPr>
        <w:pStyle w:val="14"/>
        <w:rPr>
          <w:rFonts w:hint="default"/>
          <w:lang w:val="en-US" w:eastAsia="zh-CN"/>
        </w:rPr>
      </w:pPr>
    </w:p>
    <w:p w14:paraId="35EF764D">
      <w:pPr>
        <w:tabs>
          <w:tab w:val="right" w:pos="8306"/>
        </w:tabs>
        <w:spacing w:line="600" w:lineRule="exact"/>
        <w:ind w:firstLine="640"/>
        <w:outlineLvl w:val="1"/>
        <w:rPr>
          <w:rStyle w:val="32"/>
          <w:rFonts w:ascii="Times New Roman" w:hAnsi="Times New Roman"/>
          <w:color w:val="auto"/>
          <w:highlight w:val="none"/>
        </w:rPr>
      </w:pPr>
      <w:bookmarkStart w:id="49" w:name="_Toc25467"/>
      <w:bookmarkStart w:id="50" w:name="_Toc15377214"/>
      <w:bookmarkStart w:id="51" w:name="_Toc4416"/>
      <w:bookmarkStart w:id="52"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般公共预算财政拨款基本支出决算情况说明</w:t>
      </w:r>
      <w:bookmarkEnd w:id="49"/>
      <w:bookmarkEnd w:id="50"/>
      <w:bookmarkEnd w:id="51"/>
      <w:bookmarkEnd w:id="52"/>
      <w:r>
        <w:rPr>
          <w:rStyle w:val="32"/>
          <w:rFonts w:ascii="Times New Roman" w:hAnsi="Times New Roman" w:eastAsia="黑体"/>
          <w:b w:val="0"/>
          <w:color w:val="auto"/>
          <w:highlight w:val="none"/>
        </w:rPr>
        <w:tab/>
      </w:r>
    </w:p>
    <w:p w14:paraId="4FCFA2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2963.43</w:t>
      </w:r>
      <w:r>
        <w:rPr>
          <w:rFonts w:hint="eastAsia" w:ascii="Times New Roman" w:hAnsi="Times New Roman" w:eastAsia="仿宋_GB2312" w:cs="仿宋_GB2312"/>
          <w:color w:val="auto"/>
          <w:kern w:val="2"/>
          <w:sz w:val="32"/>
          <w:szCs w:val="32"/>
          <w:highlight w:val="none"/>
          <w:lang w:val="en-US" w:eastAsia="zh-CN" w:bidi="ar-SA"/>
        </w:rPr>
        <w:t>万元，其中：</w:t>
      </w:r>
    </w:p>
    <w:p w14:paraId="178DA07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2607.43</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w:t>
      </w:r>
      <w:r>
        <w:rPr>
          <w:rFonts w:hint="eastAsia" w:eastAsia="仿宋_GB2312" w:cs="仿宋_GB2312"/>
          <w:color w:val="auto"/>
          <w:kern w:val="2"/>
          <w:sz w:val="32"/>
          <w:szCs w:val="32"/>
          <w:highlight w:val="none"/>
          <w:lang w:val="en-US" w:eastAsia="zh-CN" w:bidi="ar-SA"/>
        </w:rPr>
        <w:t>职工基本医疗保险、</w:t>
      </w:r>
      <w:r>
        <w:rPr>
          <w:rFonts w:hint="eastAsia" w:ascii="Times New Roman" w:hAnsi="Times New Roman" w:eastAsia="仿宋_GB2312" w:cs="仿宋_GB2312"/>
          <w:color w:val="auto"/>
          <w:kern w:val="2"/>
          <w:sz w:val="32"/>
          <w:szCs w:val="32"/>
          <w:highlight w:val="none"/>
          <w:lang w:val="en-US" w:eastAsia="zh-CN" w:bidi="ar-SA"/>
        </w:rPr>
        <w:t>其他社会保障缴费、住房公积金、</w:t>
      </w:r>
      <w:r>
        <w:rPr>
          <w:rFonts w:hint="eastAsia" w:eastAsia="仿宋_GB2312" w:cs="仿宋_GB2312"/>
          <w:color w:val="auto"/>
          <w:kern w:val="2"/>
          <w:sz w:val="32"/>
          <w:szCs w:val="32"/>
          <w:highlight w:val="none"/>
          <w:lang w:val="en-US" w:eastAsia="zh-CN" w:bidi="ar-SA"/>
        </w:rPr>
        <w:t>其他工资福利支出、</w:t>
      </w:r>
      <w:r>
        <w:rPr>
          <w:rFonts w:hint="eastAsia" w:ascii="Times New Roman" w:hAnsi="Times New Roman" w:eastAsia="仿宋_GB2312" w:cs="仿宋_GB2312"/>
          <w:color w:val="auto"/>
          <w:kern w:val="2"/>
          <w:sz w:val="32"/>
          <w:szCs w:val="32"/>
          <w:highlight w:val="none"/>
          <w:lang w:val="en-US" w:eastAsia="zh-CN" w:bidi="ar-SA"/>
        </w:rPr>
        <w:t>其他对个人和家庭的补助支出</w:t>
      </w:r>
      <w:r>
        <w:rPr>
          <w:rFonts w:hint="eastAsia" w:eastAsia="仿宋_GB2312" w:cs="仿宋_GB2312"/>
          <w:color w:val="auto"/>
          <w:kern w:val="2"/>
          <w:sz w:val="32"/>
          <w:szCs w:val="32"/>
          <w:highlight w:val="none"/>
          <w:lang w:val="en-US" w:eastAsia="zh-CN" w:bidi="ar-SA"/>
        </w:rPr>
        <w:t>、抚恤金、生活补助、奖励金</w:t>
      </w:r>
      <w:r>
        <w:rPr>
          <w:rFonts w:hint="eastAsia" w:ascii="Times New Roman" w:hAnsi="Times New Roman" w:eastAsia="仿宋_GB2312" w:cs="仿宋_GB2312"/>
          <w:color w:val="auto"/>
          <w:kern w:val="2"/>
          <w:sz w:val="32"/>
          <w:szCs w:val="32"/>
          <w:highlight w:val="none"/>
          <w:lang w:val="en-US" w:eastAsia="zh-CN" w:bidi="ar-SA"/>
        </w:rPr>
        <w:t>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356</w:t>
      </w:r>
      <w:r>
        <w:rPr>
          <w:rFonts w:hint="eastAsia" w:ascii="Times New Roman" w:hAnsi="Times New Roman" w:eastAsia="仿宋_GB2312" w:cs="仿宋_GB2312"/>
          <w:color w:val="auto"/>
          <w:kern w:val="2"/>
          <w:sz w:val="32"/>
          <w:szCs w:val="32"/>
          <w:highlight w:val="none"/>
          <w:lang w:val="en-US" w:eastAsia="zh-CN" w:bidi="ar-SA"/>
        </w:rPr>
        <w:t>万元，主要包括：办公费、印刷费、手续费、水费、电费、邮电费、差旅费、维修（护）费、培训费、公务接待费、</w:t>
      </w:r>
      <w:r>
        <w:rPr>
          <w:rFonts w:hint="eastAsia" w:eastAsia="仿宋_GB2312" w:cs="仿宋_GB2312"/>
          <w:color w:val="auto"/>
          <w:kern w:val="2"/>
          <w:sz w:val="32"/>
          <w:szCs w:val="32"/>
          <w:highlight w:val="none"/>
          <w:lang w:val="en-US" w:eastAsia="zh-CN" w:bidi="ar-SA"/>
        </w:rPr>
        <w:t>专用材料费、专用燃料费、</w:t>
      </w:r>
      <w:r>
        <w:rPr>
          <w:rFonts w:hint="eastAsia" w:ascii="Times New Roman" w:hAnsi="Times New Roman" w:eastAsia="仿宋_GB2312" w:cs="仿宋_GB2312"/>
          <w:color w:val="auto"/>
          <w:kern w:val="2"/>
          <w:sz w:val="32"/>
          <w:szCs w:val="32"/>
          <w:highlight w:val="none"/>
          <w:lang w:val="en-US" w:eastAsia="zh-CN" w:bidi="ar-SA"/>
        </w:rPr>
        <w:t>劳务费、委托业务费、工会经费、福利费、公务用车运行维护费、其他交通费、其他商品和服务支出、办公设备购置、专用设备购置、</w:t>
      </w:r>
      <w:r>
        <w:rPr>
          <w:rFonts w:hint="eastAsia" w:eastAsia="仿宋_GB2312" w:cs="仿宋_GB2312"/>
          <w:color w:val="auto"/>
          <w:kern w:val="2"/>
          <w:sz w:val="32"/>
          <w:szCs w:val="32"/>
          <w:highlight w:val="none"/>
          <w:lang w:val="en-US" w:eastAsia="zh-CN" w:bidi="ar-SA"/>
        </w:rPr>
        <w:t>其他交通工具购置等</w:t>
      </w:r>
      <w:r>
        <w:rPr>
          <w:rFonts w:hint="eastAsia" w:ascii="Times New Roman" w:hAnsi="Times New Roman" w:eastAsia="仿宋_GB2312" w:cs="仿宋_GB2312"/>
          <w:color w:val="auto"/>
          <w:kern w:val="2"/>
          <w:sz w:val="32"/>
          <w:szCs w:val="32"/>
          <w:highlight w:val="none"/>
          <w:lang w:val="en-US" w:eastAsia="zh-CN" w:bidi="ar-SA"/>
        </w:rPr>
        <w:t>。</w:t>
      </w:r>
    </w:p>
    <w:p w14:paraId="2C26BF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5A1DDF0">
      <w:pPr>
        <w:spacing w:line="600" w:lineRule="exact"/>
        <w:ind w:firstLine="640"/>
        <w:outlineLvl w:val="1"/>
        <w:rPr>
          <w:rStyle w:val="32"/>
          <w:rFonts w:ascii="Times New Roman" w:hAnsi="Times New Roman" w:eastAsia="黑体"/>
          <w:b w:val="0"/>
          <w:color w:val="auto"/>
          <w:highlight w:val="none"/>
        </w:rPr>
      </w:pPr>
      <w:bookmarkStart w:id="53" w:name="_Toc23097"/>
      <w:bookmarkStart w:id="54" w:name="_Toc15377215"/>
      <w:bookmarkStart w:id="55" w:name="_Toc31177"/>
      <w:bookmarkStart w:id="56" w:name="_Toc15396609"/>
      <w:r>
        <w:rPr>
          <w:rFonts w:hint="eastAsia" w:ascii="Times New Roman" w:hAnsi="Times New Roman" w:eastAsia="黑体"/>
          <w:color w:val="auto"/>
          <w:sz w:val="32"/>
          <w:szCs w:val="32"/>
          <w:highlight w:val="none"/>
        </w:rPr>
        <w:t>七、</w:t>
      </w:r>
      <w:r>
        <w:rPr>
          <w:rStyle w:val="32"/>
          <w:rFonts w:hint="eastAsia" w:ascii="Times New Roman" w:hAnsi="Times New Roman" w:eastAsia="黑体"/>
          <w:b w:val="0"/>
          <w:color w:val="auto"/>
          <w:highlight w:val="none"/>
        </w:rPr>
        <w:t>财政拨款</w:t>
      </w:r>
      <w:r>
        <w:rPr>
          <w:rStyle w:val="32"/>
          <w:rFonts w:hint="eastAsia" w:ascii="Times New Roman" w:hAnsi="Times New Roman" w:eastAsia="黑体"/>
          <w:color w:val="auto"/>
          <w:highlight w:val="none"/>
        </w:rPr>
        <w:t>“</w:t>
      </w:r>
      <w:r>
        <w:rPr>
          <w:rStyle w:val="32"/>
          <w:rFonts w:hint="eastAsia" w:ascii="Times New Roman" w:hAnsi="Times New Roman" w:eastAsia="黑体"/>
          <w:b w:val="0"/>
          <w:color w:val="auto"/>
          <w:highlight w:val="none"/>
        </w:rPr>
        <w:t>三公”经费支出决算情况说明</w:t>
      </w:r>
      <w:bookmarkEnd w:id="53"/>
      <w:bookmarkEnd w:id="54"/>
      <w:bookmarkEnd w:id="55"/>
      <w:bookmarkEnd w:id="56"/>
    </w:p>
    <w:p w14:paraId="6062CDC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7"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57"/>
    </w:p>
    <w:p w14:paraId="1A7DB6A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43.55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99.8</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27.11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164.9</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 w:hAnsi="仿宋" w:eastAsia="仿宋"/>
          <w:color w:val="auto"/>
          <w:sz w:val="32"/>
          <w:szCs w:val="32"/>
          <w:highlight w:val="none"/>
          <w:lang w:eastAsia="zh-CN"/>
        </w:rPr>
        <w:t>单位机构改革，变动较大</w:t>
      </w:r>
      <w:r>
        <w:rPr>
          <w:rFonts w:hint="eastAsia" w:ascii="仿宋_GB2312" w:hAnsi="仿宋" w:eastAsia="仿宋_GB2312"/>
          <w:color w:val="auto"/>
          <w:sz w:val="32"/>
          <w:szCs w:val="32"/>
          <w:highlight w:val="none"/>
        </w:rPr>
        <w:t>。</w:t>
      </w:r>
    </w:p>
    <w:p w14:paraId="7EFC015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8"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58"/>
    </w:p>
    <w:p w14:paraId="14D1BA4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42.36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97</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1.19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%。具体情况如下：</w:t>
      </w:r>
    </w:p>
    <w:p w14:paraId="048C5282">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1312" behindDoc="0" locked="0" layoutInCell="1" allowOverlap="1">
            <wp:simplePos x="0" y="0"/>
            <wp:positionH relativeFrom="column">
              <wp:posOffset>246380</wp:posOffset>
            </wp:positionH>
            <wp:positionV relativeFrom="paragraph">
              <wp:posOffset>113665</wp:posOffset>
            </wp:positionV>
            <wp:extent cx="4939030" cy="2802890"/>
            <wp:effectExtent l="4445" t="4445" r="9525" b="12065"/>
            <wp:wrapSquare wrapText="bothSides"/>
            <wp:docPr id="2" name="图表 2" descr="7b0a202020202263686172745265734964223a202232303437363837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anchor>
        </w:drawing>
      </w:r>
    </w:p>
    <w:p w14:paraId="74187507">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14:paraId="3BFEC2B5">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14:paraId="36651112">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14:paraId="288A4505">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14:paraId="7D6F5AF5">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14:paraId="2122FD61">
      <w:pPr>
        <w:pStyle w:val="22"/>
        <w:jc w:val="center"/>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lang w:val="en-US" w:eastAsia="zh-CN"/>
        </w:rPr>
        <w:t>图7：“三公”经费财政拨款支出结构图</w:t>
      </w:r>
    </w:p>
    <w:p w14:paraId="2E5AA94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20654566">
      <w:pPr>
        <w:snapToGrid w:val="0"/>
        <w:spacing w:line="520" w:lineRule="exact"/>
        <w:ind w:firstLine="643" w:firstLineChars="200"/>
        <w:rPr>
          <w:rFonts w:hint="eastAsia" w:ascii="仿宋_GB2312" w:hAnsi="仿宋" w:eastAsia="仿宋_GB2312"/>
          <w:color w:val="auto"/>
          <w:sz w:val="32"/>
          <w:szCs w:val="32"/>
          <w:highlight w:val="none"/>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42.36</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99.8</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26.57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168.2</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 w:eastAsia="仿宋_GB2312"/>
          <w:color w:val="auto"/>
          <w:sz w:val="32"/>
          <w:szCs w:val="32"/>
          <w:highlight w:val="none"/>
        </w:rPr>
        <w:t>主要原因是</w:t>
      </w:r>
      <w:r>
        <w:rPr>
          <w:rFonts w:hint="eastAsia" w:ascii="仿宋" w:hAnsi="仿宋" w:eastAsia="仿宋"/>
          <w:color w:val="auto"/>
          <w:sz w:val="32"/>
          <w:szCs w:val="32"/>
          <w:highlight w:val="none"/>
          <w:lang w:eastAsia="zh-CN"/>
        </w:rPr>
        <w:t>单位机构改革，变动较大</w:t>
      </w:r>
      <w:r>
        <w:rPr>
          <w:rFonts w:hint="eastAsia" w:ascii="仿宋_GB2312" w:hAnsi="仿宋" w:eastAsia="仿宋_GB2312"/>
          <w:color w:val="auto"/>
          <w:sz w:val="32"/>
          <w:szCs w:val="32"/>
          <w:highlight w:val="none"/>
        </w:rPr>
        <w:t>。</w:t>
      </w:r>
    </w:p>
    <w:p w14:paraId="1466406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、其他车6</w:t>
      </w:r>
      <w:r>
        <w:rPr>
          <w:rFonts w:hint="eastAsia" w:ascii="Times New Roman" w:hAnsi="Times New Roman" w:eastAsia="仿宋_GB2312" w:cs="仿宋_GB2312"/>
          <w:color w:val="auto"/>
          <w:kern w:val="2"/>
          <w:sz w:val="32"/>
          <w:szCs w:val="32"/>
          <w:highlight w:val="none"/>
          <w:lang w:val="en-US" w:eastAsia="zh-CN" w:bidi="ar-SA"/>
        </w:rPr>
        <w:t>辆。</w:t>
      </w:r>
    </w:p>
    <w:p w14:paraId="79BC258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42.36</w:t>
      </w:r>
      <w:r>
        <w:rPr>
          <w:rFonts w:hint="eastAsia" w:ascii="Times New Roman" w:hAnsi="Times New Roman" w:eastAsia="仿宋_GB2312" w:cs="仿宋_GB2312"/>
          <w:color w:val="auto"/>
          <w:kern w:val="2"/>
          <w:sz w:val="32"/>
          <w:szCs w:val="32"/>
          <w:highlight w:val="none"/>
          <w:lang w:val="en-US" w:eastAsia="zh-CN" w:bidi="ar-SA"/>
        </w:rPr>
        <w:t>万元。主要用于公务用车燃料费、维修费、过路过桥费、保险费等支出。</w:t>
      </w:r>
    </w:p>
    <w:p w14:paraId="7C066595">
      <w:pPr>
        <w:snapToGrid w:val="0"/>
        <w:spacing w:line="520" w:lineRule="exact"/>
        <w:ind w:firstLine="640" w:firstLineChars="200"/>
        <w:rPr>
          <w:rFonts w:hint="eastAsia" w:ascii="仿宋_GB2312" w:hAnsi="仿宋" w:eastAsia="仿宋_GB2312"/>
          <w:color w:val="auto"/>
          <w:sz w:val="32"/>
          <w:szCs w:val="32"/>
          <w:highlight w:val="none"/>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b/>
          <w:bCs/>
          <w:color w:val="auto"/>
          <w:kern w:val="2"/>
          <w:sz w:val="32"/>
          <w:szCs w:val="32"/>
          <w:highlight w:val="none"/>
          <w:lang w:val="en-US" w:eastAsia="zh-CN" w:bidi="ar-SA"/>
        </w:rPr>
        <w:t>.公务接待支出1.19万元。完成预算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公务接待</w:t>
      </w:r>
      <w:r>
        <w:rPr>
          <w:rFonts w:hint="eastAsia" w:ascii="Times New Roman" w:hAnsi="Times New Roman" w:eastAsia="仿宋_GB2312" w:cs="仿宋_GB2312"/>
          <w:color w:val="auto"/>
          <w:kern w:val="2"/>
          <w:sz w:val="32"/>
          <w:szCs w:val="32"/>
          <w:highlight w:val="none"/>
          <w:lang w:val="en-US" w:eastAsia="zh-CN" w:bidi="ar-SA"/>
        </w:rPr>
        <w:t>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0.54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83</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 w:eastAsia="仿宋_GB2312"/>
          <w:color w:val="auto"/>
          <w:sz w:val="32"/>
          <w:szCs w:val="32"/>
          <w:highlight w:val="none"/>
        </w:rPr>
        <w:t>主要原因是</w:t>
      </w:r>
      <w:r>
        <w:rPr>
          <w:rFonts w:hint="eastAsia" w:ascii="仿宋" w:hAnsi="仿宋" w:eastAsia="仿宋"/>
          <w:color w:val="auto"/>
          <w:sz w:val="32"/>
          <w:szCs w:val="32"/>
          <w:highlight w:val="none"/>
          <w:lang w:eastAsia="zh-CN"/>
        </w:rPr>
        <w:t>单位机构改革，变动较大</w:t>
      </w:r>
      <w:r>
        <w:rPr>
          <w:rFonts w:hint="eastAsia" w:ascii="仿宋_GB2312" w:hAnsi="仿宋" w:eastAsia="仿宋_GB2312"/>
          <w:color w:val="auto"/>
          <w:sz w:val="32"/>
          <w:szCs w:val="32"/>
          <w:highlight w:val="none"/>
        </w:rPr>
        <w:t>。</w:t>
      </w:r>
    </w:p>
    <w:p w14:paraId="44C50337">
      <w:pPr>
        <w:numPr>
          <w:ilvl w:val="0"/>
          <w:numId w:val="0"/>
        </w:numPr>
        <w:spacing w:line="600" w:lineRule="exact"/>
        <w:ind w:firstLine="960" w:firstLineChars="30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其中：国内公务接待支出</w:t>
      </w:r>
      <w:r>
        <w:rPr>
          <w:rFonts w:hint="eastAsia" w:eastAsia="仿宋_GB2312" w:cs="仿宋_GB2312"/>
          <w:color w:val="auto"/>
          <w:kern w:val="2"/>
          <w:sz w:val="32"/>
          <w:szCs w:val="32"/>
          <w:highlight w:val="none"/>
          <w:lang w:val="en-US" w:eastAsia="zh-CN" w:bidi="ar-SA"/>
        </w:rPr>
        <w:t>1.19</w:t>
      </w:r>
      <w:r>
        <w:rPr>
          <w:rFonts w:hint="eastAsia" w:ascii="Times New Roman" w:hAnsi="Times New Roman" w:eastAsia="仿宋_GB2312" w:cs="仿宋_GB2312"/>
          <w:color w:val="auto"/>
          <w:kern w:val="2"/>
          <w:sz w:val="32"/>
          <w:szCs w:val="32"/>
          <w:highlight w:val="none"/>
          <w:lang w:val="en-US" w:eastAsia="zh-CN" w:bidi="ar-SA"/>
        </w:rPr>
        <w:t>万元，主要用于执行公务、开展业务活动开支的交通费、住宿费、用餐费等。国内公务接待</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81</w:t>
      </w:r>
      <w:r>
        <w:rPr>
          <w:rFonts w:hint="eastAsia" w:ascii="Times New Roman" w:hAnsi="Times New Roman" w:eastAsia="仿宋_GB2312" w:cs="仿宋_GB2312"/>
          <w:color w:val="auto"/>
          <w:kern w:val="2"/>
          <w:sz w:val="32"/>
          <w:szCs w:val="32"/>
          <w:highlight w:val="none"/>
          <w:lang w:val="en-US" w:eastAsia="zh-CN" w:bidi="ar-SA"/>
        </w:rPr>
        <w:t>人次</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共计支出</w:t>
      </w:r>
      <w:r>
        <w:rPr>
          <w:rFonts w:hint="eastAsia" w:eastAsia="仿宋_GB2312" w:cs="仿宋_GB2312"/>
          <w:color w:val="auto"/>
          <w:kern w:val="2"/>
          <w:sz w:val="32"/>
          <w:szCs w:val="32"/>
          <w:highlight w:val="none"/>
          <w:lang w:val="en-US" w:eastAsia="zh-CN" w:bidi="ar-SA"/>
        </w:rPr>
        <w:t>1.19</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34CEB01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59" w:name="_Toc15377218"/>
      <w:bookmarkStart w:id="60" w:name="_Toc15396610"/>
    </w:p>
    <w:p w14:paraId="75DA8B58">
      <w:pPr>
        <w:spacing w:line="600" w:lineRule="exact"/>
        <w:ind w:firstLine="640"/>
        <w:outlineLvl w:val="1"/>
        <w:rPr>
          <w:rStyle w:val="32"/>
          <w:rFonts w:ascii="Times New Roman" w:hAnsi="Times New Roman" w:eastAsia="黑体"/>
          <w:color w:val="auto"/>
          <w:highlight w:val="none"/>
        </w:rPr>
      </w:pPr>
      <w:bookmarkStart w:id="61" w:name="_Toc17269"/>
      <w:bookmarkStart w:id="62" w:name="_Toc16767"/>
      <w:r>
        <w:rPr>
          <w:rFonts w:hint="eastAsia" w:ascii="Times New Roman" w:hAnsi="Times New Roman" w:eastAsia="黑体"/>
          <w:color w:val="auto"/>
          <w:sz w:val="32"/>
          <w:szCs w:val="32"/>
          <w:highlight w:val="none"/>
        </w:rPr>
        <w:t>八、</w:t>
      </w:r>
      <w:r>
        <w:rPr>
          <w:rStyle w:val="32"/>
          <w:rFonts w:hint="eastAsia" w:ascii="Times New Roman" w:hAnsi="Times New Roman" w:eastAsia="黑体"/>
          <w:b w:val="0"/>
          <w:color w:val="auto"/>
          <w:highlight w:val="none"/>
        </w:rPr>
        <w:t>政府性基金预算支出决算情况说明</w:t>
      </w:r>
      <w:bookmarkEnd w:id="59"/>
      <w:bookmarkEnd w:id="60"/>
      <w:bookmarkEnd w:id="61"/>
      <w:bookmarkEnd w:id="62"/>
    </w:p>
    <w:p w14:paraId="597D6AA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 w:hAnsi="仿宋" w:eastAsia="仿宋"/>
          <w:sz w:val="32"/>
          <w:szCs w:val="32"/>
        </w:rPr>
        <w:t>本年度无相关预算及支出</w:t>
      </w:r>
      <w:r>
        <w:rPr>
          <w:rFonts w:hint="eastAsia" w:ascii="仿宋" w:hAnsi="仿宋" w:eastAsia="仿宋"/>
          <w:sz w:val="32"/>
          <w:szCs w:val="32"/>
          <w:lang w:eastAsia="zh-CN"/>
        </w:rPr>
        <w:t>，</w:t>
      </w:r>
      <w:r>
        <w:rPr>
          <w:rFonts w:hint="eastAsia" w:ascii="Times New Roman" w:hAnsi="Times New Roman" w:eastAsia="仿宋_GB2312" w:cs="仿宋_GB2312"/>
          <w:color w:val="auto"/>
          <w:kern w:val="2"/>
          <w:sz w:val="32"/>
          <w:szCs w:val="32"/>
          <w:highlight w:val="none"/>
          <w:lang w:val="en-US" w:eastAsia="zh-CN" w:bidi="ar-SA"/>
        </w:rPr>
        <w:t>与2024年度</w:t>
      </w:r>
      <w:r>
        <w:rPr>
          <w:rFonts w:hint="eastAsia" w:eastAsia="仿宋_GB2312" w:cs="仿宋_GB2312"/>
          <w:color w:val="auto"/>
          <w:kern w:val="2"/>
          <w:sz w:val="32"/>
          <w:szCs w:val="32"/>
          <w:highlight w:val="none"/>
          <w:lang w:val="en-US" w:eastAsia="zh-CN" w:bidi="ar-SA"/>
        </w:rPr>
        <w:t>决算数持平。</w:t>
      </w:r>
    </w:p>
    <w:p w14:paraId="6EDF50E5">
      <w:pPr>
        <w:numPr>
          <w:ilvl w:val="0"/>
          <w:numId w:val="0"/>
        </w:numPr>
        <w:spacing w:line="600" w:lineRule="exact"/>
        <w:ind w:left="630" w:leftChars="0"/>
        <w:outlineLvl w:val="1"/>
        <w:rPr>
          <w:rStyle w:val="32"/>
          <w:rFonts w:ascii="Times New Roman" w:hAnsi="Times New Roman" w:eastAsia="黑体"/>
          <w:b w:val="0"/>
          <w:color w:val="auto"/>
          <w:highlight w:val="none"/>
        </w:rPr>
      </w:pPr>
      <w:bookmarkStart w:id="63" w:name="_Toc23880"/>
      <w:bookmarkStart w:id="64" w:name="_Toc5852"/>
      <w:bookmarkStart w:id="65" w:name="_Toc15377219"/>
      <w:bookmarkStart w:id="66" w:name="_Toc15396611"/>
      <w:r>
        <w:rPr>
          <w:rStyle w:val="32"/>
          <w:rFonts w:hint="eastAsia" w:ascii="Times New Roman" w:hAnsi="Times New Roman" w:eastAsia="黑体"/>
          <w:b w:val="0"/>
          <w:color w:val="auto"/>
          <w:highlight w:val="none"/>
          <w:lang w:eastAsia="zh-CN"/>
        </w:rPr>
        <w:t>九、</w:t>
      </w:r>
      <w:r>
        <w:rPr>
          <w:rStyle w:val="32"/>
          <w:rFonts w:hint="eastAsia" w:ascii="Times New Roman" w:hAnsi="Times New Roman" w:eastAsia="黑体"/>
          <w:b w:val="0"/>
          <w:color w:val="auto"/>
          <w:highlight w:val="none"/>
        </w:rPr>
        <w:t>国有资本经营预算支出决算情况说明</w:t>
      </w:r>
      <w:bookmarkEnd w:id="63"/>
      <w:bookmarkEnd w:id="64"/>
      <w:bookmarkEnd w:id="65"/>
      <w:bookmarkEnd w:id="66"/>
    </w:p>
    <w:p w14:paraId="5C49291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2025年度国有资本经营预算财政拨款支出0万元，占本年支出合计的0%。</w:t>
      </w:r>
      <w:bookmarkStart w:id="67" w:name="_Toc15396612"/>
      <w:bookmarkStart w:id="68" w:name="_Toc15377221"/>
      <w:r>
        <w:rPr>
          <w:rFonts w:hint="eastAsia" w:ascii="仿宋" w:hAnsi="仿宋" w:eastAsia="仿宋"/>
          <w:sz w:val="32"/>
          <w:szCs w:val="32"/>
        </w:rPr>
        <w:t>本年度无相关预算及支出</w:t>
      </w:r>
      <w:r>
        <w:rPr>
          <w:rFonts w:hint="eastAsia" w:ascii="仿宋" w:hAnsi="仿宋" w:eastAsia="仿宋"/>
          <w:sz w:val="32"/>
          <w:szCs w:val="32"/>
          <w:lang w:eastAsia="zh-CN"/>
        </w:rPr>
        <w:t>，</w:t>
      </w:r>
      <w:r>
        <w:rPr>
          <w:rFonts w:hint="eastAsia" w:ascii="Times New Roman" w:hAnsi="Times New Roman" w:eastAsia="仿宋_GB2312" w:cs="仿宋_GB2312"/>
          <w:color w:val="auto"/>
          <w:kern w:val="2"/>
          <w:sz w:val="32"/>
          <w:szCs w:val="32"/>
          <w:highlight w:val="none"/>
          <w:lang w:val="en-US" w:eastAsia="zh-CN" w:bidi="ar-SA"/>
        </w:rPr>
        <w:t>与2024年度</w:t>
      </w:r>
      <w:r>
        <w:rPr>
          <w:rFonts w:hint="eastAsia" w:eastAsia="仿宋_GB2312" w:cs="仿宋_GB2312"/>
          <w:color w:val="auto"/>
          <w:kern w:val="2"/>
          <w:sz w:val="32"/>
          <w:szCs w:val="32"/>
          <w:highlight w:val="none"/>
          <w:lang w:val="en-US" w:eastAsia="zh-CN" w:bidi="ar-SA"/>
        </w:rPr>
        <w:t>决算数持平。</w:t>
      </w:r>
    </w:p>
    <w:p w14:paraId="7603ABEE">
      <w:pPr>
        <w:numPr>
          <w:ilvl w:val="0"/>
          <w:numId w:val="0"/>
        </w:numPr>
        <w:spacing w:line="600" w:lineRule="exact"/>
        <w:ind w:left="630" w:leftChars="0"/>
        <w:outlineLvl w:val="1"/>
        <w:rPr>
          <w:rStyle w:val="32"/>
          <w:rFonts w:hint="eastAsia" w:ascii="Times New Roman" w:hAnsi="Times New Roman" w:eastAsia="黑体"/>
          <w:b w:val="0"/>
          <w:color w:val="auto"/>
          <w:highlight w:val="none"/>
        </w:rPr>
      </w:pPr>
      <w:bookmarkStart w:id="69" w:name="_Toc26939"/>
      <w:bookmarkStart w:id="70" w:name="_Toc27683"/>
      <w:r>
        <w:rPr>
          <w:rStyle w:val="32"/>
          <w:rFonts w:hint="eastAsia" w:ascii="Times New Roman" w:hAnsi="Times New Roman" w:eastAsia="黑体"/>
          <w:b w:val="0"/>
          <w:color w:val="auto"/>
          <w:highlight w:val="none"/>
          <w:lang w:eastAsia="zh-CN"/>
        </w:rPr>
        <w:t>十、</w:t>
      </w:r>
      <w:r>
        <w:rPr>
          <w:rStyle w:val="32"/>
          <w:rFonts w:hint="eastAsia" w:ascii="Times New Roman" w:hAnsi="Times New Roman" w:eastAsia="黑体"/>
          <w:b w:val="0"/>
          <w:color w:val="auto"/>
          <w:highlight w:val="none"/>
        </w:rPr>
        <w:t>其他重要事项的情况说明</w:t>
      </w:r>
      <w:bookmarkEnd w:id="67"/>
      <w:bookmarkEnd w:id="68"/>
      <w:bookmarkEnd w:id="69"/>
      <w:bookmarkEnd w:id="70"/>
    </w:p>
    <w:p w14:paraId="49EB38D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1" w:name="_Toc15377222"/>
      <w:r>
        <w:rPr>
          <w:rFonts w:hint="eastAsia" w:ascii="Times New Roman" w:hAnsi="Times New Roman" w:eastAsia="楷体_GB2312" w:cs="楷体_GB2312"/>
          <w:b/>
          <w:color w:val="auto"/>
          <w:sz w:val="32"/>
          <w:szCs w:val="32"/>
          <w:highlight w:val="none"/>
        </w:rPr>
        <w:t>（一）机关运行经费支出情况</w:t>
      </w:r>
      <w:bookmarkEnd w:id="71"/>
    </w:p>
    <w:p w14:paraId="2A3F2DF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阿坝州农业科学研究院</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万元，与2024年度决算数持平</w:t>
      </w:r>
      <w:r>
        <w:rPr>
          <w:rFonts w:hint="eastAsia" w:eastAsia="仿宋_GB2312" w:cs="仿宋_GB2312"/>
          <w:color w:val="auto"/>
          <w:kern w:val="2"/>
          <w:sz w:val="32"/>
          <w:szCs w:val="32"/>
          <w:highlight w:val="none"/>
          <w:lang w:val="en-US" w:eastAsia="zh-CN" w:bidi="ar-SA"/>
        </w:rPr>
        <w:t>。</w:t>
      </w:r>
    </w:p>
    <w:p w14:paraId="7F66184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2" w:name="_Toc15377223"/>
      <w:r>
        <w:rPr>
          <w:rFonts w:hint="eastAsia" w:ascii="Times New Roman" w:hAnsi="Times New Roman" w:eastAsia="楷体_GB2312" w:cs="楷体_GB2312"/>
          <w:b/>
          <w:color w:val="auto"/>
          <w:sz w:val="32"/>
          <w:szCs w:val="32"/>
          <w:highlight w:val="none"/>
        </w:rPr>
        <w:t>（二）政府采购支出情况</w:t>
      </w:r>
      <w:bookmarkEnd w:id="72"/>
    </w:p>
    <w:p w14:paraId="4D17ED9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171.16</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161.51</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9.65</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交通工具购置、办公设备（计算机、多功能一体机）采购、原种场运行管理项目（兽药、耗材、草、精饲料、监控设备采购）。</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eastAsia="仿宋_GB2312" w:cs="仿宋_GB2312"/>
          <w:color w:val="auto"/>
          <w:kern w:val="2"/>
          <w:sz w:val="32"/>
          <w:szCs w:val="32"/>
          <w:highlight w:val="none"/>
          <w:lang w:val="en-US" w:eastAsia="zh-CN" w:bidi="ar-SA"/>
        </w:rPr>
        <w:t>171.16</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171.16</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14:paraId="6925F3B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3" w:name="_Toc15377224"/>
      <w:r>
        <w:rPr>
          <w:rFonts w:hint="eastAsia" w:ascii="Times New Roman" w:hAnsi="Times New Roman" w:eastAsia="楷体_GB2312" w:cs="楷体_GB2312"/>
          <w:b/>
          <w:color w:val="auto"/>
          <w:sz w:val="32"/>
          <w:szCs w:val="32"/>
          <w:highlight w:val="none"/>
        </w:rPr>
        <w:t>（三）国有资产占有使用情况</w:t>
      </w:r>
      <w:bookmarkEnd w:id="73"/>
    </w:p>
    <w:p w14:paraId="5941BDA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阿坝州农业科学研究院</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，主要</w:t>
      </w:r>
      <w:r>
        <w:rPr>
          <w:rFonts w:hint="eastAsia" w:ascii="Times New Roman" w:hAnsi="Times New Roman" w:eastAsia="仿宋_GB2312" w:cs="仿宋_GB2312"/>
          <w:color w:val="auto"/>
          <w:kern w:val="2"/>
          <w:sz w:val="32"/>
          <w:szCs w:val="32"/>
          <w:highlight w:val="none"/>
          <w:lang w:val="en-US" w:eastAsia="zh-CN" w:bidi="ar-SA"/>
        </w:rPr>
        <w:t>用于</w:t>
      </w:r>
      <w:r>
        <w:rPr>
          <w:rFonts w:hint="eastAsia" w:eastAsia="仿宋_GB2312" w:cs="仿宋_GB2312"/>
          <w:color w:val="auto"/>
          <w:kern w:val="2"/>
          <w:sz w:val="32"/>
          <w:szCs w:val="32"/>
          <w:highlight w:val="none"/>
          <w:lang w:val="en-US" w:eastAsia="zh-CN" w:bidi="ar-SA"/>
        </w:rPr>
        <w:t>单位公务用车保障</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14:paraId="62F749E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64136EA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阿坝州农业科学研究院</w:t>
      </w:r>
      <w:r>
        <w:rPr>
          <w:rFonts w:hint="eastAsia" w:ascii="Times New Roman" w:hAnsi="Times New Roman" w:eastAsia="仿宋_GB2312" w:cs="仿宋_GB2312"/>
          <w:color w:val="auto"/>
          <w:kern w:val="2"/>
          <w:sz w:val="32"/>
          <w:szCs w:val="32"/>
          <w:highlight w:val="none"/>
          <w:lang w:val="en-US" w:eastAsia="zh-CN" w:bidi="ar-SA"/>
        </w:rPr>
        <w:t>在2025年度，组织对省农科院中试熟化项目</w:t>
      </w:r>
      <w:r>
        <w:rPr>
          <w:rFonts w:hint="eastAsia" w:eastAsia="仿宋_GB2312" w:cs="仿宋_GB2312"/>
          <w:color w:val="auto"/>
          <w:kern w:val="2"/>
          <w:sz w:val="32"/>
          <w:szCs w:val="32"/>
          <w:highlight w:val="none"/>
          <w:lang w:val="en-US" w:eastAsia="zh-CN" w:bidi="ar-SA"/>
        </w:rPr>
        <w:t>、省级财政农业高质量发展共同财政事权转移支付资金（农作物品种试验）项目、第一批省级科技计划项目（若尔盖草原鼠害生态防控关键技术研究与应用示范）等25</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256.07</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25</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25</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7D672F0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w:t>
      </w:r>
      <w:r>
        <w:rPr>
          <w:rFonts w:hint="eastAsia" w:eastAsia="仿宋_GB2312" w:cs="仿宋_GB2312"/>
          <w:color w:val="auto"/>
          <w:kern w:val="2"/>
          <w:sz w:val="32"/>
          <w:szCs w:val="32"/>
          <w:highlight w:val="none"/>
          <w:lang w:val="en-US" w:eastAsia="zh-CN" w:bidi="ar-SA"/>
        </w:rPr>
        <w:t>对</w:t>
      </w:r>
      <w:r>
        <w:rPr>
          <w:rFonts w:hint="eastAsia" w:ascii="Times New Roman" w:hAnsi="Times New Roman" w:eastAsia="仿宋_GB2312" w:cs="仿宋_GB2312"/>
          <w:color w:val="auto"/>
          <w:kern w:val="2"/>
          <w:sz w:val="32"/>
          <w:szCs w:val="32"/>
          <w:highlight w:val="none"/>
          <w:lang w:val="en-US" w:eastAsia="zh-CN" w:bidi="ar-SA"/>
        </w:rPr>
        <w:t>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阿坝州农业科学研究院</w:t>
      </w:r>
      <w:r>
        <w:rPr>
          <w:rFonts w:hint="eastAsia" w:ascii="Times New Roman" w:hAnsi="Times New Roman" w:eastAsia="仿宋_GB2312" w:cs="仿宋_GB2312"/>
          <w:color w:val="auto"/>
          <w:kern w:val="2"/>
          <w:sz w:val="32"/>
          <w:szCs w:val="32"/>
          <w:highlight w:val="none"/>
          <w:lang w:val="en-US" w:eastAsia="zh-CN" w:bidi="ar-SA"/>
        </w:rPr>
        <w:t>部门预算绩效自评报告、专项预算项目绩效自评报告，其中，</w:t>
      </w:r>
      <w:r>
        <w:rPr>
          <w:rFonts w:hint="eastAsia" w:eastAsia="仿宋_GB2312" w:cs="仿宋_GB2312"/>
          <w:color w:val="auto"/>
          <w:kern w:val="2"/>
          <w:sz w:val="32"/>
          <w:szCs w:val="32"/>
          <w:highlight w:val="none"/>
          <w:lang w:val="en-US" w:eastAsia="zh-CN" w:bidi="ar-SA"/>
        </w:rPr>
        <w:t>阿坝州农业科学研究院</w:t>
      </w:r>
      <w:r>
        <w:rPr>
          <w:rFonts w:hint="eastAsia" w:ascii="Times New Roman" w:hAnsi="Times New Roman" w:eastAsia="仿宋_GB2312" w:cs="仿宋_GB2312"/>
          <w:color w:val="auto"/>
          <w:kern w:val="2"/>
          <w:sz w:val="32"/>
          <w:szCs w:val="32"/>
          <w:highlight w:val="none"/>
          <w:lang w:val="en-US" w:eastAsia="zh-CN" w:bidi="ar-SA"/>
        </w:rPr>
        <w:t>部门预算绩效自评报告绩效自评得分为</w:t>
      </w:r>
      <w:r>
        <w:rPr>
          <w:rFonts w:hint="eastAsia" w:eastAsia="仿宋_GB2312" w:cs="仿宋_GB2312"/>
          <w:color w:val="auto"/>
          <w:kern w:val="2"/>
          <w:sz w:val="32"/>
          <w:szCs w:val="32"/>
          <w:highlight w:val="none"/>
          <w:lang w:val="en-US" w:eastAsia="zh-CN" w:bidi="ar-SA"/>
        </w:rPr>
        <w:t>88.93</w:t>
      </w:r>
      <w:r>
        <w:rPr>
          <w:rFonts w:hint="eastAsia" w:ascii="Times New Roman" w:hAnsi="Times New Roman" w:eastAsia="仿宋_GB2312" w:cs="仿宋_GB2312"/>
          <w:color w:val="auto"/>
          <w:kern w:val="2"/>
          <w:sz w:val="32"/>
          <w:szCs w:val="32"/>
          <w:highlight w:val="none"/>
          <w:lang w:val="en-US" w:eastAsia="zh-CN" w:bidi="ar-SA"/>
        </w:rPr>
        <w:t>分</w:t>
      </w:r>
      <w:r>
        <w:rPr>
          <w:rFonts w:hint="eastAsia" w:eastAsia="仿宋_GB2312" w:cs="仿宋_GB2312"/>
          <w:color w:val="auto"/>
          <w:kern w:val="2"/>
          <w:sz w:val="32"/>
          <w:szCs w:val="32"/>
          <w:highlight w:val="none"/>
          <w:lang w:val="en-US" w:eastAsia="zh-CN" w:bidi="ar-SA"/>
        </w:rPr>
        <w:t>。2025年州农业科学院履职效果和预算管理效果较好，财务管理、资产管理、采购管理规范，项目决策程序严格，项目执行进度良好，但也存在财政拨款偏离度较高、一般性支出预算执行压减力度不够、部门资产管理工作待提升等问题，</w:t>
      </w:r>
      <w:r>
        <w:rPr>
          <w:rFonts w:hint="eastAsia" w:ascii="Times New Roman" w:hAnsi="Times New Roman" w:eastAsia="仿宋_GB2312" w:cs="仿宋_GB2312"/>
          <w:color w:val="auto"/>
          <w:kern w:val="2"/>
          <w:sz w:val="32"/>
          <w:szCs w:val="32"/>
          <w:highlight w:val="none"/>
          <w:lang w:val="en-US" w:eastAsia="zh-CN" w:bidi="ar-SA"/>
        </w:rPr>
        <w:t>绩效自评报告详见附件。</w:t>
      </w:r>
    </w:p>
    <w:p w14:paraId="36B5263E">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74" w:name="_Toc15396613"/>
      <w:bookmarkStart w:id="75" w:name="_Toc16207"/>
      <w:bookmarkStart w:id="76" w:name="_Toc15377225"/>
    </w:p>
    <w:p w14:paraId="58A28DD1">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67968EE8">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05EF9CD8">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0D07751C">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77" w:name="_Toc18279"/>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74"/>
      <w:bookmarkEnd w:id="75"/>
      <w:bookmarkEnd w:id="76"/>
      <w:bookmarkEnd w:id="77"/>
    </w:p>
    <w:p w14:paraId="38C013ED">
      <w:pPr>
        <w:spacing w:line="600" w:lineRule="exact"/>
        <w:jc w:val="left"/>
        <w:rPr>
          <w:rFonts w:ascii="Times New Roman" w:hAnsi="Times New Roman"/>
          <w:b/>
          <w:color w:val="auto"/>
          <w:sz w:val="44"/>
          <w:szCs w:val="44"/>
          <w:highlight w:val="none"/>
        </w:rPr>
      </w:pPr>
    </w:p>
    <w:p w14:paraId="441C1BD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60AA1BB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.其他收入：指单位取得的除上述收入以外的各项收入。</w:t>
      </w:r>
    </w:p>
    <w:p w14:paraId="0CF8BDD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 xml:space="preserve">.使用非财政拨款结余（含专用结余）：指事业单位使用以前年度积累的非财政拨款结余弥补当年收支差额的金额。 </w:t>
      </w:r>
    </w:p>
    <w:p w14:paraId="1D0F7B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4.年初</w:t>
      </w:r>
      <w:r>
        <w:rPr>
          <w:rFonts w:hint="eastAsia" w:ascii="Times New Roman" w:hAnsi="Times New Roman" w:eastAsia="仿宋_GB2312" w:cs="仿宋_GB2312"/>
          <w:color w:val="auto"/>
          <w:kern w:val="2"/>
          <w:sz w:val="32"/>
          <w:szCs w:val="32"/>
          <w:highlight w:val="none"/>
          <w:lang w:val="en-US" w:eastAsia="zh-CN" w:bidi="ar-SA"/>
        </w:rPr>
        <w:t xml:space="preserve">结转和结余：指以前年度尚未完成、结转到本年按有关规定继续使用的资金。 </w:t>
      </w:r>
    </w:p>
    <w:p w14:paraId="3712BA2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.结余分配：指事业单位按照会计制度规定缴纳的所得税、提取的专用结余以及转入非财政拨款结余的金额等。</w:t>
      </w:r>
    </w:p>
    <w:p w14:paraId="69B9BF0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.年末结转和结余：指单位按有关规定结转到下年或以后年度继续使用的资金。</w:t>
      </w:r>
    </w:p>
    <w:p w14:paraId="6D48D419">
      <w:pPr>
        <w:spacing w:line="600" w:lineRule="exact"/>
        <w:ind w:firstLine="640" w:firstLineChars="200"/>
        <w:rPr>
          <w:rFonts w:hint="eastAsia" w:ascii="仿宋" w:hAnsi="仿宋" w:eastAsia="仿宋"/>
          <w:sz w:val="32"/>
          <w:szCs w:val="32"/>
          <w:highlight w:val="none"/>
        </w:rPr>
      </w:pPr>
      <w:r>
        <w:rPr>
          <w:rFonts w:hint="eastAsia" w:eastAsia="仿宋_GB2312" w:cs="仿宋_GB2312"/>
          <w:color w:val="auto"/>
          <w:kern w:val="2"/>
          <w:sz w:val="32"/>
          <w:szCs w:val="32"/>
          <w:highlight w:val="none"/>
          <w:lang w:val="en-US" w:eastAsia="zh-CN" w:bidi="ar-SA"/>
        </w:rPr>
        <w:t>7.</w:t>
      </w:r>
      <w:r>
        <w:rPr>
          <w:rFonts w:hint="eastAsia" w:ascii="仿宋" w:hAnsi="仿宋" w:eastAsia="仿宋"/>
          <w:sz w:val="32"/>
          <w:szCs w:val="32"/>
          <w:highlight w:val="none"/>
        </w:rPr>
        <w:t>科学技术支出（类）</w:t>
      </w:r>
      <w:r>
        <w:rPr>
          <w:rFonts w:hint="eastAsia" w:ascii="仿宋" w:hAnsi="仿宋" w:eastAsia="仿宋"/>
          <w:sz w:val="32"/>
          <w:szCs w:val="32"/>
          <w:highlight w:val="none"/>
          <w:lang w:val="en-US" w:eastAsia="zh-CN"/>
        </w:rPr>
        <w:t>基础</w:t>
      </w:r>
      <w:r>
        <w:rPr>
          <w:rFonts w:hint="eastAsia" w:ascii="仿宋" w:hAnsi="仿宋" w:eastAsia="仿宋"/>
          <w:sz w:val="32"/>
          <w:szCs w:val="32"/>
          <w:highlight w:val="none"/>
        </w:rPr>
        <w:t>研究（款）</w:t>
      </w:r>
      <w:r>
        <w:rPr>
          <w:rFonts w:hint="eastAsia" w:eastAsia="仿宋_GB2312" w:cs="仿宋_GB2312"/>
          <w:color w:val="auto"/>
          <w:kern w:val="2"/>
          <w:sz w:val="32"/>
          <w:szCs w:val="32"/>
          <w:highlight w:val="none"/>
          <w:lang w:val="en-US" w:eastAsia="zh-CN" w:bidi="ar-SA"/>
        </w:rPr>
        <w:t>实验室及相关设施</w:t>
      </w:r>
      <w:r>
        <w:rPr>
          <w:rFonts w:hint="eastAsia" w:ascii="仿宋" w:hAnsi="仿宋" w:eastAsia="仿宋"/>
          <w:sz w:val="32"/>
          <w:szCs w:val="32"/>
          <w:highlight w:val="none"/>
        </w:rPr>
        <w:t>（项）</w:t>
      </w:r>
      <w:r>
        <w:rPr>
          <w:rFonts w:hint="eastAsia" w:ascii="仿宋" w:hAnsi="仿宋" w:eastAsia="仿宋"/>
          <w:sz w:val="32"/>
          <w:szCs w:val="32"/>
          <w:highlight w:val="none"/>
          <w:lang w:eastAsia="zh-CN"/>
        </w:rPr>
        <w:t>（</w:t>
      </w:r>
      <w:r>
        <w:rPr>
          <w:rFonts w:hint="eastAsia" w:eastAsia="仿宋_GB2312" w:cs="仿宋_GB2312"/>
          <w:color w:val="auto"/>
          <w:kern w:val="2"/>
          <w:sz w:val="32"/>
          <w:szCs w:val="32"/>
          <w:highlight w:val="none"/>
          <w:lang w:val="en-US" w:eastAsia="zh-CN" w:bidi="ar-SA"/>
        </w:rPr>
        <w:t>2060204</w:t>
      </w:r>
      <w:r>
        <w:rPr>
          <w:rFonts w:hint="eastAsia" w:ascii="仿宋" w:hAnsi="仿宋" w:eastAsia="仿宋"/>
          <w:sz w:val="32"/>
          <w:szCs w:val="32"/>
          <w:highlight w:val="none"/>
          <w:lang w:eastAsia="zh-CN"/>
        </w:rPr>
        <w:t>）</w:t>
      </w:r>
      <w:r>
        <w:rPr>
          <w:rFonts w:hint="eastAsia" w:ascii="仿宋" w:hAnsi="仿宋" w:eastAsia="仿宋"/>
          <w:sz w:val="32"/>
          <w:szCs w:val="32"/>
          <w:highlight w:val="none"/>
        </w:rPr>
        <w:t>：反映国家实验室、国家重点实验室、部门开放实验室及野外台站等支出。</w:t>
      </w:r>
    </w:p>
    <w:p w14:paraId="53A99277">
      <w:pPr>
        <w:spacing w:line="600" w:lineRule="exact"/>
        <w:ind w:firstLine="640" w:firstLineChars="200"/>
        <w:rPr>
          <w:rFonts w:hint="eastAsia" w:ascii="仿宋" w:hAnsi="仿宋" w:eastAsia="仿宋"/>
          <w:sz w:val="32"/>
          <w:szCs w:val="32"/>
          <w:highlight w:val="none"/>
        </w:rPr>
      </w:pPr>
      <w:r>
        <w:rPr>
          <w:rFonts w:hint="eastAsia" w:ascii="仿宋" w:hAnsi="仿宋" w:eastAsia="仿宋"/>
          <w:sz w:val="32"/>
          <w:szCs w:val="32"/>
          <w:highlight w:val="none"/>
          <w:lang w:val="en-US" w:eastAsia="zh-CN"/>
        </w:rPr>
        <w:t>8.</w:t>
      </w:r>
      <w:r>
        <w:rPr>
          <w:rFonts w:hint="eastAsia" w:ascii="仿宋" w:hAnsi="仿宋" w:eastAsia="仿宋"/>
          <w:sz w:val="32"/>
          <w:szCs w:val="32"/>
          <w:highlight w:val="none"/>
        </w:rPr>
        <w:t>科学技术支出（类）</w:t>
      </w:r>
      <w:r>
        <w:rPr>
          <w:rFonts w:hint="eastAsia" w:ascii="仿宋" w:hAnsi="仿宋" w:eastAsia="仿宋"/>
          <w:sz w:val="32"/>
          <w:szCs w:val="32"/>
          <w:highlight w:val="none"/>
          <w:lang w:val="en-US" w:eastAsia="zh-CN"/>
        </w:rPr>
        <w:t>基础</w:t>
      </w:r>
      <w:r>
        <w:rPr>
          <w:rFonts w:hint="eastAsia" w:ascii="仿宋" w:hAnsi="仿宋" w:eastAsia="仿宋"/>
          <w:sz w:val="32"/>
          <w:szCs w:val="32"/>
          <w:highlight w:val="none"/>
        </w:rPr>
        <w:t>研究（款）</w:t>
      </w:r>
      <w:r>
        <w:rPr>
          <w:rFonts w:hint="eastAsia" w:eastAsia="仿宋_GB2312" w:cs="仿宋_GB2312"/>
          <w:color w:val="auto"/>
          <w:kern w:val="2"/>
          <w:sz w:val="32"/>
          <w:szCs w:val="32"/>
          <w:highlight w:val="none"/>
          <w:lang w:val="en-US" w:eastAsia="zh-CN" w:bidi="ar-SA"/>
        </w:rPr>
        <w:t>专项基础科研</w:t>
      </w:r>
      <w:r>
        <w:rPr>
          <w:rFonts w:hint="eastAsia" w:ascii="仿宋" w:hAnsi="仿宋" w:eastAsia="仿宋"/>
          <w:sz w:val="32"/>
          <w:szCs w:val="32"/>
          <w:highlight w:val="none"/>
        </w:rPr>
        <w:t>（项）</w:t>
      </w:r>
      <w:r>
        <w:rPr>
          <w:rFonts w:hint="eastAsia" w:ascii="仿宋" w:hAnsi="仿宋" w:eastAsia="仿宋"/>
          <w:sz w:val="32"/>
          <w:szCs w:val="32"/>
          <w:highlight w:val="none"/>
          <w:lang w:eastAsia="zh-CN"/>
        </w:rPr>
        <w:t>（</w:t>
      </w:r>
      <w:r>
        <w:rPr>
          <w:rFonts w:hint="eastAsia" w:eastAsia="仿宋_GB2312" w:cs="仿宋_GB2312"/>
          <w:color w:val="auto"/>
          <w:kern w:val="2"/>
          <w:sz w:val="32"/>
          <w:szCs w:val="32"/>
          <w:highlight w:val="none"/>
          <w:lang w:val="en-US" w:eastAsia="zh-CN" w:bidi="ar-SA"/>
        </w:rPr>
        <w:t>2060206</w:t>
      </w:r>
      <w:r>
        <w:rPr>
          <w:rFonts w:hint="eastAsia" w:ascii="仿宋" w:hAnsi="仿宋" w:eastAsia="仿宋"/>
          <w:sz w:val="32"/>
          <w:szCs w:val="32"/>
          <w:highlight w:val="none"/>
          <w:lang w:eastAsia="zh-CN"/>
        </w:rPr>
        <w:t>）</w:t>
      </w:r>
      <w:r>
        <w:rPr>
          <w:rFonts w:hint="eastAsia" w:ascii="仿宋" w:hAnsi="仿宋" w:eastAsia="仿宋"/>
          <w:sz w:val="32"/>
          <w:szCs w:val="32"/>
          <w:highlight w:val="none"/>
        </w:rPr>
        <w:t>：反映用于专项基础科研方面的支出。</w:t>
      </w:r>
    </w:p>
    <w:p w14:paraId="2BD74176">
      <w:pPr>
        <w:spacing w:line="600" w:lineRule="exact"/>
        <w:ind w:firstLine="640" w:firstLineChars="200"/>
        <w:rPr>
          <w:rFonts w:ascii="仿宋" w:hAnsi="仿宋" w:eastAsia="仿宋"/>
          <w:sz w:val="32"/>
          <w:szCs w:val="32"/>
          <w:highlight w:val="none"/>
        </w:rPr>
      </w:pPr>
      <w:r>
        <w:rPr>
          <w:rFonts w:hint="eastAsia" w:ascii="仿宋" w:hAnsi="仿宋" w:eastAsia="仿宋"/>
          <w:sz w:val="32"/>
          <w:szCs w:val="32"/>
          <w:highlight w:val="none"/>
        </w:rPr>
        <w:t>9.科学技术支出（类）应用研究（款）机构运行（项）</w:t>
      </w:r>
      <w:r>
        <w:rPr>
          <w:rFonts w:hint="eastAsia" w:ascii="仿宋" w:hAnsi="仿宋" w:eastAsia="仿宋"/>
          <w:sz w:val="32"/>
          <w:szCs w:val="32"/>
          <w:highlight w:val="none"/>
          <w:lang w:eastAsia="zh-CN"/>
        </w:rPr>
        <w:t>（</w:t>
      </w:r>
      <w:r>
        <w:rPr>
          <w:rFonts w:hint="eastAsia" w:eastAsia="仿宋_GB2312" w:cs="仿宋_GB2312"/>
          <w:color w:val="auto"/>
          <w:kern w:val="2"/>
          <w:sz w:val="32"/>
          <w:szCs w:val="32"/>
          <w:highlight w:val="none"/>
          <w:lang w:val="en-US" w:eastAsia="zh-CN" w:bidi="ar-SA"/>
        </w:rPr>
        <w:t>2060301</w:t>
      </w:r>
      <w:r>
        <w:rPr>
          <w:rFonts w:hint="eastAsia" w:ascii="仿宋" w:hAnsi="仿宋" w:eastAsia="仿宋"/>
          <w:sz w:val="32"/>
          <w:szCs w:val="32"/>
          <w:highlight w:val="none"/>
          <w:lang w:eastAsia="zh-CN"/>
        </w:rPr>
        <w:t>）</w:t>
      </w:r>
      <w:r>
        <w:rPr>
          <w:rFonts w:hint="eastAsia" w:ascii="仿宋" w:hAnsi="仿宋" w:eastAsia="仿宋"/>
          <w:sz w:val="32"/>
          <w:szCs w:val="32"/>
          <w:highlight w:val="none"/>
        </w:rPr>
        <w:t>：反映应用研究机构的基本支出。</w:t>
      </w:r>
    </w:p>
    <w:p w14:paraId="271B26E8">
      <w:pPr>
        <w:spacing w:line="600" w:lineRule="exact"/>
        <w:ind w:firstLine="640" w:firstLineChars="200"/>
        <w:rPr>
          <w:rFonts w:hint="eastAsia" w:ascii="仿宋" w:hAnsi="仿宋" w:eastAsia="仿宋"/>
          <w:sz w:val="32"/>
          <w:szCs w:val="32"/>
          <w:highlight w:val="none"/>
        </w:rPr>
      </w:pPr>
      <w:r>
        <w:rPr>
          <w:rFonts w:hint="eastAsia" w:ascii="仿宋" w:hAnsi="仿宋" w:eastAsia="仿宋"/>
          <w:sz w:val="32"/>
          <w:szCs w:val="32"/>
          <w:highlight w:val="none"/>
        </w:rPr>
        <w:t>10.科学技术支出（类）应用研究（款）社会公益研究（项）</w:t>
      </w:r>
      <w:r>
        <w:rPr>
          <w:rFonts w:hint="eastAsia" w:ascii="仿宋" w:hAnsi="仿宋" w:eastAsia="仿宋"/>
          <w:sz w:val="32"/>
          <w:szCs w:val="32"/>
          <w:highlight w:val="none"/>
          <w:lang w:eastAsia="zh-CN"/>
        </w:rPr>
        <w:t>（</w:t>
      </w:r>
      <w:r>
        <w:rPr>
          <w:rFonts w:hint="eastAsia" w:eastAsia="仿宋_GB2312" w:cs="仿宋_GB2312"/>
          <w:color w:val="auto"/>
          <w:kern w:val="2"/>
          <w:sz w:val="32"/>
          <w:szCs w:val="32"/>
          <w:highlight w:val="none"/>
          <w:lang w:val="en-US" w:eastAsia="zh-CN" w:bidi="ar-SA"/>
        </w:rPr>
        <w:t>2060302</w:t>
      </w:r>
      <w:r>
        <w:rPr>
          <w:rFonts w:hint="eastAsia" w:ascii="仿宋" w:hAnsi="仿宋" w:eastAsia="仿宋"/>
          <w:sz w:val="32"/>
          <w:szCs w:val="32"/>
          <w:highlight w:val="none"/>
          <w:lang w:eastAsia="zh-CN"/>
        </w:rPr>
        <w:t>）</w:t>
      </w:r>
      <w:r>
        <w:rPr>
          <w:rFonts w:hint="eastAsia" w:ascii="仿宋" w:hAnsi="仿宋" w:eastAsia="仿宋"/>
          <w:sz w:val="32"/>
          <w:szCs w:val="32"/>
          <w:highlight w:val="none"/>
        </w:rPr>
        <w:t>：反映从事卫生、劳动保护、计划生育、环境科学、农业等社会公益专项科研方面的支出。</w:t>
      </w:r>
    </w:p>
    <w:p w14:paraId="49A2BA6E">
      <w:pPr>
        <w:spacing w:line="600" w:lineRule="exact"/>
        <w:ind w:firstLine="640" w:firstLineChars="200"/>
        <w:rPr>
          <w:rFonts w:hint="eastAsia" w:ascii="仿宋" w:hAnsi="仿宋" w:eastAsia="仿宋"/>
          <w:sz w:val="32"/>
          <w:szCs w:val="32"/>
          <w:highlight w:val="none"/>
        </w:rPr>
      </w:pPr>
      <w:r>
        <w:rPr>
          <w:rFonts w:hint="eastAsia" w:ascii="仿宋" w:hAnsi="仿宋" w:eastAsia="仿宋"/>
          <w:sz w:val="32"/>
          <w:szCs w:val="32"/>
          <w:highlight w:val="none"/>
          <w:lang w:val="en-US" w:eastAsia="zh-CN"/>
        </w:rPr>
        <w:t>11.</w:t>
      </w:r>
      <w:r>
        <w:rPr>
          <w:rFonts w:hint="eastAsia" w:ascii="仿宋" w:hAnsi="仿宋" w:eastAsia="仿宋"/>
          <w:sz w:val="32"/>
          <w:szCs w:val="32"/>
          <w:highlight w:val="none"/>
        </w:rPr>
        <w:t>科学技术支出（类）技术研究与开发（款）</w:t>
      </w:r>
      <w:r>
        <w:rPr>
          <w:rFonts w:hint="eastAsia" w:ascii="仿宋" w:hAnsi="仿宋" w:eastAsia="仿宋"/>
          <w:sz w:val="32"/>
          <w:szCs w:val="32"/>
          <w:highlight w:val="none"/>
          <w:lang w:eastAsia="zh-CN"/>
        </w:rPr>
        <w:t>科技成果转化</w:t>
      </w:r>
      <w:r>
        <w:rPr>
          <w:rFonts w:hint="eastAsia" w:eastAsia="仿宋_GB2312" w:cs="仿宋_GB2312"/>
          <w:color w:val="auto"/>
          <w:kern w:val="2"/>
          <w:sz w:val="32"/>
          <w:szCs w:val="32"/>
          <w:highlight w:val="none"/>
          <w:lang w:val="en-US" w:eastAsia="zh-CN" w:bidi="ar-SA"/>
        </w:rPr>
        <w:t>与扩散</w:t>
      </w:r>
      <w:r>
        <w:rPr>
          <w:rFonts w:hint="eastAsia" w:ascii="仿宋" w:hAnsi="仿宋" w:eastAsia="仿宋"/>
          <w:sz w:val="32"/>
          <w:szCs w:val="32"/>
          <w:highlight w:val="none"/>
        </w:rPr>
        <w:t>（项）</w:t>
      </w:r>
      <w:r>
        <w:rPr>
          <w:rFonts w:hint="eastAsia" w:ascii="仿宋" w:hAnsi="仿宋" w:eastAsia="仿宋"/>
          <w:sz w:val="32"/>
          <w:szCs w:val="32"/>
          <w:highlight w:val="none"/>
          <w:lang w:eastAsia="zh-CN"/>
        </w:rPr>
        <w:t>（</w:t>
      </w:r>
      <w:r>
        <w:rPr>
          <w:rFonts w:hint="eastAsia" w:eastAsia="仿宋_GB2312" w:cs="仿宋_GB2312"/>
          <w:color w:val="auto"/>
          <w:kern w:val="2"/>
          <w:sz w:val="32"/>
          <w:szCs w:val="32"/>
          <w:highlight w:val="none"/>
          <w:lang w:val="en-US" w:eastAsia="zh-CN" w:bidi="ar-SA"/>
        </w:rPr>
        <w:t>2060404</w:t>
      </w:r>
      <w:r>
        <w:rPr>
          <w:rFonts w:hint="eastAsia" w:ascii="仿宋" w:hAnsi="仿宋" w:eastAsia="仿宋"/>
          <w:sz w:val="32"/>
          <w:szCs w:val="32"/>
          <w:highlight w:val="none"/>
          <w:lang w:eastAsia="zh-CN"/>
        </w:rPr>
        <w:t>）</w:t>
      </w:r>
      <w:r>
        <w:rPr>
          <w:rFonts w:hint="eastAsia" w:ascii="仿宋" w:hAnsi="仿宋" w:eastAsia="仿宋"/>
          <w:sz w:val="32"/>
          <w:szCs w:val="32"/>
          <w:highlight w:val="none"/>
        </w:rPr>
        <w:t>：反映促进科技成果转化为现实生产力的应用、推广和引导性支出，以及基本建设支出中用于支持企业科技自主创新的支出。</w:t>
      </w:r>
    </w:p>
    <w:p w14:paraId="4C75F5B2">
      <w:pPr>
        <w:spacing w:line="600" w:lineRule="exact"/>
        <w:ind w:firstLine="640" w:firstLineChars="200"/>
        <w:rPr>
          <w:rFonts w:hint="eastAsia" w:ascii="仿宋" w:hAnsi="仿宋" w:eastAsia="仿宋"/>
          <w:sz w:val="32"/>
          <w:szCs w:val="32"/>
          <w:highlight w:val="none"/>
        </w:rPr>
      </w:pPr>
      <w:r>
        <w:rPr>
          <w:rFonts w:hint="eastAsia" w:ascii="仿宋" w:hAnsi="仿宋" w:eastAsia="仿宋"/>
          <w:sz w:val="32"/>
          <w:szCs w:val="32"/>
          <w:highlight w:val="none"/>
          <w:lang w:val="en-US" w:eastAsia="zh-CN"/>
        </w:rPr>
        <w:t>12.</w:t>
      </w:r>
      <w:r>
        <w:rPr>
          <w:rFonts w:hint="eastAsia" w:ascii="仿宋" w:hAnsi="仿宋" w:eastAsia="仿宋"/>
          <w:sz w:val="32"/>
          <w:szCs w:val="32"/>
          <w:highlight w:val="none"/>
        </w:rPr>
        <w:t>科学技术支出（类）技术研究与开发（款）</w:t>
      </w:r>
      <w:r>
        <w:rPr>
          <w:rFonts w:hint="eastAsia" w:eastAsia="仿宋_GB2312" w:cs="仿宋_GB2312"/>
          <w:color w:val="auto"/>
          <w:kern w:val="2"/>
          <w:sz w:val="32"/>
          <w:szCs w:val="32"/>
          <w:highlight w:val="none"/>
          <w:lang w:val="en-US" w:eastAsia="zh-CN" w:bidi="ar-SA"/>
        </w:rPr>
        <w:t>其他技术研究与开发支出</w:t>
      </w:r>
      <w:r>
        <w:rPr>
          <w:rFonts w:hint="eastAsia" w:ascii="仿宋" w:hAnsi="仿宋" w:eastAsia="仿宋"/>
          <w:sz w:val="32"/>
          <w:szCs w:val="32"/>
          <w:highlight w:val="none"/>
        </w:rPr>
        <w:t>（项）</w:t>
      </w:r>
      <w:r>
        <w:rPr>
          <w:rFonts w:hint="eastAsia" w:ascii="仿宋" w:hAnsi="仿宋" w:eastAsia="仿宋"/>
          <w:sz w:val="32"/>
          <w:szCs w:val="32"/>
          <w:highlight w:val="none"/>
          <w:lang w:eastAsia="zh-CN"/>
        </w:rPr>
        <w:t>（</w:t>
      </w:r>
      <w:r>
        <w:rPr>
          <w:rFonts w:hint="eastAsia" w:eastAsia="仿宋_GB2312" w:cs="仿宋_GB2312"/>
          <w:color w:val="auto"/>
          <w:kern w:val="2"/>
          <w:sz w:val="32"/>
          <w:szCs w:val="32"/>
          <w:highlight w:val="none"/>
          <w:lang w:val="en-US" w:eastAsia="zh-CN" w:bidi="ar-SA"/>
        </w:rPr>
        <w:t>2060499</w:t>
      </w:r>
      <w:r>
        <w:rPr>
          <w:rFonts w:hint="eastAsia" w:ascii="仿宋" w:hAnsi="仿宋" w:eastAsia="仿宋"/>
          <w:sz w:val="32"/>
          <w:szCs w:val="32"/>
          <w:highlight w:val="none"/>
          <w:lang w:eastAsia="zh-CN"/>
        </w:rPr>
        <w:t>）</w:t>
      </w:r>
      <w:r>
        <w:rPr>
          <w:rFonts w:hint="eastAsia" w:ascii="仿宋" w:hAnsi="仿宋" w:eastAsia="仿宋"/>
          <w:sz w:val="32"/>
          <w:szCs w:val="32"/>
          <w:highlight w:val="none"/>
        </w:rPr>
        <w:t>：反映除上述项目以外其他用于技术研究与开发方面的支出。</w:t>
      </w:r>
    </w:p>
    <w:p w14:paraId="288A1B00">
      <w:pPr>
        <w:spacing w:line="600" w:lineRule="exact"/>
        <w:ind w:firstLine="640" w:firstLineChars="200"/>
        <w:rPr>
          <w:rFonts w:ascii="仿宋" w:hAnsi="仿宋" w:eastAsia="仿宋"/>
          <w:sz w:val="32"/>
          <w:szCs w:val="32"/>
          <w:highlight w:val="none"/>
        </w:rPr>
      </w:pPr>
      <w:r>
        <w:rPr>
          <w:rFonts w:hint="eastAsia" w:ascii="仿宋" w:hAnsi="仿宋" w:eastAsia="仿宋"/>
          <w:sz w:val="32"/>
          <w:szCs w:val="32"/>
          <w:highlight w:val="none"/>
        </w:rPr>
        <w:t>1</w:t>
      </w:r>
      <w:r>
        <w:rPr>
          <w:rFonts w:hint="eastAsia" w:ascii="仿宋" w:hAnsi="仿宋" w:eastAsia="仿宋"/>
          <w:sz w:val="32"/>
          <w:szCs w:val="32"/>
          <w:highlight w:val="none"/>
          <w:lang w:val="en-US" w:eastAsia="zh-CN"/>
        </w:rPr>
        <w:t>3</w:t>
      </w:r>
      <w:r>
        <w:rPr>
          <w:rFonts w:hint="eastAsia" w:ascii="仿宋" w:hAnsi="仿宋" w:eastAsia="仿宋"/>
          <w:sz w:val="32"/>
          <w:szCs w:val="32"/>
          <w:highlight w:val="none"/>
        </w:rPr>
        <w:t>.科学技术支出（类）科技重大项目（款）重点研发计划（项）</w:t>
      </w:r>
      <w:r>
        <w:rPr>
          <w:rFonts w:hint="eastAsia" w:ascii="仿宋" w:hAnsi="仿宋" w:eastAsia="仿宋"/>
          <w:sz w:val="32"/>
          <w:szCs w:val="32"/>
          <w:highlight w:val="none"/>
          <w:lang w:eastAsia="zh-CN"/>
        </w:rPr>
        <w:t>（</w:t>
      </w:r>
      <w:r>
        <w:rPr>
          <w:rFonts w:hint="eastAsia" w:eastAsia="仿宋_GB2312" w:cs="仿宋_GB2312"/>
          <w:color w:val="auto"/>
          <w:kern w:val="2"/>
          <w:sz w:val="32"/>
          <w:szCs w:val="32"/>
          <w:highlight w:val="none"/>
          <w:lang w:val="en-US" w:eastAsia="zh-CN" w:bidi="ar-SA"/>
        </w:rPr>
        <w:t>2060902</w:t>
      </w:r>
      <w:r>
        <w:rPr>
          <w:rFonts w:hint="eastAsia" w:ascii="仿宋" w:hAnsi="仿宋" w:eastAsia="仿宋"/>
          <w:sz w:val="32"/>
          <w:szCs w:val="32"/>
          <w:highlight w:val="none"/>
          <w:lang w:eastAsia="zh-CN"/>
        </w:rPr>
        <w:t>）</w:t>
      </w:r>
      <w:r>
        <w:rPr>
          <w:rFonts w:hint="eastAsia" w:ascii="仿宋" w:hAnsi="仿宋" w:eastAsia="仿宋"/>
          <w:sz w:val="32"/>
          <w:szCs w:val="32"/>
          <w:highlight w:val="none"/>
        </w:rPr>
        <w:t>：反映重点研发计划的有关经费支出。</w:t>
      </w:r>
    </w:p>
    <w:p w14:paraId="421F6B63">
      <w:pPr>
        <w:spacing w:line="600" w:lineRule="exact"/>
        <w:ind w:firstLine="640" w:firstLineChars="200"/>
        <w:rPr>
          <w:rFonts w:hint="eastAsia" w:ascii="仿宋" w:hAnsi="仿宋" w:eastAsia="仿宋"/>
          <w:sz w:val="32"/>
          <w:szCs w:val="32"/>
          <w:highlight w:val="none"/>
        </w:rPr>
      </w:pPr>
      <w:r>
        <w:rPr>
          <w:rFonts w:hint="eastAsia" w:ascii="仿宋" w:hAnsi="仿宋" w:eastAsia="仿宋"/>
          <w:sz w:val="32"/>
          <w:szCs w:val="32"/>
          <w:highlight w:val="none"/>
        </w:rPr>
        <w:t>1</w:t>
      </w:r>
      <w:r>
        <w:rPr>
          <w:rFonts w:hint="eastAsia" w:ascii="仿宋" w:hAnsi="仿宋" w:eastAsia="仿宋"/>
          <w:sz w:val="32"/>
          <w:szCs w:val="32"/>
          <w:highlight w:val="none"/>
          <w:lang w:val="en-US" w:eastAsia="zh-CN"/>
        </w:rPr>
        <w:t>4</w:t>
      </w:r>
      <w:r>
        <w:rPr>
          <w:rFonts w:hint="eastAsia" w:ascii="仿宋" w:hAnsi="仿宋" w:eastAsia="仿宋"/>
          <w:sz w:val="32"/>
          <w:szCs w:val="32"/>
          <w:highlight w:val="none"/>
        </w:rPr>
        <w:t>.科学技术支出（类）其他科学技术研究（款）其他科学技术研究（项）</w:t>
      </w:r>
      <w:r>
        <w:rPr>
          <w:rFonts w:hint="eastAsia" w:ascii="仿宋" w:hAnsi="仿宋" w:eastAsia="仿宋"/>
          <w:sz w:val="32"/>
          <w:szCs w:val="32"/>
          <w:highlight w:val="none"/>
          <w:lang w:eastAsia="zh-CN"/>
        </w:rPr>
        <w:t>（</w:t>
      </w:r>
      <w:r>
        <w:rPr>
          <w:rFonts w:hint="eastAsia" w:eastAsia="仿宋_GB2312" w:cs="仿宋_GB2312"/>
          <w:color w:val="auto"/>
          <w:kern w:val="2"/>
          <w:sz w:val="32"/>
          <w:szCs w:val="32"/>
          <w:highlight w:val="none"/>
          <w:lang w:val="en-US" w:eastAsia="zh-CN" w:bidi="ar-SA"/>
        </w:rPr>
        <w:t>2069999</w:t>
      </w:r>
      <w:r>
        <w:rPr>
          <w:rFonts w:hint="eastAsia" w:ascii="仿宋" w:hAnsi="仿宋" w:eastAsia="仿宋"/>
          <w:sz w:val="32"/>
          <w:szCs w:val="32"/>
          <w:highlight w:val="none"/>
          <w:lang w:eastAsia="zh-CN"/>
        </w:rPr>
        <w:t>）</w:t>
      </w:r>
      <w:r>
        <w:rPr>
          <w:rFonts w:hint="eastAsia" w:ascii="仿宋" w:hAnsi="仿宋" w:eastAsia="仿宋"/>
          <w:sz w:val="32"/>
          <w:szCs w:val="32"/>
          <w:highlight w:val="none"/>
        </w:rPr>
        <w:t>：反映其他科学技术支出中除以上各项外用于科技方面的支出。</w:t>
      </w:r>
    </w:p>
    <w:p w14:paraId="78A46D3D">
      <w:pPr>
        <w:spacing w:line="600" w:lineRule="exact"/>
        <w:ind w:firstLine="640" w:firstLineChars="200"/>
        <w:rPr>
          <w:rFonts w:ascii="仿宋" w:hAnsi="仿宋" w:eastAsia="仿宋"/>
          <w:sz w:val="32"/>
          <w:szCs w:val="32"/>
          <w:highlight w:val="none"/>
        </w:rPr>
      </w:pPr>
      <w:r>
        <w:rPr>
          <w:rFonts w:hint="eastAsia" w:ascii="仿宋" w:hAnsi="仿宋" w:eastAsia="仿宋"/>
          <w:sz w:val="32"/>
          <w:szCs w:val="32"/>
          <w:highlight w:val="none"/>
        </w:rPr>
        <w:t>1</w:t>
      </w:r>
      <w:r>
        <w:rPr>
          <w:rFonts w:hint="eastAsia" w:ascii="仿宋" w:hAnsi="仿宋" w:eastAsia="仿宋"/>
          <w:sz w:val="32"/>
          <w:szCs w:val="32"/>
          <w:highlight w:val="none"/>
          <w:lang w:val="en-US" w:eastAsia="zh-CN"/>
        </w:rPr>
        <w:t>5</w:t>
      </w:r>
      <w:r>
        <w:rPr>
          <w:rFonts w:hint="eastAsia" w:ascii="仿宋" w:hAnsi="仿宋" w:eastAsia="仿宋"/>
          <w:sz w:val="32"/>
          <w:szCs w:val="32"/>
          <w:highlight w:val="none"/>
        </w:rPr>
        <w:t>.社会保障和就业（类）行政事业单位离退休（款）机关事业单位基本养老保险缴费支出（项）</w:t>
      </w:r>
      <w:r>
        <w:rPr>
          <w:rFonts w:hint="eastAsia" w:ascii="仿宋" w:hAnsi="仿宋" w:eastAsia="仿宋"/>
          <w:sz w:val="32"/>
          <w:szCs w:val="32"/>
          <w:highlight w:val="none"/>
          <w:lang w:eastAsia="zh-CN"/>
        </w:rPr>
        <w:t>（</w:t>
      </w:r>
      <w:r>
        <w:rPr>
          <w:rFonts w:hint="eastAsia" w:eastAsia="仿宋_GB2312" w:cs="仿宋_GB2312"/>
          <w:color w:val="auto"/>
          <w:kern w:val="2"/>
          <w:sz w:val="32"/>
          <w:szCs w:val="32"/>
          <w:highlight w:val="none"/>
          <w:lang w:val="en-US" w:eastAsia="zh-CN" w:bidi="ar-SA"/>
        </w:rPr>
        <w:t>2080505</w:t>
      </w:r>
      <w:r>
        <w:rPr>
          <w:rFonts w:hint="eastAsia" w:ascii="仿宋" w:hAnsi="仿宋" w:eastAsia="仿宋"/>
          <w:sz w:val="32"/>
          <w:szCs w:val="32"/>
          <w:highlight w:val="none"/>
          <w:lang w:eastAsia="zh-CN"/>
        </w:rPr>
        <w:t>）</w:t>
      </w:r>
      <w:r>
        <w:rPr>
          <w:rFonts w:hint="eastAsia" w:ascii="仿宋" w:hAnsi="仿宋" w:eastAsia="仿宋"/>
          <w:sz w:val="32"/>
          <w:szCs w:val="32"/>
          <w:highlight w:val="none"/>
        </w:rPr>
        <w:t>：反映机关事业单位实施养老保险制度由单位实际缴纳的基本养老保险缴费支出。</w:t>
      </w:r>
    </w:p>
    <w:p w14:paraId="15678680">
      <w:pPr>
        <w:spacing w:line="600" w:lineRule="exact"/>
        <w:ind w:firstLine="640" w:firstLineChars="200"/>
        <w:rPr>
          <w:rFonts w:ascii="仿宋" w:hAnsi="仿宋" w:eastAsia="仿宋"/>
          <w:sz w:val="32"/>
          <w:szCs w:val="32"/>
          <w:highlight w:val="none"/>
        </w:rPr>
      </w:pPr>
      <w:r>
        <w:rPr>
          <w:rFonts w:hint="eastAsia" w:ascii="仿宋" w:hAnsi="仿宋" w:eastAsia="仿宋"/>
          <w:sz w:val="32"/>
          <w:szCs w:val="32"/>
          <w:highlight w:val="none"/>
        </w:rPr>
        <w:t>1</w:t>
      </w:r>
      <w:r>
        <w:rPr>
          <w:rFonts w:hint="eastAsia" w:ascii="仿宋" w:hAnsi="仿宋" w:eastAsia="仿宋"/>
          <w:sz w:val="32"/>
          <w:szCs w:val="32"/>
          <w:highlight w:val="none"/>
          <w:lang w:val="en-US" w:eastAsia="zh-CN"/>
        </w:rPr>
        <w:t>6</w:t>
      </w:r>
      <w:r>
        <w:rPr>
          <w:rFonts w:hint="eastAsia" w:ascii="仿宋" w:hAnsi="仿宋" w:eastAsia="仿宋"/>
          <w:sz w:val="32"/>
          <w:szCs w:val="32"/>
          <w:highlight w:val="none"/>
        </w:rPr>
        <w:t>.社会保障和就业（类）行政事业单位离退休（款）机关事业单位职业年金缴费支出（项）</w:t>
      </w:r>
      <w:r>
        <w:rPr>
          <w:rFonts w:hint="eastAsia" w:ascii="仿宋" w:hAnsi="仿宋" w:eastAsia="仿宋"/>
          <w:sz w:val="32"/>
          <w:szCs w:val="32"/>
          <w:highlight w:val="none"/>
          <w:lang w:eastAsia="zh-CN"/>
        </w:rPr>
        <w:t>（</w:t>
      </w:r>
      <w:r>
        <w:rPr>
          <w:rFonts w:hint="eastAsia" w:eastAsia="仿宋_GB2312" w:cs="仿宋_GB2312"/>
          <w:color w:val="auto"/>
          <w:kern w:val="2"/>
          <w:sz w:val="32"/>
          <w:szCs w:val="32"/>
          <w:highlight w:val="none"/>
          <w:lang w:val="en-US" w:eastAsia="zh-CN" w:bidi="ar-SA"/>
        </w:rPr>
        <w:t>2080506</w:t>
      </w:r>
      <w:r>
        <w:rPr>
          <w:rFonts w:hint="eastAsia" w:ascii="仿宋" w:hAnsi="仿宋" w:eastAsia="仿宋"/>
          <w:sz w:val="32"/>
          <w:szCs w:val="32"/>
          <w:highlight w:val="none"/>
          <w:lang w:eastAsia="zh-CN"/>
        </w:rPr>
        <w:t>）</w:t>
      </w:r>
      <w:r>
        <w:rPr>
          <w:rFonts w:hint="eastAsia" w:ascii="仿宋" w:hAnsi="仿宋" w:eastAsia="仿宋"/>
          <w:sz w:val="32"/>
          <w:szCs w:val="32"/>
          <w:highlight w:val="none"/>
        </w:rPr>
        <w:t>：反映机关事业单位实施养老保险制度由单位实际缴纳</w:t>
      </w:r>
      <w:r>
        <w:rPr>
          <w:rFonts w:hint="eastAsia" w:ascii="仿宋" w:hAnsi="仿宋" w:eastAsia="仿宋"/>
          <w:sz w:val="32"/>
          <w:szCs w:val="32"/>
          <w:highlight w:val="none"/>
          <w:lang w:eastAsia="zh-CN"/>
        </w:rPr>
        <w:t>的</w:t>
      </w:r>
      <w:r>
        <w:rPr>
          <w:rFonts w:hint="eastAsia" w:ascii="仿宋" w:hAnsi="仿宋" w:eastAsia="仿宋"/>
          <w:sz w:val="32"/>
          <w:szCs w:val="32"/>
          <w:highlight w:val="none"/>
        </w:rPr>
        <w:t>职业年金支出。</w:t>
      </w:r>
    </w:p>
    <w:p w14:paraId="2463313B">
      <w:p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ascii="仿宋" w:hAnsi="仿宋" w:eastAsia="仿宋"/>
          <w:sz w:val="32"/>
          <w:szCs w:val="32"/>
          <w:highlight w:val="none"/>
        </w:rPr>
        <w:t>1</w:t>
      </w:r>
      <w:r>
        <w:rPr>
          <w:rFonts w:hint="eastAsia" w:ascii="仿宋" w:hAnsi="仿宋" w:eastAsia="仿宋"/>
          <w:sz w:val="32"/>
          <w:szCs w:val="32"/>
          <w:highlight w:val="none"/>
          <w:lang w:val="en-US" w:eastAsia="zh-CN"/>
        </w:rPr>
        <w:t>7</w:t>
      </w:r>
      <w:r>
        <w:rPr>
          <w:rFonts w:hint="eastAsia" w:ascii="仿宋" w:hAnsi="仿宋" w:eastAsia="仿宋"/>
          <w:sz w:val="32"/>
          <w:szCs w:val="32"/>
          <w:highlight w:val="none"/>
        </w:rPr>
        <w:t>.社会保障和就业（类）行政事业单位离退休（款）</w:t>
      </w:r>
      <w:r>
        <w:rPr>
          <w:rFonts w:hint="eastAsia" w:eastAsia="仿宋_GB2312" w:cs="仿宋_GB2312"/>
          <w:color w:val="auto"/>
          <w:kern w:val="2"/>
          <w:sz w:val="32"/>
          <w:szCs w:val="32"/>
          <w:highlight w:val="none"/>
          <w:lang w:val="en-US" w:eastAsia="zh-CN" w:bidi="ar-SA"/>
        </w:rPr>
        <w:t>其他行政事业单位养老支出</w:t>
      </w:r>
      <w:r>
        <w:rPr>
          <w:rFonts w:hint="eastAsia" w:ascii="仿宋" w:hAnsi="仿宋" w:eastAsia="仿宋"/>
          <w:sz w:val="32"/>
          <w:szCs w:val="32"/>
          <w:highlight w:val="none"/>
        </w:rPr>
        <w:t>（项）</w:t>
      </w:r>
      <w:r>
        <w:rPr>
          <w:rFonts w:hint="eastAsia" w:ascii="仿宋" w:hAnsi="仿宋" w:eastAsia="仿宋"/>
          <w:sz w:val="32"/>
          <w:szCs w:val="32"/>
          <w:highlight w:val="none"/>
          <w:lang w:eastAsia="zh-CN"/>
        </w:rPr>
        <w:t>（</w:t>
      </w:r>
      <w:r>
        <w:rPr>
          <w:rFonts w:hint="eastAsia" w:eastAsia="仿宋_GB2312" w:cs="仿宋_GB2312"/>
          <w:color w:val="auto"/>
          <w:kern w:val="2"/>
          <w:sz w:val="32"/>
          <w:szCs w:val="32"/>
          <w:highlight w:val="none"/>
          <w:lang w:val="en-US" w:eastAsia="zh-CN" w:bidi="ar-SA"/>
        </w:rPr>
        <w:t>2080599</w:t>
      </w:r>
      <w:r>
        <w:rPr>
          <w:rFonts w:hint="eastAsia" w:ascii="仿宋" w:hAnsi="仿宋" w:eastAsia="仿宋"/>
          <w:sz w:val="32"/>
          <w:szCs w:val="32"/>
          <w:highlight w:val="none"/>
          <w:lang w:eastAsia="zh-CN"/>
        </w:rPr>
        <w:t>）</w:t>
      </w:r>
      <w:r>
        <w:rPr>
          <w:rFonts w:hint="eastAsia" w:ascii="仿宋" w:hAnsi="仿宋" w:eastAsia="仿宋"/>
          <w:sz w:val="32"/>
          <w:szCs w:val="32"/>
          <w:highlight w:val="none"/>
        </w:rPr>
        <w:t>：反映除上述项目以外</w:t>
      </w:r>
      <w:r>
        <w:rPr>
          <w:rFonts w:hint="eastAsia" w:ascii="仿宋" w:hAnsi="仿宋" w:eastAsia="仿宋"/>
          <w:sz w:val="32"/>
          <w:szCs w:val="32"/>
          <w:highlight w:val="none"/>
          <w:lang w:val="en-US" w:eastAsia="zh-CN"/>
        </w:rPr>
        <w:t>用于</w:t>
      </w:r>
      <w:r>
        <w:rPr>
          <w:rFonts w:hint="eastAsia" w:eastAsia="仿宋_GB2312" w:cs="仿宋_GB2312"/>
          <w:color w:val="auto"/>
          <w:kern w:val="2"/>
          <w:sz w:val="32"/>
          <w:szCs w:val="32"/>
          <w:highlight w:val="none"/>
          <w:lang w:val="en-US" w:eastAsia="zh-CN" w:bidi="ar-SA"/>
        </w:rPr>
        <w:t>其他行政事业单位养老方面的支出。</w:t>
      </w:r>
    </w:p>
    <w:p w14:paraId="6FB8ACBF">
      <w:pPr>
        <w:spacing w:line="600" w:lineRule="exact"/>
        <w:ind w:firstLine="640" w:firstLineChars="200"/>
        <w:rPr>
          <w:rFonts w:ascii="仿宋" w:hAnsi="仿宋" w:eastAsia="仿宋"/>
          <w:sz w:val="32"/>
          <w:szCs w:val="32"/>
          <w:highlight w:val="none"/>
        </w:rPr>
      </w:pPr>
      <w:r>
        <w:rPr>
          <w:rFonts w:hint="eastAsia" w:ascii="仿宋" w:hAnsi="仿宋" w:eastAsia="仿宋"/>
          <w:sz w:val="32"/>
          <w:szCs w:val="32"/>
          <w:highlight w:val="none"/>
        </w:rPr>
        <w:t>1</w:t>
      </w:r>
      <w:r>
        <w:rPr>
          <w:rFonts w:hint="eastAsia" w:ascii="仿宋" w:hAnsi="仿宋" w:eastAsia="仿宋"/>
          <w:sz w:val="32"/>
          <w:szCs w:val="32"/>
          <w:highlight w:val="none"/>
          <w:lang w:val="en-US" w:eastAsia="zh-CN"/>
        </w:rPr>
        <w:t>8</w:t>
      </w:r>
      <w:r>
        <w:rPr>
          <w:rFonts w:hint="eastAsia" w:ascii="仿宋" w:hAnsi="仿宋" w:eastAsia="仿宋"/>
          <w:sz w:val="32"/>
          <w:szCs w:val="32"/>
          <w:highlight w:val="none"/>
        </w:rPr>
        <w:t>.卫生健康支出（类）行政事业单位医疗（款）事业单位医疗（项）</w:t>
      </w:r>
      <w:r>
        <w:rPr>
          <w:rFonts w:hint="eastAsia" w:ascii="仿宋" w:hAnsi="仿宋" w:eastAsia="仿宋"/>
          <w:sz w:val="32"/>
          <w:szCs w:val="32"/>
          <w:highlight w:val="none"/>
          <w:lang w:eastAsia="zh-CN"/>
        </w:rPr>
        <w:t>（</w:t>
      </w:r>
      <w:r>
        <w:rPr>
          <w:rFonts w:hint="eastAsia" w:eastAsia="仿宋_GB2312" w:cs="仿宋_GB2312"/>
          <w:color w:val="auto"/>
          <w:kern w:val="2"/>
          <w:sz w:val="32"/>
          <w:szCs w:val="32"/>
          <w:highlight w:val="none"/>
          <w:lang w:val="en-US" w:eastAsia="zh-CN" w:bidi="ar-SA"/>
        </w:rPr>
        <w:t>2101102</w:t>
      </w:r>
      <w:r>
        <w:rPr>
          <w:rFonts w:hint="eastAsia" w:ascii="仿宋" w:hAnsi="仿宋" w:eastAsia="仿宋"/>
          <w:sz w:val="32"/>
          <w:szCs w:val="32"/>
          <w:highlight w:val="none"/>
          <w:lang w:eastAsia="zh-CN"/>
        </w:rPr>
        <w:t>）</w:t>
      </w:r>
      <w:r>
        <w:rPr>
          <w:rFonts w:hint="eastAsia" w:ascii="仿宋" w:hAnsi="仿宋" w:eastAsia="仿宋"/>
          <w:sz w:val="32"/>
          <w:szCs w:val="32"/>
          <w:highlight w:val="none"/>
        </w:rPr>
        <w:t>：反映财政部门集中安排的事业单位基本医疗保险缴费经费，未参加医疗保险的事业单位的公费医疗经费，按国家规定享受离休人员待遇的医疗经费。</w:t>
      </w:r>
    </w:p>
    <w:p w14:paraId="070284D9">
      <w:pPr>
        <w:spacing w:line="600" w:lineRule="exact"/>
        <w:ind w:firstLine="640" w:firstLineChars="200"/>
        <w:rPr>
          <w:rFonts w:hint="eastAsia" w:ascii="仿宋" w:hAnsi="仿宋" w:eastAsia="仿宋"/>
          <w:sz w:val="32"/>
          <w:szCs w:val="32"/>
          <w:highlight w:val="none"/>
        </w:rPr>
      </w:pPr>
      <w:r>
        <w:rPr>
          <w:rFonts w:hint="eastAsia" w:ascii="仿宋" w:hAnsi="仿宋" w:eastAsia="仿宋"/>
          <w:sz w:val="32"/>
          <w:szCs w:val="32"/>
          <w:highlight w:val="none"/>
        </w:rPr>
        <w:t>1</w:t>
      </w:r>
      <w:r>
        <w:rPr>
          <w:rFonts w:hint="eastAsia" w:ascii="仿宋" w:hAnsi="仿宋" w:eastAsia="仿宋"/>
          <w:sz w:val="32"/>
          <w:szCs w:val="32"/>
          <w:highlight w:val="none"/>
          <w:lang w:val="en-US" w:eastAsia="zh-CN"/>
        </w:rPr>
        <w:t>9</w:t>
      </w:r>
      <w:r>
        <w:rPr>
          <w:rFonts w:hint="eastAsia" w:ascii="仿宋" w:hAnsi="仿宋" w:eastAsia="仿宋"/>
          <w:sz w:val="32"/>
          <w:szCs w:val="32"/>
          <w:highlight w:val="none"/>
        </w:rPr>
        <w:t>.卫生健康支出（类）行政事业单位医疗（款）其他行政事业单位医疗（项）</w:t>
      </w:r>
      <w:r>
        <w:rPr>
          <w:rFonts w:hint="eastAsia" w:ascii="仿宋" w:hAnsi="仿宋" w:eastAsia="仿宋"/>
          <w:sz w:val="32"/>
          <w:szCs w:val="32"/>
          <w:highlight w:val="none"/>
          <w:lang w:eastAsia="zh-CN"/>
        </w:rPr>
        <w:t>（</w:t>
      </w:r>
      <w:r>
        <w:rPr>
          <w:rFonts w:hint="eastAsia" w:eastAsia="仿宋_GB2312" w:cs="仿宋_GB2312"/>
          <w:color w:val="auto"/>
          <w:kern w:val="2"/>
          <w:sz w:val="32"/>
          <w:szCs w:val="32"/>
          <w:highlight w:val="none"/>
          <w:lang w:val="en-US" w:eastAsia="zh-CN" w:bidi="ar-SA"/>
        </w:rPr>
        <w:t>2101199</w:t>
      </w:r>
      <w:r>
        <w:rPr>
          <w:rFonts w:hint="eastAsia" w:ascii="仿宋" w:hAnsi="仿宋" w:eastAsia="仿宋"/>
          <w:sz w:val="32"/>
          <w:szCs w:val="32"/>
          <w:highlight w:val="none"/>
          <w:lang w:eastAsia="zh-CN"/>
        </w:rPr>
        <w:t>）</w:t>
      </w:r>
      <w:r>
        <w:rPr>
          <w:rFonts w:hint="eastAsia" w:ascii="仿宋" w:hAnsi="仿宋" w:eastAsia="仿宋"/>
          <w:sz w:val="32"/>
          <w:szCs w:val="32"/>
          <w:highlight w:val="none"/>
        </w:rPr>
        <w:t>：反映除上述项目以外的其他用于行政事业单位医疗方面的支出。</w:t>
      </w:r>
    </w:p>
    <w:p w14:paraId="73B09E37">
      <w:pPr>
        <w:spacing w:line="600" w:lineRule="exact"/>
        <w:ind w:firstLine="640" w:firstLineChars="200"/>
        <w:rPr>
          <w:rFonts w:hint="eastAsia" w:ascii="仿宋" w:hAnsi="仿宋" w:eastAsia="仿宋"/>
          <w:sz w:val="32"/>
          <w:szCs w:val="32"/>
          <w:highlight w:val="none"/>
        </w:rPr>
      </w:pPr>
      <w:r>
        <w:rPr>
          <w:rFonts w:hint="eastAsia" w:ascii="仿宋" w:hAnsi="仿宋" w:eastAsia="仿宋"/>
          <w:sz w:val="32"/>
          <w:szCs w:val="32"/>
          <w:highlight w:val="none"/>
          <w:lang w:val="en-US" w:eastAsia="zh-CN"/>
        </w:rPr>
        <w:t>20.</w:t>
      </w:r>
      <w:r>
        <w:rPr>
          <w:rFonts w:hint="eastAsia" w:ascii="Times New Roman" w:hAnsi="Times New Roman" w:eastAsia="仿宋_GB2312" w:cs="仿宋_GB2312"/>
          <w:color w:val="auto"/>
          <w:kern w:val="2"/>
          <w:sz w:val="32"/>
          <w:szCs w:val="32"/>
          <w:highlight w:val="none"/>
          <w:lang w:val="en-US" w:eastAsia="zh-CN" w:bidi="ar-SA"/>
        </w:rPr>
        <w:t>农林水</w:t>
      </w:r>
      <w:r>
        <w:rPr>
          <w:rFonts w:hint="eastAsia" w:ascii="仿宋" w:hAnsi="仿宋" w:eastAsia="仿宋"/>
          <w:sz w:val="32"/>
          <w:szCs w:val="32"/>
          <w:highlight w:val="none"/>
        </w:rPr>
        <w:t>支出（类）</w:t>
      </w:r>
      <w:r>
        <w:rPr>
          <w:rFonts w:hint="eastAsia" w:ascii="仿宋" w:hAnsi="仿宋" w:eastAsia="仿宋"/>
          <w:sz w:val="32"/>
          <w:szCs w:val="32"/>
          <w:highlight w:val="none"/>
          <w:lang w:val="en-US" w:eastAsia="zh-CN"/>
        </w:rPr>
        <w:t>农业农村</w:t>
      </w:r>
      <w:r>
        <w:rPr>
          <w:rFonts w:hint="eastAsia" w:ascii="仿宋" w:hAnsi="仿宋" w:eastAsia="仿宋"/>
          <w:sz w:val="32"/>
          <w:szCs w:val="32"/>
          <w:highlight w:val="none"/>
        </w:rPr>
        <w:t>（款）</w:t>
      </w:r>
      <w:r>
        <w:rPr>
          <w:rFonts w:hint="eastAsia" w:eastAsia="仿宋_GB2312" w:cs="仿宋_GB2312"/>
          <w:color w:val="auto"/>
          <w:kern w:val="2"/>
          <w:sz w:val="32"/>
          <w:szCs w:val="32"/>
          <w:highlight w:val="none"/>
          <w:lang w:val="en-US" w:eastAsia="zh-CN" w:bidi="ar-SA"/>
        </w:rPr>
        <w:t>事业运行</w:t>
      </w:r>
      <w:r>
        <w:rPr>
          <w:rFonts w:hint="eastAsia" w:ascii="仿宋" w:hAnsi="仿宋" w:eastAsia="仿宋"/>
          <w:sz w:val="32"/>
          <w:szCs w:val="32"/>
          <w:highlight w:val="none"/>
        </w:rPr>
        <w:t>（项）</w:t>
      </w:r>
      <w:r>
        <w:rPr>
          <w:rFonts w:hint="eastAsia" w:ascii="仿宋" w:hAnsi="仿宋" w:eastAsia="仿宋"/>
          <w:sz w:val="32"/>
          <w:szCs w:val="32"/>
          <w:highlight w:val="none"/>
          <w:lang w:eastAsia="zh-CN"/>
        </w:rPr>
        <w:t>（</w:t>
      </w:r>
      <w:r>
        <w:rPr>
          <w:rFonts w:hint="eastAsia" w:eastAsia="仿宋_GB2312" w:cs="仿宋_GB2312"/>
          <w:color w:val="auto"/>
          <w:kern w:val="2"/>
          <w:sz w:val="32"/>
          <w:szCs w:val="32"/>
          <w:highlight w:val="none"/>
          <w:lang w:val="en-US" w:eastAsia="zh-CN" w:bidi="ar-SA"/>
        </w:rPr>
        <w:t>2130104</w:t>
      </w:r>
      <w:r>
        <w:rPr>
          <w:rFonts w:hint="eastAsia" w:ascii="仿宋" w:hAnsi="仿宋" w:eastAsia="仿宋"/>
          <w:sz w:val="32"/>
          <w:szCs w:val="32"/>
          <w:highlight w:val="none"/>
          <w:lang w:eastAsia="zh-CN"/>
        </w:rPr>
        <w:t>）</w:t>
      </w:r>
      <w:r>
        <w:rPr>
          <w:rFonts w:hint="eastAsia" w:ascii="仿宋" w:hAnsi="仿宋" w:eastAsia="仿宋"/>
          <w:sz w:val="32"/>
          <w:szCs w:val="32"/>
          <w:highlight w:val="none"/>
        </w:rPr>
        <w:t>：反映</w:t>
      </w:r>
      <w:r>
        <w:rPr>
          <w:rFonts w:hint="eastAsia" w:ascii="仿宋" w:hAnsi="仿宋" w:eastAsia="仿宋"/>
          <w:sz w:val="32"/>
          <w:szCs w:val="32"/>
          <w:highlight w:val="none"/>
          <w:lang w:val="en-US" w:eastAsia="zh-CN"/>
        </w:rPr>
        <w:t>用于农业事业单位基本支出，事业单位设施、系统运行与资产维护等方面</w:t>
      </w:r>
      <w:r>
        <w:rPr>
          <w:rFonts w:hint="eastAsia" w:ascii="仿宋" w:hAnsi="仿宋" w:eastAsia="仿宋"/>
          <w:sz w:val="32"/>
          <w:szCs w:val="32"/>
          <w:highlight w:val="none"/>
        </w:rPr>
        <w:t>的支出。</w:t>
      </w:r>
    </w:p>
    <w:p w14:paraId="4CD5A8F3">
      <w:pPr>
        <w:spacing w:line="600" w:lineRule="exact"/>
        <w:ind w:firstLine="640" w:firstLineChars="200"/>
        <w:rPr>
          <w:rFonts w:hint="eastAsia" w:ascii="仿宋" w:hAnsi="仿宋" w:eastAsia="仿宋"/>
          <w:sz w:val="32"/>
          <w:szCs w:val="32"/>
          <w:highlight w:val="none"/>
        </w:rPr>
      </w:pPr>
      <w:r>
        <w:rPr>
          <w:rFonts w:hint="eastAsia" w:ascii="仿宋" w:hAnsi="仿宋" w:eastAsia="仿宋"/>
          <w:sz w:val="32"/>
          <w:szCs w:val="32"/>
          <w:highlight w:val="none"/>
          <w:lang w:val="en-US" w:eastAsia="zh-CN"/>
        </w:rPr>
        <w:t>21.</w:t>
      </w:r>
      <w:r>
        <w:rPr>
          <w:rFonts w:hint="eastAsia" w:ascii="Times New Roman" w:hAnsi="Times New Roman" w:eastAsia="仿宋_GB2312" w:cs="仿宋_GB2312"/>
          <w:color w:val="auto"/>
          <w:kern w:val="2"/>
          <w:sz w:val="32"/>
          <w:szCs w:val="32"/>
          <w:highlight w:val="none"/>
          <w:lang w:val="en-US" w:eastAsia="zh-CN" w:bidi="ar-SA"/>
        </w:rPr>
        <w:t>农林水</w:t>
      </w:r>
      <w:r>
        <w:rPr>
          <w:rFonts w:hint="eastAsia" w:ascii="仿宋" w:hAnsi="仿宋" w:eastAsia="仿宋"/>
          <w:sz w:val="32"/>
          <w:szCs w:val="32"/>
          <w:highlight w:val="none"/>
        </w:rPr>
        <w:t>支出（类）</w:t>
      </w:r>
      <w:r>
        <w:rPr>
          <w:rFonts w:hint="eastAsia" w:ascii="仿宋" w:hAnsi="仿宋" w:eastAsia="仿宋"/>
          <w:sz w:val="32"/>
          <w:szCs w:val="32"/>
          <w:highlight w:val="none"/>
          <w:lang w:val="en-US" w:eastAsia="zh-CN"/>
        </w:rPr>
        <w:t>农业农村</w:t>
      </w:r>
      <w:r>
        <w:rPr>
          <w:rFonts w:hint="eastAsia" w:ascii="仿宋" w:hAnsi="仿宋" w:eastAsia="仿宋"/>
          <w:sz w:val="32"/>
          <w:szCs w:val="32"/>
          <w:highlight w:val="none"/>
        </w:rPr>
        <w:t>（款）</w:t>
      </w:r>
      <w:r>
        <w:rPr>
          <w:rFonts w:hint="eastAsia" w:eastAsia="仿宋_GB2312" w:cs="仿宋_GB2312"/>
          <w:color w:val="auto"/>
          <w:kern w:val="2"/>
          <w:sz w:val="32"/>
          <w:szCs w:val="32"/>
          <w:highlight w:val="none"/>
          <w:lang w:val="en-US" w:eastAsia="zh-CN" w:bidi="ar-SA"/>
        </w:rPr>
        <w:t>科技转化与推广服务</w:t>
      </w:r>
      <w:r>
        <w:rPr>
          <w:rFonts w:hint="eastAsia" w:ascii="仿宋" w:hAnsi="仿宋" w:eastAsia="仿宋"/>
          <w:sz w:val="32"/>
          <w:szCs w:val="32"/>
          <w:highlight w:val="none"/>
        </w:rPr>
        <w:t>（项）</w:t>
      </w:r>
      <w:r>
        <w:rPr>
          <w:rFonts w:hint="eastAsia" w:ascii="仿宋" w:hAnsi="仿宋" w:eastAsia="仿宋"/>
          <w:sz w:val="32"/>
          <w:szCs w:val="32"/>
          <w:highlight w:val="none"/>
          <w:lang w:eastAsia="zh-CN"/>
        </w:rPr>
        <w:t>（</w:t>
      </w:r>
      <w:r>
        <w:rPr>
          <w:rFonts w:hint="eastAsia" w:eastAsia="仿宋_GB2312" w:cs="仿宋_GB2312"/>
          <w:color w:val="auto"/>
          <w:kern w:val="2"/>
          <w:sz w:val="32"/>
          <w:szCs w:val="32"/>
          <w:highlight w:val="none"/>
          <w:lang w:val="en-US" w:eastAsia="zh-CN" w:bidi="ar-SA"/>
        </w:rPr>
        <w:t>2130106</w:t>
      </w:r>
      <w:r>
        <w:rPr>
          <w:rFonts w:hint="eastAsia" w:ascii="仿宋" w:hAnsi="仿宋" w:eastAsia="仿宋"/>
          <w:sz w:val="32"/>
          <w:szCs w:val="32"/>
          <w:highlight w:val="none"/>
          <w:lang w:eastAsia="zh-CN"/>
        </w:rPr>
        <w:t>）</w:t>
      </w:r>
      <w:r>
        <w:rPr>
          <w:rFonts w:hint="eastAsia" w:ascii="仿宋" w:hAnsi="仿宋" w:eastAsia="仿宋"/>
          <w:sz w:val="32"/>
          <w:szCs w:val="32"/>
          <w:highlight w:val="none"/>
        </w:rPr>
        <w:t>：用于农业科技成果转化，农业科技人才奖励，农业新品种、新机具、新技术引进、试验、示范、推广及服务，农村人居环境整治等方面的技术试验示范支出。</w:t>
      </w:r>
    </w:p>
    <w:p w14:paraId="04EB628E">
      <w:pPr>
        <w:spacing w:line="600" w:lineRule="exact"/>
        <w:ind w:firstLine="640" w:firstLineChars="200"/>
        <w:rPr>
          <w:rFonts w:hint="eastAsia" w:ascii="仿宋" w:hAnsi="仿宋" w:eastAsia="仿宋"/>
          <w:sz w:val="32"/>
          <w:szCs w:val="32"/>
          <w:highlight w:val="none"/>
        </w:rPr>
      </w:pPr>
      <w:r>
        <w:rPr>
          <w:rFonts w:hint="eastAsia" w:ascii="仿宋" w:hAnsi="仿宋" w:eastAsia="仿宋"/>
          <w:sz w:val="32"/>
          <w:szCs w:val="32"/>
          <w:highlight w:val="none"/>
          <w:lang w:val="en-US" w:eastAsia="zh-CN"/>
        </w:rPr>
        <w:t>22.</w:t>
      </w:r>
      <w:r>
        <w:rPr>
          <w:rFonts w:hint="eastAsia" w:ascii="Times New Roman" w:hAnsi="Times New Roman" w:eastAsia="仿宋_GB2312" w:cs="仿宋_GB2312"/>
          <w:color w:val="auto"/>
          <w:kern w:val="2"/>
          <w:sz w:val="32"/>
          <w:szCs w:val="32"/>
          <w:highlight w:val="none"/>
          <w:lang w:val="en-US" w:eastAsia="zh-CN" w:bidi="ar-SA"/>
        </w:rPr>
        <w:t>农林水</w:t>
      </w:r>
      <w:r>
        <w:rPr>
          <w:rFonts w:hint="eastAsia" w:ascii="仿宋" w:hAnsi="仿宋" w:eastAsia="仿宋"/>
          <w:sz w:val="32"/>
          <w:szCs w:val="32"/>
          <w:highlight w:val="none"/>
        </w:rPr>
        <w:t>支出（类）</w:t>
      </w:r>
      <w:r>
        <w:rPr>
          <w:rFonts w:hint="eastAsia" w:ascii="仿宋" w:hAnsi="仿宋" w:eastAsia="仿宋"/>
          <w:sz w:val="32"/>
          <w:szCs w:val="32"/>
          <w:highlight w:val="none"/>
          <w:lang w:val="en-US" w:eastAsia="zh-CN"/>
        </w:rPr>
        <w:t>农业农村</w:t>
      </w:r>
      <w:r>
        <w:rPr>
          <w:rFonts w:hint="eastAsia" w:ascii="仿宋" w:hAnsi="仿宋" w:eastAsia="仿宋"/>
          <w:sz w:val="32"/>
          <w:szCs w:val="32"/>
          <w:highlight w:val="none"/>
        </w:rPr>
        <w:t>（款）</w:t>
      </w:r>
      <w:r>
        <w:rPr>
          <w:rFonts w:hint="eastAsia" w:eastAsia="仿宋_GB2312" w:cs="仿宋_GB2312"/>
          <w:color w:val="auto"/>
          <w:kern w:val="2"/>
          <w:sz w:val="32"/>
          <w:szCs w:val="32"/>
          <w:highlight w:val="none"/>
          <w:lang w:val="en-US" w:eastAsia="zh-CN" w:bidi="ar-SA"/>
        </w:rPr>
        <w:t>农业生态资源保护</w:t>
      </w:r>
      <w:r>
        <w:rPr>
          <w:rFonts w:hint="eastAsia" w:ascii="仿宋" w:hAnsi="仿宋" w:eastAsia="仿宋"/>
          <w:sz w:val="32"/>
          <w:szCs w:val="32"/>
          <w:highlight w:val="none"/>
        </w:rPr>
        <w:t>（项）</w:t>
      </w:r>
      <w:r>
        <w:rPr>
          <w:rFonts w:hint="eastAsia" w:ascii="仿宋" w:hAnsi="仿宋" w:eastAsia="仿宋"/>
          <w:sz w:val="32"/>
          <w:szCs w:val="32"/>
          <w:highlight w:val="none"/>
          <w:lang w:eastAsia="zh-CN"/>
        </w:rPr>
        <w:t>（</w:t>
      </w:r>
      <w:r>
        <w:rPr>
          <w:rFonts w:hint="eastAsia" w:eastAsia="仿宋_GB2312" w:cs="仿宋_GB2312"/>
          <w:color w:val="auto"/>
          <w:kern w:val="2"/>
          <w:sz w:val="32"/>
          <w:szCs w:val="32"/>
          <w:highlight w:val="none"/>
          <w:lang w:val="en-US" w:eastAsia="zh-CN" w:bidi="ar-SA"/>
        </w:rPr>
        <w:t>2130135</w:t>
      </w:r>
      <w:r>
        <w:rPr>
          <w:rFonts w:hint="eastAsia" w:ascii="仿宋" w:hAnsi="仿宋" w:eastAsia="仿宋"/>
          <w:sz w:val="32"/>
          <w:szCs w:val="32"/>
          <w:highlight w:val="none"/>
          <w:lang w:eastAsia="zh-CN"/>
        </w:rPr>
        <w:t>）</w:t>
      </w:r>
      <w:r>
        <w:rPr>
          <w:rFonts w:hint="eastAsia" w:ascii="仿宋" w:hAnsi="仿宋" w:eastAsia="仿宋"/>
          <w:sz w:val="32"/>
          <w:szCs w:val="32"/>
          <w:highlight w:val="none"/>
        </w:rPr>
        <w:t>：反映用于草原草场利用，渔业水域资源环境保护，农业品种改良提升，以及农业生物资源调研收集、鉴定评价、保存利用等方面的支出。</w:t>
      </w:r>
    </w:p>
    <w:p w14:paraId="2B170EC3">
      <w:pPr>
        <w:spacing w:line="600" w:lineRule="exact"/>
        <w:ind w:firstLine="640" w:firstLineChars="200"/>
        <w:rPr>
          <w:rFonts w:hint="eastAsia" w:ascii="仿宋" w:hAnsi="仿宋" w:eastAsia="仿宋"/>
          <w:sz w:val="32"/>
          <w:szCs w:val="32"/>
          <w:highlight w:val="none"/>
        </w:rPr>
      </w:pPr>
      <w:r>
        <w:rPr>
          <w:rFonts w:hint="eastAsia" w:ascii="仿宋" w:hAnsi="仿宋" w:eastAsia="仿宋"/>
          <w:sz w:val="32"/>
          <w:szCs w:val="32"/>
          <w:highlight w:val="none"/>
          <w:lang w:val="en-US" w:eastAsia="zh-CN"/>
        </w:rPr>
        <w:t>23.农林</w:t>
      </w:r>
      <w:r>
        <w:rPr>
          <w:rFonts w:hint="eastAsia" w:ascii="Times New Roman" w:hAnsi="Times New Roman" w:eastAsia="仿宋_GB2312" w:cs="仿宋_GB2312"/>
          <w:color w:val="auto"/>
          <w:kern w:val="2"/>
          <w:sz w:val="32"/>
          <w:szCs w:val="32"/>
          <w:highlight w:val="none"/>
          <w:lang w:val="en-US" w:eastAsia="zh-CN" w:bidi="ar-SA"/>
        </w:rPr>
        <w:t>水</w:t>
      </w:r>
      <w:r>
        <w:rPr>
          <w:rFonts w:hint="eastAsia" w:ascii="仿宋" w:hAnsi="仿宋" w:eastAsia="仿宋"/>
          <w:sz w:val="32"/>
          <w:szCs w:val="32"/>
          <w:highlight w:val="none"/>
        </w:rPr>
        <w:t>支出（类）</w:t>
      </w:r>
      <w:r>
        <w:rPr>
          <w:rFonts w:hint="eastAsia" w:ascii="仿宋" w:hAnsi="仿宋" w:eastAsia="仿宋"/>
          <w:sz w:val="32"/>
          <w:szCs w:val="32"/>
          <w:highlight w:val="none"/>
          <w:lang w:val="en-US" w:eastAsia="zh-CN"/>
        </w:rPr>
        <w:t>农业农村</w:t>
      </w:r>
      <w:r>
        <w:rPr>
          <w:rFonts w:hint="eastAsia" w:ascii="仿宋" w:hAnsi="仿宋" w:eastAsia="仿宋"/>
          <w:sz w:val="32"/>
          <w:szCs w:val="32"/>
          <w:highlight w:val="none"/>
        </w:rPr>
        <w:t>（款）</w:t>
      </w:r>
      <w:r>
        <w:rPr>
          <w:rFonts w:hint="eastAsia" w:eastAsia="仿宋_GB2312" w:cs="仿宋_GB2312"/>
          <w:color w:val="auto"/>
          <w:kern w:val="2"/>
          <w:sz w:val="32"/>
          <w:szCs w:val="32"/>
          <w:highlight w:val="none"/>
          <w:lang w:val="en-US" w:eastAsia="zh-CN" w:bidi="ar-SA"/>
        </w:rPr>
        <w:t>其他农业农村支出</w:t>
      </w:r>
      <w:r>
        <w:rPr>
          <w:rFonts w:hint="eastAsia" w:ascii="仿宋" w:hAnsi="仿宋" w:eastAsia="仿宋"/>
          <w:sz w:val="32"/>
          <w:szCs w:val="32"/>
          <w:highlight w:val="none"/>
        </w:rPr>
        <w:t>（项）</w:t>
      </w:r>
      <w:r>
        <w:rPr>
          <w:rFonts w:hint="eastAsia" w:ascii="仿宋" w:hAnsi="仿宋" w:eastAsia="仿宋"/>
          <w:sz w:val="32"/>
          <w:szCs w:val="32"/>
          <w:highlight w:val="none"/>
          <w:lang w:eastAsia="zh-CN"/>
        </w:rPr>
        <w:t>（</w:t>
      </w:r>
      <w:r>
        <w:rPr>
          <w:rFonts w:hint="eastAsia" w:eastAsia="仿宋_GB2312" w:cs="仿宋_GB2312"/>
          <w:color w:val="auto"/>
          <w:kern w:val="2"/>
          <w:sz w:val="32"/>
          <w:szCs w:val="32"/>
          <w:highlight w:val="none"/>
          <w:lang w:val="en-US" w:eastAsia="zh-CN" w:bidi="ar-SA"/>
        </w:rPr>
        <w:t>2130199</w:t>
      </w:r>
      <w:r>
        <w:rPr>
          <w:rFonts w:hint="eastAsia" w:ascii="仿宋" w:hAnsi="仿宋" w:eastAsia="仿宋"/>
          <w:sz w:val="32"/>
          <w:szCs w:val="32"/>
          <w:highlight w:val="none"/>
          <w:lang w:eastAsia="zh-CN"/>
        </w:rPr>
        <w:t>）</w:t>
      </w:r>
      <w:r>
        <w:rPr>
          <w:rFonts w:hint="eastAsia" w:ascii="仿宋" w:hAnsi="仿宋" w:eastAsia="仿宋"/>
          <w:sz w:val="32"/>
          <w:szCs w:val="32"/>
          <w:highlight w:val="none"/>
        </w:rPr>
        <w:t>：反映除上述项目以外其他用于农业农村方面的支出。</w:t>
      </w:r>
    </w:p>
    <w:p w14:paraId="7EDDA38E">
      <w:pPr>
        <w:spacing w:line="600" w:lineRule="exact"/>
        <w:ind w:firstLine="640" w:firstLineChars="200"/>
        <w:rPr>
          <w:rFonts w:ascii="仿宋" w:hAnsi="仿宋" w:eastAsia="仿宋"/>
          <w:sz w:val="32"/>
          <w:szCs w:val="32"/>
          <w:highlight w:val="none"/>
        </w:rPr>
      </w:pPr>
      <w:r>
        <w:rPr>
          <w:rFonts w:hint="eastAsia" w:ascii="仿宋" w:hAnsi="仿宋" w:eastAsia="仿宋"/>
          <w:sz w:val="32"/>
          <w:szCs w:val="32"/>
          <w:highlight w:val="none"/>
          <w:lang w:val="en-US" w:eastAsia="zh-CN"/>
        </w:rPr>
        <w:t>24</w:t>
      </w:r>
      <w:r>
        <w:rPr>
          <w:rFonts w:hint="eastAsia" w:ascii="仿宋" w:hAnsi="仿宋" w:eastAsia="仿宋"/>
          <w:sz w:val="32"/>
          <w:szCs w:val="32"/>
          <w:highlight w:val="none"/>
        </w:rPr>
        <w:t>.住房保障（类）住房改革支出（款）住房公积金（项）</w:t>
      </w:r>
      <w:r>
        <w:rPr>
          <w:rFonts w:hint="eastAsia" w:ascii="仿宋" w:hAnsi="仿宋" w:eastAsia="仿宋"/>
          <w:sz w:val="32"/>
          <w:szCs w:val="32"/>
          <w:highlight w:val="none"/>
          <w:lang w:eastAsia="zh-CN"/>
        </w:rPr>
        <w:t>（</w:t>
      </w:r>
      <w:r>
        <w:rPr>
          <w:rFonts w:hint="eastAsia" w:eastAsia="仿宋_GB2312" w:cs="仿宋_GB2312"/>
          <w:color w:val="auto"/>
          <w:kern w:val="2"/>
          <w:sz w:val="32"/>
          <w:szCs w:val="32"/>
          <w:highlight w:val="none"/>
          <w:lang w:val="en-US" w:eastAsia="zh-CN" w:bidi="ar-SA"/>
        </w:rPr>
        <w:t>2210201</w:t>
      </w:r>
      <w:r>
        <w:rPr>
          <w:rFonts w:hint="eastAsia" w:ascii="仿宋" w:hAnsi="仿宋" w:eastAsia="仿宋"/>
          <w:sz w:val="32"/>
          <w:szCs w:val="32"/>
          <w:highlight w:val="none"/>
          <w:lang w:eastAsia="zh-CN"/>
        </w:rPr>
        <w:t>）</w:t>
      </w:r>
      <w:r>
        <w:rPr>
          <w:rFonts w:hint="eastAsia" w:ascii="仿宋" w:hAnsi="仿宋" w:eastAsia="仿宋"/>
          <w:sz w:val="32"/>
          <w:szCs w:val="32"/>
          <w:highlight w:val="none"/>
        </w:rPr>
        <w:t>：指反映行政事业单位按人力资源和社会保障部、财政部规定的基本工资和津贴补贴以及规定比例为职工缴纳的住房公积金。</w:t>
      </w:r>
    </w:p>
    <w:p w14:paraId="2BA76316">
      <w:pPr>
        <w:spacing w:line="600" w:lineRule="exact"/>
        <w:ind w:firstLine="640" w:firstLineChars="200"/>
        <w:rPr>
          <w:rFonts w:ascii="仿宋" w:hAnsi="仿宋" w:eastAsia="仿宋"/>
          <w:sz w:val="32"/>
          <w:szCs w:val="32"/>
          <w:highlight w:val="none"/>
        </w:rPr>
      </w:pPr>
      <w:r>
        <w:rPr>
          <w:rFonts w:hint="eastAsia" w:ascii="仿宋" w:hAnsi="仿宋" w:eastAsia="仿宋"/>
          <w:sz w:val="32"/>
          <w:szCs w:val="32"/>
          <w:highlight w:val="none"/>
          <w:lang w:val="en-US" w:eastAsia="zh-CN"/>
        </w:rPr>
        <w:t>25</w:t>
      </w:r>
      <w:r>
        <w:rPr>
          <w:rFonts w:hint="eastAsia" w:ascii="仿宋" w:hAnsi="仿宋" w:eastAsia="仿宋"/>
          <w:sz w:val="32"/>
          <w:szCs w:val="32"/>
          <w:highlight w:val="none"/>
        </w:rPr>
        <w:t>.住房保障（类）住房改革支出（款）购房补贴（项）</w:t>
      </w:r>
      <w:r>
        <w:rPr>
          <w:rFonts w:hint="eastAsia" w:ascii="仿宋" w:hAnsi="仿宋" w:eastAsia="仿宋"/>
          <w:sz w:val="32"/>
          <w:szCs w:val="32"/>
          <w:highlight w:val="none"/>
          <w:lang w:eastAsia="zh-CN"/>
        </w:rPr>
        <w:t>（</w:t>
      </w:r>
      <w:r>
        <w:rPr>
          <w:rFonts w:hint="eastAsia" w:ascii="仿宋" w:hAnsi="仿宋" w:eastAsia="仿宋"/>
          <w:sz w:val="32"/>
          <w:szCs w:val="32"/>
          <w:highlight w:val="none"/>
          <w:lang w:val="en-US" w:eastAsia="zh-CN"/>
        </w:rPr>
        <w:t>2210203</w:t>
      </w:r>
      <w:r>
        <w:rPr>
          <w:rFonts w:hint="eastAsia" w:ascii="仿宋" w:hAnsi="仿宋" w:eastAsia="仿宋"/>
          <w:sz w:val="32"/>
          <w:szCs w:val="32"/>
          <w:highlight w:val="none"/>
          <w:lang w:eastAsia="zh-CN"/>
        </w:rPr>
        <w:t>）</w:t>
      </w:r>
      <w:r>
        <w:rPr>
          <w:rFonts w:hint="eastAsia" w:ascii="仿宋" w:hAnsi="仿宋" w:eastAsia="仿宋"/>
          <w:sz w:val="32"/>
          <w:szCs w:val="32"/>
          <w:highlight w:val="none"/>
        </w:rPr>
        <w:t>：指反映按房改政策规定，行政事业单位向符合条件职工（含离退休人员）、军</w:t>
      </w:r>
      <w:r>
        <w:rPr>
          <w:rFonts w:hint="eastAsia" w:ascii="仿宋" w:hAnsi="仿宋" w:eastAsia="仿宋"/>
          <w:sz w:val="32"/>
          <w:szCs w:val="32"/>
          <w:highlight w:val="none"/>
          <w:lang w:val="en-US" w:eastAsia="zh-CN"/>
        </w:rPr>
        <w:t>队</w:t>
      </w:r>
      <w:r>
        <w:rPr>
          <w:rFonts w:hint="eastAsia" w:ascii="仿宋" w:hAnsi="仿宋" w:eastAsia="仿宋"/>
          <w:sz w:val="32"/>
          <w:szCs w:val="32"/>
          <w:highlight w:val="none"/>
        </w:rPr>
        <w:t>（含武警）向转役复员离退休人员发放的用于购买住房的补贴。</w:t>
      </w:r>
    </w:p>
    <w:p w14:paraId="3CF7FD4E">
      <w:pPr>
        <w:spacing w:line="600" w:lineRule="exact"/>
        <w:ind w:firstLine="643" w:firstLineChars="200"/>
        <w:rPr>
          <w:rFonts w:ascii="仿宋" w:hAnsi="仿宋" w:eastAsia="仿宋"/>
          <w:b/>
          <w:sz w:val="32"/>
          <w:szCs w:val="32"/>
        </w:rPr>
      </w:pPr>
      <w:r>
        <w:rPr>
          <w:rFonts w:hint="eastAsia" w:ascii="仿宋" w:hAnsi="仿宋" w:eastAsia="仿宋"/>
          <w:b/>
          <w:sz w:val="32"/>
          <w:szCs w:val="32"/>
        </w:rPr>
        <w:t>（注：上述</w:t>
      </w:r>
      <w:r>
        <w:rPr>
          <w:rFonts w:hint="eastAsia" w:ascii="仿宋" w:hAnsi="仿宋" w:eastAsia="仿宋"/>
          <w:b/>
          <w:sz w:val="32"/>
          <w:szCs w:val="32"/>
          <w:lang w:val="en-US" w:eastAsia="zh-CN"/>
        </w:rPr>
        <w:t>7</w:t>
      </w:r>
      <w:r>
        <w:rPr>
          <w:rFonts w:hint="eastAsia" w:ascii="仿宋" w:hAnsi="仿宋" w:eastAsia="仿宋"/>
          <w:b/>
          <w:sz w:val="32"/>
          <w:szCs w:val="32"/>
          <w:lang w:eastAsia="zh-CN"/>
        </w:rPr>
        <w:t>～</w:t>
      </w:r>
      <w:r>
        <w:rPr>
          <w:rFonts w:hint="eastAsia" w:ascii="仿宋" w:hAnsi="仿宋" w:eastAsia="仿宋"/>
          <w:b/>
          <w:sz w:val="32"/>
          <w:szCs w:val="32"/>
          <w:lang w:val="en-US" w:eastAsia="zh-CN"/>
        </w:rPr>
        <w:t>25</w:t>
      </w:r>
      <w:r>
        <w:rPr>
          <w:rFonts w:hint="eastAsia" w:ascii="仿宋" w:hAnsi="仿宋" w:eastAsia="仿宋"/>
          <w:b/>
          <w:sz w:val="32"/>
          <w:szCs w:val="32"/>
        </w:rPr>
        <w:t>条名词解释参照《202</w:t>
      </w:r>
      <w:r>
        <w:rPr>
          <w:rFonts w:hint="eastAsia" w:ascii="仿宋" w:hAnsi="仿宋" w:eastAsia="仿宋"/>
          <w:b/>
          <w:sz w:val="32"/>
          <w:szCs w:val="32"/>
          <w:lang w:val="en-US" w:eastAsia="zh-CN"/>
        </w:rPr>
        <w:t>5</w:t>
      </w:r>
      <w:r>
        <w:rPr>
          <w:rFonts w:hint="eastAsia" w:ascii="仿宋" w:hAnsi="仿宋" w:eastAsia="仿宋"/>
          <w:b/>
          <w:sz w:val="32"/>
          <w:szCs w:val="32"/>
        </w:rPr>
        <w:t>年政府收支分类科目</w:t>
      </w:r>
      <w:r>
        <w:rPr>
          <w:rFonts w:hint="eastAsia" w:ascii="仿宋" w:hAnsi="仿宋" w:eastAsia="仿宋"/>
          <w:b/>
          <w:sz w:val="32"/>
          <w:szCs w:val="32"/>
          <w:lang w:eastAsia="zh-CN"/>
        </w:rPr>
        <w:t>》</w:t>
      </w:r>
      <w:r>
        <w:rPr>
          <w:rFonts w:hint="eastAsia" w:ascii="仿宋" w:hAnsi="仿宋" w:eastAsia="仿宋"/>
          <w:b/>
          <w:sz w:val="32"/>
          <w:szCs w:val="32"/>
        </w:rPr>
        <w:t>列示。）</w:t>
      </w:r>
    </w:p>
    <w:p w14:paraId="0F0A89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26</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7BABB4E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27</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3645913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28</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144BC02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29</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EECF90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30</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71B8BEC">
      <w:pPr>
        <w:pStyle w:val="2"/>
        <w:keepNext/>
        <w:keepLines/>
        <w:pageBreakBefore w:val="0"/>
        <w:widowControl w:val="0"/>
        <w:kinsoku/>
        <w:wordWrap/>
        <w:overflowPunct/>
        <w:topLinePunct w:val="0"/>
        <w:autoSpaceDE/>
        <w:autoSpaceDN/>
        <w:bidi w:val="0"/>
        <w:adjustRightInd/>
        <w:snapToGrid/>
        <w:spacing w:line="579" w:lineRule="auto"/>
        <w:jc w:val="center"/>
        <w:textAlignment w:val="auto"/>
        <w:rPr>
          <w:rFonts w:hint="eastAsia" w:ascii="Times New Roman" w:hAnsi="Times New Roman" w:eastAsia="黑体" w:cs="方正小标宋简体"/>
          <w:color w:val="auto"/>
          <w:sz w:val="44"/>
          <w:szCs w:val="44"/>
          <w:highlight w:val="none"/>
          <w:lang w:val="en-US" w:eastAsia="zh-CN"/>
        </w:rPr>
      </w:pPr>
      <w:bookmarkStart w:id="78"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79" w:name="_Toc15396614"/>
      <w:bookmarkStart w:id="80" w:name="_Toc21184"/>
      <w:r>
        <w:rPr>
          <w:rStyle w:val="31"/>
          <w:rFonts w:hint="eastAsia" w:ascii="Times New Roman" w:hAnsi="Times New Roman" w:eastAsia="方正小标宋简体" w:cs="方正小标宋简体"/>
          <w:b w:val="0"/>
          <w:bCs w:val="0"/>
          <w:color w:val="auto"/>
          <w:highlight w:val="none"/>
        </w:rPr>
        <w:t>第四部分</w:t>
      </w:r>
      <w:r>
        <w:rPr>
          <w:rStyle w:val="31"/>
          <w:rFonts w:hint="eastAsia" w:ascii="Times New Roman" w:hAnsi="Times New Roman" w:eastAsia="方正小标宋简体" w:cs="方正小标宋简体"/>
          <w:b w:val="0"/>
          <w:bCs w:val="0"/>
          <w:color w:val="auto"/>
          <w:highlight w:val="none"/>
          <w:lang w:val="en-US" w:eastAsia="zh-CN"/>
        </w:rPr>
        <w:t xml:space="preserve"> </w:t>
      </w:r>
      <w:r>
        <w:rPr>
          <w:rStyle w:val="31"/>
          <w:rFonts w:hint="eastAsia" w:ascii="Times New Roman" w:hAnsi="Times New Roman" w:eastAsia="方正小标宋简体" w:cs="方正小标宋简体"/>
          <w:b w:val="0"/>
          <w:bCs w:val="0"/>
          <w:color w:val="auto"/>
          <w:highlight w:val="none"/>
        </w:rPr>
        <w:t xml:space="preserve"> 附件</w:t>
      </w:r>
      <w:bookmarkEnd w:id="79"/>
      <w:bookmarkEnd w:id="80"/>
    </w:p>
    <w:p w14:paraId="5FC116EA">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2C3F6CE2">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lang w:val="en-US" w:eastAsia="zh-CN"/>
        </w:rPr>
      </w:pPr>
      <w:bookmarkStart w:id="81" w:name="_Toc15396618"/>
      <w:r>
        <w:rPr>
          <w:rFonts w:hint="eastAsia" w:eastAsia="方正小标宋简体" w:cs="Times New Roman"/>
          <w:b w:val="0"/>
          <w:bCs/>
          <w:sz w:val="44"/>
          <w:szCs w:val="44"/>
          <w:highlight w:val="none"/>
          <w:shd w:val="clear" w:color="auto" w:fill="FFFFFF"/>
          <w:lang w:val="en-US" w:eastAsia="zh-CN"/>
        </w:rPr>
        <w:t>阿坝州农业科学研究院</w:t>
      </w:r>
    </w:p>
    <w:p w14:paraId="4E7F239C">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lang w:val="en-US" w:eastAsia="zh-CN"/>
        </w:rPr>
      </w:pPr>
      <w:r>
        <w:rPr>
          <w:rFonts w:hint="default" w:ascii="Times New Roman" w:hAnsi="Times New Roman" w:eastAsia="方正小标宋简体" w:cs="Times New Roman"/>
          <w:b w:val="0"/>
          <w:bCs/>
          <w:sz w:val="44"/>
          <w:szCs w:val="44"/>
          <w:highlight w:val="none"/>
          <w:shd w:val="clear" w:color="auto" w:fill="FFFFFF"/>
          <w:lang w:val="en-US" w:eastAsia="zh-CN"/>
        </w:rPr>
        <w:t>2025年部门预算绩效评价报告</w:t>
      </w:r>
    </w:p>
    <w:p w14:paraId="0C44C166">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575A9145">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0"/>
        <w:rPr>
          <w:rFonts w:hint="default" w:ascii="Times New Roman" w:hAnsi="Times New Roman" w:cs="Times New Roman"/>
          <w:sz w:val="32"/>
          <w:szCs w:val="32"/>
        </w:rPr>
      </w:pPr>
      <w:bookmarkStart w:id="82" w:name="_Toc3574"/>
      <w:bookmarkStart w:id="83" w:name="_Toc15650"/>
      <w:r>
        <w:rPr>
          <w:rFonts w:hint="default" w:ascii="Times New Roman" w:hAnsi="Times New Roman" w:eastAsia="黑体" w:cs="Times New Roman"/>
          <w:color w:val="000000"/>
          <w:kern w:val="0"/>
          <w:sz w:val="32"/>
          <w:szCs w:val="32"/>
          <w:highlight w:val="none"/>
          <w:shd w:val="clear" w:color="auto" w:fill="FFFFFF"/>
          <w:lang w:val="zh-CN"/>
        </w:rPr>
        <w:t>一、部门（单位）基本情况</w:t>
      </w:r>
      <w:bookmarkEnd w:id="82"/>
      <w:bookmarkEnd w:id="83"/>
    </w:p>
    <w:p w14:paraId="3F77F42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1"/>
        <w:rPr>
          <w:rFonts w:hint="default" w:ascii="Times New Roman" w:hAnsi="Times New Roman" w:eastAsia="楷体_GB2312" w:cs="Times New Roman"/>
          <w:b w:val="0"/>
          <w:bCs w:val="0"/>
          <w:color w:val="000000"/>
          <w:kern w:val="0"/>
          <w:sz w:val="32"/>
          <w:szCs w:val="32"/>
          <w:highlight w:val="none"/>
          <w:shd w:val="clear" w:color="auto" w:fill="FFFFFF"/>
          <w:lang w:val="zh-CN"/>
        </w:rPr>
      </w:pPr>
      <w:bookmarkStart w:id="84" w:name="_Toc26244"/>
      <w:bookmarkStart w:id="85" w:name="_Toc10961"/>
      <w:r>
        <w:rPr>
          <w:rFonts w:hint="default" w:ascii="Times New Roman" w:hAnsi="Times New Roman" w:eastAsia="楷体_GB2312" w:cs="Times New Roman"/>
          <w:b w:val="0"/>
          <w:bCs w:val="0"/>
          <w:color w:val="000000"/>
          <w:kern w:val="0"/>
          <w:sz w:val="32"/>
          <w:szCs w:val="32"/>
          <w:highlight w:val="none"/>
          <w:shd w:val="clear" w:color="auto" w:fill="FFFFFF"/>
          <w:lang w:val="zh-CN"/>
        </w:rPr>
        <w:t>（一）机构组成</w:t>
      </w:r>
      <w:bookmarkEnd w:id="84"/>
      <w:bookmarkEnd w:id="85"/>
    </w:p>
    <w:p w14:paraId="23C487CB">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b w:val="0"/>
          <w:bCs/>
          <w:sz w:val="32"/>
          <w:szCs w:val="32"/>
          <w:highlight w:val="none"/>
          <w:lang w:val="en-US" w:eastAsia="zh-CN"/>
        </w:rPr>
        <w:t>阿坝州农业</w:t>
      </w:r>
      <w:r>
        <w:rPr>
          <w:rFonts w:hint="eastAsia" w:eastAsia="仿宋_GB2312" w:cs="Times New Roman"/>
          <w:b w:val="0"/>
          <w:bCs/>
          <w:sz w:val="32"/>
          <w:szCs w:val="32"/>
          <w:highlight w:val="none"/>
          <w:lang w:val="en-US" w:eastAsia="zh-CN"/>
        </w:rPr>
        <w:t>科学研究院</w:t>
      </w:r>
      <w:r>
        <w:rPr>
          <w:rFonts w:hint="eastAsia" w:ascii="Times New Roman" w:hAnsi="Times New Roman" w:eastAsia="仿宋_GB2312" w:cs="Times New Roman"/>
          <w:b w:val="0"/>
          <w:bCs/>
          <w:sz w:val="32"/>
          <w:szCs w:val="32"/>
          <w:highlight w:val="none"/>
          <w:lang w:val="en-US" w:eastAsia="zh-CN"/>
        </w:rPr>
        <w:t>是州政府直属正县级公益一类事业单位。州科技局、州农业农村局、州林草局为业务指导部门</w:t>
      </w:r>
      <w:r>
        <w:rPr>
          <w:rFonts w:hint="default" w:ascii="Times New Roman" w:hAnsi="Times New Roman" w:eastAsia="仿宋_GB2312" w:cs="Times New Roman"/>
          <w:sz w:val="32"/>
          <w:szCs w:val="32"/>
          <w:lang w:val="en-US" w:eastAsia="zh-CN"/>
        </w:rPr>
        <w:t>。</w:t>
      </w:r>
    </w:p>
    <w:p w14:paraId="2A262BA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1"/>
        <w:rPr>
          <w:rFonts w:hint="default" w:ascii="Times New Roman" w:hAnsi="Times New Roman" w:eastAsia="楷体_GB2312" w:cs="Times New Roman"/>
          <w:b w:val="0"/>
          <w:bCs w:val="0"/>
          <w:color w:val="000000"/>
          <w:kern w:val="0"/>
          <w:sz w:val="32"/>
          <w:szCs w:val="32"/>
          <w:highlight w:val="none"/>
          <w:shd w:val="clear" w:color="auto" w:fill="FFFFFF"/>
          <w:lang w:val="en-US" w:eastAsia="zh-CN"/>
        </w:rPr>
      </w:pPr>
      <w:bookmarkStart w:id="86" w:name="_Toc6264"/>
      <w:bookmarkStart w:id="87" w:name="_Toc19040"/>
      <w:r>
        <w:rPr>
          <w:rFonts w:hint="default" w:ascii="Times New Roman" w:hAnsi="Times New Roman" w:eastAsia="楷体_GB2312" w:cs="Times New Roman"/>
          <w:b w:val="0"/>
          <w:bCs w:val="0"/>
          <w:color w:val="000000"/>
          <w:kern w:val="0"/>
          <w:sz w:val="32"/>
          <w:szCs w:val="32"/>
          <w:highlight w:val="none"/>
          <w:shd w:val="clear" w:color="auto" w:fill="FFFFFF"/>
          <w:lang w:val="zh-CN"/>
        </w:rPr>
        <w:t>（二）机构职能</w:t>
      </w:r>
      <w:bookmarkEnd w:id="86"/>
      <w:bookmarkEnd w:id="87"/>
    </w:p>
    <w:p w14:paraId="1767A45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b w:val="0"/>
          <w:bCs/>
          <w:sz w:val="32"/>
          <w:szCs w:val="32"/>
          <w:highlight w:val="none"/>
          <w:lang w:val="en-US" w:eastAsia="zh-CN"/>
        </w:rPr>
      </w:pPr>
      <w:r>
        <w:rPr>
          <w:rFonts w:hint="eastAsia" w:ascii="Times New Roman" w:hAnsi="Times New Roman" w:eastAsia="仿宋_GB2312" w:cs="Times New Roman"/>
          <w:b w:val="0"/>
          <w:bCs/>
          <w:sz w:val="32"/>
          <w:szCs w:val="32"/>
          <w:highlight w:val="none"/>
          <w:lang w:val="en-US" w:eastAsia="zh-CN"/>
        </w:rPr>
        <w:t>1.开展全州农业基础、农业应用基础、农业推广应用研究；负责新品种选育、引进和推广应用工作，为推动阿坝州农业现代化和乡村振兴提供科技支撑，提高农业科学技术水平。</w:t>
      </w:r>
    </w:p>
    <w:p w14:paraId="7D435BE0">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b w:val="0"/>
          <w:bCs/>
          <w:sz w:val="32"/>
          <w:szCs w:val="32"/>
          <w:highlight w:val="none"/>
          <w:lang w:val="en-US" w:eastAsia="zh-CN"/>
        </w:rPr>
      </w:pPr>
      <w:r>
        <w:rPr>
          <w:rFonts w:hint="eastAsia" w:ascii="Times New Roman" w:hAnsi="Times New Roman" w:eastAsia="仿宋_GB2312" w:cs="Times New Roman"/>
          <w:b w:val="0"/>
          <w:bCs/>
          <w:sz w:val="32"/>
          <w:szCs w:val="32"/>
          <w:highlight w:val="none"/>
          <w:lang w:val="en-US" w:eastAsia="zh-CN"/>
        </w:rPr>
        <w:t>2.开展全州新技术研发、科技成果示范与转移转化，组织</w:t>
      </w:r>
      <w:r>
        <w:rPr>
          <w:rFonts w:hint="eastAsia" w:eastAsia="仿宋_GB2312" w:cs="Times New Roman"/>
          <w:b w:val="0"/>
          <w:bCs/>
          <w:sz w:val="32"/>
          <w:szCs w:val="32"/>
          <w:highlight w:val="none"/>
          <w:lang w:val="en-US" w:eastAsia="zh-CN"/>
        </w:rPr>
        <w:t>实施</w:t>
      </w:r>
      <w:r>
        <w:rPr>
          <w:rFonts w:hint="eastAsia" w:ascii="Times New Roman" w:hAnsi="Times New Roman" w:eastAsia="仿宋_GB2312" w:cs="Times New Roman"/>
          <w:b w:val="0"/>
          <w:bCs/>
          <w:sz w:val="32"/>
          <w:szCs w:val="32"/>
          <w:highlight w:val="none"/>
          <w:lang w:val="en-US" w:eastAsia="zh-CN"/>
        </w:rPr>
        <w:t>农业科技项目，促进科技成果转化及农业高新技术产业发展。</w:t>
      </w:r>
    </w:p>
    <w:p w14:paraId="38ED3C1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b w:val="0"/>
          <w:bCs/>
          <w:sz w:val="32"/>
          <w:szCs w:val="32"/>
          <w:highlight w:val="none"/>
          <w:lang w:val="en-US" w:eastAsia="zh-CN"/>
        </w:rPr>
      </w:pPr>
      <w:r>
        <w:rPr>
          <w:rFonts w:hint="eastAsia" w:ascii="Times New Roman" w:hAnsi="Times New Roman" w:eastAsia="仿宋_GB2312" w:cs="Times New Roman"/>
          <w:b w:val="0"/>
          <w:bCs/>
          <w:sz w:val="32"/>
          <w:szCs w:val="32"/>
          <w:highlight w:val="none"/>
          <w:lang w:val="en-US" w:eastAsia="zh-CN"/>
        </w:rPr>
        <w:t>3.开展全州“三农”战略问题研究，参与农业资源普查和全州“三农”决策咨询，为州委、州政府科学决策提供理论支撑和智力保障。</w:t>
      </w:r>
    </w:p>
    <w:p w14:paraId="54D9AFD7">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b w:val="0"/>
          <w:bCs/>
          <w:sz w:val="32"/>
          <w:szCs w:val="32"/>
          <w:highlight w:val="none"/>
          <w:lang w:val="en-US" w:eastAsia="zh-CN"/>
        </w:rPr>
      </w:pPr>
      <w:r>
        <w:rPr>
          <w:rFonts w:hint="eastAsia" w:ascii="Times New Roman" w:hAnsi="Times New Roman" w:eastAsia="仿宋_GB2312" w:cs="Times New Roman"/>
          <w:b w:val="0"/>
          <w:bCs/>
          <w:sz w:val="32"/>
          <w:szCs w:val="32"/>
          <w:highlight w:val="none"/>
          <w:lang w:val="en-US" w:eastAsia="zh-CN"/>
        </w:rPr>
        <w:t>4.组织全州农业科技力量协同攻关，开展重大农业科技创新活动，发挥农业科研骨干引领作用，开展人才培养、人才培训以及科普服务工作，推动全州农业科技水平稳步提升。</w:t>
      </w:r>
    </w:p>
    <w:p w14:paraId="1EE5A0A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b w:val="0"/>
          <w:bCs/>
          <w:sz w:val="32"/>
          <w:szCs w:val="32"/>
          <w:highlight w:val="none"/>
          <w:lang w:val="en-US" w:eastAsia="zh-CN"/>
        </w:rPr>
      </w:pPr>
      <w:r>
        <w:rPr>
          <w:rFonts w:hint="eastAsia" w:ascii="Times New Roman" w:hAnsi="Times New Roman" w:eastAsia="仿宋_GB2312" w:cs="Times New Roman"/>
          <w:b w:val="0"/>
          <w:bCs/>
          <w:sz w:val="32"/>
          <w:szCs w:val="32"/>
          <w:highlight w:val="none"/>
          <w:lang w:val="en-US" w:eastAsia="zh-CN"/>
        </w:rPr>
        <w:t>5.开展科技合作交流、技术服务活动，提升全州农业科技对外合作交流影响力和知名度。</w:t>
      </w:r>
    </w:p>
    <w:p w14:paraId="725EAA7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sz w:val="32"/>
          <w:szCs w:val="32"/>
          <w:lang w:val="zh-CN" w:eastAsia="zh-CN"/>
        </w:rPr>
      </w:pPr>
      <w:r>
        <w:rPr>
          <w:rFonts w:hint="eastAsia" w:ascii="Times New Roman" w:hAnsi="Times New Roman" w:eastAsia="仿宋_GB2312" w:cs="Times New Roman"/>
          <w:b w:val="0"/>
          <w:bCs/>
          <w:sz w:val="32"/>
          <w:szCs w:val="32"/>
          <w:highlight w:val="none"/>
          <w:lang w:val="en-US" w:eastAsia="zh-CN"/>
        </w:rPr>
        <w:t>6.完成州委、州政府交办的其他工作任务</w:t>
      </w:r>
      <w:r>
        <w:rPr>
          <w:rFonts w:hint="eastAsia" w:eastAsia="仿宋_GB2312" w:cs="Times New Roman"/>
          <w:b w:val="0"/>
          <w:bCs/>
          <w:sz w:val="32"/>
          <w:szCs w:val="32"/>
          <w:lang w:val="en-US" w:eastAsia="zh-CN"/>
        </w:rPr>
        <w:t>。</w:t>
      </w:r>
    </w:p>
    <w:p w14:paraId="038A433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1"/>
        <w:rPr>
          <w:rFonts w:hint="default" w:ascii="Times New Roman" w:hAnsi="Times New Roman" w:eastAsia="楷体_GB2312" w:cs="Times New Roman"/>
          <w:b w:val="0"/>
          <w:bCs w:val="0"/>
          <w:color w:val="000000"/>
          <w:kern w:val="0"/>
          <w:sz w:val="32"/>
          <w:szCs w:val="32"/>
          <w:highlight w:val="none"/>
          <w:shd w:val="clear" w:color="auto" w:fill="FFFFFF"/>
          <w:lang w:val="en-US" w:eastAsia="zh-CN"/>
        </w:rPr>
      </w:pPr>
      <w:bookmarkStart w:id="88" w:name="_Toc306"/>
      <w:bookmarkStart w:id="89" w:name="_Toc4683"/>
      <w:r>
        <w:rPr>
          <w:rFonts w:hint="default" w:ascii="Times New Roman" w:hAnsi="Times New Roman" w:eastAsia="楷体_GB2312" w:cs="Times New Roman"/>
          <w:b w:val="0"/>
          <w:bCs w:val="0"/>
          <w:color w:val="000000"/>
          <w:kern w:val="0"/>
          <w:sz w:val="32"/>
          <w:szCs w:val="32"/>
          <w:highlight w:val="none"/>
          <w:shd w:val="clear" w:color="auto" w:fill="FFFFFF"/>
          <w:lang w:val="zh-CN"/>
        </w:rPr>
        <w:t>（三）人员概况</w:t>
      </w:r>
      <w:bookmarkEnd w:id="88"/>
      <w:bookmarkEnd w:id="89"/>
    </w:p>
    <w:p w14:paraId="0ADE556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b w:val="0"/>
          <w:bCs/>
          <w:sz w:val="32"/>
          <w:szCs w:val="32"/>
          <w:highlight w:val="none"/>
          <w:lang w:val="en-US" w:eastAsia="zh-CN"/>
        </w:rPr>
        <w:t>截至2025年末，</w:t>
      </w:r>
      <w:r>
        <w:rPr>
          <w:rFonts w:hint="eastAsia" w:ascii="Times New Roman" w:hAnsi="Times New Roman" w:eastAsia="仿宋_GB2312" w:cs="Times New Roman"/>
          <w:b w:val="0"/>
          <w:bCs/>
          <w:sz w:val="32"/>
          <w:szCs w:val="32"/>
          <w:highlight w:val="none"/>
          <w:lang w:val="en-US" w:eastAsia="zh-CN"/>
        </w:rPr>
        <w:t>阿坝州农业科学</w:t>
      </w:r>
      <w:r>
        <w:rPr>
          <w:rFonts w:hint="eastAsia" w:eastAsia="仿宋_GB2312" w:cs="Times New Roman"/>
          <w:b w:val="0"/>
          <w:bCs/>
          <w:sz w:val="32"/>
          <w:szCs w:val="32"/>
          <w:highlight w:val="none"/>
          <w:lang w:val="en-US" w:eastAsia="zh-CN"/>
        </w:rPr>
        <w:t>研究院</w:t>
      </w:r>
      <w:r>
        <w:rPr>
          <w:rFonts w:hint="eastAsia" w:ascii="Times New Roman" w:hAnsi="Times New Roman" w:eastAsia="仿宋_GB2312" w:cs="Times New Roman"/>
          <w:b w:val="0"/>
          <w:bCs/>
          <w:sz w:val="32"/>
          <w:szCs w:val="32"/>
          <w:highlight w:val="none"/>
          <w:lang w:val="en-US" w:eastAsia="zh-CN"/>
        </w:rPr>
        <w:t>年末编制内实有人数80人，较上年增加40人；其他人员20人，较上年增加3人</w:t>
      </w:r>
      <w:r>
        <w:rPr>
          <w:rFonts w:hint="default" w:ascii="Times New Roman" w:hAnsi="Times New Roman" w:eastAsia="仿宋_GB2312" w:cs="Times New Roman"/>
          <w:b w:val="0"/>
          <w:bCs/>
          <w:sz w:val="32"/>
          <w:szCs w:val="32"/>
          <w:lang w:val="en-US" w:eastAsia="zh-CN"/>
        </w:rPr>
        <w:t>。</w:t>
      </w:r>
    </w:p>
    <w:p w14:paraId="2F8FB1B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0"/>
        <w:rPr>
          <w:rFonts w:hint="default" w:ascii="Times New Roman" w:hAnsi="Times New Roman" w:eastAsia="黑体" w:cs="Times New Roman"/>
          <w:color w:val="000000"/>
          <w:kern w:val="0"/>
          <w:sz w:val="32"/>
          <w:szCs w:val="32"/>
          <w:highlight w:val="none"/>
          <w:shd w:val="clear" w:color="auto" w:fill="FFFFFF"/>
          <w:lang w:val="zh-CN"/>
        </w:rPr>
      </w:pPr>
      <w:bookmarkStart w:id="90" w:name="_Toc30448"/>
      <w:bookmarkStart w:id="91" w:name="_Toc25971"/>
      <w:r>
        <w:rPr>
          <w:rFonts w:hint="default" w:ascii="Times New Roman" w:hAnsi="Times New Roman" w:eastAsia="黑体" w:cs="Times New Roman"/>
          <w:color w:val="000000"/>
          <w:kern w:val="0"/>
          <w:sz w:val="32"/>
          <w:szCs w:val="32"/>
          <w:highlight w:val="none"/>
          <w:shd w:val="clear" w:color="auto" w:fill="FFFFFF"/>
          <w:lang w:val="zh-CN"/>
        </w:rPr>
        <w:t>二、</w:t>
      </w:r>
      <w:r>
        <w:rPr>
          <w:rFonts w:hint="default" w:ascii="Times New Roman" w:hAnsi="Times New Roman" w:eastAsia="黑体" w:cs="Times New Roman"/>
          <w:color w:val="000000"/>
          <w:kern w:val="0"/>
          <w:sz w:val="32"/>
          <w:szCs w:val="32"/>
          <w:highlight w:val="none"/>
          <w:shd w:val="clear" w:color="auto" w:fill="FFFFFF"/>
          <w:lang w:val="zh-CN" w:eastAsia="zh-CN"/>
        </w:rPr>
        <w:t>部门</w:t>
      </w:r>
      <w:r>
        <w:rPr>
          <w:rFonts w:hint="default" w:ascii="Times New Roman" w:hAnsi="Times New Roman" w:eastAsia="黑体" w:cs="Times New Roman"/>
          <w:color w:val="000000"/>
          <w:kern w:val="0"/>
          <w:sz w:val="32"/>
          <w:szCs w:val="32"/>
          <w:highlight w:val="none"/>
          <w:shd w:val="clear" w:color="auto" w:fill="FFFFFF"/>
          <w:lang w:val="zh-CN"/>
        </w:rPr>
        <w:t>资金收支情况</w:t>
      </w:r>
      <w:bookmarkEnd w:id="90"/>
      <w:bookmarkEnd w:id="91"/>
    </w:p>
    <w:p w14:paraId="381F1CA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1"/>
        <w:rPr>
          <w:rFonts w:hint="default" w:ascii="Times New Roman" w:hAnsi="Times New Roman" w:eastAsia="楷体_GB2312" w:cs="Times New Roman"/>
          <w:b w:val="0"/>
          <w:bCs w:val="0"/>
          <w:color w:val="000000"/>
          <w:kern w:val="0"/>
          <w:sz w:val="32"/>
          <w:szCs w:val="32"/>
          <w:highlight w:val="none"/>
          <w:shd w:val="clear" w:color="auto" w:fill="FFFFFF"/>
          <w:lang w:val="en-US" w:eastAsia="zh-CN"/>
        </w:rPr>
      </w:pPr>
      <w:bookmarkStart w:id="92" w:name="_Toc17127"/>
      <w:bookmarkStart w:id="93" w:name="_Toc20274"/>
      <w:r>
        <w:rPr>
          <w:rFonts w:hint="default" w:ascii="Times New Roman" w:hAnsi="Times New Roman" w:eastAsia="楷体_GB2312" w:cs="Times New Roman"/>
          <w:b w:val="0"/>
          <w:bCs w:val="0"/>
          <w:color w:val="000000"/>
          <w:kern w:val="0"/>
          <w:sz w:val="32"/>
          <w:szCs w:val="32"/>
          <w:highlight w:val="none"/>
          <w:shd w:val="clear" w:color="auto" w:fill="FFFFFF"/>
          <w:lang w:val="zh-CN"/>
        </w:rPr>
        <w:t>（一）收入情况</w:t>
      </w:r>
      <w:bookmarkEnd w:id="92"/>
      <w:bookmarkEnd w:id="93"/>
    </w:p>
    <w:p w14:paraId="0178BB8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themeColor="text1"/>
          <w:kern w:val="60"/>
          <w:szCs w:val="32"/>
          <w:highlight w:val="none"/>
          <w:lang w:val="en-US" w:eastAsia="zh-CN"/>
          <w14:textFill>
            <w14:solidFill>
              <w14:schemeClr w14:val="tx1"/>
            </w14:solidFill>
          </w14:textFill>
        </w:rPr>
      </w:pPr>
      <w:r>
        <w:rPr>
          <w:rFonts w:hint="eastAsia" w:eastAsia="仿宋_GB2312" w:cs="Times New Roman"/>
          <w:b w:val="0"/>
          <w:bCs/>
          <w:color w:val="000000" w:themeColor="text1"/>
          <w:sz w:val="32"/>
          <w:szCs w:val="32"/>
          <w:lang w:val="en-US" w:eastAsia="zh-CN"/>
          <w14:textFill>
            <w14:solidFill>
              <w14:schemeClr w14:val="tx1"/>
            </w14:solidFill>
          </w14:textFill>
        </w:rPr>
        <w:t>农科院</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2025年年初预算收入</w:t>
      </w:r>
      <w:r>
        <w:rPr>
          <w:rFonts w:hint="eastAsia" w:eastAsia="仿宋_GB2312" w:cs="Times New Roman"/>
          <w:b w:val="0"/>
          <w:bCs/>
          <w:color w:val="000000" w:themeColor="text1"/>
          <w:sz w:val="32"/>
          <w:szCs w:val="32"/>
          <w:lang w:val="en-US" w:eastAsia="zh-CN"/>
          <w14:textFill>
            <w14:solidFill>
              <w14:schemeClr w14:val="tx1"/>
            </w14:solidFill>
          </w14:textFill>
        </w:rPr>
        <w:t>2938.51</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万元，其中：一般公共预算财政拨款收入</w:t>
      </w:r>
      <w:r>
        <w:rPr>
          <w:rFonts w:hint="eastAsia" w:eastAsia="仿宋_GB2312" w:cs="Times New Roman"/>
          <w:b w:val="0"/>
          <w:bCs/>
          <w:color w:val="000000" w:themeColor="text1"/>
          <w:sz w:val="32"/>
          <w:szCs w:val="32"/>
          <w:lang w:val="en-US" w:eastAsia="zh-CN"/>
          <w14:textFill>
            <w14:solidFill>
              <w14:schemeClr w14:val="tx1"/>
            </w14:solidFill>
          </w14:textFill>
        </w:rPr>
        <w:t>2938.51</w:t>
      </w:r>
      <w:r>
        <w:rPr>
          <w:rFonts w:hint="default" w:ascii="Times New Roman" w:hAnsi="Times New Roman" w:eastAsia="仿宋_GB2312" w:cs="Times New Roman"/>
          <w:b w:val="0"/>
          <w:bCs/>
          <w:color w:val="000000" w:themeColor="text1"/>
          <w:sz w:val="32"/>
          <w:szCs w:val="32"/>
          <w:lang w:val="zh-CN" w:eastAsia="zh-CN"/>
          <w14:textFill>
            <w14:solidFill>
              <w14:schemeClr w14:val="tx1"/>
            </w14:solidFill>
          </w14:textFill>
        </w:rPr>
        <w:t>万元。</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收入决算数为</w:t>
      </w:r>
      <w:r>
        <w:rPr>
          <w:rFonts w:hint="eastAsia" w:eastAsia="仿宋_GB2312" w:cs="Times New Roman"/>
          <w:b w:val="0"/>
          <w:bCs/>
          <w:color w:val="000000" w:themeColor="text1"/>
          <w:sz w:val="32"/>
          <w:szCs w:val="32"/>
          <w:lang w:val="en-US" w:eastAsia="zh-CN"/>
          <w14:textFill>
            <w14:solidFill>
              <w14:schemeClr w14:val="tx1"/>
            </w14:solidFill>
          </w14:textFill>
        </w:rPr>
        <w:t>3465.13</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万元，</w:t>
      </w:r>
      <w:r>
        <w:rPr>
          <w:rFonts w:hint="default" w:ascii="Times New Roman" w:hAnsi="Times New Roman" w:eastAsia="仿宋_GB2312" w:cs="Times New Roman"/>
          <w:b w:val="0"/>
          <w:bCs/>
          <w:color w:val="000000" w:themeColor="text1"/>
          <w:sz w:val="32"/>
          <w:szCs w:val="32"/>
          <w:lang w:val="zh-CN" w:eastAsia="zh-CN"/>
          <w14:textFill>
            <w14:solidFill>
              <w14:schemeClr w14:val="tx1"/>
            </w14:solidFill>
          </w14:textFill>
        </w:rPr>
        <w:t>其中：</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一般公共预算财政拨款收入</w:t>
      </w:r>
      <w:r>
        <w:rPr>
          <w:rFonts w:hint="eastAsia" w:eastAsia="仿宋_GB2312" w:cs="Times New Roman"/>
          <w:b w:val="0"/>
          <w:bCs/>
          <w:color w:val="000000" w:themeColor="text1"/>
          <w:sz w:val="32"/>
          <w:szCs w:val="32"/>
          <w:lang w:val="en-US" w:eastAsia="zh-CN"/>
          <w14:textFill>
            <w14:solidFill>
              <w14:schemeClr w14:val="tx1"/>
            </w14:solidFill>
          </w14:textFill>
        </w:rPr>
        <w:t>3373.89</w:t>
      </w:r>
      <w:r>
        <w:rPr>
          <w:rFonts w:hint="default" w:ascii="Times New Roman" w:hAnsi="Times New Roman" w:eastAsia="仿宋_GB2312" w:cs="Times New Roman"/>
          <w:b w:val="0"/>
          <w:bCs/>
          <w:color w:val="000000" w:themeColor="text1"/>
          <w:sz w:val="32"/>
          <w:szCs w:val="32"/>
          <w:lang w:val="zh-CN" w:eastAsia="zh-CN"/>
          <w14:textFill>
            <w14:solidFill>
              <w14:schemeClr w14:val="tx1"/>
            </w14:solidFill>
          </w14:textFill>
        </w:rPr>
        <w:t>万元</w:t>
      </w:r>
      <w:r>
        <w:rPr>
          <w:rFonts w:hint="eastAsia" w:eastAsia="仿宋_GB2312" w:cs="Times New Roman"/>
          <w:b w:val="0"/>
          <w:bCs/>
          <w:color w:val="000000" w:themeColor="text1"/>
          <w:sz w:val="32"/>
          <w:szCs w:val="32"/>
          <w:lang w:val="zh-CN" w:eastAsia="zh-CN"/>
          <w14:textFill>
            <w14:solidFill>
              <w14:schemeClr w14:val="tx1"/>
            </w14:solidFill>
          </w14:textFill>
        </w:rPr>
        <w:t>、</w:t>
      </w:r>
      <w:r>
        <w:rPr>
          <w:rFonts w:hint="eastAsia" w:eastAsia="仿宋_GB2312" w:cs="Times New Roman"/>
          <w:b w:val="0"/>
          <w:bCs/>
          <w:color w:val="000000" w:themeColor="text1"/>
          <w:sz w:val="32"/>
          <w:szCs w:val="32"/>
          <w:lang w:val="en-US" w:eastAsia="zh-CN"/>
          <w14:textFill>
            <w14:solidFill>
              <w14:schemeClr w14:val="tx1"/>
            </w14:solidFill>
          </w14:textFill>
        </w:rPr>
        <w:t>其他</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收入</w:t>
      </w:r>
      <w:r>
        <w:rPr>
          <w:rFonts w:hint="eastAsia" w:eastAsia="仿宋_GB2312" w:cs="Times New Roman"/>
          <w:b w:val="0"/>
          <w:bCs/>
          <w:color w:val="000000" w:themeColor="text1"/>
          <w:sz w:val="32"/>
          <w:szCs w:val="32"/>
          <w:lang w:val="en-US" w:eastAsia="zh-CN"/>
          <w14:textFill>
            <w14:solidFill>
              <w14:schemeClr w14:val="tx1"/>
            </w14:solidFill>
          </w14:textFill>
        </w:rPr>
        <w:t>91.24</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万元</w:t>
      </w:r>
      <w:r>
        <w:rPr>
          <w:rFonts w:hint="default" w:ascii="Times New Roman" w:hAnsi="Times New Roman" w:eastAsia="仿宋_GB2312" w:cs="Times New Roman"/>
          <w:b w:val="0"/>
          <w:bCs/>
          <w:color w:val="000000" w:themeColor="text1"/>
          <w:sz w:val="32"/>
          <w:szCs w:val="32"/>
          <w:lang w:val="zh-CN" w:eastAsia="zh-CN"/>
          <w14:textFill>
            <w14:solidFill>
              <w14:schemeClr w14:val="tx1"/>
            </w14:solidFill>
          </w14:textFill>
        </w:rPr>
        <w:t>。</w:t>
      </w:r>
    </w:p>
    <w:p w14:paraId="1B6FC1E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1"/>
        <w:rPr>
          <w:rFonts w:hint="default" w:ascii="Times New Roman" w:hAnsi="Times New Roman" w:eastAsia="楷体_GB2312" w:cs="Times New Roman"/>
          <w:b w:val="0"/>
          <w:bCs w:val="0"/>
          <w:color w:val="000000" w:themeColor="text1"/>
          <w:kern w:val="0"/>
          <w:sz w:val="32"/>
          <w:szCs w:val="32"/>
          <w:highlight w:val="none"/>
          <w:shd w:val="clear" w:color="auto" w:fill="FFFFFF"/>
          <w:lang w:val="en-US" w:eastAsia="zh-CN"/>
          <w14:textFill>
            <w14:solidFill>
              <w14:schemeClr w14:val="tx1"/>
            </w14:solidFill>
          </w14:textFill>
        </w:rPr>
      </w:pPr>
      <w:bookmarkStart w:id="94" w:name="_Toc31870"/>
      <w:bookmarkStart w:id="95" w:name="_Toc24735"/>
      <w:r>
        <w:rPr>
          <w:rFonts w:hint="default" w:ascii="Times New Roman" w:hAnsi="Times New Roman" w:eastAsia="楷体_GB2312" w:cs="Times New Roman"/>
          <w:b w:val="0"/>
          <w:bCs w:val="0"/>
          <w:color w:val="000000" w:themeColor="text1"/>
          <w:kern w:val="0"/>
          <w:sz w:val="32"/>
          <w:szCs w:val="32"/>
          <w:highlight w:val="none"/>
          <w:shd w:val="clear" w:color="auto" w:fill="FFFFFF"/>
          <w:lang w:val="zh-CN"/>
          <w14:textFill>
            <w14:solidFill>
              <w14:schemeClr w14:val="tx1"/>
            </w14:solidFill>
          </w14:textFill>
        </w:rPr>
        <w:t>（二）支出情况</w:t>
      </w:r>
      <w:bookmarkEnd w:id="94"/>
      <w:bookmarkEnd w:id="95"/>
    </w:p>
    <w:p w14:paraId="6286281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eastAsia="仿宋_GB2312" w:cs="Times New Roman"/>
          <w:b w:val="0"/>
          <w:bCs/>
          <w:sz w:val="32"/>
          <w:szCs w:val="32"/>
          <w:lang w:val="en-US" w:eastAsia="zh-CN"/>
        </w:rPr>
      </w:pPr>
      <w:r>
        <w:rPr>
          <w:rFonts w:hint="eastAsia" w:eastAsia="仿宋_GB2312" w:cs="Times New Roman"/>
          <w:b w:val="0"/>
          <w:bCs/>
          <w:sz w:val="32"/>
          <w:szCs w:val="32"/>
          <w:lang w:val="en-US" w:eastAsia="zh-CN"/>
        </w:rPr>
        <w:t>农科院</w:t>
      </w:r>
      <w:r>
        <w:rPr>
          <w:rFonts w:hint="default" w:eastAsia="仿宋_GB2312" w:cs="Times New Roman"/>
          <w:b w:val="0"/>
          <w:bCs/>
          <w:sz w:val="32"/>
          <w:szCs w:val="32"/>
          <w:lang w:val="en-US" w:eastAsia="zh-CN"/>
        </w:rPr>
        <w:t>2025年年初支出预算为</w:t>
      </w:r>
      <w:r>
        <w:rPr>
          <w:rFonts w:hint="eastAsia" w:eastAsia="仿宋_GB2312" w:cs="Times New Roman"/>
          <w:b w:val="0"/>
          <w:bCs/>
          <w:sz w:val="32"/>
          <w:szCs w:val="32"/>
          <w:lang w:val="en-US" w:eastAsia="zh-CN"/>
        </w:rPr>
        <w:t>2938.51</w:t>
      </w:r>
      <w:r>
        <w:rPr>
          <w:rFonts w:hint="default" w:eastAsia="仿宋_GB2312" w:cs="Times New Roman"/>
          <w:b w:val="0"/>
          <w:bCs/>
          <w:sz w:val="32"/>
          <w:szCs w:val="32"/>
          <w:lang w:val="en-US" w:eastAsia="zh-CN"/>
        </w:rPr>
        <w:t>万元，其中：基本支出</w:t>
      </w:r>
      <w:r>
        <w:rPr>
          <w:rFonts w:hint="eastAsia" w:eastAsia="仿宋_GB2312" w:cs="Times New Roman"/>
          <w:b w:val="0"/>
          <w:bCs/>
          <w:sz w:val="32"/>
          <w:szCs w:val="32"/>
          <w:lang w:val="en-US" w:eastAsia="zh-CN"/>
        </w:rPr>
        <w:t>2825.51</w:t>
      </w:r>
      <w:r>
        <w:rPr>
          <w:rFonts w:hint="default" w:eastAsia="仿宋_GB2312" w:cs="Times New Roman"/>
          <w:b w:val="0"/>
          <w:bCs/>
          <w:sz w:val="32"/>
          <w:szCs w:val="32"/>
          <w:lang w:val="zh-CN" w:eastAsia="zh-CN"/>
        </w:rPr>
        <w:t>万元（</w:t>
      </w:r>
      <w:r>
        <w:rPr>
          <w:rFonts w:hint="default" w:eastAsia="仿宋_GB2312" w:cs="Times New Roman"/>
          <w:b w:val="0"/>
          <w:bCs/>
          <w:sz w:val="32"/>
          <w:szCs w:val="32"/>
          <w:lang w:val="en-US" w:eastAsia="zh-CN"/>
        </w:rPr>
        <w:t>人员经费</w:t>
      </w:r>
      <w:r>
        <w:rPr>
          <w:rFonts w:hint="eastAsia" w:eastAsia="仿宋_GB2312" w:cs="Times New Roman"/>
          <w:b w:val="0"/>
          <w:bCs/>
          <w:sz w:val="32"/>
          <w:szCs w:val="32"/>
          <w:lang w:val="en-US" w:eastAsia="zh-CN"/>
        </w:rPr>
        <w:t>2562.2</w:t>
      </w:r>
      <w:r>
        <w:rPr>
          <w:rFonts w:hint="default" w:eastAsia="仿宋_GB2312" w:cs="Times New Roman"/>
          <w:b w:val="0"/>
          <w:bCs/>
          <w:sz w:val="32"/>
          <w:szCs w:val="32"/>
          <w:lang w:val="en-US" w:eastAsia="zh-CN"/>
        </w:rPr>
        <w:t>万元，公用经费</w:t>
      </w:r>
      <w:r>
        <w:rPr>
          <w:rFonts w:hint="eastAsia" w:eastAsia="仿宋_GB2312" w:cs="Times New Roman"/>
          <w:b w:val="0"/>
          <w:bCs/>
          <w:sz w:val="32"/>
          <w:szCs w:val="32"/>
          <w:lang w:val="en-US" w:eastAsia="zh-CN"/>
        </w:rPr>
        <w:t>263.31</w:t>
      </w:r>
      <w:r>
        <w:rPr>
          <w:rFonts w:hint="default" w:eastAsia="仿宋_GB2312" w:cs="Times New Roman"/>
          <w:b w:val="0"/>
          <w:bCs/>
          <w:sz w:val="32"/>
          <w:szCs w:val="32"/>
          <w:lang w:val="en-US" w:eastAsia="zh-CN"/>
        </w:rPr>
        <w:t>万元</w:t>
      </w:r>
      <w:r>
        <w:rPr>
          <w:rFonts w:hint="default" w:eastAsia="仿宋_GB2312" w:cs="Times New Roman"/>
          <w:b w:val="0"/>
          <w:bCs/>
          <w:sz w:val="32"/>
          <w:szCs w:val="32"/>
          <w:lang w:val="zh-CN" w:eastAsia="zh-CN"/>
        </w:rPr>
        <w:t>）</w:t>
      </w:r>
      <w:r>
        <w:rPr>
          <w:rFonts w:hint="eastAsia" w:eastAsia="仿宋_GB2312" w:cs="Times New Roman"/>
          <w:b w:val="0"/>
          <w:bCs/>
          <w:sz w:val="32"/>
          <w:szCs w:val="32"/>
          <w:lang w:val="zh-CN" w:eastAsia="zh-CN"/>
        </w:rPr>
        <w:t>，</w:t>
      </w:r>
      <w:r>
        <w:rPr>
          <w:rFonts w:hint="default" w:eastAsia="仿宋_GB2312" w:cs="Times New Roman"/>
          <w:b w:val="0"/>
          <w:bCs/>
          <w:sz w:val="32"/>
          <w:szCs w:val="32"/>
          <w:lang w:val="en-US" w:eastAsia="zh-CN"/>
        </w:rPr>
        <w:t>项目支出</w:t>
      </w:r>
      <w:r>
        <w:rPr>
          <w:rFonts w:hint="eastAsia" w:eastAsia="仿宋_GB2312" w:cs="Times New Roman"/>
          <w:b w:val="0"/>
          <w:bCs/>
          <w:sz w:val="32"/>
          <w:szCs w:val="32"/>
          <w:lang w:val="en-US" w:eastAsia="zh-CN"/>
        </w:rPr>
        <w:t>141</w:t>
      </w:r>
      <w:r>
        <w:rPr>
          <w:rFonts w:hint="default" w:eastAsia="仿宋_GB2312" w:cs="Times New Roman"/>
          <w:b w:val="0"/>
          <w:bCs/>
          <w:sz w:val="32"/>
          <w:szCs w:val="32"/>
          <w:lang w:val="en-US" w:eastAsia="zh-CN"/>
        </w:rPr>
        <w:t>万元</w:t>
      </w:r>
      <w:r>
        <w:rPr>
          <w:rFonts w:hint="default" w:eastAsia="仿宋_GB2312" w:cs="Times New Roman"/>
          <w:b w:val="0"/>
          <w:bCs/>
          <w:sz w:val="32"/>
          <w:szCs w:val="32"/>
          <w:lang w:val="zh-CN" w:eastAsia="zh-CN"/>
        </w:rPr>
        <w:t>。</w:t>
      </w:r>
      <w:r>
        <w:rPr>
          <w:rFonts w:hint="default" w:eastAsia="仿宋_GB2312" w:cs="Times New Roman"/>
          <w:b w:val="0"/>
          <w:bCs/>
          <w:sz w:val="32"/>
          <w:szCs w:val="32"/>
          <w:lang w:val="en-US" w:eastAsia="zh-CN"/>
        </w:rPr>
        <w:t>支出决算数为</w:t>
      </w:r>
      <w:r>
        <w:rPr>
          <w:rFonts w:hint="eastAsia" w:eastAsia="仿宋_GB2312" w:cs="Times New Roman"/>
          <w:b w:val="0"/>
          <w:bCs/>
          <w:sz w:val="32"/>
          <w:szCs w:val="32"/>
          <w:lang w:val="en-US" w:eastAsia="zh-CN"/>
        </w:rPr>
        <w:t>3524.76</w:t>
      </w:r>
      <w:r>
        <w:rPr>
          <w:rFonts w:hint="default" w:eastAsia="仿宋_GB2312" w:cs="Times New Roman"/>
          <w:b w:val="0"/>
          <w:bCs/>
          <w:sz w:val="32"/>
          <w:szCs w:val="32"/>
          <w:lang w:val="en-US" w:eastAsia="zh-CN"/>
        </w:rPr>
        <w:t>万元，其中：基本支出</w:t>
      </w:r>
      <w:r>
        <w:rPr>
          <w:rFonts w:hint="eastAsia" w:eastAsia="仿宋_GB2312" w:cs="Times New Roman"/>
          <w:b w:val="0"/>
          <w:bCs/>
          <w:sz w:val="32"/>
          <w:szCs w:val="32"/>
          <w:lang w:val="en-US" w:eastAsia="zh-CN"/>
        </w:rPr>
        <w:t>2963.43</w:t>
      </w:r>
      <w:r>
        <w:rPr>
          <w:rFonts w:hint="default" w:eastAsia="仿宋_GB2312" w:cs="Times New Roman"/>
          <w:b w:val="0"/>
          <w:bCs/>
          <w:sz w:val="32"/>
          <w:szCs w:val="32"/>
          <w:lang w:val="en-US" w:eastAsia="zh-CN"/>
        </w:rPr>
        <w:t>万元（人员经费</w:t>
      </w:r>
      <w:r>
        <w:rPr>
          <w:rFonts w:hint="eastAsia" w:eastAsia="仿宋_GB2312" w:cs="Times New Roman"/>
          <w:b w:val="0"/>
          <w:bCs/>
          <w:sz w:val="32"/>
          <w:szCs w:val="32"/>
          <w:lang w:val="en-US" w:eastAsia="zh-CN"/>
        </w:rPr>
        <w:t>2607.43万元</w:t>
      </w:r>
      <w:r>
        <w:rPr>
          <w:rFonts w:hint="default" w:eastAsia="仿宋_GB2312" w:cs="Times New Roman"/>
          <w:b w:val="0"/>
          <w:bCs/>
          <w:sz w:val="32"/>
          <w:szCs w:val="32"/>
          <w:lang w:val="en-US" w:eastAsia="zh-CN"/>
        </w:rPr>
        <w:t>，公用经费</w:t>
      </w:r>
      <w:r>
        <w:rPr>
          <w:rFonts w:hint="eastAsia" w:eastAsia="仿宋_GB2312" w:cs="Times New Roman"/>
          <w:b w:val="0"/>
          <w:bCs/>
          <w:sz w:val="32"/>
          <w:szCs w:val="32"/>
          <w:lang w:val="en-US" w:eastAsia="zh-CN"/>
        </w:rPr>
        <w:t>356.00</w:t>
      </w:r>
      <w:r>
        <w:rPr>
          <w:rFonts w:hint="default" w:eastAsia="仿宋_GB2312" w:cs="Times New Roman"/>
          <w:b w:val="0"/>
          <w:bCs/>
          <w:sz w:val="32"/>
          <w:szCs w:val="32"/>
          <w:lang w:val="en-US" w:eastAsia="zh-CN"/>
        </w:rPr>
        <w:t>万元）</w:t>
      </w:r>
      <w:r>
        <w:rPr>
          <w:rFonts w:hint="eastAsia" w:eastAsia="仿宋_GB2312" w:cs="Times New Roman"/>
          <w:b w:val="0"/>
          <w:bCs/>
          <w:sz w:val="32"/>
          <w:szCs w:val="32"/>
          <w:lang w:val="en-US" w:eastAsia="zh-CN"/>
        </w:rPr>
        <w:t>，</w:t>
      </w:r>
      <w:r>
        <w:rPr>
          <w:rFonts w:hint="default" w:eastAsia="仿宋_GB2312" w:cs="Times New Roman"/>
          <w:b w:val="0"/>
          <w:bCs/>
          <w:sz w:val="32"/>
          <w:szCs w:val="32"/>
          <w:lang w:val="en-US" w:eastAsia="zh-CN"/>
        </w:rPr>
        <w:t>项目支出</w:t>
      </w:r>
      <w:r>
        <w:rPr>
          <w:rFonts w:hint="eastAsia" w:eastAsia="仿宋_GB2312" w:cs="Times New Roman"/>
          <w:b w:val="0"/>
          <w:bCs/>
          <w:sz w:val="32"/>
          <w:szCs w:val="32"/>
          <w:lang w:val="en-US" w:eastAsia="zh-CN"/>
        </w:rPr>
        <w:t>561.32</w:t>
      </w:r>
      <w:r>
        <w:rPr>
          <w:rFonts w:hint="default" w:eastAsia="仿宋_GB2312" w:cs="Times New Roman"/>
          <w:b w:val="0"/>
          <w:bCs/>
          <w:sz w:val="32"/>
          <w:szCs w:val="32"/>
          <w:lang w:val="en-US" w:eastAsia="zh-CN"/>
        </w:rPr>
        <w:t>万元。</w:t>
      </w:r>
    </w:p>
    <w:p w14:paraId="60E967B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1"/>
        <w:rPr>
          <w:rFonts w:hint="default" w:ascii="Times New Roman" w:hAnsi="Times New Roman" w:eastAsia="楷体_GB2312" w:cs="Times New Roman"/>
          <w:b w:val="0"/>
          <w:bCs w:val="0"/>
          <w:color w:val="000000"/>
          <w:kern w:val="0"/>
          <w:sz w:val="32"/>
          <w:szCs w:val="32"/>
          <w:highlight w:val="none"/>
          <w:shd w:val="clear" w:color="auto" w:fill="FFFFFF"/>
          <w:lang w:val="en-US" w:eastAsia="zh-CN"/>
        </w:rPr>
      </w:pPr>
      <w:bookmarkStart w:id="96" w:name="_Toc9998"/>
      <w:bookmarkStart w:id="97" w:name="_Toc14445"/>
      <w:r>
        <w:rPr>
          <w:rFonts w:hint="default" w:ascii="Times New Roman" w:hAnsi="Times New Roman" w:eastAsia="楷体_GB2312" w:cs="Times New Roman"/>
          <w:b w:val="0"/>
          <w:bCs w:val="0"/>
          <w:color w:val="000000"/>
          <w:kern w:val="0"/>
          <w:sz w:val="32"/>
          <w:szCs w:val="32"/>
          <w:highlight w:val="none"/>
          <w:shd w:val="clear" w:color="auto" w:fill="FFFFFF"/>
          <w:lang w:val="zh-CN"/>
        </w:rPr>
        <w:t>（三）结余分配和结转结余情况</w:t>
      </w:r>
      <w:bookmarkEnd w:id="96"/>
      <w:bookmarkEnd w:id="97"/>
    </w:p>
    <w:p w14:paraId="47FA570C">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sz w:val="32"/>
          <w:szCs w:val="32"/>
          <w:lang w:val="zh-CN" w:eastAsia="zh-CN"/>
        </w:rPr>
      </w:pPr>
      <w:r>
        <w:rPr>
          <w:rFonts w:hint="eastAsia" w:eastAsia="仿宋_GB2312" w:cs="Times New Roman"/>
          <w:b w:val="0"/>
          <w:bCs/>
          <w:sz w:val="32"/>
          <w:szCs w:val="32"/>
          <w:lang w:val="en-US" w:eastAsia="zh-CN"/>
        </w:rPr>
        <w:t>农科院</w:t>
      </w:r>
      <w:r>
        <w:rPr>
          <w:rFonts w:hint="default" w:ascii="Times New Roman" w:hAnsi="Times New Roman" w:eastAsia="仿宋_GB2312" w:cs="Times New Roman"/>
          <w:b w:val="0"/>
          <w:bCs/>
          <w:sz w:val="32"/>
          <w:szCs w:val="32"/>
          <w:lang w:val="en-US" w:eastAsia="zh-CN"/>
        </w:rPr>
        <w:t>2025年决算报表</w:t>
      </w:r>
      <w:r>
        <w:rPr>
          <w:rFonts w:hint="default" w:ascii="Times New Roman" w:hAnsi="Times New Roman" w:eastAsia="仿宋_GB2312" w:cs="Times New Roman"/>
          <w:b w:val="0"/>
          <w:bCs/>
          <w:sz w:val="32"/>
          <w:szCs w:val="32"/>
          <w:lang w:val="zh-CN" w:eastAsia="zh-CN"/>
        </w:rPr>
        <w:t>年初结转</w:t>
      </w:r>
      <w:r>
        <w:rPr>
          <w:rFonts w:hint="eastAsia" w:eastAsia="仿宋_GB2312" w:cs="Times New Roman"/>
          <w:b w:val="0"/>
          <w:bCs/>
          <w:sz w:val="32"/>
          <w:szCs w:val="32"/>
          <w:lang w:val="en-US" w:eastAsia="zh-CN"/>
        </w:rPr>
        <w:t>168.45万元</w:t>
      </w:r>
      <w:r>
        <w:rPr>
          <w:rFonts w:hint="eastAsia" w:eastAsia="仿宋_GB2312" w:cs="Times New Roman"/>
          <w:b w:val="0"/>
          <w:bCs/>
          <w:sz w:val="32"/>
          <w:szCs w:val="32"/>
          <w:lang w:val="zh-CN" w:eastAsia="zh-CN"/>
        </w:rPr>
        <w:t>，</w:t>
      </w:r>
      <w:r>
        <w:rPr>
          <w:rFonts w:hint="eastAsia" w:eastAsia="仿宋_GB2312" w:cs="Times New Roman"/>
          <w:b w:val="0"/>
          <w:bCs/>
          <w:sz w:val="32"/>
          <w:szCs w:val="32"/>
          <w:lang w:val="en-US" w:eastAsia="zh-CN"/>
        </w:rPr>
        <w:t>年末</w:t>
      </w:r>
      <w:r>
        <w:rPr>
          <w:rFonts w:hint="default" w:ascii="Times New Roman" w:hAnsi="Times New Roman" w:eastAsia="仿宋_GB2312" w:cs="Times New Roman"/>
          <w:b w:val="0"/>
          <w:bCs/>
          <w:sz w:val="32"/>
          <w:szCs w:val="32"/>
          <w:lang w:val="en-US" w:eastAsia="zh-CN"/>
        </w:rPr>
        <w:t>结转</w:t>
      </w:r>
      <w:r>
        <w:rPr>
          <w:rFonts w:hint="eastAsia" w:eastAsia="仿宋_GB2312" w:cs="Times New Roman"/>
          <w:b w:val="0"/>
          <w:bCs/>
          <w:sz w:val="32"/>
          <w:szCs w:val="32"/>
          <w:lang w:val="en-US" w:eastAsia="zh-CN"/>
        </w:rPr>
        <w:t>108.82</w:t>
      </w:r>
      <w:r>
        <w:rPr>
          <w:rFonts w:hint="default" w:ascii="Times New Roman" w:hAnsi="Times New Roman" w:eastAsia="仿宋_GB2312" w:cs="Times New Roman"/>
          <w:b w:val="0"/>
          <w:bCs/>
          <w:sz w:val="32"/>
          <w:szCs w:val="32"/>
          <w:lang w:val="en-US" w:eastAsia="zh-CN"/>
        </w:rPr>
        <w:t>万元。</w:t>
      </w:r>
    </w:p>
    <w:p w14:paraId="0687B248">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0"/>
        <w:rPr>
          <w:rFonts w:hint="default" w:ascii="Times New Roman" w:hAnsi="Times New Roman" w:eastAsia="黑体" w:cs="Times New Roman"/>
          <w:color w:val="000000" w:themeColor="text1"/>
          <w:kern w:val="0"/>
          <w:sz w:val="32"/>
          <w:szCs w:val="32"/>
          <w:highlight w:val="none"/>
          <w:shd w:val="clear" w:color="auto" w:fill="FFFFFF"/>
          <w14:textFill>
            <w14:solidFill>
              <w14:schemeClr w14:val="tx1"/>
            </w14:solidFill>
          </w14:textFill>
        </w:rPr>
      </w:pPr>
      <w:bookmarkStart w:id="98" w:name="_Toc28379"/>
      <w:bookmarkStart w:id="99" w:name="_Toc18353"/>
      <w:r>
        <w:rPr>
          <w:rFonts w:hint="default" w:ascii="Times New Roman" w:hAnsi="Times New Roman" w:eastAsia="黑体" w:cs="Times New Roman"/>
          <w:color w:val="000000"/>
          <w:kern w:val="0"/>
          <w:sz w:val="32"/>
          <w:szCs w:val="32"/>
          <w:highlight w:val="none"/>
          <w:shd w:val="clear" w:color="auto" w:fill="FFFFFF"/>
        </w:rPr>
        <w:t>三、</w:t>
      </w:r>
      <w:r>
        <w:rPr>
          <w:rFonts w:hint="default" w:ascii="Times New Roman" w:hAnsi="Times New Roman" w:eastAsia="黑体" w:cs="Times New Roman"/>
          <w:color w:val="000000"/>
          <w:kern w:val="0"/>
          <w:sz w:val="32"/>
          <w:szCs w:val="32"/>
          <w:highlight w:val="none"/>
          <w:u w:val="none"/>
          <w:shd w:val="clear" w:color="auto" w:fill="FFFFFF"/>
        </w:rPr>
        <w:t>部门</w:t>
      </w:r>
      <w:r>
        <w:rPr>
          <w:rFonts w:hint="default" w:ascii="Times New Roman" w:hAnsi="Times New Roman" w:eastAsia="黑体" w:cs="Times New Roman"/>
          <w:color w:val="000000"/>
          <w:kern w:val="0"/>
          <w:sz w:val="32"/>
          <w:szCs w:val="32"/>
          <w:highlight w:val="none"/>
          <w:u w:val="none"/>
          <w:shd w:val="clear" w:color="auto" w:fill="FFFFFF"/>
          <w:lang w:eastAsia="zh-CN"/>
        </w:rPr>
        <w:t>预算</w:t>
      </w:r>
      <w:r>
        <w:rPr>
          <w:rFonts w:hint="default" w:ascii="Times New Roman" w:hAnsi="Times New Roman" w:eastAsia="黑体" w:cs="Times New Roman"/>
          <w:color w:val="000000"/>
          <w:kern w:val="0"/>
          <w:sz w:val="32"/>
          <w:szCs w:val="32"/>
          <w:highlight w:val="none"/>
          <w:u w:val="none"/>
          <w:shd w:val="clear" w:color="auto" w:fill="FFFFFF"/>
        </w:rPr>
        <w:t>绩效</w:t>
      </w:r>
      <w:r>
        <w:rPr>
          <w:rFonts w:hint="default" w:ascii="Times New Roman" w:hAnsi="Times New Roman" w:eastAsia="黑体" w:cs="Times New Roman"/>
          <w:color w:val="000000"/>
          <w:kern w:val="0"/>
          <w:sz w:val="32"/>
          <w:szCs w:val="32"/>
          <w:highlight w:val="none"/>
          <w:u w:val="none"/>
          <w:shd w:val="clear" w:color="auto" w:fill="FFFFFF"/>
          <w:lang w:eastAsia="zh-CN"/>
        </w:rPr>
        <w:t>分析</w:t>
      </w:r>
      <w:bookmarkEnd w:id="98"/>
      <w:bookmarkEnd w:id="99"/>
    </w:p>
    <w:p w14:paraId="3748BDA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1"/>
        <w:rPr>
          <w:rFonts w:hint="default" w:ascii="Times New Roman" w:hAnsi="Times New Roman" w:eastAsia="楷体_GB2312" w:cs="Times New Roman"/>
          <w:b w:val="0"/>
          <w:bCs w:val="0"/>
          <w:color w:val="000000"/>
          <w:kern w:val="0"/>
          <w:sz w:val="32"/>
          <w:szCs w:val="32"/>
          <w:highlight w:val="none"/>
          <w:shd w:val="clear" w:color="auto" w:fill="FFFFFF"/>
          <w:lang w:val="zh-CN"/>
        </w:rPr>
      </w:pPr>
      <w:bookmarkStart w:id="100" w:name="_Toc20964"/>
      <w:bookmarkStart w:id="101" w:name="_Toc11216"/>
      <w:r>
        <w:rPr>
          <w:rFonts w:hint="default" w:ascii="Times New Roman" w:hAnsi="Times New Roman" w:eastAsia="楷体_GB2312" w:cs="Times New Roman"/>
          <w:b w:val="0"/>
          <w:bCs w:val="0"/>
          <w:color w:val="000000"/>
          <w:kern w:val="0"/>
          <w:sz w:val="32"/>
          <w:szCs w:val="32"/>
          <w:highlight w:val="none"/>
          <w:shd w:val="clear" w:color="auto" w:fill="FFFFFF"/>
          <w:lang w:val="zh-CN"/>
        </w:rPr>
        <w:t>（一）部门预算总体绩效分析</w:t>
      </w:r>
      <w:bookmarkEnd w:id="100"/>
      <w:bookmarkEnd w:id="101"/>
    </w:p>
    <w:p w14:paraId="7CEAC48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方正仿宋_GB2312" w:cs="Times New Roman"/>
          <w:b/>
          <w:bCs/>
          <w:color w:val="000000"/>
          <w:kern w:val="0"/>
          <w:sz w:val="32"/>
          <w:szCs w:val="32"/>
          <w:highlight w:val="none"/>
          <w:shd w:val="clear" w:color="auto" w:fill="FFFFFF"/>
          <w:lang w:val="zh-CN"/>
        </w:rPr>
      </w:pPr>
      <w:r>
        <w:rPr>
          <w:rFonts w:hint="default" w:ascii="Times New Roman" w:hAnsi="Times New Roman" w:eastAsia="方正仿宋_GB2312" w:cs="Times New Roman"/>
          <w:b/>
          <w:bCs/>
          <w:color w:val="000000"/>
          <w:kern w:val="0"/>
          <w:sz w:val="32"/>
          <w:szCs w:val="32"/>
          <w:highlight w:val="none"/>
          <w:shd w:val="clear" w:color="auto" w:fill="FFFFFF"/>
          <w:lang w:val="en-US" w:eastAsia="zh-CN"/>
        </w:rPr>
        <w:t>1.</w:t>
      </w:r>
      <w:r>
        <w:rPr>
          <w:rFonts w:hint="default" w:ascii="Times New Roman" w:hAnsi="Times New Roman" w:eastAsia="方正仿宋_GB2312" w:cs="Times New Roman"/>
          <w:b/>
          <w:bCs/>
          <w:color w:val="000000"/>
          <w:kern w:val="0"/>
          <w:sz w:val="32"/>
          <w:szCs w:val="32"/>
          <w:highlight w:val="none"/>
          <w:shd w:val="clear" w:color="auto" w:fill="FFFFFF"/>
          <w:lang w:val="zh-CN"/>
        </w:rPr>
        <w:t>履职效能</w:t>
      </w:r>
    </w:p>
    <w:p w14:paraId="712BD84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default" w:ascii="Times New Roman" w:hAnsi="Times New Roman" w:eastAsia="仿宋_GB2312" w:cs="Times New Roman"/>
          <w:color w:val="000000"/>
          <w:kern w:val="0"/>
          <w:sz w:val="32"/>
          <w:szCs w:val="32"/>
          <w:highlight w:val="none"/>
          <w:shd w:val="clear" w:color="auto" w:fill="FFFFFF"/>
          <w:lang w:val="zh-CN" w:eastAsia="zh-CN"/>
        </w:rPr>
        <w:t>为充分反映我</w:t>
      </w:r>
      <w:r>
        <w:rPr>
          <w:rFonts w:hint="eastAsia" w:eastAsia="仿宋_GB2312" w:cs="Times New Roman"/>
          <w:color w:val="000000"/>
          <w:kern w:val="0"/>
          <w:sz w:val="32"/>
          <w:szCs w:val="32"/>
          <w:highlight w:val="none"/>
          <w:shd w:val="clear" w:color="auto" w:fill="FFFFFF"/>
          <w:lang w:val="en-US" w:eastAsia="zh-CN"/>
        </w:rPr>
        <w:t>院</w:t>
      </w:r>
      <w:r>
        <w:rPr>
          <w:rFonts w:hint="eastAsia" w:ascii="Times New Roman" w:hAnsi="Times New Roman" w:eastAsia="仿宋_GB2312" w:cs="Times New Roman"/>
          <w:color w:val="000000"/>
          <w:kern w:val="0"/>
          <w:sz w:val="32"/>
          <w:szCs w:val="32"/>
          <w:highlight w:val="none"/>
          <w:shd w:val="clear" w:color="auto" w:fill="FFFFFF"/>
          <w:lang w:val="zh-CN" w:eastAsia="zh-CN"/>
        </w:rPr>
        <w:t>2025</w:t>
      </w:r>
      <w:r>
        <w:rPr>
          <w:rFonts w:hint="default" w:ascii="Times New Roman" w:hAnsi="Times New Roman" w:eastAsia="仿宋_GB2312" w:cs="Times New Roman"/>
          <w:color w:val="000000"/>
          <w:kern w:val="0"/>
          <w:sz w:val="32"/>
          <w:szCs w:val="32"/>
          <w:highlight w:val="none"/>
          <w:shd w:val="clear" w:color="auto" w:fill="FFFFFF"/>
          <w:lang w:val="zh-CN" w:eastAsia="zh-CN"/>
        </w:rPr>
        <w:t>年度部门职能履行成效，本次绩效自评结合部门职能职责和</w:t>
      </w:r>
      <w:r>
        <w:rPr>
          <w:rFonts w:hint="eastAsia" w:ascii="Times New Roman" w:hAnsi="Times New Roman" w:eastAsia="仿宋_GB2312" w:cs="Times New Roman"/>
          <w:color w:val="000000"/>
          <w:kern w:val="0"/>
          <w:sz w:val="32"/>
          <w:szCs w:val="32"/>
          <w:highlight w:val="none"/>
          <w:shd w:val="clear" w:color="auto" w:fill="FFFFFF"/>
          <w:lang w:val="zh-CN" w:eastAsia="zh-CN"/>
        </w:rPr>
        <w:t>2025</w:t>
      </w:r>
      <w:r>
        <w:rPr>
          <w:rFonts w:hint="default" w:ascii="Times New Roman" w:hAnsi="Times New Roman" w:eastAsia="仿宋_GB2312" w:cs="Times New Roman"/>
          <w:color w:val="000000"/>
          <w:kern w:val="0"/>
          <w:sz w:val="32"/>
          <w:szCs w:val="32"/>
          <w:highlight w:val="none"/>
          <w:shd w:val="clear" w:color="auto" w:fill="FFFFFF"/>
          <w:lang w:val="zh-CN" w:eastAsia="zh-CN"/>
        </w:rPr>
        <w:t>年度重点工作任务，选取了</w:t>
      </w:r>
      <w:r>
        <w:rPr>
          <w:rFonts w:hint="eastAsia" w:ascii="Times New Roman" w:hAnsi="Times New Roman" w:eastAsia="仿宋_GB2312" w:cs="Times New Roman"/>
          <w:color w:val="000000"/>
          <w:kern w:val="0"/>
          <w:sz w:val="32"/>
          <w:szCs w:val="32"/>
          <w:highlight w:val="none"/>
          <w:shd w:val="clear" w:color="auto" w:fill="FFFFFF"/>
          <w:lang w:val="zh-CN" w:eastAsia="zh-CN"/>
        </w:rPr>
        <w:t>“畜牧水产领域引领突破”“</w:t>
      </w:r>
      <w:r>
        <w:rPr>
          <w:rFonts w:hint="eastAsia" w:ascii="Times New Roman" w:hAnsi="Times New Roman" w:eastAsia="仿宋_GB2312" w:cs="Times New Roman"/>
          <w:color w:val="000000"/>
          <w:kern w:val="0"/>
          <w:sz w:val="32"/>
          <w:szCs w:val="32"/>
          <w:highlight w:val="none"/>
          <w:shd w:val="clear" w:color="auto" w:fill="FFFFFF"/>
          <w:lang w:val="zh-CN"/>
        </w:rPr>
        <w:t>作物与园艺领域稳步推进</w:t>
      </w:r>
      <w:r>
        <w:rPr>
          <w:rFonts w:hint="eastAsia" w:ascii="Times New Roman" w:hAnsi="Times New Roman" w:eastAsia="仿宋_GB2312" w:cs="Times New Roman"/>
          <w:color w:val="000000"/>
          <w:kern w:val="0"/>
          <w:sz w:val="32"/>
          <w:szCs w:val="32"/>
          <w:highlight w:val="none"/>
          <w:shd w:val="clear" w:color="auto" w:fill="FFFFFF"/>
          <w:lang w:val="zh-CN" w:eastAsia="zh-CN"/>
        </w:rPr>
        <w:t>”“</w:t>
      </w:r>
      <w:r>
        <w:rPr>
          <w:rFonts w:hint="eastAsia" w:ascii="Times New Roman" w:hAnsi="Times New Roman" w:eastAsia="仿宋_GB2312" w:cs="Times New Roman"/>
          <w:color w:val="000000"/>
          <w:kern w:val="0"/>
          <w:sz w:val="32"/>
          <w:szCs w:val="32"/>
          <w:highlight w:val="none"/>
          <w:shd w:val="clear" w:color="auto" w:fill="FFFFFF"/>
          <w:lang w:val="zh-CN"/>
        </w:rPr>
        <w:t>综合管理与内控制度初步健全</w:t>
      </w:r>
      <w:r>
        <w:rPr>
          <w:rFonts w:hint="eastAsia" w:ascii="Times New Roman" w:hAnsi="Times New Roman" w:eastAsia="仿宋_GB2312" w:cs="Times New Roman"/>
          <w:color w:val="000000"/>
          <w:kern w:val="0"/>
          <w:sz w:val="32"/>
          <w:szCs w:val="32"/>
          <w:highlight w:val="none"/>
          <w:shd w:val="clear" w:color="auto" w:fill="FFFFFF"/>
          <w:lang w:val="zh-CN" w:eastAsia="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3</w:t>
      </w:r>
      <w:r>
        <w:rPr>
          <w:rFonts w:hint="default" w:ascii="Times New Roman" w:hAnsi="Times New Roman" w:eastAsia="仿宋_GB2312" w:cs="Times New Roman"/>
          <w:color w:val="000000"/>
          <w:kern w:val="0"/>
          <w:sz w:val="32"/>
          <w:szCs w:val="32"/>
          <w:highlight w:val="none"/>
          <w:shd w:val="clear" w:color="auto" w:fill="FFFFFF"/>
          <w:lang w:val="zh-CN" w:eastAsia="zh-CN"/>
        </w:rPr>
        <w:t>个绩效指标作为核心职能目标，各职能目标具体完成情况如下：</w:t>
      </w:r>
    </w:p>
    <w:p w14:paraId="28B7152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default" w:ascii="Times New Roman" w:hAnsi="Times New Roman" w:eastAsia="仿宋_GB2312" w:cs="Times New Roman"/>
          <w:color w:val="000000"/>
          <w:kern w:val="0"/>
          <w:sz w:val="32"/>
          <w:szCs w:val="32"/>
          <w:highlight w:val="none"/>
          <w:shd w:val="clear" w:color="auto" w:fill="FFFFFF"/>
          <w:lang w:val="zh-CN"/>
        </w:rPr>
        <w:t>（1）</w:t>
      </w:r>
      <w:r>
        <w:rPr>
          <w:rFonts w:hint="eastAsia" w:ascii="Times New Roman" w:hAnsi="Times New Roman" w:eastAsia="仿宋_GB2312" w:cs="Times New Roman"/>
          <w:color w:val="000000"/>
          <w:kern w:val="0"/>
          <w:sz w:val="32"/>
          <w:szCs w:val="32"/>
          <w:highlight w:val="none"/>
          <w:shd w:val="clear" w:color="auto" w:fill="FFFFFF"/>
          <w:lang w:val="zh-CN" w:eastAsia="zh-CN"/>
        </w:rPr>
        <w:t>畜牧水产领域引领突破</w:t>
      </w:r>
    </w:p>
    <w:p w14:paraId="777C3F3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eastAsia" w:ascii="Times New Roman" w:hAnsi="Times New Roman" w:eastAsia="仿宋_GB2312" w:cs="Times New Roman"/>
          <w:color w:val="000000"/>
          <w:kern w:val="0"/>
          <w:sz w:val="32"/>
          <w:szCs w:val="32"/>
          <w:highlight w:val="none"/>
          <w:shd w:val="clear" w:color="auto" w:fill="FFFFFF"/>
          <w:lang w:val="en-US" w:eastAsia="zh-CN"/>
        </w:rPr>
        <w:t>一是</w:t>
      </w:r>
      <w:r>
        <w:rPr>
          <w:rFonts w:hint="default" w:ascii="Times New Roman" w:hAnsi="Times New Roman" w:eastAsia="仿宋_GB2312" w:cs="Times New Roman"/>
          <w:color w:val="000000"/>
          <w:kern w:val="0"/>
          <w:sz w:val="32"/>
          <w:szCs w:val="32"/>
          <w:highlight w:val="none"/>
          <w:shd w:val="clear" w:color="auto" w:fill="FFFFFF"/>
          <w:lang w:val="en-US" w:eastAsia="zh-CN"/>
        </w:rPr>
        <w:t>牦牛育种技术获突破。畜牧水产研究所与西南民族大学合作，攻克高原牦牛活体采卵技术</w:t>
      </w:r>
      <w:r>
        <w:rPr>
          <w:rFonts w:hint="eastAsia" w:ascii="Times New Roman" w:hAnsi="Times New Roman" w:eastAsia="仿宋_GB2312" w:cs="Times New Roman"/>
          <w:color w:val="000000"/>
          <w:kern w:val="0"/>
          <w:sz w:val="32"/>
          <w:szCs w:val="32"/>
          <w:highlight w:val="none"/>
          <w:shd w:val="clear" w:color="auto" w:fill="FFFFFF"/>
          <w:lang w:val="en-US" w:eastAsia="zh-CN"/>
        </w:rPr>
        <w:t>难题，</w:t>
      </w:r>
      <w:r>
        <w:rPr>
          <w:rFonts w:hint="default" w:ascii="Times New Roman" w:hAnsi="Times New Roman" w:eastAsia="仿宋_GB2312" w:cs="Times New Roman"/>
          <w:color w:val="000000"/>
          <w:kern w:val="0"/>
          <w:sz w:val="32"/>
          <w:szCs w:val="32"/>
          <w:highlight w:val="none"/>
          <w:shd w:val="clear" w:color="auto" w:fill="FFFFFF"/>
          <w:lang w:val="en-US" w:eastAsia="zh-CN"/>
        </w:rPr>
        <w:t>2025年6月在红原县完成我国首例操作，建立高效技术体系，助力牦牛遗传进展提速。</w:t>
      </w:r>
    </w:p>
    <w:p w14:paraId="4DCA4A5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eastAsia" w:ascii="Times New Roman" w:hAnsi="Times New Roman" w:eastAsia="仿宋_GB2312" w:cs="Times New Roman"/>
          <w:color w:val="000000"/>
          <w:kern w:val="0"/>
          <w:sz w:val="32"/>
          <w:szCs w:val="32"/>
          <w:highlight w:val="none"/>
          <w:shd w:val="clear" w:color="auto" w:fill="FFFFFF"/>
          <w:lang w:val="en-US" w:eastAsia="zh-CN"/>
        </w:rPr>
        <w:t>二是</w:t>
      </w:r>
      <w:r>
        <w:rPr>
          <w:rFonts w:hint="default" w:ascii="Times New Roman" w:hAnsi="Times New Roman" w:eastAsia="仿宋_GB2312" w:cs="Times New Roman"/>
          <w:color w:val="000000"/>
          <w:kern w:val="0"/>
          <w:sz w:val="32"/>
          <w:szCs w:val="32"/>
          <w:highlight w:val="none"/>
          <w:shd w:val="clear" w:color="auto" w:fill="FFFFFF"/>
          <w:lang w:val="en-US" w:eastAsia="zh-CN"/>
        </w:rPr>
        <w:t>良种繁育体系不断完善。完成2万余支麦洼牦牛一级标准细管冻精制作，开展1035头次核心群牦牛选种选配及236头母牛人工授精，麦洼牦牛原种场种畜越冬存活率达98.3%，国家核心肉牛育种场核验有序推进。</w:t>
      </w:r>
    </w:p>
    <w:p w14:paraId="15263C0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color w:val="000000"/>
          <w:kern w:val="0"/>
          <w:sz w:val="32"/>
          <w:szCs w:val="32"/>
          <w:highlight w:val="none"/>
          <w:shd w:val="clear" w:color="auto" w:fill="FFFFFF"/>
          <w:lang w:val="zh-CN"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三是</w:t>
      </w:r>
      <w:r>
        <w:rPr>
          <w:rFonts w:hint="default" w:ascii="Times New Roman" w:hAnsi="Times New Roman" w:eastAsia="仿宋_GB2312" w:cs="Times New Roman"/>
          <w:color w:val="000000"/>
          <w:kern w:val="0"/>
          <w:sz w:val="32"/>
          <w:szCs w:val="32"/>
          <w:highlight w:val="none"/>
          <w:shd w:val="clear" w:color="auto" w:fill="FFFFFF"/>
          <w:lang w:val="en-US" w:eastAsia="zh-CN"/>
        </w:rPr>
        <w:t>特色遗传资源保护加强。完成麦洼牦牛、西藏羊等1500余头（只、匹）生产性能测定，推进贾洛绵羊无角群体研究及三江牛、羌山云朵鸡等地方品种保护与标准制定。</w:t>
      </w:r>
    </w:p>
    <w:p w14:paraId="36AAC69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default" w:ascii="Times New Roman" w:hAnsi="Times New Roman" w:eastAsia="仿宋_GB2312" w:cs="Times New Roman"/>
          <w:color w:val="000000"/>
          <w:kern w:val="0"/>
          <w:sz w:val="32"/>
          <w:szCs w:val="32"/>
          <w:highlight w:val="none"/>
          <w:shd w:val="clear" w:color="auto" w:fill="FFFFFF"/>
          <w:lang w:val="zh-CN"/>
        </w:rPr>
        <w:t>根据评分标准，该项指标不扣分，得</w:t>
      </w:r>
      <w:r>
        <w:rPr>
          <w:rFonts w:hint="eastAsia" w:ascii="Times New Roman" w:hAnsi="Times New Roman" w:eastAsia="仿宋_GB2312" w:cs="Times New Roman"/>
          <w:color w:val="000000"/>
          <w:kern w:val="0"/>
          <w:sz w:val="32"/>
          <w:szCs w:val="32"/>
          <w:highlight w:val="none"/>
          <w:shd w:val="clear" w:color="auto" w:fill="FFFFFF"/>
          <w:lang w:val="en-US" w:eastAsia="zh-CN"/>
        </w:rPr>
        <w:t>5</w:t>
      </w:r>
      <w:r>
        <w:rPr>
          <w:rFonts w:hint="default" w:ascii="Times New Roman" w:hAnsi="Times New Roman" w:eastAsia="仿宋_GB2312" w:cs="Times New Roman"/>
          <w:color w:val="000000"/>
          <w:kern w:val="0"/>
          <w:sz w:val="32"/>
          <w:szCs w:val="32"/>
          <w:highlight w:val="none"/>
          <w:shd w:val="clear" w:color="auto" w:fill="FFFFFF"/>
          <w:lang w:val="zh-CN"/>
        </w:rPr>
        <w:t>分。</w:t>
      </w:r>
    </w:p>
    <w:p w14:paraId="3ED811D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default" w:ascii="Times New Roman" w:hAnsi="Times New Roman" w:eastAsia="仿宋_GB2312" w:cs="Times New Roman"/>
          <w:color w:val="000000"/>
          <w:kern w:val="0"/>
          <w:sz w:val="32"/>
          <w:szCs w:val="32"/>
          <w:highlight w:val="none"/>
          <w:shd w:val="clear" w:color="auto" w:fill="FFFFFF"/>
          <w:lang w:val="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2</w:t>
      </w:r>
      <w:r>
        <w:rPr>
          <w:rFonts w:hint="default" w:ascii="Times New Roman" w:hAnsi="Times New Roman" w:eastAsia="仿宋_GB2312" w:cs="Times New Roman"/>
          <w:color w:val="000000"/>
          <w:kern w:val="0"/>
          <w:sz w:val="32"/>
          <w:szCs w:val="32"/>
          <w:highlight w:val="none"/>
          <w:shd w:val="clear" w:color="auto" w:fill="FFFFFF"/>
          <w:lang w:val="zh-CN"/>
        </w:rPr>
        <w:t>）</w:t>
      </w:r>
      <w:r>
        <w:rPr>
          <w:rFonts w:hint="eastAsia" w:ascii="Times New Roman" w:hAnsi="Times New Roman" w:eastAsia="仿宋_GB2312" w:cs="Times New Roman"/>
          <w:color w:val="000000"/>
          <w:kern w:val="0"/>
          <w:sz w:val="32"/>
          <w:szCs w:val="32"/>
          <w:highlight w:val="none"/>
          <w:shd w:val="clear" w:color="auto" w:fill="FFFFFF"/>
          <w:lang w:val="zh-CN"/>
        </w:rPr>
        <w:t>作物与园艺领域稳步推进</w:t>
      </w:r>
    </w:p>
    <w:p w14:paraId="1B39A6F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color w:val="000000"/>
          <w:kern w:val="0"/>
          <w:sz w:val="32"/>
          <w:szCs w:val="32"/>
          <w:highlight w:val="none"/>
          <w:shd w:val="clear" w:color="auto" w:fill="FFFFFF"/>
          <w:lang w:val="zh-CN"/>
        </w:rPr>
      </w:pPr>
      <w:r>
        <w:rPr>
          <w:rFonts w:hint="eastAsia" w:ascii="Times New Roman" w:hAnsi="Times New Roman" w:eastAsia="仿宋_GB2312" w:cs="Times New Roman"/>
          <w:color w:val="000000"/>
          <w:kern w:val="0"/>
          <w:sz w:val="32"/>
          <w:szCs w:val="32"/>
          <w:highlight w:val="none"/>
          <w:shd w:val="clear" w:color="auto" w:fill="FFFFFF"/>
          <w:lang w:val="en-US" w:eastAsia="zh-CN"/>
        </w:rPr>
        <w:t>一是种质资源收集与创新利用持续加强。作物研究所收集种质资源200余份，繁殖育种材料3000余份，配制杂交组合1000余个，提纯复壮“南湖塔”等3个马铃薯地方品种；园林园艺所推进“白湾海椒”种质创新，引进筛选多种果蔬新品种，其中莴笋新品种“竹青韵”亩产（净重）8925.7斤</w:t>
      </w:r>
      <w:r>
        <w:rPr>
          <w:rFonts w:hint="eastAsia" w:eastAsia="仿宋_GB2312" w:cs="Times New Roman"/>
          <w:color w:val="000000"/>
          <w:kern w:val="0"/>
          <w:sz w:val="32"/>
          <w:szCs w:val="32"/>
          <w:highlight w:val="none"/>
          <w:shd w:val="clear" w:color="auto" w:fill="FFFFFF"/>
          <w:lang w:val="en-US" w:eastAsia="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较对照增产12.5%，耐抽薹性和适应性强。</w:t>
      </w:r>
    </w:p>
    <w:p w14:paraId="17CBBA5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二是育种攻关成效显著。玉米育种参试品种省级试验平均增产率60%，筛选高产组合28个；青稞聚焦特色专用类型，筛选黑青稞、糯青稞等品系16个，其中4个进入品种登记程序；马铃薯筛选出7个高产、适应性强的优良品种（系）</w:t>
      </w:r>
      <w:r>
        <w:rPr>
          <w:rFonts w:hint="default" w:ascii="Times New Roman" w:hAnsi="Times New Roman" w:eastAsia="仿宋_GB2312" w:cs="Times New Roman"/>
          <w:color w:val="000000"/>
          <w:kern w:val="0"/>
          <w:sz w:val="32"/>
          <w:szCs w:val="32"/>
          <w:highlight w:val="none"/>
          <w:shd w:val="clear" w:color="auto" w:fill="FFFFFF"/>
          <w:lang w:val="zh-CN" w:eastAsia="zh-CN"/>
        </w:rPr>
        <w:t>。</w:t>
      </w:r>
    </w:p>
    <w:p w14:paraId="04F2F6F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default" w:ascii="Times New Roman" w:hAnsi="Times New Roman" w:eastAsia="仿宋_GB2312" w:cs="Times New Roman"/>
          <w:color w:val="000000"/>
          <w:kern w:val="0"/>
          <w:sz w:val="32"/>
          <w:szCs w:val="32"/>
          <w:highlight w:val="none"/>
          <w:shd w:val="clear" w:color="auto" w:fill="FFFFFF"/>
          <w:lang w:val="zh-CN"/>
        </w:rPr>
        <w:t>根据评分标准，该项指标不扣分，得</w:t>
      </w:r>
      <w:r>
        <w:rPr>
          <w:rFonts w:hint="eastAsia" w:ascii="Times New Roman" w:hAnsi="Times New Roman" w:eastAsia="仿宋_GB2312" w:cs="Times New Roman"/>
          <w:color w:val="000000"/>
          <w:kern w:val="0"/>
          <w:sz w:val="32"/>
          <w:szCs w:val="32"/>
          <w:highlight w:val="none"/>
          <w:shd w:val="clear" w:color="auto" w:fill="FFFFFF"/>
          <w:lang w:val="en-US" w:eastAsia="zh-CN"/>
        </w:rPr>
        <w:t>5</w:t>
      </w:r>
      <w:r>
        <w:rPr>
          <w:rFonts w:hint="default" w:ascii="Times New Roman" w:hAnsi="Times New Roman" w:eastAsia="仿宋_GB2312" w:cs="Times New Roman"/>
          <w:color w:val="000000"/>
          <w:kern w:val="0"/>
          <w:sz w:val="32"/>
          <w:szCs w:val="32"/>
          <w:highlight w:val="none"/>
          <w:shd w:val="clear" w:color="auto" w:fill="FFFFFF"/>
          <w:lang w:val="zh-CN"/>
        </w:rPr>
        <w:t>分。</w:t>
      </w:r>
    </w:p>
    <w:p w14:paraId="5FBA4AC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default" w:ascii="Times New Roman" w:hAnsi="Times New Roman" w:eastAsia="仿宋_GB2312" w:cs="Times New Roman"/>
          <w:color w:val="000000"/>
          <w:kern w:val="0"/>
          <w:sz w:val="32"/>
          <w:szCs w:val="32"/>
          <w:highlight w:val="none"/>
          <w:shd w:val="clear" w:color="auto" w:fill="FFFFFF"/>
          <w:lang w:val="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3</w:t>
      </w:r>
      <w:r>
        <w:rPr>
          <w:rFonts w:hint="default" w:ascii="Times New Roman" w:hAnsi="Times New Roman" w:eastAsia="仿宋_GB2312" w:cs="Times New Roman"/>
          <w:color w:val="000000"/>
          <w:kern w:val="0"/>
          <w:sz w:val="32"/>
          <w:szCs w:val="32"/>
          <w:highlight w:val="none"/>
          <w:shd w:val="clear" w:color="auto" w:fill="FFFFFF"/>
          <w:lang w:val="zh-CN"/>
        </w:rPr>
        <w:t>）</w:t>
      </w:r>
      <w:r>
        <w:rPr>
          <w:rFonts w:hint="eastAsia" w:ascii="Times New Roman" w:hAnsi="Times New Roman" w:eastAsia="仿宋_GB2312" w:cs="Times New Roman"/>
          <w:color w:val="000000"/>
          <w:kern w:val="0"/>
          <w:sz w:val="32"/>
          <w:szCs w:val="32"/>
          <w:highlight w:val="none"/>
          <w:shd w:val="clear" w:color="auto" w:fill="FFFFFF"/>
          <w:lang w:val="zh-CN"/>
        </w:rPr>
        <w:t>综合管理与内控制度初步健全</w:t>
      </w:r>
    </w:p>
    <w:p w14:paraId="320E8B5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eastAsia" w:ascii="Times New Roman" w:hAnsi="Times New Roman" w:eastAsia="仿宋_GB2312" w:cs="Times New Roman"/>
          <w:color w:val="000000"/>
          <w:kern w:val="0"/>
          <w:sz w:val="32"/>
          <w:szCs w:val="32"/>
          <w:highlight w:val="none"/>
          <w:shd w:val="clear" w:color="auto" w:fill="FFFFFF"/>
          <w:lang w:val="zh-CN"/>
        </w:rPr>
        <w:t>党政综合办公室牵头，制定并印发了《“三重一大”决策制度实施办法》、党委会议规则、院务会议事规则、公文处理</w:t>
      </w:r>
      <w:r>
        <w:rPr>
          <w:rFonts w:hint="eastAsia" w:eastAsia="仿宋_GB2312" w:cs="Times New Roman"/>
          <w:color w:val="000000"/>
          <w:kern w:val="0"/>
          <w:sz w:val="32"/>
          <w:szCs w:val="32"/>
          <w:highlight w:val="none"/>
          <w:shd w:val="clear" w:color="auto" w:fill="FFFFFF"/>
          <w:lang w:val="zh-CN"/>
        </w:rPr>
        <w:t>办法、</w:t>
      </w:r>
      <w:r>
        <w:rPr>
          <w:rFonts w:hint="eastAsia" w:ascii="Times New Roman" w:hAnsi="Times New Roman" w:eastAsia="仿宋_GB2312" w:cs="Times New Roman"/>
          <w:color w:val="000000"/>
          <w:kern w:val="0"/>
          <w:sz w:val="32"/>
          <w:szCs w:val="32"/>
          <w:highlight w:val="none"/>
          <w:shd w:val="clear" w:color="auto" w:fill="FFFFFF"/>
          <w:lang w:val="zh-CN"/>
        </w:rPr>
        <w:t>公务用车</w:t>
      </w:r>
      <w:r>
        <w:rPr>
          <w:rFonts w:hint="eastAsia" w:eastAsia="仿宋_GB2312" w:cs="Times New Roman"/>
          <w:color w:val="000000"/>
          <w:kern w:val="0"/>
          <w:sz w:val="32"/>
          <w:szCs w:val="32"/>
          <w:highlight w:val="none"/>
          <w:shd w:val="clear" w:color="auto" w:fill="FFFFFF"/>
          <w:lang w:val="zh-CN"/>
        </w:rPr>
        <w:t>管理办法、</w:t>
      </w:r>
      <w:r>
        <w:rPr>
          <w:rFonts w:hint="eastAsia" w:ascii="Times New Roman" w:hAnsi="Times New Roman" w:eastAsia="仿宋_GB2312" w:cs="Times New Roman"/>
          <w:color w:val="000000"/>
          <w:kern w:val="0"/>
          <w:sz w:val="32"/>
          <w:szCs w:val="32"/>
          <w:highlight w:val="none"/>
          <w:shd w:val="clear" w:color="auto" w:fill="FFFFFF"/>
          <w:lang w:val="zh-CN"/>
        </w:rPr>
        <w:t>国内公务接待</w:t>
      </w:r>
      <w:r>
        <w:rPr>
          <w:rFonts w:hint="eastAsia" w:eastAsia="仿宋_GB2312" w:cs="Times New Roman"/>
          <w:color w:val="000000"/>
          <w:kern w:val="0"/>
          <w:sz w:val="32"/>
          <w:szCs w:val="32"/>
          <w:highlight w:val="none"/>
          <w:shd w:val="clear" w:color="auto" w:fill="FFFFFF"/>
          <w:lang w:val="zh-CN"/>
        </w:rPr>
        <w:t>管理办法、</w:t>
      </w:r>
      <w:r>
        <w:rPr>
          <w:rFonts w:hint="eastAsia" w:ascii="Times New Roman" w:hAnsi="Times New Roman" w:eastAsia="仿宋_GB2312" w:cs="Times New Roman"/>
          <w:color w:val="000000"/>
          <w:kern w:val="0"/>
          <w:sz w:val="32"/>
          <w:szCs w:val="32"/>
          <w:highlight w:val="none"/>
          <w:shd w:val="clear" w:color="auto" w:fill="FFFFFF"/>
          <w:lang w:val="zh-CN"/>
        </w:rPr>
        <w:t>信息公开“三审三校”</w:t>
      </w:r>
      <w:r>
        <w:rPr>
          <w:rFonts w:hint="eastAsia" w:eastAsia="仿宋_GB2312" w:cs="Times New Roman"/>
          <w:color w:val="000000"/>
          <w:kern w:val="0"/>
          <w:sz w:val="32"/>
          <w:szCs w:val="32"/>
          <w:highlight w:val="none"/>
          <w:shd w:val="clear" w:color="auto" w:fill="FFFFFF"/>
          <w:lang w:val="zh-CN"/>
        </w:rPr>
        <w:t>制度、</w:t>
      </w:r>
      <w:r>
        <w:rPr>
          <w:rFonts w:hint="eastAsia" w:ascii="Times New Roman" w:hAnsi="Times New Roman" w:eastAsia="仿宋_GB2312" w:cs="Times New Roman"/>
          <w:color w:val="000000"/>
          <w:kern w:val="0"/>
          <w:sz w:val="32"/>
          <w:szCs w:val="32"/>
          <w:highlight w:val="none"/>
          <w:shd w:val="clear" w:color="auto" w:fill="FFFFFF"/>
          <w:lang w:val="zh-CN"/>
        </w:rPr>
        <w:t>信访工作</w:t>
      </w:r>
      <w:r>
        <w:rPr>
          <w:rFonts w:hint="eastAsia" w:eastAsia="仿宋_GB2312" w:cs="Times New Roman"/>
          <w:color w:val="000000"/>
          <w:kern w:val="0"/>
          <w:sz w:val="32"/>
          <w:szCs w:val="32"/>
          <w:highlight w:val="none"/>
          <w:shd w:val="clear" w:color="auto" w:fill="FFFFFF"/>
          <w:lang w:val="zh-CN"/>
        </w:rPr>
        <w:t>制度、</w:t>
      </w:r>
      <w:r>
        <w:rPr>
          <w:rFonts w:hint="eastAsia" w:ascii="Times New Roman" w:hAnsi="Times New Roman" w:eastAsia="仿宋_GB2312" w:cs="Times New Roman"/>
          <w:color w:val="000000"/>
          <w:kern w:val="0"/>
          <w:sz w:val="32"/>
          <w:szCs w:val="32"/>
          <w:highlight w:val="none"/>
          <w:shd w:val="clear" w:color="auto" w:fill="FFFFFF"/>
          <w:lang w:val="zh-CN"/>
        </w:rPr>
        <w:t>政府采购管理</w:t>
      </w:r>
      <w:r>
        <w:rPr>
          <w:rFonts w:hint="eastAsia" w:eastAsia="仿宋_GB2312" w:cs="Times New Roman"/>
          <w:color w:val="000000"/>
          <w:kern w:val="0"/>
          <w:sz w:val="32"/>
          <w:szCs w:val="32"/>
          <w:highlight w:val="none"/>
          <w:shd w:val="clear" w:color="auto" w:fill="FFFFFF"/>
          <w:lang w:val="zh-CN"/>
        </w:rPr>
        <w:t>办法等</w:t>
      </w:r>
      <w:r>
        <w:rPr>
          <w:rFonts w:hint="eastAsia" w:ascii="Times New Roman" w:hAnsi="Times New Roman" w:eastAsia="仿宋_GB2312" w:cs="Times New Roman"/>
          <w:color w:val="000000"/>
          <w:kern w:val="0"/>
          <w:sz w:val="32"/>
          <w:szCs w:val="32"/>
          <w:highlight w:val="none"/>
          <w:shd w:val="clear" w:color="auto" w:fill="FFFFFF"/>
          <w:lang w:val="zh-CN"/>
        </w:rPr>
        <w:t>十余项核心制度，确保了院党委和行政决策的科学化、规范化。人事科出台了《请销假管理办法（试行）》《事业人员竞聘上岗实施办法（试行）》，推行无纸化审批，提升了管理效能</w:t>
      </w:r>
      <w:r>
        <w:rPr>
          <w:rFonts w:hint="default" w:ascii="Times New Roman" w:hAnsi="Times New Roman" w:eastAsia="仿宋_GB2312" w:cs="Times New Roman"/>
          <w:color w:val="000000"/>
          <w:kern w:val="0"/>
          <w:sz w:val="32"/>
          <w:szCs w:val="32"/>
          <w:highlight w:val="none"/>
          <w:shd w:val="clear" w:color="auto" w:fill="FFFFFF"/>
          <w:lang w:val="zh-CN" w:eastAsia="zh-CN"/>
        </w:rPr>
        <w:t>。</w:t>
      </w:r>
    </w:p>
    <w:p w14:paraId="7410421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default" w:ascii="Times New Roman" w:hAnsi="Times New Roman" w:eastAsia="仿宋_GB2312" w:cs="Times New Roman"/>
          <w:color w:val="000000"/>
          <w:kern w:val="0"/>
          <w:sz w:val="32"/>
          <w:szCs w:val="32"/>
          <w:highlight w:val="none"/>
          <w:shd w:val="clear" w:color="auto" w:fill="FFFFFF"/>
          <w:lang w:val="zh-CN"/>
        </w:rPr>
        <w:t>根据评分标准，该项指标不扣分，得</w:t>
      </w:r>
      <w:r>
        <w:rPr>
          <w:rFonts w:hint="eastAsia" w:ascii="Times New Roman" w:hAnsi="Times New Roman" w:eastAsia="仿宋_GB2312" w:cs="Times New Roman"/>
          <w:color w:val="000000"/>
          <w:kern w:val="0"/>
          <w:sz w:val="32"/>
          <w:szCs w:val="32"/>
          <w:highlight w:val="none"/>
          <w:shd w:val="clear" w:color="auto" w:fill="FFFFFF"/>
          <w:lang w:val="en-US" w:eastAsia="zh-CN"/>
        </w:rPr>
        <w:t>5</w:t>
      </w:r>
      <w:r>
        <w:rPr>
          <w:rFonts w:hint="default" w:ascii="Times New Roman" w:hAnsi="Times New Roman" w:eastAsia="仿宋_GB2312" w:cs="Times New Roman"/>
          <w:color w:val="000000"/>
          <w:kern w:val="0"/>
          <w:sz w:val="32"/>
          <w:szCs w:val="32"/>
          <w:highlight w:val="none"/>
          <w:shd w:val="clear" w:color="auto" w:fill="FFFFFF"/>
          <w:lang w:val="zh-CN"/>
        </w:rPr>
        <w:t>分。</w:t>
      </w:r>
    </w:p>
    <w:p w14:paraId="19652F5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color w:val="000000"/>
          <w:kern w:val="0"/>
          <w:sz w:val="32"/>
          <w:szCs w:val="32"/>
          <w:highlight w:val="none"/>
          <w:shd w:val="clear" w:color="auto" w:fill="FFFFFF"/>
          <w:lang w:val="zh-CN"/>
        </w:rPr>
        <w:t>综上，根据评分标准，我</w:t>
      </w:r>
      <w:r>
        <w:rPr>
          <w:rFonts w:hint="eastAsia" w:eastAsia="仿宋_GB2312" w:cs="Times New Roman"/>
          <w:color w:val="000000"/>
          <w:kern w:val="0"/>
          <w:sz w:val="32"/>
          <w:szCs w:val="32"/>
          <w:highlight w:val="none"/>
          <w:shd w:val="clear" w:color="auto" w:fill="FFFFFF"/>
          <w:lang w:val="en-US" w:eastAsia="zh-CN"/>
        </w:rPr>
        <w:t>院</w:t>
      </w:r>
      <w:r>
        <w:rPr>
          <w:rFonts w:hint="default" w:ascii="Times New Roman" w:hAnsi="Times New Roman" w:eastAsia="仿宋_GB2312" w:cs="Times New Roman"/>
          <w:color w:val="000000"/>
          <w:kern w:val="0"/>
          <w:sz w:val="32"/>
          <w:szCs w:val="32"/>
          <w:highlight w:val="none"/>
          <w:shd w:val="clear" w:color="auto" w:fill="FFFFFF"/>
          <w:lang w:val="zh-CN"/>
        </w:rPr>
        <w:t>履职效能指标不扣分，得15分</w:t>
      </w:r>
      <w:r>
        <w:rPr>
          <w:rFonts w:hint="default" w:ascii="Times New Roman" w:hAnsi="Times New Roman" w:eastAsia="仿宋_GB2312" w:cs="Times New Roman"/>
          <w:b w:val="0"/>
          <w:bCs/>
          <w:sz w:val="32"/>
          <w:szCs w:val="32"/>
          <w:lang w:val="en-US" w:eastAsia="zh-CN"/>
        </w:rPr>
        <w:t>。</w:t>
      </w:r>
    </w:p>
    <w:p w14:paraId="6A200F7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方正仿宋_GB2312" w:cs="Times New Roman"/>
          <w:b/>
          <w:bCs/>
          <w:color w:val="000000"/>
          <w:kern w:val="0"/>
          <w:sz w:val="32"/>
          <w:szCs w:val="32"/>
          <w:highlight w:val="none"/>
          <w:shd w:val="clear" w:color="auto" w:fill="FFFFFF"/>
          <w:lang w:val="zh-CN"/>
        </w:rPr>
      </w:pPr>
      <w:r>
        <w:rPr>
          <w:rFonts w:hint="default" w:ascii="Times New Roman" w:hAnsi="Times New Roman" w:eastAsia="方正仿宋_GB2312" w:cs="Times New Roman"/>
          <w:b/>
          <w:bCs/>
          <w:color w:val="000000"/>
          <w:kern w:val="0"/>
          <w:sz w:val="32"/>
          <w:szCs w:val="32"/>
          <w:highlight w:val="none"/>
          <w:shd w:val="clear" w:color="auto" w:fill="FFFFFF"/>
          <w:lang w:val="en-US" w:eastAsia="zh-CN"/>
        </w:rPr>
        <w:t>2.</w:t>
      </w:r>
      <w:r>
        <w:rPr>
          <w:rFonts w:hint="default" w:ascii="Times New Roman" w:hAnsi="Times New Roman" w:eastAsia="方正仿宋_GB2312" w:cs="Times New Roman"/>
          <w:b/>
          <w:bCs/>
          <w:color w:val="000000"/>
          <w:kern w:val="0"/>
          <w:sz w:val="32"/>
          <w:szCs w:val="32"/>
          <w:highlight w:val="none"/>
          <w:shd w:val="clear" w:color="auto" w:fill="FFFFFF"/>
          <w:lang w:val="zh-CN"/>
        </w:rPr>
        <w:t>预算管理</w:t>
      </w:r>
    </w:p>
    <w:p w14:paraId="5C397BC3">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1</w:t>
      </w: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预算编制质量</w:t>
      </w:r>
    </w:p>
    <w:p w14:paraId="2D0BFA5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2025年</w:t>
      </w:r>
      <w:r>
        <w:rPr>
          <w:rFonts w:hint="eastAsia" w:eastAsia="仿宋_GB2312" w:cs="Times New Roman"/>
          <w:sz w:val="32"/>
          <w:szCs w:val="32"/>
          <w:lang w:val="en-US" w:eastAsia="zh-CN"/>
        </w:rPr>
        <w:t>农科院</w:t>
      </w:r>
      <w:r>
        <w:rPr>
          <w:rFonts w:hint="default" w:ascii="Times New Roman" w:hAnsi="Times New Roman" w:eastAsia="仿宋_GB2312" w:cs="Times New Roman"/>
          <w:sz w:val="32"/>
          <w:szCs w:val="32"/>
          <w:lang w:val="en-US" w:eastAsia="zh-CN"/>
        </w:rPr>
        <w:t>财政拨款预算执行数为</w:t>
      </w:r>
      <w:r>
        <w:rPr>
          <w:rFonts w:hint="eastAsia" w:eastAsia="仿宋_GB2312" w:cs="Times New Roman"/>
          <w:sz w:val="32"/>
          <w:szCs w:val="32"/>
          <w:lang w:val="en-US" w:eastAsia="zh-CN"/>
        </w:rPr>
        <w:t>3373.89</w:t>
      </w:r>
      <w:r>
        <w:rPr>
          <w:rFonts w:hint="default" w:ascii="Times New Roman" w:hAnsi="Times New Roman" w:eastAsia="仿宋_GB2312" w:cs="Times New Roman"/>
          <w:sz w:val="32"/>
          <w:szCs w:val="32"/>
          <w:lang w:val="en-US" w:eastAsia="zh-CN"/>
        </w:rPr>
        <w:t>万元，财政拨款年初预算数为</w:t>
      </w:r>
      <w:r>
        <w:rPr>
          <w:rFonts w:hint="eastAsia" w:eastAsia="仿宋_GB2312" w:cs="Times New Roman"/>
          <w:b w:val="0"/>
          <w:bCs/>
          <w:sz w:val="32"/>
          <w:szCs w:val="32"/>
          <w:lang w:val="en-US" w:eastAsia="zh-CN"/>
        </w:rPr>
        <w:t>2938.51</w:t>
      </w:r>
      <w:r>
        <w:rPr>
          <w:rFonts w:hint="default" w:ascii="Times New Roman" w:hAnsi="Times New Roman" w:eastAsia="仿宋_GB2312" w:cs="Times New Roman"/>
          <w:sz w:val="32"/>
          <w:szCs w:val="32"/>
          <w:lang w:val="en-US" w:eastAsia="zh-CN"/>
        </w:rPr>
        <w:t>万元，财政拨款预算偏离度为</w:t>
      </w:r>
      <w:r>
        <w:rPr>
          <w:rFonts w:hint="eastAsia" w:eastAsia="仿宋_GB2312" w:cs="Times New Roman"/>
          <w:sz w:val="32"/>
          <w:szCs w:val="32"/>
          <w:lang w:val="en-US" w:eastAsia="zh-CN"/>
        </w:rPr>
        <w:t>14.81</w:t>
      </w:r>
      <w:r>
        <w:rPr>
          <w:rFonts w:hint="default" w:ascii="Times New Roman" w:hAnsi="Times New Roman" w:eastAsia="仿宋_GB2312" w:cs="Times New Roman"/>
          <w:sz w:val="32"/>
          <w:szCs w:val="32"/>
          <w:lang w:val="en-US" w:eastAsia="zh-CN"/>
        </w:rPr>
        <w:t>%。</w:t>
      </w:r>
    </w:p>
    <w:p w14:paraId="1A15BFF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2025年</w:t>
      </w:r>
      <w:r>
        <w:rPr>
          <w:rFonts w:hint="eastAsia" w:eastAsia="仿宋_GB2312" w:cs="Times New Roman"/>
          <w:sz w:val="32"/>
          <w:szCs w:val="32"/>
          <w:lang w:val="en-US" w:eastAsia="zh-CN"/>
        </w:rPr>
        <w:t>农科院</w:t>
      </w:r>
      <w:r>
        <w:rPr>
          <w:rFonts w:hint="default" w:ascii="Times New Roman" w:hAnsi="Times New Roman" w:eastAsia="仿宋_GB2312" w:cs="Times New Roman"/>
          <w:sz w:val="32"/>
          <w:szCs w:val="32"/>
          <w:lang w:val="en-US" w:eastAsia="zh-CN"/>
        </w:rPr>
        <w:t>资产配置预算执行数为</w:t>
      </w:r>
      <w:r>
        <w:rPr>
          <w:rFonts w:hint="eastAsia" w:eastAsia="仿宋_GB2312" w:cs="Times New Roman"/>
          <w:sz w:val="32"/>
          <w:szCs w:val="32"/>
          <w:lang w:val="en-US" w:eastAsia="zh-CN"/>
        </w:rPr>
        <w:t>0</w:t>
      </w:r>
      <w:r>
        <w:rPr>
          <w:rFonts w:hint="default" w:ascii="Times New Roman" w:hAnsi="Times New Roman" w:eastAsia="仿宋_GB2312" w:cs="Times New Roman"/>
          <w:sz w:val="32"/>
          <w:szCs w:val="32"/>
          <w:lang w:val="en-US" w:eastAsia="zh-CN"/>
        </w:rPr>
        <w:t>万元，资产配置年初预算数为</w:t>
      </w:r>
      <w:r>
        <w:rPr>
          <w:rFonts w:hint="eastAsia" w:eastAsia="仿宋_GB2312" w:cs="Times New Roman"/>
          <w:sz w:val="32"/>
          <w:szCs w:val="32"/>
          <w:lang w:val="en-US" w:eastAsia="zh-CN"/>
        </w:rPr>
        <w:t>0</w:t>
      </w:r>
      <w:r>
        <w:rPr>
          <w:rFonts w:hint="default" w:ascii="Times New Roman" w:hAnsi="Times New Roman" w:eastAsia="仿宋_GB2312" w:cs="Times New Roman"/>
          <w:sz w:val="32"/>
          <w:szCs w:val="32"/>
          <w:lang w:val="en-US" w:eastAsia="zh-CN"/>
        </w:rPr>
        <w:t>万元，资产配置预算偏离度0%。</w:t>
      </w:r>
    </w:p>
    <w:p w14:paraId="5149598D">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025年</w:t>
      </w:r>
      <w:r>
        <w:rPr>
          <w:rFonts w:hint="eastAsia" w:eastAsia="仿宋_GB2312" w:cs="Times New Roman"/>
          <w:color w:val="000000" w:themeColor="text1"/>
          <w:sz w:val="32"/>
          <w:szCs w:val="32"/>
          <w:highlight w:val="none"/>
          <w:lang w:val="en-US" w:eastAsia="zh-CN"/>
          <w14:textFill>
            <w14:solidFill>
              <w14:schemeClr w14:val="tx1"/>
            </w14:solidFill>
          </w14:textFill>
        </w:rPr>
        <w:t>农科院</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政府采购预算执行数为</w:t>
      </w:r>
      <w:r>
        <w:rPr>
          <w:rFonts w:hint="eastAsia" w:eastAsia="仿宋_GB2312" w:cs="Times New Roman"/>
          <w:color w:val="000000" w:themeColor="text1"/>
          <w:sz w:val="32"/>
          <w:szCs w:val="32"/>
          <w:highlight w:val="none"/>
          <w:lang w:val="en-US" w:eastAsia="zh-CN"/>
          <w14:textFill>
            <w14:solidFill>
              <w14:schemeClr w14:val="tx1"/>
            </w14:solidFill>
          </w14:textFill>
        </w:rPr>
        <w:t>171.16</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万元，政府采购年初预算数为48万元，政府采购预算偏离度</w:t>
      </w:r>
      <w:r>
        <w:rPr>
          <w:rFonts w:hint="eastAsia" w:eastAsia="仿宋_GB2312" w:cs="Times New Roman"/>
          <w:color w:val="000000" w:themeColor="text1"/>
          <w:sz w:val="32"/>
          <w:szCs w:val="32"/>
          <w:highlight w:val="none"/>
          <w:lang w:val="en-US" w:eastAsia="zh-CN"/>
          <w14:textFill>
            <w14:solidFill>
              <w14:schemeClr w14:val="tx1"/>
            </w14:solidFill>
          </w14:textFill>
        </w:rPr>
        <w:t>256.58</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p>
    <w:p w14:paraId="7EF96D9E">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综上，根据评分标准，该指标扣</w:t>
      </w:r>
      <w:r>
        <w:rPr>
          <w:rFonts w:hint="eastAsia" w:eastAsia="仿宋_GB2312" w:cs="Times New Roman"/>
          <w:sz w:val="32"/>
          <w:szCs w:val="32"/>
          <w:highlight w:val="none"/>
          <w:lang w:val="en-US" w:eastAsia="zh-CN"/>
        </w:rPr>
        <w:t>2.59</w:t>
      </w:r>
      <w:r>
        <w:rPr>
          <w:rFonts w:hint="default" w:ascii="Times New Roman" w:hAnsi="Times New Roman" w:eastAsia="仿宋_GB2312" w:cs="Times New Roman"/>
          <w:sz w:val="32"/>
          <w:szCs w:val="32"/>
          <w:highlight w:val="none"/>
          <w:lang w:val="en-US" w:eastAsia="zh-CN"/>
        </w:rPr>
        <w:t>分，得</w:t>
      </w:r>
      <w:r>
        <w:rPr>
          <w:rFonts w:hint="eastAsia" w:eastAsia="仿宋_GB2312" w:cs="Times New Roman"/>
          <w:sz w:val="32"/>
          <w:szCs w:val="32"/>
          <w:highlight w:val="none"/>
          <w:lang w:val="en-US" w:eastAsia="zh-CN"/>
        </w:rPr>
        <w:t>4.41</w:t>
      </w:r>
      <w:r>
        <w:rPr>
          <w:rFonts w:hint="default" w:ascii="Times New Roman" w:hAnsi="Times New Roman" w:eastAsia="仿宋_GB2312" w:cs="Times New Roman"/>
          <w:sz w:val="32"/>
          <w:szCs w:val="32"/>
          <w:highlight w:val="none"/>
          <w:lang w:val="en-US" w:eastAsia="zh-CN"/>
        </w:rPr>
        <w:t>分。</w:t>
      </w:r>
    </w:p>
    <w:p w14:paraId="06581B9C">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（2）单位收入统筹</w:t>
      </w:r>
    </w:p>
    <w:p w14:paraId="53F4517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eastAsia" w:eastAsia="仿宋_GB2312" w:cs="Times New Roman"/>
          <w:sz w:val="32"/>
          <w:szCs w:val="32"/>
          <w:lang w:val="en-US" w:eastAsia="zh-CN"/>
        </w:rPr>
        <w:t>农科院</w:t>
      </w:r>
      <w:r>
        <w:rPr>
          <w:rFonts w:hint="default" w:ascii="Times New Roman" w:hAnsi="Times New Roman" w:eastAsia="仿宋_GB2312" w:cs="Times New Roman"/>
          <w:sz w:val="32"/>
          <w:szCs w:val="32"/>
          <w:lang w:val="en-US" w:eastAsia="zh-CN"/>
        </w:rPr>
        <w:t>2025年部门自有收入年初预算数为</w:t>
      </w:r>
      <w:r>
        <w:rPr>
          <w:rFonts w:hint="eastAsia" w:eastAsia="仿宋_GB2312" w:cs="Times New Roman"/>
          <w:sz w:val="32"/>
          <w:szCs w:val="32"/>
          <w:lang w:val="en-US" w:eastAsia="zh-CN"/>
        </w:rPr>
        <w:t>0</w:t>
      </w:r>
      <w:r>
        <w:rPr>
          <w:rFonts w:hint="default" w:ascii="Times New Roman" w:hAnsi="Times New Roman" w:eastAsia="仿宋_GB2312" w:cs="Times New Roman"/>
          <w:sz w:val="32"/>
          <w:szCs w:val="32"/>
          <w:lang w:val="en-US" w:eastAsia="zh-CN"/>
        </w:rPr>
        <w:t>万元，全年执行数</w:t>
      </w:r>
      <w:r>
        <w:rPr>
          <w:rFonts w:hint="eastAsia" w:eastAsia="仿宋_GB2312" w:cs="Times New Roman"/>
          <w:sz w:val="32"/>
          <w:szCs w:val="32"/>
          <w:lang w:val="en-US" w:eastAsia="zh-CN"/>
        </w:rPr>
        <w:t>259.69</w:t>
      </w:r>
      <w:r>
        <w:rPr>
          <w:rFonts w:hint="default" w:ascii="Times New Roman" w:hAnsi="Times New Roman" w:eastAsia="仿宋_GB2312" w:cs="Times New Roman"/>
          <w:sz w:val="32"/>
          <w:szCs w:val="32"/>
          <w:lang w:val="en-US" w:eastAsia="zh-CN"/>
        </w:rPr>
        <w:t>万元。</w:t>
      </w:r>
    </w:p>
    <w:p w14:paraId="4F605A5A">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综上，根据评分标准，该项指标扣</w:t>
      </w:r>
      <w:r>
        <w:rPr>
          <w:rFonts w:hint="eastAsia" w:eastAsia="仿宋_GB2312" w:cs="Times New Roman"/>
          <w:sz w:val="32"/>
          <w:szCs w:val="32"/>
          <w:lang w:val="en-US" w:eastAsia="zh-CN"/>
        </w:rPr>
        <w:t>2</w:t>
      </w:r>
      <w:r>
        <w:rPr>
          <w:rFonts w:hint="default" w:ascii="Times New Roman" w:hAnsi="Times New Roman" w:eastAsia="仿宋_GB2312" w:cs="Times New Roman"/>
          <w:sz w:val="32"/>
          <w:szCs w:val="32"/>
          <w:lang w:val="en-US" w:eastAsia="zh-CN"/>
        </w:rPr>
        <w:t>分，得</w:t>
      </w:r>
      <w:r>
        <w:rPr>
          <w:rFonts w:hint="eastAsia" w:eastAsia="仿宋_GB2312" w:cs="Times New Roman"/>
          <w:sz w:val="32"/>
          <w:szCs w:val="32"/>
          <w:lang w:val="en-US" w:eastAsia="zh-CN"/>
        </w:rPr>
        <w:t>2</w:t>
      </w:r>
      <w:r>
        <w:rPr>
          <w:rFonts w:hint="default" w:ascii="Times New Roman" w:hAnsi="Times New Roman" w:eastAsia="仿宋_GB2312" w:cs="Times New Roman"/>
          <w:sz w:val="32"/>
          <w:szCs w:val="32"/>
          <w:lang w:val="en-US" w:eastAsia="zh-CN"/>
        </w:rPr>
        <w:t>分。</w:t>
      </w:r>
    </w:p>
    <w:p w14:paraId="15666091">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（3）支出执行进度</w:t>
      </w:r>
    </w:p>
    <w:p w14:paraId="28841E7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highlight w:val="none"/>
          <w:lang w:val="en-US" w:eastAsia="zh-CN"/>
        </w:rPr>
      </w:pPr>
      <w:r>
        <w:rPr>
          <w:rFonts w:hint="eastAsia" w:eastAsia="仿宋_GB2312" w:cs="Times New Roman"/>
          <w:sz w:val="32"/>
          <w:szCs w:val="32"/>
          <w:highlight w:val="none"/>
          <w:lang w:val="en-US" w:eastAsia="zh-CN"/>
        </w:rPr>
        <w:t>农科院</w:t>
      </w:r>
      <w:r>
        <w:rPr>
          <w:rFonts w:hint="default" w:ascii="Times New Roman" w:hAnsi="Times New Roman" w:eastAsia="仿宋_GB2312" w:cs="Times New Roman"/>
          <w:sz w:val="32"/>
          <w:szCs w:val="32"/>
          <w:highlight w:val="none"/>
          <w:lang w:val="en-US" w:eastAsia="zh-CN"/>
        </w:rPr>
        <w:t>2025年1至6月预算执行数为951.13万元，1至10月预算执行数为1617.5万元，部门预算数为2519.13万元，1-6月预警金额为0万元，1-6月支出违规金额为0万元，1-10月预警金</w:t>
      </w:r>
      <w:r>
        <w:rPr>
          <w:rFonts w:hint="eastAsia" w:eastAsia="仿宋_GB2312" w:cs="Times New Roman"/>
          <w:sz w:val="32"/>
          <w:szCs w:val="32"/>
          <w:highlight w:val="none"/>
          <w:lang w:val="en-US" w:eastAsia="zh-CN"/>
        </w:rPr>
        <w:t>额为</w:t>
      </w:r>
      <w:r>
        <w:rPr>
          <w:rFonts w:hint="default" w:ascii="Times New Roman" w:hAnsi="Times New Roman" w:eastAsia="仿宋_GB2312" w:cs="Times New Roman"/>
          <w:sz w:val="32"/>
          <w:szCs w:val="32"/>
          <w:highlight w:val="none"/>
          <w:lang w:val="en-US" w:eastAsia="zh-CN"/>
        </w:rPr>
        <w:t>0万元，1-10月支出违规金额为0万元。</w:t>
      </w:r>
    </w:p>
    <w:p w14:paraId="5E3B2936">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综上，根据评分标准，该指标扣</w:t>
      </w:r>
      <w:r>
        <w:rPr>
          <w:rFonts w:hint="eastAsia" w:eastAsia="仿宋_GB2312" w:cs="Times New Roman"/>
          <w:sz w:val="32"/>
          <w:szCs w:val="32"/>
          <w:lang w:val="en-US" w:eastAsia="zh-CN"/>
        </w:rPr>
        <w:t>0.94</w:t>
      </w:r>
      <w:r>
        <w:rPr>
          <w:rFonts w:hint="default" w:ascii="Times New Roman" w:hAnsi="Times New Roman" w:eastAsia="仿宋_GB2312" w:cs="Times New Roman"/>
          <w:sz w:val="32"/>
          <w:szCs w:val="32"/>
          <w:lang w:val="en-US" w:eastAsia="zh-CN"/>
        </w:rPr>
        <w:t>分，得</w:t>
      </w:r>
      <w:r>
        <w:rPr>
          <w:rFonts w:hint="eastAsia" w:eastAsia="仿宋_GB2312" w:cs="Times New Roman"/>
          <w:sz w:val="32"/>
          <w:szCs w:val="32"/>
          <w:lang w:val="en-US" w:eastAsia="zh-CN"/>
        </w:rPr>
        <w:t>5.06</w:t>
      </w:r>
      <w:r>
        <w:rPr>
          <w:rFonts w:hint="default" w:ascii="Times New Roman" w:hAnsi="Times New Roman" w:eastAsia="仿宋_GB2312" w:cs="Times New Roman"/>
          <w:sz w:val="32"/>
          <w:szCs w:val="32"/>
          <w:lang w:val="en-US" w:eastAsia="zh-CN"/>
        </w:rPr>
        <w:t>分。</w:t>
      </w:r>
    </w:p>
    <w:p w14:paraId="6A2043AD">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zh-CN" w:eastAsia="zh-CN"/>
        </w:rPr>
      </w:pPr>
      <w:r>
        <w:rPr>
          <w:rFonts w:hint="default" w:ascii="Times New Roman" w:hAnsi="Times New Roman" w:eastAsia="仿宋_GB2312" w:cs="Times New Roman"/>
          <w:b w:val="0"/>
          <w:bCs/>
          <w:sz w:val="32"/>
          <w:szCs w:val="32"/>
          <w:highlight w:val="none"/>
          <w:lang w:val="en-US" w:eastAsia="zh-CN"/>
        </w:rPr>
        <w:t>（</w:t>
      </w:r>
      <w:r>
        <w:rPr>
          <w:rFonts w:hint="default" w:ascii="Times New Roman" w:hAnsi="Times New Roman" w:eastAsia="仿宋_GB2312" w:cs="Times New Roman"/>
          <w:b w:val="0"/>
          <w:bCs/>
          <w:sz w:val="32"/>
          <w:szCs w:val="32"/>
          <w:highlight w:val="none"/>
          <w:lang w:val="zh-CN" w:eastAsia="zh-CN"/>
        </w:rPr>
        <w:t>4</w:t>
      </w:r>
      <w:r>
        <w:rPr>
          <w:rFonts w:hint="default" w:ascii="Times New Roman" w:hAnsi="Times New Roman" w:eastAsia="仿宋_GB2312" w:cs="Times New Roman"/>
          <w:b w:val="0"/>
          <w:bCs/>
          <w:sz w:val="32"/>
          <w:szCs w:val="32"/>
          <w:highlight w:val="none"/>
          <w:lang w:val="en-US" w:eastAsia="zh-CN"/>
        </w:rPr>
        <w:t>）</w:t>
      </w:r>
      <w:r>
        <w:rPr>
          <w:rFonts w:hint="default" w:ascii="Times New Roman" w:hAnsi="Times New Roman" w:eastAsia="仿宋_GB2312" w:cs="Times New Roman"/>
          <w:b w:val="0"/>
          <w:bCs/>
          <w:sz w:val="32"/>
          <w:szCs w:val="32"/>
          <w:highlight w:val="none"/>
          <w:lang w:val="zh-CN" w:eastAsia="zh-CN"/>
        </w:rPr>
        <w:t>预算年终结余</w:t>
      </w:r>
    </w:p>
    <w:p w14:paraId="3B76FE8D">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highlight w:val="none"/>
          <w:lang w:val="en-US" w:eastAsia="zh-CN"/>
        </w:rPr>
      </w:pPr>
      <w:r>
        <w:rPr>
          <w:rFonts w:hint="eastAsia" w:eastAsia="仿宋_GB2312" w:cs="Times New Roman"/>
          <w:sz w:val="32"/>
          <w:szCs w:val="32"/>
          <w:highlight w:val="none"/>
          <w:lang w:val="en-US" w:eastAsia="zh-CN"/>
        </w:rPr>
        <w:t>农科院</w:t>
      </w:r>
      <w:r>
        <w:rPr>
          <w:rFonts w:hint="default" w:ascii="Times New Roman" w:hAnsi="Times New Roman" w:eastAsia="仿宋_GB2312" w:cs="Times New Roman"/>
          <w:sz w:val="32"/>
          <w:szCs w:val="32"/>
          <w:highlight w:val="none"/>
          <w:lang w:val="en-US" w:eastAsia="zh-CN"/>
        </w:rPr>
        <w:t>2025年预算总金额为</w:t>
      </w:r>
      <w:r>
        <w:rPr>
          <w:rFonts w:hint="eastAsia" w:eastAsia="仿宋_GB2312" w:cs="Times New Roman"/>
          <w:sz w:val="32"/>
          <w:szCs w:val="32"/>
          <w:highlight w:val="none"/>
          <w:lang w:val="en-US" w:eastAsia="zh-CN"/>
        </w:rPr>
        <w:t>3633.57</w:t>
      </w:r>
      <w:r>
        <w:rPr>
          <w:rFonts w:hint="default" w:ascii="Times New Roman" w:hAnsi="Times New Roman" w:eastAsia="仿宋_GB2312" w:cs="Times New Roman"/>
          <w:sz w:val="32"/>
          <w:szCs w:val="32"/>
          <w:highlight w:val="none"/>
          <w:lang w:val="en-US" w:eastAsia="zh-CN"/>
        </w:rPr>
        <w:t>万元，年终部门预算注销金额为</w:t>
      </w:r>
      <w:r>
        <w:rPr>
          <w:rFonts w:hint="eastAsia" w:eastAsia="仿宋_GB2312" w:cs="Times New Roman"/>
          <w:sz w:val="32"/>
          <w:szCs w:val="32"/>
          <w:highlight w:val="none"/>
          <w:lang w:val="en-US" w:eastAsia="zh-CN"/>
        </w:rPr>
        <w:t>0</w:t>
      </w:r>
      <w:r>
        <w:rPr>
          <w:rFonts w:hint="default" w:ascii="Times New Roman" w:hAnsi="Times New Roman" w:eastAsia="仿宋_GB2312" w:cs="Times New Roman"/>
          <w:sz w:val="32"/>
          <w:szCs w:val="32"/>
          <w:highlight w:val="none"/>
          <w:lang w:val="en-US" w:eastAsia="zh-CN"/>
        </w:rPr>
        <w:t>万元，结转金额为</w:t>
      </w:r>
      <w:r>
        <w:rPr>
          <w:rFonts w:hint="eastAsia" w:eastAsia="仿宋_GB2312" w:cs="Times New Roman"/>
          <w:b w:val="0"/>
          <w:bCs/>
          <w:sz w:val="32"/>
          <w:szCs w:val="32"/>
          <w:highlight w:val="none"/>
          <w:lang w:val="en-US" w:eastAsia="zh-CN"/>
        </w:rPr>
        <w:t>108.82</w:t>
      </w:r>
      <w:r>
        <w:rPr>
          <w:rFonts w:hint="default" w:ascii="Times New Roman" w:hAnsi="Times New Roman" w:eastAsia="仿宋_GB2312" w:cs="Times New Roman"/>
          <w:sz w:val="32"/>
          <w:szCs w:val="32"/>
          <w:highlight w:val="none"/>
          <w:lang w:val="en-US" w:eastAsia="zh-CN"/>
        </w:rPr>
        <w:t>万元。</w:t>
      </w:r>
    </w:p>
    <w:p w14:paraId="5B47FE9A">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综上，根据评分标准，该指标扣0.0</w:t>
      </w:r>
      <w:r>
        <w:rPr>
          <w:rFonts w:hint="eastAsia"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分，得1.</w:t>
      </w:r>
      <w:r>
        <w:rPr>
          <w:rFonts w:hint="eastAsia" w:ascii="Times New Roman" w:hAnsi="Times New Roman" w:eastAsia="仿宋_GB2312" w:cs="Times New Roman"/>
          <w:sz w:val="32"/>
          <w:szCs w:val="32"/>
          <w:lang w:val="en-US" w:eastAsia="zh-CN"/>
        </w:rPr>
        <w:t>9</w:t>
      </w:r>
      <w:r>
        <w:rPr>
          <w:rFonts w:hint="eastAsia"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分。</w:t>
      </w:r>
    </w:p>
    <w:p w14:paraId="0C8ACFD3">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w:t>
      </w:r>
      <w:r>
        <w:rPr>
          <w:rFonts w:hint="eastAsia" w:eastAsia="仿宋_GB2312" w:cs="Times New Roman"/>
          <w:b w:val="0"/>
          <w:bCs/>
          <w:sz w:val="32"/>
          <w:szCs w:val="32"/>
          <w:highlight w:val="none"/>
          <w:lang w:val="en-US" w:eastAsia="zh-CN"/>
        </w:rPr>
        <w:t>5</w:t>
      </w:r>
      <w:r>
        <w:rPr>
          <w:rFonts w:hint="default" w:ascii="Times New Roman" w:hAnsi="Times New Roman" w:eastAsia="仿宋_GB2312" w:cs="Times New Roman"/>
          <w:b w:val="0"/>
          <w:bCs/>
          <w:sz w:val="32"/>
          <w:szCs w:val="32"/>
          <w:highlight w:val="none"/>
          <w:lang w:val="en-US" w:eastAsia="zh-CN"/>
        </w:rPr>
        <w:t>）严控一般性支出</w:t>
      </w:r>
    </w:p>
    <w:p w14:paraId="14F7B751">
      <w:pPr>
        <w:pStyle w:val="6"/>
        <w:ind w:firstLine="640" w:firstLineChars="200"/>
        <w:rPr>
          <w:rFonts w:hint="default" w:ascii="Times New Roman" w:hAnsi="Times New Roman" w:eastAsia="仿宋_GB2312" w:cs="Times New Roman"/>
          <w:lang w:val="en-US" w:eastAsia="zh-CN"/>
        </w:rPr>
      </w:pPr>
      <w:r>
        <w:rPr>
          <w:rFonts w:hint="eastAsia" w:eastAsia="仿宋_GB2312" w:cs="Times New Roman"/>
          <w:sz w:val="32"/>
          <w:szCs w:val="32"/>
          <w:highlight w:val="none"/>
          <w:lang w:val="en-US" w:eastAsia="zh-CN"/>
        </w:rPr>
        <w:t>农科院</w:t>
      </w:r>
      <w:r>
        <w:rPr>
          <w:rFonts w:hint="default" w:ascii="Times New Roman" w:hAnsi="Times New Roman" w:eastAsia="仿宋_GB2312" w:cs="Times New Roman"/>
          <w:sz w:val="32"/>
          <w:szCs w:val="32"/>
          <w:highlight w:val="none"/>
          <w:lang w:val="zh-CN" w:eastAsia="zh-CN"/>
        </w:rPr>
        <w:t>“三公”经费、会议、培训、差旅、办节办展、办公设备购置、信息化建设和运维、课题经费等</w:t>
      </w:r>
      <w:r>
        <w:rPr>
          <w:rFonts w:hint="eastAsia" w:eastAsia="仿宋_GB2312" w:cs="Times New Roman"/>
          <w:sz w:val="32"/>
          <w:szCs w:val="32"/>
          <w:highlight w:val="none"/>
          <w:lang w:val="en-US" w:eastAsia="zh-CN"/>
        </w:rPr>
        <w:t>8</w:t>
      </w:r>
      <w:r>
        <w:rPr>
          <w:rFonts w:hint="default" w:ascii="Times New Roman" w:hAnsi="Times New Roman" w:eastAsia="仿宋_GB2312" w:cs="Times New Roman"/>
          <w:sz w:val="32"/>
          <w:szCs w:val="32"/>
          <w:highlight w:val="none"/>
          <w:lang w:val="zh-CN" w:eastAsia="zh-CN"/>
        </w:rPr>
        <w:t>项一般性支出情况</w:t>
      </w:r>
      <w:r>
        <w:rPr>
          <w:rFonts w:hint="eastAsia" w:eastAsia="仿宋_GB2312" w:cs="Times New Roman"/>
          <w:sz w:val="32"/>
          <w:szCs w:val="32"/>
          <w:highlight w:val="none"/>
          <w:lang w:val="zh-CN" w:eastAsia="zh-CN"/>
        </w:rPr>
        <w:t>详见</w:t>
      </w:r>
      <w:r>
        <w:rPr>
          <w:rFonts w:hint="default" w:ascii="Times New Roman" w:hAnsi="Times New Roman" w:eastAsia="仿宋_GB2312" w:cs="Times New Roman"/>
          <w:sz w:val="32"/>
          <w:szCs w:val="32"/>
          <w:highlight w:val="none"/>
          <w:lang w:val="en-US" w:eastAsia="zh-CN"/>
        </w:rPr>
        <w:t>表3-</w:t>
      </w:r>
      <w:r>
        <w:rPr>
          <w:rFonts w:hint="eastAsia" w:eastAsia="仿宋_GB2312" w:cs="Times New Roman"/>
          <w:sz w:val="32"/>
          <w:szCs w:val="32"/>
          <w:highlight w:val="none"/>
          <w:lang w:val="en-US" w:eastAsia="zh-CN"/>
        </w:rPr>
        <w:t>1。</w:t>
      </w:r>
    </w:p>
    <w:p w14:paraId="3E858A3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562" w:firstLineChars="200"/>
        <w:contextualSpacing/>
        <w:jc w:val="center"/>
        <w:textAlignment w:val="auto"/>
        <w:outlineLvl w:val="9"/>
        <w:rPr>
          <w:rFonts w:hint="default" w:ascii="Times New Roman" w:hAnsi="Times New Roman" w:cs="Times New Roman"/>
          <w:b/>
          <w:bCs/>
          <w:color w:val="000000"/>
          <w:kern w:val="60"/>
          <w:sz w:val="28"/>
          <w:szCs w:val="28"/>
          <w:highlight w:val="none"/>
          <w:shd w:val="clear" w:color="auto" w:fill="FFFFFF"/>
          <w:lang w:val="en-US" w:eastAsia="zh-CN"/>
        </w:rPr>
      </w:pPr>
      <w:r>
        <w:rPr>
          <w:rFonts w:hint="default" w:ascii="Times New Roman" w:hAnsi="Times New Roman" w:cs="Times New Roman"/>
          <w:b/>
          <w:bCs/>
          <w:color w:val="000000"/>
          <w:kern w:val="60"/>
          <w:sz w:val="28"/>
          <w:szCs w:val="28"/>
          <w:highlight w:val="none"/>
          <w:shd w:val="clear" w:color="auto" w:fill="FFFFFF"/>
          <w:lang w:val="en-US" w:eastAsia="zh-CN"/>
        </w:rPr>
        <w:t>表3-1</w:t>
      </w:r>
      <w:r>
        <w:rPr>
          <w:rFonts w:hint="eastAsia" w:cs="Times New Roman"/>
          <w:b/>
          <w:bCs/>
          <w:color w:val="000000"/>
          <w:kern w:val="60"/>
          <w:sz w:val="28"/>
          <w:szCs w:val="28"/>
          <w:highlight w:val="none"/>
          <w:shd w:val="clear" w:color="auto" w:fill="FFFFFF"/>
          <w:lang w:val="en-US" w:eastAsia="zh-CN"/>
        </w:rPr>
        <w:t xml:space="preserve"> 一般性</w:t>
      </w:r>
      <w:r>
        <w:rPr>
          <w:rFonts w:hint="default" w:ascii="Times New Roman" w:hAnsi="Times New Roman" w:cs="Times New Roman"/>
          <w:b/>
          <w:bCs/>
          <w:color w:val="000000"/>
          <w:kern w:val="60"/>
          <w:sz w:val="28"/>
          <w:szCs w:val="28"/>
          <w:highlight w:val="none"/>
          <w:shd w:val="clear" w:color="auto" w:fill="FFFFFF"/>
          <w:lang w:val="zh-CN"/>
        </w:rPr>
        <w:t>支出情况</w:t>
      </w:r>
      <w:r>
        <w:rPr>
          <w:rFonts w:hint="default" w:ascii="Times New Roman" w:hAnsi="Times New Roman" w:cs="Times New Roman"/>
          <w:b/>
          <w:bCs/>
          <w:color w:val="000000"/>
          <w:kern w:val="60"/>
          <w:sz w:val="28"/>
          <w:szCs w:val="28"/>
          <w:highlight w:val="none"/>
          <w:shd w:val="clear" w:color="auto" w:fill="FFFFFF"/>
          <w:lang w:val="en-US" w:eastAsia="zh-CN"/>
        </w:rPr>
        <w:t>表</w:t>
      </w:r>
    </w:p>
    <w:p w14:paraId="0745C423">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562" w:firstLineChars="200"/>
        <w:contextualSpacing/>
        <w:jc w:val="right"/>
        <w:textAlignment w:val="auto"/>
        <w:outlineLvl w:val="9"/>
        <w:rPr>
          <w:rFonts w:hint="default" w:ascii="Times New Roman" w:hAnsi="Times New Roman" w:cs="Times New Roman"/>
          <w:lang w:val="en-US" w:eastAsia="zh-CN"/>
        </w:rPr>
      </w:pPr>
      <w:r>
        <w:rPr>
          <w:rFonts w:hint="default" w:ascii="Times New Roman" w:hAnsi="Times New Roman" w:cs="Times New Roman"/>
          <w:b/>
          <w:bCs/>
          <w:color w:val="000000"/>
          <w:kern w:val="60"/>
          <w:sz w:val="28"/>
          <w:szCs w:val="28"/>
          <w:highlight w:val="none"/>
          <w:shd w:val="clear" w:color="auto" w:fill="FFFFFF"/>
          <w:lang w:val="en-US" w:eastAsia="zh-CN"/>
        </w:rPr>
        <w:t>单位：万元</w:t>
      </w:r>
    </w:p>
    <w:tbl>
      <w:tblPr>
        <w:tblStyle w:val="18"/>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7"/>
        <w:gridCol w:w="2020"/>
        <w:gridCol w:w="1652"/>
        <w:gridCol w:w="1610"/>
        <w:gridCol w:w="1611"/>
        <w:gridCol w:w="1611"/>
      </w:tblGrid>
      <w:tr w14:paraId="3769D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vMerge w:val="restart"/>
            <w:shd w:val="clear" w:color="auto" w:fill="D7D7D7" w:themeFill="background1" w:themeFillShade="D8"/>
            <w:vAlign w:val="center"/>
          </w:tcPr>
          <w:p w14:paraId="55227B5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1"/>
                <w:szCs w:val="21"/>
                <w:highlight w:val="none"/>
                <w:shd w:val="clear" w:color="auto" w:fill="FFFFFF"/>
                <w:vertAlign w:val="baseline"/>
                <w:lang w:val="en-US" w:eastAsia="zh-CN"/>
              </w:rPr>
            </w:pPr>
            <w:r>
              <w:rPr>
                <w:rFonts w:hint="default" w:ascii="Times New Roman" w:hAnsi="Times New Roman" w:cs="Times New Roman"/>
                <w:b/>
                <w:color w:val="000000"/>
                <w:kern w:val="60"/>
                <w:sz w:val="21"/>
                <w:szCs w:val="21"/>
                <w:highlight w:val="none"/>
                <w:shd w:val="clear" w:color="auto" w:fill="FFFFFF"/>
                <w:vertAlign w:val="baseline"/>
                <w:lang w:val="en-US" w:eastAsia="zh-CN"/>
              </w:rPr>
              <w:t>序号</w:t>
            </w:r>
          </w:p>
        </w:tc>
        <w:tc>
          <w:tcPr>
            <w:tcW w:w="0" w:type="auto"/>
            <w:vMerge w:val="restart"/>
            <w:shd w:val="clear" w:color="auto" w:fill="D7D7D7" w:themeFill="background1" w:themeFillShade="D8"/>
            <w:vAlign w:val="center"/>
          </w:tcPr>
          <w:p w14:paraId="42E0CC6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1"/>
                <w:szCs w:val="21"/>
                <w:highlight w:val="none"/>
                <w:shd w:val="clear" w:color="auto" w:fill="FFFFFF"/>
                <w:vertAlign w:val="baseline"/>
                <w:lang w:val="en-US" w:eastAsia="zh-CN"/>
              </w:rPr>
            </w:pPr>
            <w:r>
              <w:rPr>
                <w:rFonts w:hint="default" w:ascii="Times New Roman" w:hAnsi="Times New Roman" w:cs="Times New Roman"/>
                <w:b/>
                <w:color w:val="000000"/>
                <w:kern w:val="60"/>
                <w:sz w:val="21"/>
                <w:szCs w:val="21"/>
                <w:highlight w:val="none"/>
                <w:shd w:val="clear" w:color="auto" w:fill="FFFFFF"/>
                <w:vertAlign w:val="baseline"/>
                <w:lang w:val="en-US" w:eastAsia="zh-CN"/>
              </w:rPr>
              <w:t>项目名称</w:t>
            </w:r>
          </w:p>
        </w:tc>
        <w:tc>
          <w:tcPr>
            <w:tcW w:w="0" w:type="auto"/>
            <w:shd w:val="clear" w:color="auto" w:fill="D7D7D7" w:themeFill="background1" w:themeFillShade="D8"/>
            <w:vAlign w:val="center"/>
          </w:tcPr>
          <w:p w14:paraId="3E8B96C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1"/>
                <w:szCs w:val="21"/>
                <w:highlight w:val="none"/>
                <w:shd w:val="clear" w:color="auto" w:fill="FFFFFF"/>
                <w:vertAlign w:val="baseline"/>
                <w:lang w:val="en-US" w:eastAsia="zh-CN"/>
              </w:rPr>
            </w:pPr>
            <w:r>
              <w:rPr>
                <w:rFonts w:hint="default" w:ascii="Times New Roman" w:hAnsi="Times New Roman" w:cs="Times New Roman"/>
                <w:b/>
                <w:color w:val="000000"/>
                <w:kern w:val="60"/>
                <w:sz w:val="21"/>
                <w:szCs w:val="21"/>
                <w:highlight w:val="none"/>
                <w:shd w:val="clear" w:color="auto" w:fill="FFFFFF"/>
                <w:vertAlign w:val="baseline"/>
                <w:lang w:val="en-US" w:eastAsia="zh-CN"/>
              </w:rPr>
              <w:t>2024年</w:t>
            </w:r>
          </w:p>
        </w:tc>
        <w:tc>
          <w:tcPr>
            <w:tcW w:w="0" w:type="auto"/>
            <w:shd w:val="clear" w:color="auto" w:fill="D7D7D7" w:themeFill="background1" w:themeFillShade="D8"/>
            <w:vAlign w:val="center"/>
          </w:tcPr>
          <w:p w14:paraId="635281D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1"/>
                <w:szCs w:val="21"/>
                <w:highlight w:val="none"/>
                <w:shd w:val="clear" w:color="auto" w:fill="FFFFFF"/>
                <w:vertAlign w:val="baseline"/>
                <w:lang w:val="en-US" w:eastAsia="zh-CN"/>
              </w:rPr>
            </w:pPr>
            <w:r>
              <w:rPr>
                <w:rFonts w:hint="default" w:ascii="Times New Roman" w:hAnsi="Times New Roman" w:cs="Times New Roman"/>
                <w:b/>
                <w:color w:val="000000"/>
                <w:kern w:val="60"/>
                <w:sz w:val="21"/>
                <w:szCs w:val="21"/>
                <w:highlight w:val="none"/>
                <w:shd w:val="clear" w:color="auto" w:fill="FFFFFF"/>
                <w:vertAlign w:val="baseline"/>
                <w:lang w:val="en-US" w:eastAsia="zh-CN"/>
              </w:rPr>
              <w:t>2025年</w:t>
            </w:r>
          </w:p>
        </w:tc>
        <w:tc>
          <w:tcPr>
            <w:tcW w:w="0" w:type="auto"/>
            <w:shd w:val="clear" w:color="auto" w:fill="D7D7D7" w:themeFill="background1" w:themeFillShade="D8"/>
            <w:vAlign w:val="center"/>
          </w:tcPr>
          <w:p w14:paraId="5319BDA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1"/>
                <w:szCs w:val="21"/>
                <w:highlight w:val="none"/>
                <w:shd w:val="clear" w:color="auto" w:fill="FFFFFF"/>
                <w:vertAlign w:val="baseline"/>
                <w:lang w:val="en-US" w:eastAsia="zh-CN"/>
              </w:rPr>
            </w:pPr>
            <w:r>
              <w:rPr>
                <w:rFonts w:hint="default" w:ascii="Times New Roman" w:hAnsi="Times New Roman" w:cs="Times New Roman"/>
                <w:b/>
                <w:color w:val="000000"/>
                <w:kern w:val="60"/>
                <w:sz w:val="21"/>
                <w:szCs w:val="21"/>
                <w:highlight w:val="none"/>
                <w:shd w:val="clear" w:color="auto" w:fill="FFFFFF"/>
                <w:vertAlign w:val="baseline"/>
                <w:lang w:val="en-US" w:eastAsia="zh-CN"/>
              </w:rPr>
              <w:t>2024年</w:t>
            </w:r>
          </w:p>
        </w:tc>
        <w:tc>
          <w:tcPr>
            <w:tcW w:w="1611" w:type="dxa"/>
            <w:shd w:val="clear" w:color="auto" w:fill="D7D7D7" w:themeFill="background1" w:themeFillShade="D8"/>
            <w:vAlign w:val="center"/>
          </w:tcPr>
          <w:p w14:paraId="40BBD40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1"/>
                <w:szCs w:val="21"/>
                <w:highlight w:val="none"/>
                <w:shd w:val="clear" w:color="auto" w:fill="FFFFFF"/>
                <w:vertAlign w:val="baseline"/>
                <w:lang w:val="en-US" w:eastAsia="zh-CN"/>
              </w:rPr>
            </w:pPr>
            <w:r>
              <w:rPr>
                <w:rFonts w:hint="default" w:ascii="Times New Roman" w:hAnsi="Times New Roman" w:cs="Times New Roman"/>
                <w:b/>
                <w:color w:val="000000"/>
                <w:kern w:val="60"/>
                <w:sz w:val="21"/>
                <w:szCs w:val="21"/>
                <w:highlight w:val="none"/>
                <w:shd w:val="clear" w:color="auto" w:fill="FFFFFF"/>
                <w:vertAlign w:val="baseline"/>
                <w:lang w:val="en-US" w:eastAsia="zh-CN"/>
              </w:rPr>
              <w:t>2025年</w:t>
            </w:r>
          </w:p>
        </w:tc>
      </w:tr>
      <w:tr w14:paraId="5BAF2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vMerge w:val="continue"/>
            <w:shd w:val="clear" w:color="auto" w:fill="D7D7D7" w:themeFill="background1" w:themeFillShade="D8"/>
            <w:vAlign w:val="center"/>
          </w:tcPr>
          <w:p w14:paraId="5601590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kern w:val="60"/>
                <w:sz w:val="21"/>
                <w:szCs w:val="21"/>
              </w:rPr>
            </w:pPr>
          </w:p>
        </w:tc>
        <w:tc>
          <w:tcPr>
            <w:tcW w:w="0" w:type="auto"/>
            <w:vMerge w:val="continue"/>
            <w:shd w:val="clear" w:color="auto" w:fill="D7D7D7" w:themeFill="background1" w:themeFillShade="D8"/>
            <w:vAlign w:val="center"/>
          </w:tcPr>
          <w:p w14:paraId="07FCED5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kern w:val="60"/>
                <w:sz w:val="21"/>
                <w:szCs w:val="21"/>
              </w:rPr>
            </w:pPr>
          </w:p>
        </w:tc>
        <w:tc>
          <w:tcPr>
            <w:tcW w:w="0" w:type="auto"/>
            <w:shd w:val="clear" w:color="auto" w:fill="D7D7D7" w:themeFill="background1" w:themeFillShade="D8"/>
            <w:vAlign w:val="center"/>
          </w:tcPr>
          <w:p w14:paraId="6AE02F9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1"/>
                <w:szCs w:val="21"/>
                <w:highlight w:val="none"/>
                <w:shd w:val="clear" w:color="auto" w:fill="FFFFFF"/>
                <w:vertAlign w:val="baseline"/>
                <w:lang w:val="en-US" w:eastAsia="zh-CN"/>
              </w:rPr>
            </w:pPr>
            <w:r>
              <w:rPr>
                <w:rFonts w:hint="default" w:ascii="Times New Roman" w:hAnsi="Times New Roman" w:cs="Times New Roman"/>
                <w:b/>
                <w:color w:val="000000"/>
                <w:kern w:val="60"/>
                <w:sz w:val="21"/>
                <w:szCs w:val="21"/>
                <w:highlight w:val="none"/>
                <w:shd w:val="clear" w:color="auto" w:fill="FFFFFF"/>
                <w:vertAlign w:val="baseline"/>
                <w:lang w:val="en-US" w:eastAsia="zh-CN"/>
              </w:rPr>
              <w:t>财政拨款年初预算数</w:t>
            </w:r>
          </w:p>
        </w:tc>
        <w:tc>
          <w:tcPr>
            <w:tcW w:w="0" w:type="auto"/>
            <w:shd w:val="clear" w:color="auto" w:fill="D7D7D7" w:themeFill="background1" w:themeFillShade="D8"/>
            <w:vAlign w:val="center"/>
          </w:tcPr>
          <w:p w14:paraId="7C8D7A1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1"/>
                <w:szCs w:val="21"/>
                <w:highlight w:val="none"/>
                <w:shd w:val="clear" w:color="auto" w:fill="FFFFFF"/>
                <w:vertAlign w:val="baseline"/>
                <w:lang w:val="en-US" w:eastAsia="zh-CN"/>
              </w:rPr>
            </w:pPr>
            <w:r>
              <w:rPr>
                <w:rFonts w:hint="default" w:ascii="Times New Roman" w:hAnsi="Times New Roman" w:cs="Times New Roman"/>
                <w:b/>
                <w:color w:val="000000"/>
                <w:kern w:val="60"/>
                <w:sz w:val="21"/>
                <w:szCs w:val="21"/>
                <w:highlight w:val="none"/>
                <w:shd w:val="clear" w:color="auto" w:fill="FFFFFF"/>
                <w:vertAlign w:val="baseline"/>
                <w:lang w:val="en-US" w:eastAsia="zh-CN"/>
              </w:rPr>
              <w:t>财政拨款年初预算数</w:t>
            </w:r>
          </w:p>
        </w:tc>
        <w:tc>
          <w:tcPr>
            <w:tcW w:w="0" w:type="auto"/>
            <w:shd w:val="clear" w:color="auto" w:fill="D7D7D7" w:themeFill="background1" w:themeFillShade="D8"/>
            <w:vAlign w:val="center"/>
          </w:tcPr>
          <w:p w14:paraId="083E469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1"/>
                <w:szCs w:val="21"/>
                <w:highlight w:val="none"/>
                <w:shd w:val="clear" w:color="auto" w:fill="FFFFFF"/>
                <w:vertAlign w:val="baseline"/>
                <w:lang w:val="en-US" w:eastAsia="zh-CN"/>
              </w:rPr>
            </w:pPr>
            <w:r>
              <w:rPr>
                <w:rFonts w:hint="default" w:ascii="Times New Roman" w:hAnsi="Times New Roman" w:cs="Times New Roman"/>
                <w:b/>
                <w:color w:val="000000"/>
                <w:kern w:val="60"/>
                <w:sz w:val="21"/>
                <w:szCs w:val="21"/>
                <w:highlight w:val="none"/>
                <w:shd w:val="clear" w:color="auto" w:fill="FFFFFF"/>
                <w:vertAlign w:val="baseline"/>
                <w:lang w:val="en-US" w:eastAsia="zh-CN"/>
              </w:rPr>
              <w:t>财政拨款预算执行数</w:t>
            </w:r>
          </w:p>
        </w:tc>
        <w:tc>
          <w:tcPr>
            <w:tcW w:w="1611" w:type="dxa"/>
            <w:shd w:val="clear" w:color="auto" w:fill="D7D7D7" w:themeFill="background1" w:themeFillShade="D8"/>
            <w:vAlign w:val="center"/>
          </w:tcPr>
          <w:p w14:paraId="0251127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1"/>
                <w:szCs w:val="21"/>
                <w:highlight w:val="none"/>
                <w:shd w:val="clear" w:color="auto" w:fill="FFFFFF"/>
                <w:vertAlign w:val="baseline"/>
                <w:lang w:val="en-US" w:eastAsia="zh-CN"/>
              </w:rPr>
            </w:pPr>
            <w:r>
              <w:rPr>
                <w:rFonts w:hint="default" w:ascii="Times New Roman" w:hAnsi="Times New Roman" w:cs="Times New Roman"/>
                <w:b/>
                <w:color w:val="000000"/>
                <w:kern w:val="60"/>
                <w:sz w:val="21"/>
                <w:szCs w:val="21"/>
                <w:highlight w:val="none"/>
                <w:shd w:val="clear" w:color="auto" w:fill="FFFFFF"/>
                <w:vertAlign w:val="baseline"/>
                <w:lang w:val="en-US" w:eastAsia="zh-CN"/>
              </w:rPr>
              <w:t>财政拨款预算执行数</w:t>
            </w:r>
          </w:p>
        </w:tc>
      </w:tr>
      <w:tr w14:paraId="2AFB6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0" w:type="auto"/>
            <w:vAlign w:val="center"/>
          </w:tcPr>
          <w:p w14:paraId="3921279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1</w:t>
            </w:r>
          </w:p>
        </w:tc>
        <w:tc>
          <w:tcPr>
            <w:tcW w:w="0" w:type="auto"/>
            <w:vAlign w:val="center"/>
          </w:tcPr>
          <w:p w14:paraId="48A1F87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“三公”经费</w:t>
            </w:r>
          </w:p>
        </w:tc>
        <w:tc>
          <w:tcPr>
            <w:tcW w:w="0" w:type="auto"/>
            <w:vAlign w:val="center"/>
          </w:tcPr>
          <w:p w14:paraId="6C8B627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43.95</w:t>
            </w:r>
          </w:p>
        </w:tc>
        <w:tc>
          <w:tcPr>
            <w:tcW w:w="0" w:type="auto"/>
            <w:vAlign w:val="center"/>
          </w:tcPr>
          <w:p w14:paraId="464CD80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eastAsia" w:ascii="Times New Roman" w:hAnsi="Times New Roman" w:eastAsia="方正仿宋_GB2312" w:cs="Times New Roman"/>
                <w:color w:val="000000"/>
                <w:kern w:val="60"/>
                <w:sz w:val="21"/>
                <w:szCs w:val="21"/>
                <w:highlight w:val="none"/>
                <w:shd w:val="clear" w:color="auto" w:fill="FFFFFF"/>
                <w:vertAlign w:val="baseline"/>
                <w:lang w:val="en-US" w:eastAsia="zh-CN"/>
              </w:rPr>
              <w:t>43.02</w:t>
            </w:r>
          </w:p>
        </w:tc>
        <w:tc>
          <w:tcPr>
            <w:tcW w:w="0" w:type="auto"/>
            <w:vAlign w:val="center"/>
          </w:tcPr>
          <w:p w14:paraId="4E5BDD4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33.32</w:t>
            </w:r>
          </w:p>
        </w:tc>
        <w:tc>
          <w:tcPr>
            <w:tcW w:w="1611" w:type="dxa"/>
            <w:vAlign w:val="center"/>
          </w:tcPr>
          <w:p w14:paraId="701D86F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eastAsia" w:ascii="Times New Roman" w:hAnsi="Times New Roman" w:eastAsia="方正仿宋_GB2312" w:cs="Times New Roman"/>
                <w:color w:val="000000"/>
                <w:kern w:val="60"/>
                <w:sz w:val="21"/>
                <w:szCs w:val="21"/>
                <w:highlight w:val="none"/>
                <w:shd w:val="clear" w:color="auto" w:fill="FFFFFF"/>
                <w:vertAlign w:val="baseline"/>
                <w:lang w:val="en-US" w:eastAsia="zh-CN"/>
              </w:rPr>
              <w:t>43.55</w:t>
            </w:r>
          </w:p>
        </w:tc>
      </w:tr>
      <w:tr w14:paraId="561C3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268C058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2</w:t>
            </w:r>
          </w:p>
        </w:tc>
        <w:tc>
          <w:tcPr>
            <w:tcW w:w="0" w:type="auto"/>
            <w:vAlign w:val="center"/>
          </w:tcPr>
          <w:p w14:paraId="51A2D0B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会议经费</w:t>
            </w:r>
          </w:p>
        </w:tc>
        <w:tc>
          <w:tcPr>
            <w:tcW w:w="0" w:type="auto"/>
            <w:vAlign w:val="center"/>
          </w:tcPr>
          <w:p w14:paraId="3D4F246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0" w:type="auto"/>
            <w:vAlign w:val="center"/>
          </w:tcPr>
          <w:p w14:paraId="368A93B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0" w:type="auto"/>
            <w:vAlign w:val="center"/>
          </w:tcPr>
          <w:p w14:paraId="3F52E80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1611" w:type="dxa"/>
            <w:vAlign w:val="center"/>
          </w:tcPr>
          <w:p w14:paraId="0D685D6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r>
      <w:tr w14:paraId="41A16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5CD3325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3</w:t>
            </w:r>
          </w:p>
        </w:tc>
        <w:tc>
          <w:tcPr>
            <w:tcW w:w="0" w:type="auto"/>
            <w:vAlign w:val="center"/>
          </w:tcPr>
          <w:p w14:paraId="482F576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培训经费</w:t>
            </w:r>
          </w:p>
        </w:tc>
        <w:tc>
          <w:tcPr>
            <w:tcW w:w="0" w:type="auto"/>
            <w:vAlign w:val="center"/>
          </w:tcPr>
          <w:p w14:paraId="0C0F66A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26.64</w:t>
            </w:r>
          </w:p>
        </w:tc>
        <w:tc>
          <w:tcPr>
            <w:tcW w:w="0" w:type="auto"/>
            <w:vAlign w:val="center"/>
          </w:tcPr>
          <w:p w14:paraId="55A9181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9.11</w:t>
            </w:r>
          </w:p>
        </w:tc>
        <w:tc>
          <w:tcPr>
            <w:tcW w:w="0" w:type="auto"/>
            <w:vAlign w:val="center"/>
          </w:tcPr>
          <w:p w14:paraId="7284128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8.95</w:t>
            </w:r>
          </w:p>
        </w:tc>
        <w:tc>
          <w:tcPr>
            <w:tcW w:w="1611" w:type="dxa"/>
            <w:vAlign w:val="center"/>
          </w:tcPr>
          <w:p w14:paraId="2924F38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eastAsia" w:ascii="Times New Roman" w:hAnsi="Times New Roman" w:eastAsia="方正仿宋_GB2312" w:cs="Times New Roman"/>
                <w:color w:val="000000"/>
                <w:kern w:val="60"/>
                <w:sz w:val="21"/>
                <w:szCs w:val="21"/>
                <w:highlight w:val="none"/>
                <w:shd w:val="clear" w:color="auto" w:fill="FFFFFF"/>
                <w:vertAlign w:val="baseline"/>
                <w:lang w:val="en-US" w:eastAsia="zh-CN"/>
              </w:rPr>
              <w:t>6.99</w:t>
            </w:r>
          </w:p>
        </w:tc>
      </w:tr>
      <w:tr w14:paraId="154DF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jc w:val="center"/>
        </w:trPr>
        <w:tc>
          <w:tcPr>
            <w:tcW w:w="0" w:type="auto"/>
            <w:vAlign w:val="center"/>
          </w:tcPr>
          <w:p w14:paraId="6DF0D68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4</w:t>
            </w:r>
          </w:p>
        </w:tc>
        <w:tc>
          <w:tcPr>
            <w:tcW w:w="0" w:type="auto"/>
            <w:vAlign w:val="center"/>
          </w:tcPr>
          <w:p w14:paraId="6DB56A9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差旅经费</w:t>
            </w:r>
          </w:p>
        </w:tc>
        <w:tc>
          <w:tcPr>
            <w:tcW w:w="0" w:type="auto"/>
            <w:vAlign w:val="center"/>
          </w:tcPr>
          <w:p w14:paraId="18FB2D4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86.74</w:t>
            </w:r>
          </w:p>
        </w:tc>
        <w:tc>
          <w:tcPr>
            <w:tcW w:w="0" w:type="auto"/>
            <w:vAlign w:val="center"/>
          </w:tcPr>
          <w:p w14:paraId="6D83EBF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38.33</w:t>
            </w:r>
          </w:p>
        </w:tc>
        <w:tc>
          <w:tcPr>
            <w:tcW w:w="0" w:type="auto"/>
            <w:vAlign w:val="center"/>
          </w:tcPr>
          <w:p w14:paraId="37A7CC7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94.9</w:t>
            </w:r>
          </w:p>
        </w:tc>
        <w:tc>
          <w:tcPr>
            <w:tcW w:w="1611" w:type="dxa"/>
            <w:vAlign w:val="center"/>
          </w:tcPr>
          <w:p w14:paraId="08AB10D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eastAsia" w:ascii="Times New Roman" w:hAnsi="Times New Roman" w:eastAsia="方正仿宋_GB2312" w:cs="Times New Roman"/>
                <w:color w:val="000000"/>
                <w:kern w:val="60"/>
                <w:sz w:val="21"/>
                <w:szCs w:val="21"/>
                <w:highlight w:val="none"/>
                <w:shd w:val="clear" w:color="auto" w:fill="FFFFFF"/>
                <w:vertAlign w:val="baseline"/>
                <w:lang w:val="en-US" w:eastAsia="zh-CN"/>
              </w:rPr>
              <w:t>146.25</w:t>
            </w:r>
          </w:p>
        </w:tc>
      </w:tr>
      <w:tr w14:paraId="4DEB0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7F36C3A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5</w:t>
            </w:r>
          </w:p>
        </w:tc>
        <w:tc>
          <w:tcPr>
            <w:tcW w:w="0" w:type="auto"/>
            <w:vAlign w:val="center"/>
          </w:tcPr>
          <w:p w14:paraId="6747557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办节办展</w:t>
            </w:r>
          </w:p>
          <w:p w14:paraId="2F80364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经费</w:t>
            </w:r>
          </w:p>
        </w:tc>
        <w:tc>
          <w:tcPr>
            <w:tcW w:w="0" w:type="auto"/>
            <w:vAlign w:val="center"/>
          </w:tcPr>
          <w:p w14:paraId="4212DD3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0" w:type="auto"/>
            <w:shd w:val="clear" w:color="auto" w:fill="auto"/>
            <w:vAlign w:val="center"/>
          </w:tcPr>
          <w:p w14:paraId="1803719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0" w:type="auto"/>
            <w:vAlign w:val="center"/>
          </w:tcPr>
          <w:p w14:paraId="4457E2E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1611" w:type="dxa"/>
            <w:shd w:val="clear" w:color="auto" w:fill="auto"/>
            <w:vAlign w:val="center"/>
          </w:tcPr>
          <w:p w14:paraId="16C29EA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r>
      <w:tr w14:paraId="45AB3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63762D4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6</w:t>
            </w:r>
          </w:p>
        </w:tc>
        <w:tc>
          <w:tcPr>
            <w:tcW w:w="0" w:type="auto"/>
            <w:vAlign w:val="center"/>
          </w:tcPr>
          <w:p w14:paraId="6E5BC9F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办公设备</w:t>
            </w:r>
          </w:p>
          <w:p w14:paraId="25D4455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购置经费</w:t>
            </w:r>
          </w:p>
        </w:tc>
        <w:tc>
          <w:tcPr>
            <w:tcW w:w="0" w:type="auto"/>
            <w:vAlign w:val="center"/>
          </w:tcPr>
          <w:p w14:paraId="30489A8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5</w:t>
            </w:r>
          </w:p>
        </w:tc>
        <w:tc>
          <w:tcPr>
            <w:tcW w:w="0" w:type="auto"/>
            <w:vAlign w:val="center"/>
          </w:tcPr>
          <w:p w14:paraId="2E2D4D7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0" w:type="auto"/>
            <w:vAlign w:val="center"/>
          </w:tcPr>
          <w:p w14:paraId="03570C9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eastAsia" w:ascii="Times New Roman" w:hAnsi="Times New Roman" w:eastAsia="方正仿宋_GB2312" w:cs="Times New Roman"/>
                <w:color w:val="000000"/>
                <w:kern w:val="60"/>
                <w:sz w:val="21"/>
                <w:szCs w:val="21"/>
                <w:highlight w:val="none"/>
                <w:shd w:val="clear" w:color="auto" w:fill="FFFFFF"/>
                <w:vertAlign w:val="baseline"/>
                <w:lang w:val="en-US" w:eastAsia="zh-CN"/>
              </w:rPr>
              <w:t>7.73</w:t>
            </w:r>
          </w:p>
        </w:tc>
        <w:tc>
          <w:tcPr>
            <w:tcW w:w="1611" w:type="dxa"/>
            <w:vAlign w:val="center"/>
          </w:tcPr>
          <w:p w14:paraId="1D06C5E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1.44</w:t>
            </w:r>
          </w:p>
        </w:tc>
      </w:tr>
      <w:tr w14:paraId="4B40E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573D091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7</w:t>
            </w:r>
          </w:p>
        </w:tc>
        <w:tc>
          <w:tcPr>
            <w:tcW w:w="0" w:type="auto"/>
            <w:vAlign w:val="center"/>
          </w:tcPr>
          <w:p w14:paraId="29FC498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信息网络及软件购置更新经费</w:t>
            </w:r>
          </w:p>
        </w:tc>
        <w:tc>
          <w:tcPr>
            <w:tcW w:w="0" w:type="auto"/>
            <w:vAlign w:val="center"/>
          </w:tcPr>
          <w:p w14:paraId="290E9AF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0" w:type="auto"/>
            <w:vAlign w:val="center"/>
          </w:tcPr>
          <w:p w14:paraId="7842A3E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0" w:type="auto"/>
            <w:vAlign w:val="center"/>
          </w:tcPr>
          <w:p w14:paraId="63821D0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1611" w:type="dxa"/>
            <w:vAlign w:val="center"/>
          </w:tcPr>
          <w:p w14:paraId="31F97EC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r>
      <w:tr w14:paraId="2A3FB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79FE7FA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8</w:t>
            </w:r>
          </w:p>
        </w:tc>
        <w:tc>
          <w:tcPr>
            <w:tcW w:w="0" w:type="auto"/>
            <w:vAlign w:val="center"/>
          </w:tcPr>
          <w:p w14:paraId="7AC6DF4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课题经费</w:t>
            </w:r>
          </w:p>
        </w:tc>
        <w:tc>
          <w:tcPr>
            <w:tcW w:w="0" w:type="auto"/>
            <w:vAlign w:val="center"/>
          </w:tcPr>
          <w:p w14:paraId="6688D8D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0" w:type="auto"/>
            <w:shd w:val="clear" w:color="auto" w:fill="auto"/>
            <w:vAlign w:val="center"/>
          </w:tcPr>
          <w:p w14:paraId="0840C62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0" w:type="auto"/>
            <w:vAlign w:val="center"/>
          </w:tcPr>
          <w:p w14:paraId="403153D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1611" w:type="dxa"/>
            <w:shd w:val="clear" w:color="auto" w:fill="auto"/>
            <w:vAlign w:val="center"/>
          </w:tcPr>
          <w:p w14:paraId="6B39A70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r>
      <w:tr w14:paraId="216AE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557" w:type="dxa"/>
            <w:vAlign w:val="center"/>
          </w:tcPr>
          <w:p w14:paraId="0A0C42A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b/>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b/>
                <w:color w:val="000000"/>
                <w:kern w:val="60"/>
                <w:sz w:val="21"/>
                <w:szCs w:val="21"/>
                <w:highlight w:val="none"/>
                <w:shd w:val="clear" w:color="auto" w:fill="FFFFFF"/>
                <w:vertAlign w:val="baseline"/>
                <w:lang w:val="en-US" w:eastAsia="zh-CN"/>
              </w:rPr>
              <w:t>11</w:t>
            </w:r>
          </w:p>
        </w:tc>
        <w:tc>
          <w:tcPr>
            <w:tcW w:w="2020" w:type="dxa"/>
            <w:shd w:val="clear" w:color="auto" w:fill="auto"/>
            <w:vAlign w:val="center"/>
          </w:tcPr>
          <w:p w14:paraId="74054EA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b/>
                <w:color w:val="000000"/>
                <w:kern w:val="60"/>
                <w:sz w:val="21"/>
                <w:szCs w:val="21"/>
                <w:highlight w:val="none"/>
                <w:shd w:val="clear" w:color="auto" w:fill="FFFFFF"/>
                <w:vertAlign w:val="baseline"/>
                <w:lang w:val="en-US" w:eastAsia="zh-CN" w:bidi="ar-SA"/>
              </w:rPr>
            </w:pPr>
            <w:r>
              <w:rPr>
                <w:rFonts w:hint="default" w:ascii="Times New Roman" w:hAnsi="Times New Roman" w:eastAsia="方正仿宋_GB2312" w:cs="Times New Roman"/>
                <w:b/>
                <w:color w:val="000000"/>
                <w:kern w:val="60"/>
                <w:sz w:val="21"/>
                <w:szCs w:val="21"/>
                <w:highlight w:val="none"/>
                <w:shd w:val="clear" w:color="auto" w:fill="FFFFFF"/>
                <w:vertAlign w:val="baseline"/>
                <w:lang w:val="en-US" w:eastAsia="zh-CN"/>
              </w:rPr>
              <w:t>合计</w:t>
            </w:r>
          </w:p>
        </w:tc>
        <w:tc>
          <w:tcPr>
            <w:tcW w:w="1652" w:type="dxa"/>
            <w:shd w:val="clear" w:color="auto" w:fill="auto"/>
            <w:vAlign w:val="center"/>
          </w:tcPr>
          <w:p w14:paraId="0D86493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162.33</w:t>
            </w:r>
          </w:p>
        </w:tc>
        <w:tc>
          <w:tcPr>
            <w:tcW w:w="1610" w:type="dxa"/>
            <w:shd w:val="clear" w:color="auto" w:fill="auto"/>
            <w:vAlign w:val="center"/>
          </w:tcPr>
          <w:p w14:paraId="1BD4AC5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90.46</w:t>
            </w:r>
          </w:p>
        </w:tc>
        <w:tc>
          <w:tcPr>
            <w:tcW w:w="1611" w:type="dxa"/>
            <w:shd w:val="clear" w:color="auto" w:fill="auto"/>
            <w:vAlign w:val="center"/>
          </w:tcPr>
          <w:p w14:paraId="16D066D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144.9</w:t>
            </w:r>
          </w:p>
        </w:tc>
        <w:tc>
          <w:tcPr>
            <w:tcW w:w="1611" w:type="dxa"/>
            <w:shd w:val="clear" w:color="auto" w:fill="auto"/>
            <w:vAlign w:val="center"/>
          </w:tcPr>
          <w:p w14:paraId="0A04E22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198.23</w:t>
            </w:r>
          </w:p>
        </w:tc>
      </w:tr>
    </w:tbl>
    <w:p w14:paraId="44529D0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农科院</w:t>
      </w:r>
      <w:r>
        <w:rPr>
          <w:rFonts w:hint="default" w:ascii="Times New Roman" w:hAnsi="Times New Roman" w:eastAsia="仿宋_GB2312" w:cs="Times New Roman"/>
          <w:kern w:val="2"/>
          <w:sz w:val="32"/>
          <w:szCs w:val="32"/>
          <w:highlight w:val="none"/>
          <w:lang w:val="en-US" w:eastAsia="zh-CN" w:bidi="ar-SA"/>
        </w:rPr>
        <w:t>2025年一般性支出年初预算144.9万元，2024年一般性支出年初预算162.33万元</w:t>
      </w:r>
      <w:r>
        <w:rPr>
          <w:rFonts w:hint="eastAsia" w:ascii="Times New Roman" w:hAnsi="Times New Roman" w:eastAsia="仿宋_GB2312" w:cs="Times New Roman"/>
          <w:kern w:val="2"/>
          <w:sz w:val="32"/>
          <w:szCs w:val="32"/>
          <w:highlight w:val="none"/>
          <w:lang w:val="en-US" w:eastAsia="zh-CN" w:bidi="ar-SA"/>
        </w:rPr>
        <w:t>，实现压减</w:t>
      </w:r>
      <w:r>
        <w:rPr>
          <w:rFonts w:hint="default" w:ascii="Times New Roman" w:hAnsi="Times New Roman" w:eastAsia="仿宋_GB2312" w:cs="Times New Roman"/>
          <w:kern w:val="2"/>
          <w:sz w:val="32"/>
          <w:szCs w:val="32"/>
          <w:highlight w:val="none"/>
          <w:lang w:val="en-US" w:eastAsia="zh-CN" w:bidi="ar-SA"/>
        </w:rPr>
        <w:t>；2025年一般性支出预算执行198.23万元，2024年一般性支出预算执行90.46万元，未实现压减。</w:t>
      </w:r>
    </w:p>
    <w:p w14:paraId="7ECE1B3B">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综上，根据评分标准，该指标扣</w:t>
      </w:r>
      <w:r>
        <w:rPr>
          <w:rFonts w:hint="eastAsia" w:ascii="Times New Roman" w:hAnsi="Times New Roman" w:eastAsia="仿宋_GB2312" w:cs="Times New Roman"/>
          <w:kern w:val="2"/>
          <w:sz w:val="32"/>
          <w:szCs w:val="32"/>
          <w:highlight w:val="none"/>
          <w:lang w:val="en-US" w:eastAsia="zh-CN" w:bidi="ar-SA"/>
        </w:rPr>
        <w:t>3</w:t>
      </w:r>
      <w:r>
        <w:rPr>
          <w:rFonts w:hint="default" w:ascii="Times New Roman" w:hAnsi="Times New Roman" w:eastAsia="仿宋_GB2312" w:cs="Times New Roman"/>
          <w:kern w:val="2"/>
          <w:sz w:val="32"/>
          <w:szCs w:val="32"/>
          <w:highlight w:val="none"/>
          <w:lang w:val="en-US" w:eastAsia="zh-CN" w:bidi="ar-SA"/>
        </w:rPr>
        <w:t>分，得</w:t>
      </w:r>
      <w:r>
        <w:rPr>
          <w:rFonts w:hint="eastAsia" w:ascii="Times New Roman" w:hAnsi="Times New Roman" w:eastAsia="仿宋_GB2312" w:cs="Times New Roman"/>
          <w:kern w:val="2"/>
          <w:sz w:val="32"/>
          <w:szCs w:val="32"/>
          <w:highlight w:val="none"/>
          <w:lang w:val="en-US" w:eastAsia="zh-CN" w:bidi="ar-SA"/>
        </w:rPr>
        <w:t>2</w:t>
      </w:r>
      <w:r>
        <w:rPr>
          <w:rFonts w:hint="default" w:ascii="Times New Roman" w:hAnsi="Times New Roman" w:eastAsia="仿宋_GB2312" w:cs="Times New Roman"/>
          <w:kern w:val="2"/>
          <w:sz w:val="32"/>
          <w:szCs w:val="32"/>
          <w:highlight w:val="none"/>
          <w:lang w:val="en-US" w:eastAsia="zh-CN" w:bidi="ar-SA"/>
        </w:rPr>
        <w:t>分。</w:t>
      </w:r>
    </w:p>
    <w:p w14:paraId="0DFE6E6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方正仿宋_GB2312" w:cs="Times New Roman"/>
          <w:b/>
          <w:bCs/>
          <w:color w:val="000000"/>
          <w:kern w:val="0"/>
          <w:sz w:val="32"/>
          <w:szCs w:val="32"/>
          <w:highlight w:val="none"/>
          <w:shd w:val="clear" w:color="auto" w:fill="FFFFFF"/>
          <w:lang w:val="zh-CN" w:eastAsia="zh-CN"/>
        </w:rPr>
      </w:pPr>
      <w:r>
        <w:rPr>
          <w:rFonts w:hint="default" w:ascii="Times New Roman" w:hAnsi="Times New Roman" w:eastAsia="方正仿宋_GB2312" w:cs="Times New Roman"/>
          <w:b/>
          <w:bCs/>
          <w:color w:val="000000"/>
          <w:kern w:val="0"/>
          <w:sz w:val="32"/>
          <w:szCs w:val="32"/>
          <w:highlight w:val="none"/>
          <w:shd w:val="clear" w:color="auto" w:fill="FFFFFF"/>
          <w:lang w:val="en-US" w:eastAsia="zh-CN"/>
        </w:rPr>
        <w:t>3.</w:t>
      </w:r>
      <w:r>
        <w:rPr>
          <w:rFonts w:hint="default" w:ascii="Times New Roman" w:hAnsi="Times New Roman" w:eastAsia="方正仿宋_GB2312" w:cs="Times New Roman"/>
          <w:b/>
          <w:bCs/>
          <w:color w:val="000000"/>
          <w:kern w:val="0"/>
          <w:sz w:val="32"/>
          <w:szCs w:val="32"/>
          <w:highlight w:val="none"/>
          <w:shd w:val="clear" w:color="auto" w:fill="FFFFFF"/>
          <w:lang w:val="zh-CN" w:eastAsia="zh-CN"/>
        </w:rPr>
        <w:t>财务管理</w:t>
      </w:r>
    </w:p>
    <w:p w14:paraId="685CF85A">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1</w:t>
      </w: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财务管理制度</w:t>
      </w:r>
    </w:p>
    <w:p w14:paraId="6E0BF806">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农科院</w:t>
      </w:r>
      <w:r>
        <w:rPr>
          <w:rFonts w:hint="default" w:ascii="Times New Roman" w:hAnsi="Times New Roman" w:eastAsia="仿宋_GB2312" w:cs="Times New Roman"/>
          <w:sz w:val="32"/>
          <w:szCs w:val="32"/>
          <w:lang w:val="en-US" w:eastAsia="zh-CN"/>
        </w:rPr>
        <w:t>为进一步规范机关财务运行，加强财务管理</w:t>
      </w:r>
      <w:r>
        <w:rPr>
          <w:rFonts w:hint="eastAsia" w:ascii="Times New Roman" w:hAnsi="Times New Roman" w:eastAsia="仿宋_GB2312" w:cs="Times New Roman"/>
          <w:sz w:val="32"/>
          <w:szCs w:val="32"/>
          <w:lang w:val="en-US" w:eastAsia="zh-CN"/>
        </w:rPr>
        <w:t>，提高资金</w:t>
      </w:r>
      <w:r>
        <w:rPr>
          <w:rFonts w:hint="default" w:ascii="Times New Roman" w:hAnsi="Times New Roman" w:eastAsia="仿宋_GB2312" w:cs="Times New Roman"/>
          <w:sz w:val="32"/>
          <w:szCs w:val="32"/>
          <w:lang w:val="en-US" w:eastAsia="zh-CN"/>
        </w:rPr>
        <w:t>使用效益，根据财政部《</w:t>
      </w:r>
      <w:r>
        <w:rPr>
          <w:rFonts w:hint="eastAsia" w:ascii="Times New Roman" w:hAnsi="Times New Roman" w:eastAsia="仿宋_GB2312" w:cs="Times New Roman"/>
          <w:sz w:val="32"/>
          <w:szCs w:val="32"/>
          <w:lang w:val="en-US" w:eastAsia="zh-CN"/>
        </w:rPr>
        <w:t>事业</w:t>
      </w:r>
      <w:r>
        <w:rPr>
          <w:rFonts w:hint="default" w:ascii="Times New Roman" w:hAnsi="Times New Roman" w:eastAsia="仿宋_GB2312" w:cs="Times New Roman"/>
          <w:sz w:val="32"/>
          <w:szCs w:val="32"/>
          <w:lang w:val="en-US" w:eastAsia="zh-CN"/>
        </w:rPr>
        <w:t>单位财务规则》及相关财经法规制度，结合</w:t>
      </w:r>
      <w:r>
        <w:rPr>
          <w:rFonts w:hint="eastAsia" w:ascii="Times New Roman" w:hAnsi="Times New Roman" w:eastAsia="仿宋_GB2312" w:cs="Times New Roman"/>
          <w:sz w:val="32"/>
          <w:szCs w:val="32"/>
          <w:lang w:val="en-US" w:eastAsia="zh-CN"/>
        </w:rPr>
        <w:t>我院</w:t>
      </w:r>
      <w:r>
        <w:rPr>
          <w:rFonts w:hint="default" w:ascii="Times New Roman" w:hAnsi="Times New Roman" w:eastAsia="仿宋_GB2312" w:cs="Times New Roman"/>
          <w:sz w:val="32"/>
          <w:szCs w:val="32"/>
          <w:lang w:val="en-US" w:eastAsia="zh-CN"/>
        </w:rPr>
        <w:t>实际，</w:t>
      </w:r>
      <w:r>
        <w:rPr>
          <w:rFonts w:hint="eastAsia" w:eastAsia="仿宋_GB2312" w:cs="Times New Roman"/>
          <w:sz w:val="32"/>
          <w:szCs w:val="32"/>
          <w:lang w:val="en-US" w:eastAsia="zh-CN"/>
        </w:rPr>
        <w:t>制定了《</w:t>
      </w:r>
      <w:r>
        <w:rPr>
          <w:rFonts w:hint="eastAsia" w:ascii="Times New Roman" w:hAnsi="Times New Roman" w:eastAsia="仿宋_GB2312" w:cs="Times New Roman"/>
          <w:sz w:val="32"/>
          <w:szCs w:val="32"/>
          <w:lang w:val="en-US" w:eastAsia="zh-CN"/>
        </w:rPr>
        <w:t>阿坝州农业科学研究院预算管理制度》</w:t>
      </w:r>
      <w:r>
        <w:rPr>
          <w:rFonts w:hint="default" w:ascii="Times New Roman" w:hAnsi="Times New Roman" w:eastAsia="仿宋_GB2312" w:cs="Times New Roman"/>
          <w:sz w:val="32"/>
          <w:szCs w:val="32"/>
          <w:lang w:val="zh-CN" w:eastAsia="zh-CN"/>
        </w:rPr>
        <w:t>（</w:t>
      </w:r>
      <w:r>
        <w:rPr>
          <w:rFonts w:hint="default" w:ascii="Times New Roman" w:hAnsi="Times New Roman" w:eastAsia="仿宋_GB2312" w:cs="Times New Roman"/>
          <w:sz w:val="32"/>
          <w:szCs w:val="32"/>
          <w:lang w:val="en-US" w:eastAsia="zh-CN"/>
        </w:rPr>
        <w:t>阿州</w:t>
      </w:r>
      <w:r>
        <w:rPr>
          <w:rFonts w:hint="eastAsia" w:ascii="Times New Roman" w:hAnsi="Times New Roman" w:eastAsia="仿宋_GB2312" w:cs="Times New Roman"/>
          <w:sz w:val="32"/>
          <w:szCs w:val="32"/>
          <w:lang w:val="en-US" w:eastAsia="zh-CN"/>
        </w:rPr>
        <w:t>农院发</w:t>
      </w:r>
      <w:r>
        <w:rPr>
          <w:rFonts w:hint="default" w:ascii="Times New Roman" w:hAnsi="Times New Roman" w:eastAsia="仿宋_GB2312" w:cs="Times New Roman"/>
          <w:sz w:val="32"/>
          <w:szCs w:val="32"/>
          <w:lang w:val="zh-CN" w:eastAsia="zh-CN"/>
        </w:rPr>
        <w:t>〔202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zh-CN" w:eastAsia="zh-CN"/>
        </w:rPr>
        <w:t>〕</w:t>
      </w:r>
      <w:r>
        <w:rPr>
          <w:rFonts w:hint="eastAsia" w:ascii="Times New Roman" w:hAnsi="Times New Roman" w:eastAsia="仿宋_GB2312" w:cs="Times New Roman"/>
          <w:sz w:val="32"/>
          <w:szCs w:val="32"/>
          <w:lang w:val="en-US" w:eastAsia="zh-CN"/>
        </w:rPr>
        <w:t>15</w:t>
      </w:r>
      <w:r>
        <w:rPr>
          <w:rFonts w:hint="default" w:ascii="Times New Roman" w:hAnsi="Times New Roman" w:eastAsia="仿宋_GB2312" w:cs="Times New Roman"/>
          <w:sz w:val="32"/>
          <w:szCs w:val="32"/>
          <w:lang w:val="zh-CN" w:eastAsia="zh-CN"/>
        </w:rPr>
        <w:t>号）</w:t>
      </w:r>
      <w:r>
        <w:rPr>
          <w:rFonts w:hint="eastAsia" w:ascii="Times New Roman" w:hAnsi="Times New Roman" w:eastAsia="仿宋_GB2312" w:cs="Times New Roman"/>
          <w:sz w:val="32"/>
          <w:szCs w:val="32"/>
          <w:lang w:val="zh-CN" w:eastAsia="zh-CN"/>
        </w:rPr>
        <w:t>、</w:t>
      </w:r>
      <w:r>
        <w:rPr>
          <w:rFonts w:hint="eastAsia" w:ascii="Times New Roman" w:hAnsi="Times New Roman" w:eastAsia="仿宋_GB2312" w:cs="Times New Roman"/>
          <w:sz w:val="32"/>
          <w:szCs w:val="32"/>
          <w:lang w:val="en-US" w:eastAsia="zh-CN"/>
        </w:rPr>
        <w:t>《阿坝州农业科学研究院资产管理制度》</w:t>
      </w:r>
      <w:r>
        <w:rPr>
          <w:rFonts w:hint="default" w:ascii="Times New Roman" w:hAnsi="Times New Roman" w:eastAsia="仿宋_GB2312" w:cs="Times New Roman"/>
          <w:sz w:val="32"/>
          <w:szCs w:val="32"/>
          <w:lang w:val="zh-CN" w:eastAsia="zh-CN"/>
        </w:rPr>
        <w:t>（</w:t>
      </w:r>
      <w:r>
        <w:rPr>
          <w:rFonts w:hint="default" w:ascii="Times New Roman" w:hAnsi="Times New Roman" w:eastAsia="仿宋_GB2312" w:cs="Times New Roman"/>
          <w:sz w:val="32"/>
          <w:szCs w:val="32"/>
          <w:lang w:val="en-US" w:eastAsia="zh-CN"/>
        </w:rPr>
        <w:t>阿州</w:t>
      </w:r>
      <w:r>
        <w:rPr>
          <w:rFonts w:hint="eastAsia" w:ascii="Times New Roman" w:hAnsi="Times New Roman" w:eastAsia="仿宋_GB2312" w:cs="Times New Roman"/>
          <w:sz w:val="32"/>
          <w:szCs w:val="32"/>
          <w:lang w:val="en-US" w:eastAsia="zh-CN"/>
        </w:rPr>
        <w:t>农院发</w:t>
      </w:r>
      <w:r>
        <w:rPr>
          <w:rFonts w:hint="default" w:ascii="Times New Roman" w:hAnsi="Times New Roman" w:eastAsia="仿宋_GB2312" w:cs="Times New Roman"/>
          <w:sz w:val="32"/>
          <w:szCs w:val="32"/>
          <w:lang w:val="zh-CN" w:eastAsia="zh-CN"/>
        </w:rPr>
        <w:t>〔202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zh-CN" w:eastAsia="zh-CN"/>
        </w:rPr>
        <w:t>〕</w:t>
      </w:r>
      <w:r>
        <w:rPr>
          <w:rFonts w:hint="eastAsia" w:ascii="Times New Roman" w:hAnsi="Times New Roman" w:eastAsia="仿宋_GB2312" w:cs="Times New Roman"/>
          <w:sz w:val="32"/>
          <w:szCs w:val="32"/>
          <w:lang w:val="en-US" w:eastAsia="zh-CN"/>
        </w:rPr>
        <w:t>16</w:t>
      </w:r>
      <w:r>
        <w:rPr>
          <w:rFonts w:hint="default" w:ascii="Times New Roman" w:hAnsi="Times New Roman" w:eastAsia="仿宋_GB2312" w:cs="Times New Roman"/>
          <w:sz w:val="32"/>
          <w:szCs w:val="32"/>
          <w:lang w:val="zh-CN" w:eastAsia="zh-CN"/>
        </w:rPr>
        <w:t>号）</w:t>
      </w:r>
      <w:r>
        <w:rPr>
          <w:rFonts w:hint="eastAsia" w:ascii="Times New Roman" w:hAnsi="Times New Roman" w:eastAsia="仿宋_GB2312" w:cs="Times New Roman"/>
          <w:sz w:val="32"/>
          <w:szCs w:val="32"/>
          <w:lang w:val="zh-CN" w:eastAsia="zh-CN"/>
        </w:rPr>
        <w:t>、</w:t>
      </w:r>
      <w:r>
        <w:rPr>
          <w:rFonts w:hint="eastAsia" w:ascii="Times New Roman" w:hAnsi="Times New Roman" w:eastAsia="仿宋_GB2312" w:cs="Times New Roman"/>
          <w:sz w:val="32"/>
          <w:szCs w:val="32"/>
          <w:lang w:val="en-US" w:eastAsia="zh-CN"/>
        </w:rPr>
        <w:t>《阿坝州农业科学研究院收支管理办法》</w:t>
      </w:r>
      <w:r>
        <w:rPr>
          <w:rFonts w:hint="default" w:ascii="Times New Roman" w:hAnsi="Times New Roman" w:eastAsia="仿宋_GB2312" w:cs="Times New Roman"/>
          <w:sz w:val="32"/>
          <w:szCs w:val="32"/>
          <w:lang w:val="zh-CN" w:eastAsia="zh-CN"/>
        </w:rPr>
        <w:t>（</w:t>
      </w:r>
      <w:r>
        <w:rPr>
          <w:rFonts w:hint="default" w:ascii="Times New Roman" w:hAnsi="Times New Roman" w:eastAsia="仿宋_GB2312" w:cs="Times New Roman"/>
          <w:sz w:val="32"/>
          <w:szCs w:val="32"/>
          <w:lang w:val="en-US" w:eastAsia="zh-CN"/>
        </w:rPr>
        <w:t>阿州</w:t>
      </w:r>
      <w:r>
        <w:rPr>
          <w:rFonts w:hint="eastAsia" w:ascii="Times New Roman" w:hAnsi="Times New Roman" w:eastAsia="仿宋_GB2312" w:cs="Times New Roman"/>
          <w:sz w:val="32"/>
          <w:szCs w:val="32"/>
          <w:lang w:val="en-US" w:eastAsia="zh-CN"/>
        </w:rPr>
        <w:t>农院发</w:t>
      </w:r>
      <w:r>
        <w:rPr>
          <w:rFonts w:hint="default" w:ascii="Times New Roman" w:hAnsi="Times New Roman" w:eastAsia="仿宋_GB2312" w:cs="Times New Roman"/>
          <w:sz w:val="32"/>
          <w:szCs w:val="32"/>
          <w:lang w:val="zh-CN" w:eastAsia="zh-CN"/>
        </w:rPr>
        <w:t>〔202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zh-CN" w:eastAsia="zh-CN"/>
        </w:rPr>
        <w:t>〕</w:t>
      </w:r>
      <w:r>
        <w:rPr>
          <w:rFonts w:hint="eastAsia"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lang w:val="zh-CN" w:eastAsia="zh-CN"/>
        </w:rPr>
        <w:t>号）</w:t>
      </w:r>
      <w:r>
        <w:rPr>
          <w:rFonts w:hint="eastAsia" w:ascii="Times New Roman" w:hAnsi="Times New Roman" w:eastAsia="仿宋_GB2312" w:cs="Times New Roman"/>
          <w:sz w:val="32"/>
          <w:szCs w:val="32"/>
          <w:lang w:val="zh-CN" w:eastAsia="zh-CN"/>
        </w:rPr>
        <w:t>、</w:t>
      </w:r>
      <w:r>
        <w:rPr>
          <w:rFonts w:hint="eastAsia" w:ascii="Times New Roman" w:hAnsi="Times New Roman" w:eastAsia="仿宋_GB2312" w:cs="Times New Roman"/>
          <w:sz w:val="32"/>
          <w:szCs w:val="32"/>
          <w:lang w:val="en-US" w:eastAsia="zh-CN"/>
        </w:rPr>
        <w:t>《阿坝州农业科学研究院差旅费管理办法》</w:t>
      </w:r>
      <w:r>
        <w:rPr>
          <w:rFonts w:hint="default" w:ascii="Times New Roman" w:hAnsi="Times New Roman" w:eastAsia="仿宋_GB2312" w:cs="Times New Roman"/>
          <w:sz w:val="32"/>
          <w:szCs w:val="32"/>
          <w:lang w:val="zh-CN" w:eastAsia="zh-CN"/>
        </w:rPr>
        <w:t>（</w:t>
      </w:r>
      <w:r>
        <w:rPr>
          <w:rFonts w:hint="default" w:ascii="Times New Roman" w:hAnsi="Times New Roman" w:eastAsia="仿宋_GB2312" w:cs="Times New Roman"/>
          <w:sz w:val="32"/>
          <w:szCs w:val="32"/>
          <w:lang w:val="en-US" w:eastAsia="zh-CN"/>
        </w:rPr>
        <w:t>阿州</w:t>
      </w:r>
      <w:r>
        <w:rPr>
          <w:rFonts w:hint="eastAsia" w:ascii="Times New Roman" w:hAnsi="Times New Roman" w:eastAsia="仿宋_GB2312" w:cs="Times New Roman"/>
          <w:sz w:val="32"/>
          <w:szCs w:val="32"/>
          <w:lang w:val="en-US" w:eastAsia="zh-CN"/>
        </w:rPr>
        <w:t>农院发</w:t>
      </w:r>
      <w:r>
        <w:rPr>
          <w:rFonts w:hint="default" w:ascii="Times New Roman" w:hAnsi="Times New Roman" w:eastAsia="仿宋_GB2312" w:cs="Times New Roman"/>
          <w:sz w:val="32"/>
          <w:szCs w:val="32"/>
          <w:lang w:val="zh-CN" w:eastAsia="zh-CN"/>
        </w:rPr>
        <w:t>〔202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zh-CN" w:eastAsia="zh-CN"/>
        </w:rPr>
        <w:t>〕</w:t>
      </w:r>
      <w:r>
        <w:rPr>
          <w:rFonts w:hint="eastAsia"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lang w:val="zh-CN" w:eastAsia="zh-CN"/>
        </w:rPr>
        <w:t>号）</w:t>
      </w:r>
      <w:r>
        <w:rPr>
          <w:rFonts w:hint="eastAsia" w:ascii="Times New Roman" w:hAnsi="Times New Roman" w:eastAsia="仿宋_GB2312" w:cs="Times New Roman"/>
          <w:sz w:val="32"/>
          <w:szCs w:val="32"/>
          <w:lang w:val="en-US" w:eastAsia="zh-CN"/>
        </w:rPr>
        <w:t>、《阿坝州农业科学研究院采购管理内控制度》</w:t>
      </w:r>
      <w:r>
        <w:rPr>
          <w:rFonts w:hint="default" w:ascii="Times New Roman" w:hAnsi="Times New Roman" w:eastAsia="仿宋_GB2312" w:cs="Times New Roman"/>
          <w:sz w:val="32"/>
          <w:szCs w:val="32"/>
          <w:lang w:val="zh-CN" w:eastAsia="zh-CN"/>
        </w:rPr>
        <w:t>（</w:t>
      </w:r>
      <w:r>
        <w:rPr>
          <w:rFonts w:hint="default" w:ascii="Times New Roman" w:hAnsi="Times New Roman" w:eastAsia="仿宋_GB2312" w:cs="Times New Roman"/>
          <w:sz w:val="32"/>
          <w:szCs w:val="32"/>
          <w:lang w:val="en-US" w:eastAsia="zh-CN"/>
        </w:rPr>
        <w:t>阿州</w:t>
      </w:r>
      <w:r>
        <w:rPr>
          <w:rFonts w:hint="eastAsia" w:ascii="Times New Roman" w:hAnsi="Times New Roman" w:eastAsia="仿宋_GB2312" w:cs="Times New Roman"/>
          <w:sz w:val="32"/>
          <w:szCs w:val="32"/>
          <w:lang w:val="en-US" w:eastAsia="zh-CN"/>
        </w:rPr>
        <w:t>农院发</w:t>
      </w:r>
      <w:r>
        <w:rPr>
          <w:rFonts w:hint="default" w:ascii="Times New Roman" w:hAnsi="Times New Roman" w:eastAsia="仿宋_GB2312" w:cs="Times New Roman"/>
          <w:sz w:val="32"/>
          <w:szCs w:val="32"/>
          <w:lang w:val="zh-CN" w:eastAsia="zh-CN"/>
        </w:rPr>
        <w:t>〔202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zh-CN" w:eastAsia="zh-CN"/>
        </w:rPr>
        <w:t>〕</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zh-CN" w:eastAsia="zh-CN"/>
        </w:rPr>
        <w:t>号）</w:t>
      </w:r>
      <w:r>
        <w:rPr>
          <w:rFonts w:hint="default" w:ascii="Times New Roman" w:hAnsi="Times New Roman" w:eastAsia="仿宋_GB2312" w:cs="Times New Roman"/>
          <w:sz w:val="32"/>
          <w:szCs w:val="32"/>
          <w:lang w:val="en-US" w:eastAsia="zh-CN"/>
        </w:rPr>
        <w:t>等，细化会议费、培训费、差旅费、接待费等报销流程，并将制度严格落到实处，为财务管理质量</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财务管理效能提供保障。</w:t>
      </w:r>
    </w:p>
    <w:p w14:paraId="063B86D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综上，根据评分标准，该指标不扣分，得4分。</w:t>
      </w:r>
    </w:p>
    <w:p w14:paraId="0BD93734">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（2）财务岗位设置</w:t>
      </w:r>
    </w:p>
    <w:p w14:paraId="020D63B6">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eastAsia" w:eastAsia="仿宋_GB2312" w:cs="Times New Roman"/>
          <w:sz w:val="32"/>
          <w:szCs w:val="32"/>
          <w:lang w:val="en-US" w:eastAsia="zh-CN"/>
        </w:rPr>
        <w:t>农科院</w:t>
      </w:r>
      <w:r>
        <w:rPr>
          <w:rFonts w:hint="default" w:ascii="Times New Roman" w:hAnsi="Times New Roman" w:eastAsia="仿宋_GB2312" w:cs="Times New Roman"/>
          <w:sz w:val="32"/>
          <w:szCs w:val="32"/>
          <w:lang w:val="en-US" w:eastAsia="zh-CN"/>
        </w:rPr>
        <w:t>已合理设置财务工作岗位，明确职责权限，并严格实行不相容岗位分离，岗位间职责清晰，各岗位按照工作流程有序进行。</w:t>
      </w:r>
    </w:p>
    <w:p w14:paraId="7C1958A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综上，根据评分标准，该指标不扣分，得2分。</w:t>
      </w:r>
    </w:p>
    <w:p w14:paraId="08E9F245">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（3）资金使用规范</w:t>
      </w:r>
    </w:p>
    <w:p w14:paraId="34B5F206">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eastAsia" w:eastAsia="仿宋_GB2312" w:cs="Times New Roman"/>
          <w:sz w:val="32"/>
          <w:szCs w:val="32"/>
          <w:lang w:val="en-US" w:eastAsia="zh-CN"/>
        </w:rPr>
        <w:t>农科院</w:t>
      </w:r>
      <w:r>
        <w:rPr>
          <w:rFonts w:hint="default" w:ascii="Times New Roman" w:hAnsi="Times New Roman" w:eastAsia="仿宋_GB2312" w:cs="Times New Roman"/>
          <w:kern w:val="60"/>
          <w:sz w:val="32"/>
          <w:szCs w:val="32"/>
          <w:lang w:val="en-US" w:eastAsia="zh-CN"/>
        </w:rPr>
        <w:t>严格实行逐级审批，各级领导应按权限严把经费审批关，对无预算、超预算开支、开支不明、手续不全虚列开支等情况不予审批。在审批时，明确签署意见和时间，符合管理制度规定。</w:t>
      </w:r>
    </w:p>
    <w:p w14:paraId="04AC7795">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综上，根据评分标准，该指标不扣分，得4分。</w:t>
      </w:r>
    </w:p>
    <w:p w14:paraId="0E040BD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方正仿宋_GB2312" w:cs="Times New Roman"/>
          <w:b/>
          <w:bCs/>
          <w:color w:val="000000"/>
          <w:kern w:val="0"/>
          <w:sz w:val="32"/>
          <w:szCs w:val="32"/>
          <w:highlight w:val="none"/>
          <w:shd w:val="clear" w:color="auto" w:fill="FFFFFF"/>
          <w:lang w:val="zh-CN" w:eastAsia="zh-CN"/>
        </w:rPr>
      </w:pPr>
      <w:r>
        <w:rPr>
          <w:rFonts w:hint="default" w:ascii="Times New Roman" w:hAnsi="Times New Roman" w:eastAsia="方正仿宋_GB2312" w:cs="Times New Roman"/>
          <w:b/>
          <w:bCs/>
          <w:color w:val="000000"/>
          <w:kern w:val="0"/>
          <w:sz w:val="32"/>
          <w:szCs w:val="32"/>
          <w:highlight w:val="none"/>
          <w:shd w:val="clear" w:color="auto" w:fill="FFFFFF"/>
          <w:lang w:val="en-US" w:eastAsia="zh-CN"/>
        </w:rPr>
        <w:t>4.</w:t>
      </w:r>
      <w:r>
        <w:rPr>
          <w:rFonts w:hint="default" w:ascii="Times New Roman" w:hAnsi="Times New Roman" w:eastAsia="方正仿宋_GB2312" w:cs="Times New Roman"/>
          <w:b/>
          <w:bCs/>
          <w:color w:val="000000"/>
          <w:kern w:val="0"/>
          <w:sz w:val="32"/>
          <w:szCs w:val="32"/>
          <w:highlight w:val="none"/>
          <w:shd w:val="clear" w:color="auto" w:fill="FFFFFF"/>
          <w:lang w:val="zh-CN" w:eastAsia="zh-CN"/>
        </w:rPr>
        <w:t>资产管理</w:t>
      </w:r>
    </w:p>
    <w:p w14:paraId="07B4FEE9">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1</w:t>
      </w: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人均资产变化率</w:t>
      </w:r>
    </w:p>
    <w:p w14:paraId="5938771B">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lang w:val="en-US" w:eastAsia="zh-CN"/>
        </w:rPr>
      </w:pPr>
      <w:r>
        <w:rPr>
          <w:rFonts w:hint="eastAsia" w:eastAsia="仿宋_GB2312" w:cs="Times New Roman"/>
          <w:sz w:val="32"/>
          <w:szCs w:val="32"/>
          <w:lang w:val="en-US" w:eastAsia="zh-CN"/>
        </w:rPr>
        <w:t>农科院</w:t>
      </w:r>
      <w:r>
        <w:rPr>
          <w:rFonts w:hint="default" w:ascii="Times New Roman" w:hAnsi="Times New Roman" w:eastAsia="仿宋_GB2312" w:cs="Times New Roman"/>
          <w:sz w:val="32"/>
          <w:szCs w:val="32"/>
          <w:lang w:val="en-US" w:eastAsia="zh-CN"/>
        </w:rPr>
        <w:t>2025年末固定资产和无形资产净值合计</w:t>
      </w:r>
      <w:r>
        <w:rPr>
          <w:rFonts w:hint="eastAsia" w:eastAsia="仿宋_GB2312" w:cs="Times New Roman"/>
          <w:sz w:val="32"/>
          <w:szCs w:val="32"/>
          <w:lang w:val="en-US" w:eastAsia="zh-CN"/>
        </w:rPr>
        <w:t>6907.86</w:t>
      </w:r>
      <w:r>
        <w:rPr>
          <w:rFonts w:hint="default" w:ascii="Times New Roman" w:hAnsi="Times New Roman" w:eastAsia="仿宋_GB2312" w:cs="Times New Roman"/>
          <w:sz w:val="32"/>
          <w:szCs w:val="32"/>
          <w:lang w:val="en-US" w:eastAsia="zh-CN"/>
        </w:rPr>
        <w:t>万元，在编人数</w:t>
      </w:r>
      <w:r>
        <w:rPr>
          <w:rFonts w:hint="eastAsia" w:eastAsia="仿宋_GB2312" w:cs="Times New Roman"/>
          <w:sz w:val="32"/>
          <w:szCs w:val="32"/>
          <w:lang w:val="en-US" w:eastAsia="zh-CN"/>
        </w:rPr>
        <w:t>80</w:t>
      </w:r>
      <w:r>
        <w:rPr>
          <w:rFonts w:hint="default" w:ascii="Times New Roman" w:hAnsi="Times New Roman" w:eastAsia="仿宋_GB2312" w:cs="Times New Roman"/>
          <w:sz w:val="32"/>
          <w:szCs w:val="32"/>
          <w:lang w:val="en-US" w:eastAsia="zh-CN"/>
        </w:rPr>
        <w:t>人，人均资产=</w:t>
      </w:r>
      <w:r>
        <w:rPr>
          <w:rFonts w:hint="eastAsia" w:eastAsia="仿宋_GB2312" w:cs="Times New Roman"/>
          <w:sz w:val="32"/>
          <w:szCs w:val="32"/>
          <w:lang w:val="en-US" w:eastAsia="zh-CN"/>
        </w:rPr>
        <w:t>86.35</w:t>
      </w:r>
      <w:r>
        <w:rPr>
          <w:rFonts w:hint="default" w:ascii="Times New Roman" w:hAnsi="Times New Roman" w:eastAsia="仿宋_GB2312" w:cs="Times New Roman"/>
          <w:sz w:val="32"/>
          <w:szCs w:val="32"/>
          <w:lang w:val="en-US" w:eastAsia="zh-CN"/>
        </w:rPr>
        <w:t>万元；2024年末固定资产和无形资产净值合计</w:t>
      </w:r>
      <w:r>
        <w:rPr>
          <w:rFonts w:hint="eastAsia" w:eastAsia="仿宋_GB2312" w:cs="Times New Roman"/>
          <w:sz w:val="32"/>
          <w:szCs w:val="32"/>
          <w:lang w:val="en-US" w:eastAsia="zh-CN"/>
        </w:rPr>
        <w:t>6894.29</w:t>
      </w:r>
      <w:r>
        <w:rPr>
          <w:rFonts w:hint="default" w:ascii="Times New Roman" w:hAnsi="Times New Roman" w:eastAsia="仿宋_GB2312" w:cs="Times New Roman"/>
          <w:sz w:val="32"/>
          <w:szCs w:val="32"/>
          <w:lang w:val="en-US" w:eastAsia="zh-CN"/>
        </w:rPr>
        <w:t>万元，在编人数</w:t>
      </w:r>
      <w:r>
        <w:rPr>
          <w:rFonts w:hint="eastAsia" w:eastAsia="仿宋_GB2312" w:cs="Times New Roman"/>
          <w:sz w:val="32"/>
          <w:szCs w:val="32"/>
          <w:lang w:val="en-US" w:eastAsia="zh-CN"/>
        </w:rPr>
        <w:t>80</w:t>
      </w:r>
      <w:r>
        <w:rPr>
          <w:rFonts w:hint="default" w:ascii="Times New Roman" w:hAnsi="Times New Roman" w:eastAsia="仿宋_GB2312" w:cs="Times New Roman"/>
          <w:sz w:val="32"/>
          <w:szCs w:val="32"/>
          <w:lang w:val="en-US" w:eastAsia="zh-CN"/>
        </w:rPr>
        <w:t>人，人均资产=</w:t>
      </w:r>
      <w:r>
        <w:rPr>
          <w:rFonts w:hint="eastAsia" w:eastAsia="仿宋_GB2312" w:cs="Times New Roman"/>
          <w:sz w:val="32"/>
          <w:szCs w:val="32"/>
          <w:lang w:val="en-US" w:eastAsia="zh-CN"/>
        </w:rPr>
        <w:t>86.18</w:t>
      </w:r>
      <w:r>
        <w:rPr>
          <w:rFonts w:hint="default" w:ascii="Times New Roman" w:hAnsi="Times New Roman" w:eastAsia="仿宋_GB2312" w:cs="Times New Roman"/>
          <w:sz w:val="32"/>
          <w:szCs w:val="32"/>
          <w:lang w:val="en-US" w:eastAsia="zh-CN"/>
        </w:rPr>
        <w:t>万元。</w:t>
      </w:r>
      <w:r>
        <w:rPr>
          <w:rFonts w:hint="default" w:ascii="Times New Roman" w:hAnsi="Times New Roman" w:eastAsia="仿宋_GB2312" w:cs="Times New Roman"/>
          <w:b w:val="0"/>
          <w:bCs/>
          <w:sz w:val="32"/>
          <w:szCs w:val="32"/>
          <w:highlight w:val="none"/>
          <w:lang w:val="en-US" w:eastAsia="zh-CN"/>
        </w:rPr>
        <w:t>2025年</w:t>
      </w:r>
      <w:r>
        <w:rPr>
          <w:rFonts w:hint="eastAsia" w:eastAsia="仿宋_GB2312" w:cs="Times New Roman"/>
          <w:b w:val="0"/>
          <w:bCs/>
          <w:sz w:val="32"/>
          <w:szCs w:val="32"/>
          <w:highlight w:val="none"/>
          <w:lang w:val="en-US" w:eastAsia="zh-CN"/>
        </w:rPr>
        <w:t>我院</w:t>
      </w:r>
      <w:r>
        <w:rPr>
          <w:rFonts w:hint="default" w:ascii="Times New Roman" w:hAnsi="Times New Roman" w:eastAsia="仿宋_GB2312" w:cs="Times New Roman"/>
          <w:b w:val="0"/>
          <w:bCs/>
          <w:sz w:val="32"/>
          <w:szCs w:val="32"/>
          <w:highlight w:val="none"/>
          <w:lang w:val="en-US" w:eastAsia="zh-CN"/>
        </w:rPr>
        <w:t>人均资产变化率为</w:t>
      </w:r>
      <w:r>
        <w:rPr>
          <w:rFonts w:hint="eastAsia" w:eastAsia="仿宋_GB2312" w:cs="Times New Roman"/>
          <w:b w:val="0"/>
          <w:bCs/>
          <w:sz w:val="32"/>
          <w:szCs w:val="32"/>
          <w:highlight w:val="none"/>
          <w:lang w:val="en-US" w:eastAsia="zh-CN"/>
        </w:rPr>
        <w:t>0.19%，省直行政事业单位人均资产变化率为</w:t>
      </w:r>
      <w:r>
        <w:rPr>
          <w:rFonts w:hint="default" w:ascii="Times New Roman" w:hAnsi="Times New Roman" w:eastAsia="仿宋_GB2312" w:cs="Times New Roman"/>
          <w:b w:val="0"/>
          <w:bCs/>
          <w:sz w:val="32"/>
          <w:szCs w:val="32"/>
          <w:highlight w:val="none"/>
          <w:lang w:val="en-US" w:eastAsia="zh-CN"/>
        </w:rPr>
        <w:t>-3.49%。</w:t>
      </w:r>
      <w:r>
        <w:rPr>
          <w:rFonts w:hint="default" w:ascii="Times New Roman" w:hAnsi="Times New Roman" w:eastAsia="仿宋_GB2312" w:cs="Times New Roman"/>
          <w:b w:val="0"/>
          <w:bCs/>
          <w:sz w:val="32"/>
          <w:szCs w:val="32"/>
          <w:lang w:val="en-US" w:eastAsia="zh-CN"/>
        </w:rPr>
        <w:t>2025年</w:t>
      </w:r>
      <w:r>
        <w:rPr>
          <w:rFonts w:hint="eastAsia" w:eastAsia="仿宋_GB2312" w:cs="Times New Roman"/>
          <w:b w:val="0"/>
          <w:bCs/>
          <w:sz w:val="32"/>
          <w:szCs w:val="32"/>
          <w:lang w:val="en-US" w:eastAsia="zh-CN"/>
        </w:rPr>
        <w:t>同期省级财政收入增长率为17.1%</w:t>
      </w:r>
      <w:r>
        <w:rPr>
          <w:rFonts w:hint="default" w:ascii="Times New Roman" w:hAnsi="Times New Roman" w:eastAsia="仿宋_GB2312" w:cs="Times New Roman"/>
          <w:b w:val="0"/>
          <w:bCs/>
          <w:sz w:val="32"/>
          <w:szCs w:val="32"/>
          <w:lang w:val="en-US" w:eastAsia="zh-CN"/>
        </w:rPr>
        <w:t>。</w:t>
      </w:r>
    </w:p>
    <w:p w14:paraId="3977EC80">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b w:val="0"/>
          <w:bCs/>
          <w:sz w:val="32"/>
          <w:szCs w:val="32"/>
          <w:lang w:val="en-US" w:eastAsia="zh-CN"/>
        </w:rPr>
        <w:t>综上，根据评分标准，该指标</w:t>
      </w:r>
      <w:r>
        <w:rPr>
          <w:rFonts w:hint="eastAsia" w:eastAsia="仿宋_GB2312" w:cs="Times New Roman"/>
          <w:b w:val="0"/>
          <w:bCs/>
          <w:sz w:val="32"/>
          <w:szCs w:val="32"/>
          <w:lang w:val="en-US" w:eastAsia="zh-CN"/>
        </w:rPr>
        <w:t>不扣</w:t>
      </w:r>
      <w:r>
        <w:rPr>
          <w:rFonts w:hint="default" w:ascii="Times New Roman" w:hAnsi="Times New Roman" w:eastAsia="仿宋_GB2312" w:cs="Times New Roman"/>
          <w:b w:val="0"/>
          <w:bCs/>
          <w:sz w:val="32"/>
          <w:szCs w:val="32"/>
          <w:lang w:val="en-US" w:eastAsia="zh-CN"/>
        </w:rPr>
        <w:t>分，得</w:t>
      </w:r>
      <w:r>
        <w:rPr>
          <w:rFonts w:hint="eastAsia" w:eastAsia="仿宋_GB2312" w:cs="Times New Roman"/>
          <w:b w:val="0"/>
          <w:bCs/>
          <w:sz w:val="32"/>
          <w:szCs w:val="32"/>
          <w:lang w:val="en-US" w:eastAsia="zh-CN"/>
        </w:rPr>
        <w:t>3</w:t>
      </w:r>
      <w:r>
        <w:rPr>
          <w:rFonts w:hint="default" w:ascii="Times New Roman" w:hAnsi="Times New Roman" w:eastAsia="仿宋_GB2312" w:cs="Times New Roman"/>
          <w:b w:val="0"/>
          <w:bCs/>
          <w:sz w:val="32"/>
          <w:szCs w:val="32"/>
          <w:lang w:val="en-US" w:eastAsia="zh-CN"/>
        </w:rPr>
        <w:t>分。</w:t>
      </w:r>
    </w:p>
    <w:p w14:paraId="0A6505A1">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（2）资产利用率</w:t>
      </w:r>
    </w:p>
    <w:p w14:paraId="58BD0BFB">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2025年末</w:t>
      </w:r>
      <w:r>
        <w:rPr>
          <w:rFonts w:hint="eastAsia" w:eastAsia="仿宋_GB2312" w:cs="Times New Roman"/>
          <w:b w:val="0"/>
          <w:bCs/>
          <w:sz w:val="32"/>
          <w:szCs w:val="32"/>
          <w:highlight w:val="none"/>
          <w:lang w:val="en-US" w:eastAsia="zh-CN"/>
        </w:rPr>
        <w:t>农科院</w:t>
      </w:r>
      <w:r>
        <w:rPr>
          <w:rFonts w:hint="default" w:ascii="Times New Roman" w:hAnsi="Times New Roman" w:eastAsia="仿宋_GB2312" w:cs="Times New Roman"/>
          <w:b w:val="0"/>
          <w:bCs/>
          <w:sz w:val="32"/>
          <w:szCs w:val="32"/>
          <w:highlight w:val="none"/>
          <w:lang w:val="en-US" w:eastAsia="zh-CN"/>
        </w:rPr>
        <w:t>办公家具账面原值为</w:t>
      </w:r>
      <w:r>
        <w:rPr>
          <w:rFonts w:hint="eastAsia" w:eastAsia="仿宋_GB2312" w:cs="Times New Roman"/>
          <w:b w:val="0"/>
          <w:bCs/>
          <w:sz w:val="32"/>
          <w:szCs w:val="32"/>
          <w:highlight w:val="none"/>
          <w:lang w:val="en-US" w:eastAsia="zh-CN"/>
        </w:rPr>
        <w:t>118.63</w:t>
      </w:r>
      <w:r>
        <w:rPr>
          <w:rFonts w:hint="default" w:ascii="Times New Roman" w:hAnsi="Times New Roman" w:eastAsia="仿宋_GB2312" w:cs="Times New Roman"/>
          <w:b w:val="0"/>
          <w:bCs/>
          <w:sz w:val="32"/>
          <w:szCs w:val="32"/>
          <w:highlight w:val="none"/>
          <w:lang w:val="en-US" w:eastAsia="zh-CN"/>
        </w:rPr>
        <w:t>万元，超最低使用年限的办公家具账面原值为</w:t>
      </w:r>
      <w:r>
        <w:rPr>
          <w:rFonts w:hint="eastAsia" w:eastAsia="仿宋_GB2312" w:cs="Times New Roman"/>
          <w:b w:val="0"/>
          <w:bCs/>
          <w:sz w:val="32"/>
          <w:szCs w:val="32"/>
          <w:highlight w:val="none"/>
          <w:lang w:val="en-US" w:eastAsia="zh-CN"/>
        </w:rPr>
        <w:t>14.20</w:t>
      </w:r>
      <w:r>
        <w:rPr>
          <w:rFonts w:hint="default" w:ascii="Times New Roman" w:hAnsi="Times New Roman" w:eastAsia="仿宋_GB2312" w:cs="Times New Roman"/>
          <w:b w:val="0"/>
          <w:bCs/>
          <w:sz w:val="32"/>
          <w:szCs w:val="32"/>
          <w:highlight w:val="none"/>
          <w:lang w:val="en-US" w:eastAsia="zh-CN"/>
        </w:rPr>
        <w:t>万元，部门办公家具超最低使用年限资产利用率为</w:t>
      </w:r>
      <w:r>
        <w:rPr>
          <w:rFonts w:hint="eastAsia" w:eastAsia="仿宋_GB2312" w:cs="Times New Roman"/>
          <w:b w:val="0"/>
          <w:bCs/>
          <w:sz w:val="32"/>
          <w:szCs w:val="32"/>
          <w:highlight w:val="none"/>
          <w:lang w:val="en-US" w:eastAsia="zh-CN"/>
        </w:rPr>
        <w:t>11.97</w:t>
      </w:r>
      <w:r>
        <w:rPr>
          <w:rFonts w:hint="default" w:ascii="Times New Roman" w:hAnsi="Times New Roman" w:eastAsia="仿宋_GB2312" w:cs="Times New Roman"/>
          <w:b w:val="0"/>
          <w:bCs/>
          <w:sz w:val="32"/>
          <w:szCs w:val="32"/>
          <w:highlight w:val="none"/>
          <w:lang w:val="en-US" w:eastAsia="zh-CN"/>
        </w:rPr>
        <w:t>%；2025年省直行政事业单位办公家具资产利用率平均值为12.93%。</w:t>
      </w:r>
    </w:p>
    <w:p w14:paraId="5A503B84">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2025年末</w:t>
      </w:r>
      <w:r>
        <w:rPr>
          <w:rFonts w:hint="eastAsia" w:eastAsia="仿宋_GB2312" w:cs="Times New Roman"/>
          <w:b w:val="0"/>
          <w:bCs/>
          <w:sz w:val="32"/>
          <w:szCs w:val="32"/>
          <w:highlight w:val="none"/>
          <w:lang w:val="en-US" w:eastAsia="zh-CN"/>
        </w:rPr>
        <w:t>，农科院</w:t>
      </w:r>
      <w:r>
        <w:rPr>
          <w:rFonts w:hint="default" w:ascii="Times New Roman" w:hAnsi="Times New Roman" w:eastAsia="仿宋_GB2312" w:cs="Times New Roman"/>
          <w:b w:val="0"/>
          <w:bCs/>
          <w:sz w:val="32"/>
          <w:szCs w:val="32"/>
          <w:highlight w:val="none"/>
          <w:lang w:val="en-US" w:eastAsia="zh-CN"/>
        </w:rPr>
        <w:t>办公设备账面原值为</w:t>
      </w:r>
      <w:r>
        <w:rPr>
          <w:rFonts w:hint="eastAsia" w:eastAsia="仿宋_GB2312" w:cs="Times New Roman"/>
          <w:b w:val="0"/>
          <w:bCs/>
          <w:sz w:val="32"/>
          <w:szCs w:val="32"/>
          <w:highlight w:val="none"/>
          <w:lang w:val="en-US" w:eastAsia="zh-CN"/>
        </w:rPr>
        <w:t>391.80</w:t>
      </w:r>
      <w:r>
        <w:rPr>
          <w:rFonts w:hint="default" w:ascii="Times New Roman" w:hAnsi="Times New Roman" w:eastAsia="仿宋_GB2312" w:cs="Times New Roman"/>
          <w:b w:val="0"/>
          <w:bCs/>
          <w:sz w:val="32"/>
          <w:szCs w:val="32"/>
          <w:highlight w:val="none"/>
          <w:lang w:val="en-US" w:eastAsia="zh-CN"/>
        </w:rPr>
        <w:t>万元，超最低使用年限的办公设备账面原值为</w:t>
      </w:r>
      <w:r>
        <w:rPr>
          <w:rFonts w:hint="eastAsia" w:eastAsia="仿宋_GB2312" w:cs="Times New Roman"/>
          <w:b w:val="0"/>
          <w:bCs/>
          <w:sz w:val="32"/>
          <w:szCs w:val="32"/>
          <w:highlight w:val="none"/>
          <w:lang w:val="en-US" w:eastAsia="zh-CN"/>
        </w:rPr>
        <w:t>91.40</w:t>
      </w:r>
      <w:r>
        <w:rPr>
          <w:rFonts w:hint="default" w:ascii="Times New Roman" w:hAnsi="Times New Roman" w:eastAsia="仿宋_GB2312" w:cs="Times New Roman"/>
          <w:b w:val="0"/>
          <w:bCs/>
          <w:sz w:val="32"/>
          <w:szCs w:val="32"/>
          <w:highlight w:val="none"/>
          <w:lang w:val="en-US" w:eastAsia="zh-CN"/>
        </w:rPr>
        <w:t>万元，部门办公设备超最低使用年限资产利用率为</w:t>
      </w:r>
      <w:r>
        <w:rPr>
          <w:rFonts w:hint="eastAsia" w:eastAsia="仿宋_GB2312" w:cs="Times New Roman"/>
          <w:b w:val="0"/>
          <w:bCs/>
          <w:sz w:val="32"/>
          <w:szCs w:val="32"/>
          <w:highlight w:val="none"/>
          <w:lang w:val="en-US" w:eastAsia="zh-CN"/>
        </w:rPr>
        <w:t>23.33</w:t>
      </w:r>
      <w:r>
        <w:rPr>
          <w:rFonts w:hint="default" w:ascii="Times New Roman" w:hAnsi="Times New Roman" w:eastAsia="仿宋_GB2312" w:cs="Times New Roman"/>
          <w:b w:val="0"/>
          <w:bCs/>
          <w:sz w:val="32"/>
          <w:szCs w:val="32"/>
          <w:highlight w:val="none"/>
          <w:lang w:val="en-US" w:eastAsia="zh-CN"/>
        </w:rPr>
        <w:t>%；2025</w:t>
      </w:r>
      <w:r>
        <w:rPr>
          <w:rFonts w:hint="eastAsia" w:eastAsia="仿宋_GB2312" w:cs="Times New Roman"/>
          <w:b w:val="0"/>
          <w:bCs/>
          <w:sz w:val="32"/>
          <w:szCs w:val="32"/>
          <w:highlight w:val="none"/>
          <w:lang w:val="en-US" w:eastAsia="zh-CN"/>
        </w:rPr>
        <w:t>年省直行政事业单位</w:t>
      </w:r>
      <w:r>
        <w:rPr>
          <w:rFonts w:hint="default" w:ascii="Times New Roman" w:hAnsi="Times New Roman" w:eastAsia="仿宋_GB2312" w:cs="Times New Roman"/>
          <w:b w:val="0"/>
          <w:bCs/>
          <w:sz w:val="32"/>
          <w:szCs w:val="32"/>
          <w:highlight w:val="none"/>
          <w:lang w:val="en-US" w:eastAsia="zh-CN"/>
        </w:rPr>
        <w:t>办公设备资产利用率平均值为53.14%。</w:t>
      </w:r>
    </w:p>
    <w:p w14:paraId="19D79BC7">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综上，根据评分标准，该指标扣</w:t>
      </w:r>
      <w:r>
        <w:rPr>
          <w:rFonts w:hint="eastAsia" w:eastAsia="仿宋_GB2312" w:cs="Times New Roman"/>
          <w:b w:val="0"/>
          <w:bCs/>
          <w:sz w:val="32"/>
          <w:szCs w:val="32"/>
          <w:highlight w:val="none"/>
          <w:lang w:val="en-US" w:eastAsia="zh-CN"/>
        </w:rPr>
        <w:t>1.8</w:t>
      </w:r>
      <w:r>
        <w:rPr>
          <w:rFonts w:hint="default" w:ascii="Times New Roman" w:hAnsi="Times New Roman" w:eastAsia="仿宋_GB2312" w:cs="Times New Roman"/>
          <w:b w:val="0"/>
          <w:bCs/>
          <w:sz w:val="32"/>
          <w:szCs w:val="32"/>
          <w:highlight w:val="none"/>
          <w:lang w:val="en-US" w:eastAsia="zh-CN"/>
        </w:rPr>
        <w:t>分，得</w:t>
      </w:r>
      <w:r>
        <w:rPr>
          <w:rFonts w:hint="eastAsia" w:eastAsia="仿宋_GB2312" w:cs="Times New Roman"/>
          <w:b w:val="0"/>
          <w:bCs/>
          <w:sz w:val="32"/>
          <w:szCs w:val="32"/>
          <w:highlight w:val="none"/>
          <w:lang w:val="en-US" w:eastAsia="zh-CN"/>
        </w:rPr>
        <w:t>1.2</w:t>
      </w:r>
      <w:r>
        <w:rPr>
          <w:rFonts w:hint="default" w:ascii="Times New Roman" w:hAnsi="Times New Roman" w:eastAsia="仿宋_GB2312" w:cs="Times New Roman"/>
          <w:b w:val="0"/>
          <w:bCs/>
          <w:sz w:val="32"/>
          <w:szCs w:val="32"/>
          <w:highlight w:val="none"/>
          <w:lang w:val="en-US" w:eastAsia="zh-CN"/>
        </w:rPr>
        <w:t>分。</w:t>
      </w:r>
    </w:p>
    <w:p w14:paraId="3F5F90EE">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（3）资产盘活率</w:t>
      </w:r>
    </w:p>
    <w:p w14:paraId="00C62F87">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截至2025年末，</w:t>
      </w:r>
      <w:r>
        <w:rPr>
          <w:rFonts w:hint="eastAsia" w:eastAsia="仿宋_GB2312" w:cs="Times New Roman"/>
          <w:b w:val="0"/>
          <w:bCs/>
          <w:sz w:val="32"/>
          <w:szCs w:val="32"/>
          <w:highlight w:val="none"/>
          <w:lang w:val="en-US" w:eastAsia="zh-CN"/>
        </w:rPr>
        <w:t>农科院</w:t>
      </w:r>
      <w:r>
        <w:rPr>
          <w:rFonts w:hint="default" w:ascii="Times New Roman" w:hAnsi="Times New Roman" w:eastAsia="仿宋_GB2312" w:cs="Times New Roman"/>
          <w:b w:val="0"/>
          <w:bCs/>
          <w:sz w:val="32"/>
          <w:szCs w:val="32"/>
          <w:highlight w:val="none"/>
          <w:lang w:val="en-US" w:eastAsia="zh-CN"/>
        </w:rPr>
        <w:t>闲置资产账面价值为0。</w:t>
      </w:r>
    </w:p>
    <w:p w14:paraId="2DDAF719">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综上，根据评分标准，该指标不扣分，得3分。</w:t>
      </w:r>
    </w:p>
    <w:p w14:paraId="2CE7711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方正仿宋_GB2312" w:cs="Times New Roman"/>
          <w:b/>
          <w:bCs/>
          <w:color w:val="000000"/>
          <w:kern w:val="0"/>
          <w:sz w:val="32"/>
          <w:szCs w:val="32"/>
          <w:highlight w:val="none"/>
          <w:shd w:val="clear" w:color="auto" w:fill="FFFFFF"/>
          <w:lang w:val="zh-CN" w:eastAsia="zh-CN"/>
        </w:rPr>
      </w:pPr>
      <w:r>
        <w:rPr>
          <w:rFonts w:hint="default" w:ascii="Times New Roman" w:hAnsi="Times New Roman" w:eastAsia="方正仿宋_GB2312" w:cs="Times New Roman"/>
          <w:b/>
          <w:bCs/>
          <w:color w:val="000000"/>
          <w:kern w:val="0"/>
          <w:sz w:val="32"/>
          <w:szCs w:val="32"/>
          <w:highlight w:val="none"/>
          <w:shd w:val="clear" w:color="auto" w:fill="FFFFFF"/>
          <w:lang w:val="en-US" w:eastAsia="zh-CN"/>
        </w:rPr>
        <w:t>5.</w:t>
      </w:r>
      <w:r>
        <w:rPr>
          <w:rFonts w:hint="default" w:ascii="Times New Roman" w:hAnsi="Times New Roman" w:eastAsia="方正仿宋_GB2312" w:cs="Times New Roman"/>
          <w:b/>
          <w:bCs/>
          <w:color w:val="000000"/>
          <w:kern w:val="0"/>
          <w:sz w:val="32"/>
          <w:szCs w:val="32"/>
          <w:highlight w:val="none"/>
          <w:shd w:val="clear" w:color="auto" w:fill="FFFFFF"/>
          <w:lang w:val="zh-CN" w:eastAsia="zh-CN"/>
        </w:rPr>
        <w:t>采购管理</w:t>
      </w:r>
    </w:p>
    <w:p w14:paraId="6E60D2CF">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1</w:t>
      </w: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支持中小企业发展</w:t>
      </w:r>
    </w:p>
    <w:p w14:paraId="6A6E5ADF">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zh-CN" w:eastAsia="zh-CN"/>
        </w:rPr>
      </w:pPr>
      <w:r>
        <w:rPr>
          <w:rFonts w:hint="eastAsia" w:eastAsia="仿宋_GB2312" w:cs="Times New Roman"/>
          <w:b w:val="0"/>
          <w:bCs/>
          <w:sz w:val="32"/>
          <w:szCs w:val="32"/>
          <w:highlight w:val="none"/>
          <w:lang w:val="en-US" w:eastAsia="zh-CN"/>
        </w:rPr>
        <w:t>农科院</w:t>
      </w:r>
      <w:r>
        <w:rPr>
          <w:rFonts w:hint="default" w:ascii="Times New Roman" w:hAnsi="Times New Roman" w:eastAsia="仿宋_GB2312" w:cs="Times New Roman"/>
          <w:b w:val="0"/>
          <w:bCs/>
          <w:sz w:val="32"/>
          <w:szCs w:val="32"/>
          <w:highlight w:val="none"/>
          <w:lang w:val="en-US" w:eastAsia="zh-CN"/>
        </w:rPr>
        <w:t>已预留采购份额专门面向中小企业采购，并在采购预算中单独列示。</w:t>
      </w:r>
    </w:p>
    <w:p w14:paraId="5DB5E5E5">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综上，根据评分标准，该指标不扣分，得3分。</w:t>
      </w:r>
    </w:p>
    <w:p w14:paraId="0BC51985">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（2）采购执行率</w:t>
      </w:r>
    </w:p>
    <w:p w14:paraId="207001EE">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eastAsia" w:eastAsia="仿宋_GB2312" w:cs="Times New Roman"/>
          <w:b w:val="0"/>
          <w:bCs/>
          <w:sz w:val="32"/>
          <w:szCs w:val="32"/>
          <w:highlight w:val="none"/>
          <w:lang w:val="en-US" w:eastAsia="zh-CN"/>
        </w:rPr>
        <w:t>农科院</w:t>
      </w:r>
      <w:r>
        <w:rPr>
          <w:rFonts w:hint="default" w:ascii="Times New Roman" w:hAnsi="Times New Roman" w:eastAsia="仿宋_GB2312" w:cs="Times New Roman"/>
          <w:b w:val="0"/>
          <w:bCs/>
          <w:sz w:val="32"/>
          <w:szCs w:val="32"/>
          <w:highlight w:val="none"/>
          <w:lang w:val="en-US" w:eastAsia="zh-CN"/>
        </w:rPr>
        <w:t>当年政府采购实际支付总金额为113.87万元，当年政府采购总预算数为114.79</w:t>
      </w:r>
      <w:r>
        <w:rPr>
          <w:rFonts w:hint="default" w:ascii="Times New Roman" w:hAnsi="Times New Roman" w:eastAsia="仿宋_GB2312" w:cs="Times New Roman"/>
          <w:b w:val="0"/>
          <w:bCs/>
          <w:sz w:val="32"/>
          <w:szCs w:val="32"/>
          <w:highlight w:val="none"/>
          <w:lang w:val="zh-CN" w:eastAsia="zh-CN"/>
        </w:rPr>
        <w:t>万元</w:t>
      </w:r>
      <w:r>
        <w:rPr>
          <w:rFonts w:hint="default" w:ascii="Times New Roman" w:hAnsi="Times New Roman" w:eastAsia="仿宋_GB2312" w:cs="Times New Roman"/>
          <w:b w:val="0"/>
          <w:bCs/>
          <w:sz w:val="32"/>
          <w:szCs w:val="32"/>
          <w:highlight w:val="none"/>
          <w:lang w:val="en-US" w:eastAsia="zh-CN"/>
        </w:rPr>
        <w:t>，当年已完成采购项目节约金额为</w:t>
      </w:r>
      <w:r>
        <w:rPr>
          <w:rFonts w:hint="eastAsia" w:eastAsia="仿宋_GB2312" w:cs="Times New Roman"/>
          <w:b w:val="0"/>
          <w:bCs/>
          <w:sz w:val="32"/>
          <w:szCs w:val="32"/>
          <w:highlight w:val="none"/>
          <w:lang w:val="en-US" w:eastAsia="zh-CN"/>
        </w:rPr>
        <w:t>0</w:t>
      </w:r>
      <w:r>
        <w:rPr>
          <w:rFonts w:hint="default" w:ascii="Times New Roman" w:hAnsi="Times New Roman" w:eastAsia="仿宋_GB2312" w:cs="Times New Roman"/>
          <w:b w:val="0"/>
          <w:bCs/>
          <w:sz w:val="32"/>
          <w:szCs w:val="32"/>
          <w:highlight w:val="none"/>
          <w:lang w:val="en-US" w:eastAsia="zh-CN"/>
        </w:rPr>
        <w:t>万元。</w:t>
      </w:r>
    </w:p>
    <w:p w14:paraId="27A61FD7">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综上，根据评分标准，该指标扣</w:t>
      </w:r>
      <w:r>
        <w:rPr>
          <w:rFonts w:hint="eastAsia" w:ascii="Times New Roman" w:hAnsi="Times New Roman" w:eastAsia="仿宋_GB2312" w:cs="Times New Roman"/>
          <w:b w:val="0"/>
          <w:bCs/>
          <w:sz w:val="32"/>
          <w:szCs w:val="32"/>
          <w:highlight w:val="none"/>
          <w:lang w:val="en-US" w:eastAsia="zh-CN"/>
        </w:rPr>
        <w:t>0.0</w:t>
      </w:r>
      <w:r>
        <w:rPr>
          <w:rFonts w:hint="eastAsia" w:eastAsia="仿宋_GB2312" w:cs="Times New Roman"/>
          <w:b w:val="0"/>
          <w:bCs/>
          <w:sz w:val="32"/>
          <w:szCs w:val="32"/>
          <w:highlight w:val="none"/>
          <w:lang w:val="en-US" w:eastAsia="zh-CN"/>
        </w:rPr>
        <w:t>3</w:t>
      </w:r>
      <w:r>
        <w:rPr>
          <w:rFonts w:hint="default" w:ascii="Times New Roman" w:hAnsi="Times New Roman" w:eastAsia="仿宋_GB2312" w:cs="Times New Roman"/>
          <w:b w:val="0"/>
          <w:bCs/>
          <w:sz w:val="32"/>
          <w:szCs w:val="32"/>
          <w:highlight w:val="none"/>
          <w:lang w:val="en-US" w:eastAsia="zh-CN"/>
        </w:rPr>
        <w:t>分，得</w:t>
      </w:r>
      <w:r>
        <w:rPr>
          <w:rFonts w:hint="eastAsia" w:eastAsia="仿宋_GB2312" w:cs="Times New Roman"/>
          <w:b w:val="0"/>
          <w:bCs/>
          <w:sz w:val="32"/>
          <w:szCs w:val="32"/>
          <w:highlight w:val="none"/>
          <w:lang w:val="en-US" w:eastAsia="zh-CN"/>
        </w:rPr>
        <w:t>2.97</w:t>
      </w:r>
      <w:r>
        <w:rPr>
          <w:rFonts w:hint="default" w:ascii="Times New Roman" w:hAnsi="Times New Roman" w:eastAsia="仿宋_GB2312" w:cs="Times New Roman"/>
          <w:b w:val="0"/>
          <w:bCs/>
          <w:sz w:val="32"/>
          <w:szCs w:val="32"/>
          <w:highlight w:val="none"/>
          <w:lang w:val="en-US" w:eastAsia="zh-CN"/>
        </w:rPr>
        <w:t>分。</w:t>
      </w:r>
    </w:p>
    <w:p w14:paraId="1596103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1"/>
        <w:rPr>
          <w:rFonts w:hint="default" w:ascii="Times New Roman" w:hAnsi="Times New Roman" w:eastAsia="楷体_GB2312" w:cs="Times New Roman"/>
          <w:b w:val="0"/>
          <w:bCs w:val="0"/>
          <w:color w:val="000000"/>
          <w:kern w:val="0"/>
          <w:sz w:val="32"/>
          <w:szCs w:val="32"/>
          <w:highlight w:val="none"/>
          <w:shd w:val="clear" w:color="auto" w:fill="FFFFFF"/>
          <w:lang w:val="en-US" w:eastAsia="zh-CN"/>
        </w:rPr>
      </w:pPr>
      <w:bookmarkStart w:id="102" w:name="_Toc22309"/>
      <w:bookmarkStart w:id="103" w:name="_Toc14180"/>
      <w:r>
        <w:rPr>
          <w:rFonts w:hint="default" w:ascii="Times New Roman" w:hAnsi="Times New Roman" w:eastAsia="楷体_GB2312" w:cs="Times New Roman"/>
          <w:b w:val="0"/>
          <w:bCs w:val="0"/>
          <w:color w:val="000000"/>
          <w:kern w:val="0"/>
          <w:sz w:val="32"/>
          <w:szCs w:val="32"/>
          <w:highlight w:val="none"/>
          <w:shd w:val="clear" w:color="auto" w:fill="FFFFFF"/>
          <w:lang w:val="zh-CN"/>
        </w:rPr>
        <w:t>（二）部门预算项目绩效分析</w:t>
      </w:r>
      <w:bookmarkEnd w:id="102"/>
      <w:bookmarkEnd w:id="103"/>
    </w:p>
    <w:p w14:paraId="4DC4D9B3">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常年项目绩效分析。</w:t>
      </w:r>
      <w:r>
        <w:rPr>
          <w:rFonts w:hint="default" w:ascii="Times New Roman" w:hAnsi="Times New Roman" w:eastAsia="仿宋_GB2312" w:cs="Times New Roman"/>
          <w:b w:val="0"/>
          <w:bCs/>
          <w:sz w:val="32"/>
          <w:szCs w:val="32"/>
          <w:highlight w:val="none"/>
          <w:lang w:val="zh-CN" w:eastAsia="zh-CN"/>
        </w:rPr>
        <w:t>该类项目总数</w:t>
      </w:r>
      <w:r>
        <w:rPr>
          <w:rFonts w:hint="eastAsia" w:eastAsia="仿宋_GB2312" w:cs="Times New Roman"/>
          <w:b w:val="0"/>
          <w:bCs/>
          <w:sz w:val="32"/>
          <w:szCs w:val="32"/>
          <w:highlight w:val="none"/>
          <w:lang w:val="en-US" w:eastAsia="zh-CN"/>
        </w:rPr>
        <w:t>26</w:t>
      </w:r>
      <w:r>
        <w:rPr>
          <w:rFonts w:hint="default" w:ascii="Times New Roman" w:hAnsi="Times New Roman" w:eastAsia="仿宋_GB2312" w:cs="Times New Roman"/>
          <w:b w:val="0"/>
          <w:bCs/>
          <w:sz w:val="32"/>
          <w:szCs w:val="32"/>
          <w:highlight w:val="none"/>
          <w:lang w:val="zh-CN" w:eastAsia="zh-CN"/>
        </w:rPr>
        <w:t>个，涉及预算总金额</w:t>
      </w:r>
      <w:r>
        <w:rPr>
          <w:rFonts w:hint="default" w:ascii="Times New Roman" w:hAnsi="Times New Roman" w:eastAsia="仿宋_GB2312" w:cs="Times New Roman"/>
          <w:b w:val="0"/>
          <w:bCs/>
          <w:sz w:val="32"/>
          <w:szCs w:val="32"/>
          <w:highlight w:val="none"/>
          <w:lang w:val="en-US" w:eastAsia="zh-CN"/>
        </w:rPr>
        <w:t>337.71</w:t>
      </w:r>
      <w:r>
        <w:rPr>
          <w:rFonts w:hint="default" w:ascii="Times New Roman" w:hAnsi="Times New Roman" w:eastAsia="仿宋_GB2312" w:cs="Times New Roman"/>
          <w:b w:val="0"/>
          <w:bCs/>
          <w:sz w:val="32"/>
          <w:szCs w:val="32"/>
          <w:highlight w:val="none"/>
          <w:lang w:val="zh-CN" w:eastAsia="zh-CN"/>
        </w:rPr>
        <w:t>万元，1—1</w:t>
      </w:r>
      <w:r>
        <w:rPr>
          <w:rFonts w:hint="default" w:ascii="Times New Roman" w:hAnsi="Times New Roman" w:eastAsia="仿宋_GB2312" w:cs="Times New Roman"/>
          <w:b w:val="0"/>
          <w:bCs/>
          <w:sz w:val="32"/>
          <w:szCs w:val="32"/>
          <w:highlight w:val="none"/>
          <w:lang w:val="en-US" w:eastAsia="zh-CN"/>
        </w:rPr>
        <w:t>2</w:t>
      </w:r>
      <w:r>
        <w:rPr>
          <w:rFonts w:hint="default" w:ascii="Times New Roman" w:hAnsi="Times New Roman" w:eastAsia="仿宋_GB2312" w:cs="Times New Roman"/>
          <w:b w:val="0"/>
          <w:bCs/>
          <w:sz w:val="32"/>
          <w:szCs w:val="32"/>
          <w:highlight w:val="none"/>
          <w:lang w:val="zh-CN" w:eastAsia="zh-CN"/>
        </w:rPr>
        <w:t>月预算执行总体进度为</w:t>
      </w:r>
      <w:r>
        <w:rPr>
          <w:rFonts w:hint="eastAsia" w:eastAsia="仿宋_GB2312" w:cs="Times New Roman"/>
          <w:b w:val="0"/>
          <w:bCs/>
          <w:sz w:val="32"/>
          <w:szCs w:val="32"/>
          <w:highlight w:val="none"/>
          <w:lang w:val="en-US" w:eastAsia="zh-CN"/>
        </w:rPr>
        <w:t>91.13</w:t>
      </w:r>
      <w:r>
        <w:rPr>
          <w:rFonts w:hint="default" w:ascii="Times New Roman" w:hAnsi="Times New Roman" w:eastAsia="仿宋_GB2312" w:cs="Times New Roman"/>
          <w:b w:val="0"/>
          <w:bCs/>
          <w:sz w:val="32"/>
          <w:szCs w:val="32"/>
          <w:highlight w:val="none"/>
          <w:lang w:val="zh-CN" w:eastAsia="zh-CN"/>
        </w:rPr>
        <w:t>%，其中：预算结余率大于</w:t>
      </w:r>
      <w:r>
        <w:rPr>
          <w:rFonts w:hint="default" w:ascii="Times New Roman" w:hAnsi="Times New Roman" w:eastAsia="仿宋_GB2312" w:cs="Times New Roman"/>
          <w:b w:val="0"/>
          <w:bCs/>
          <w:sz w:val="32"/>
          <w:szCs w:val="32"/>
          <w:highlight w:val="none"/>
          <w:lang w:val="en-US" w:eastAsia="zh-CN"/>
        </w:rPr>
        <w:t>10%</w:t>
      </w:r>
      <w:r>
        <w:rPr>
          <w:rFonts w:hint="default" w:ascii="Times New Roman" w:hAnsi="Times New Roman" w:eastAsia="仿宋_GB2312" w:cs="Times New Roman"/>
          <w:b w:val="0"/>
          <w:bCs/>
          <w:sz w:val="32"/>
          <w:szCs w:val="32"/>
          <w:highlight w:val="none"/>
          <w:lang w:val="zh-CN" w:eastAsia="zh-CN"/>
        </w:rPr>
        <w:t>的项目共计</w:t>
      </w:r>
      <w:r>
        <w:rPr>
          <w:rFonts w:hint="eastAsia" w:eastAsia="仿宋_GB2312" w:cs="Times New Roman"/>
          <w:b w:val="0"/>
          <w:bCs/>
          <w:sz w:val="32"/>
          <w:szCs w:val="32"/>
          <w:highlight w:val="none"/>
          <w:lang w:val="en-US" w:eastAsia="zh-CN"/>
        </w:rPr>
        <w:t>3</w:t>
      </w:r>
      <w:r>
        <w:rPr>
          <w:rFonts w:hint="default" w:ascii="Times New Roman" w:hAnsi="Times New Roman" w:eastAsia="仿宋_GB2312" w:cs="Times New Roman"/>
          <w:b w:val="0"/>
          <w:bCs/>
          <w:sz w:val="32"/>
          <w:szCs w:val="32"/>
          <w:highlight w:val="none"/>
          <w:lang w:val="zh-CN" w:eastAsia="zh-CN"/>
        </w:rPr>
        <w:t>个。</w:t>
      </w:r>
    </w:p>
    <w:p w14:paraId="173F6BC8">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zh-CN" w:eastAsia="zh-CN"/>
        </w:rPr>
      </w:pPr>
      <w:r>
        <w:rPr>
          <w:rFonts w:hint="default" w:ascii="Times New Roman" w:hAnsi="Times New Roman" w:eastAsia="仿宋_GB2312" w:cs="Times New Roman"/>
          <w:b w:val="0"/>
          <w:bCs/>
          <w:sz w:val="32"/>
          <w:szCs w:val="32"/>
          <w:highlight w:val="none"/>
          <w:lang w:val="en-US" w:eastAsia="zh-CN"/>
        </w:rPr>
        <w:t>阶段（一次性）项目绩效分析。</w:t>
      </w:r>
      <w:r>
        <w:rPr>
          <w:rFonts w:hint="default" w:ascii="Times New Roman" w:hAnsi="Times New Roman" w:eastAsia="仿宋_GB2312" w:cs="Times New Roman"/>
          <w:b w:val="0"/>
          <w:bCs/>
          <w:sz w:val="32"/>
          <w:szCs w:val="32"/>
          <w:highlight w:val="none"/>
          <w:lang w:val="zh-CN" w:eastAsia="zh-CN"/>
        </w:rPr>
        <w:t>该类项目总数</w:t>
      </w:r>
      <w:r>
        <w:rPr>
          <w:rFonts w:hint="eastAsia" w:eastAsia="仿宋_GB2312" w:cs="Times New Roman"/>
          <w:b w:val="0"/>
          <w:bCs/>
          <w:sz w:val="32"/>
          <w:szCs w:val="32"/>
          <w:highlight w:val="none"/>
          <w:lang w:val="en-US" w:eastAsia="zh-CN"/>
        </w:rPr>
        <w:t>28</w:t>
      </w:r>
      <w:r>
        <w:rPr>
          <w:rFonts w:hint="default" w:ascii="Times New Roman" w:hAnsi="Times New Roman" w:eastAsia="仿宋_GB2312" w:cs="Times New Roman"/>
          <w:b w:val="0"/>
          <w:bCs/>
          <w:sz w:val="32"/>
          <w:szCs w:val="32"/>
          <w:highlight w:val="none"/>
          <w:lang w:val="zh-CN" w:eastAsia="zh-CN"/>
        </w:rPr>
        <w:t>个，涉及预算总金额</w:t>
      </w:r>
      <w:r>
        <w:rPr>
          <w:rFonts w:hint="default" w:ascii="Times New Roman" w:hAnsi="Times New Roman" w:eastAsia="仿宋_GB2312" w:cs="Times New Roman"/>
          <w:b w:val="0"/>
          <w:bCs/>
          <w:sz w:val="32"/>
          <w:szCs w:val="32"/>
          <w:highlight w:val="none"/>
          <w:lang w:val="en-US" w:eastAsia="zh-CN"/>
        </w:rPr>
        <w:t>283.55</w:t>
      </w:r>
      <w:r>
        <w:rPr>
          <w:rFonts w:hint="default" w:ascii="Times New Roman" w:hAnsi="Times New Roman" w:eastAsia="仿宋_GB2312" w:cs="Times New Roman"/>
          <w:b w:val="0"/>
          <w:bCs/>
          <w:sz w:val="32"/>
          <w:szCs w:val="32"/>
          <w:highlight w:val="none"/>
          <w:lang w:val="zh-CN" w:eastAsia="zh-CN"/>
        </w:rPr>
        <w:t>万元，1—1</w:t>
      </w:r>
      <w:r>
        <w:rPr>
          <w:rFonts w:hint="default" w:ascii="Times New Roman" w:hAnsi="Times New Roman" w:eastAsia="仿宋_GB2312" w:cs="Times New Roman"/>
          <w:b w:val="0"/>
          <w:bCs/>
          <w:sz w:val="32"/>
          <w:szCs w:val="32"/>
          <w:highlight w:val="none"/>
          <w:lang w:val="en-US" w:eastAsia="zh-CN"/>
        </w:rPr>
        <w:t>2</w:t>
      </w:r>
      <w:r>
        <w:rPr>
          <w:rFonts w:hint="default" w:ascii="Times New Roman" w:hAnsi="Times New Roman" w:eastAsia="仿宋_GB2312" w:cs="Times New Roman"/>
          <w:b w:val="0"/>
          <w:bCs/>
          <w:sz w:val="32"/>
          <w:szCs w:val="32"/>
          <w:highlight w:val="none"/>
          <w:lang w:val="zh-CN" w:eastAsia="zh-CN"/>
        </w:rPr>
        <w:t>月预算执行总体进度为</w:t>
      </w:r>
      <w:r>
        <w:rPr>
          <w:rFonts w:hint="eastAsia" w:eastAsia="仿宋_GB2312" w:cs="Times New Roman"/>
          <w:b w:val="0"/>
          <w:bCs/>
          <w:sz w:val="32"/>
          <w:szCs w:val="32"/>
          <w:highlight w:val="none"/>
          <w:lang w:val="en-US" w:eastAsia="zh-CN"/>
        </w:rPr>
        <w:t>70.24</w:t>
      </w:r>
      <w:r>
        <w:rPr>
          <w:rFonts w:hint="default" w:ascii="Times New Roman" w:hAnsi="Times New Roman" w:eastAsia="仿宋_GB2312" w:cs="Times New Roman"/>
          <w:b w:val="0"/>
          <w:bCs/>
          <w:sz w:val="32"/>
          <w:szCs w:val="32"/>
          <w:highlight w:val="none"/>
          <w:lang w:val="zh-CN" w:eastAsia="zh-CN"/>
        </w:rPr>
        <w:t>%，其中：预算结余率大于</w:t>
      </w:r>
      <w:r>
        <w:rPr>
          <w:rFonts w:hint="default" w:ascii="Times New Roman" w:hAnsi="Times New Roman" w:eastAsia="仿宋_GB2312" w:cs="Times New Roman"/>
          <w:b w:val="0"/>
          <w:bCs/>
          <w:sz w:val="32"/>
          <w:szCs w:val="32"/>
          <w:highlight w:val="none"/>
          <w:lang w:val="en-US" w:eastAsia="zh-CN"/>
        </w:rPr>
        <w:t>10%</w:t>
      </w:r>
      <w:r>
        <w:rPr>
          <w:rFonts w:hint="default" w:ascii="Times New Roman" w:hAnsi="Times New Roman" w:eastAsia="仿宋_GB2312" w:cs="Times New Roman"/>
          <w:b w:val="0"/>
          <w:bCs/>
          <w:sz w:val="32"/>
          <w:szCs w:val="32"/>
          <w:highlight w:val="none"/>
          <w:lang w:val="zh-CN" w:eastAsia="zh-CN"/>
        </w:rPr>
        <w:t>的项目共计</w:t>
      </w:r>
      <w:r>
        <w:rPr>
          <w:rFonts w:hint="eastAsia" w:eastAsia="仿宋_GB2312" w:cs="Times New Roman"/>
          <w:b w:val="0"/>
          <w:bCs/>
          <w:sz w:val="32"/>
          <w:szCs w:val="32"/>
          <w:highlight w:val="none"/>
          <w:lang w:val="en-US" w:eastAsia="zh-CN"/>
        </w:rPr>
        <w:t>6</w:t>
      </w:r>
      <w:r>
        <w:rPr>
          <w:rFonts w:hint="default" w:ascii="Times New Roman" w:hAnsi="Times New Roman" w:eastAsia="仿宋_GB2312" w:cs="Times New Roman"/>
          <w:b w:val="0"/>
          <w:bCs/>
          <w:sz w:val="32"/>
          <w:szCs w:val="32"/>
          <w:highlight w:val="none"/>
          <w:lang w:val="zh-CN" w:eastAsia="zh-CN"/>
        </w:rPr>
        <w:t>个。</w:t>
      </w:r>
    </w:p>
    <w:p w14:paraId="4E86AFA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方正仿宋_GB2312" w:cs="Times New Roman"/>
          <w:b/>
          <w:bCs/>
          <w:color w:val="000000"/>
          <w:kern w:val="0"/>
          <w:sz w:val="32"/>
          <w:szCs w:val="32"/>
          <w:highlight w:val="none"/>
          <w:shd w:val="clear" w:color="auto" w:fill="FFFFFF"/>
          <w:lang w:val="zh-CN"/>
        </w:rPr>
      </w:pPr>
      <w:r>
        <w:rPr>
          <w:rFonts w:hint="default" w:ascii="Times New Roman" w:hAnsi="Times New Roman" w:eastAsia="方正仿宋_GB2312" w:cs="Times New Roman"/>
          <w:b/>
          <w:bCs/>
          <w:color w:val="000000"/>
          <w:kern w:val="0"/>
          <w:sz w:val="32"/>
          <w:szCs w:val="32"/>
          <w:highlight w:val="none"/>
          <w:shd w:val="clear" w:color="auto" w:fill="FFFFFF"/>
          <w:lang w:val="en-US" w:eastAsia="zh-CN"/>
        </w:rPr>
        <w:t>1.</w:t>
      </w:r>
      <w:r>
        <w:rPr>
          <w:rFonts w:hint="default" w:ascii="Times New Roman" w:hAnsi="Times New Roman" w:eastAsia="方正仿宋_GB2312" w:cs="Times New Roman"/>
          <w:b/>
          <w:bCs/>
          <w:color w:val="000000"/>
          <w:kern w:val="0"/>
          <w:sz w:val="32"/>
          <w:szCs w:val="32"/>
          <w:highlight w:val="none"/>
          <w:shd w:val="clear" w:color="auto" w:fill="FFFFFF"/>
          <w:lang w:val="zh-CN"/>
        </w:rPr>
        <w:t>项目决策</w:t>
      </w:r>
    </w:p>
    <w:p w14:paraId="39255A65">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1</w:t>
      </w: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决策程序</w:t>
      </w:r>
    </w:p>
    <w:p w14:paraId="72C3059B">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2025年，</w:t>
      </w:r>
      <w:r>
        <w:rPr>
          <w:rFonts w:hint="eastAsia" w:eastAsia="仿宋_GB2312" w:cs="Times New Roman"/>
          <w:b w:val="0"/>
          <w:bCs/>
          <w:sz w:val="32"/>
          <w:szCs w:val="32"/>
          <w:highlight w:val="none"/>
          <w:lang w:val="en-US" w:eastAsia="zh-CN"/>
        </w:rPr>
        <w:t>农科院</w:t>
      </w:r>
      <w:r>
        <w:rPr>
          <w:rFonts w:hint="default" w:ascii="Times New Roman" w:hAnsi="Times New Roman" w:eastAsia="仿宋_GB2312" w:cs="Times New Roman"/>
          <w:b w:val="0"/>
          <w:bCs/>
          <w:sz w:val="32"/>
          <w:szCs w:val="32"/>
          <w:highlight w:val="none"/>
          <w:lang w:val="en-US" w:eastAsia="zh-CN"/>
        </w:rPr>
        <w:t>部门预算阶段项目（含一次性项目）总数为</w:t>
      </w:r>
      <w:r>
        <w:rPr>
          <w:rFonts w:hint="eastAsia" w:eastAsia="仿宋_GB2312" w:cs="Times New Roman"/>
          <w:b w:val="0"/>
          <w:bCs/>
          <w:sz w:val="32"/>
          <w:szCs w:val="32"/>
          <w:highlight w:val="none"/>
          <w:lang w:val="en-US" w:eastAsia="zh-CN"/>
        </w:rPr>
        <w:t>52</w:t>
      </w:r>
      <w:r>
        <w:rPr>
          <w:rFonts w:hint="default" w:ascii="Times New Roman" w:hAnsi="Times New Roman" w:eastAsia="仿宋_GB2312" w:cs="Times New Roman"/>
          <w:b w:val="0"/>
          <w:bCs/>
          <w:sz w:val="32"/>
          <w:szCs w:val="32"/>
          <w:highlight w:val="none"/>
          <w:lang w:val="en-US" w:eastAsia="zh-CN"/>
        </w:rPr>
        <w:t>个，其中，按照相关规定需要进行事前评估程序的部门预算阶段项目均按要求进行了事前评估。</w:t>
      </w:r>
    </w:p>
    <w:p w14:paraId="6BAD814F">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综上，根据评分标准，该指标不扣分，得4分。</w:t>
      </w:r>
    </w:p>
    <w:p w14:paraId="4AFECB8D">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（2）目标设置</w:t>
      </w:r>
    </w:p>
    <w:p w14:paraId="6C94538F">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zh-CN" w:eastAsia="zh-CN"/>
        </w:rPr>
      </w:pPr>
      <w:r>
        <w:rPr>
          <w:rFonts w:hint="default" w:ascii="Times New Roman" w:hAnsi="Times New Roman" w:eastAsia="仿宋_GB2312" w:cs="Times New Roman"/>
          <w:b w:val="0"/>
          <w:bCs/>
          <w:sz w:val="32"/>
          <w:szCs w:val="32"/>
          <w:highlight w:val="none"/>
          <w:lang w:val="en-US" w:eastAsia="zh-CN"/>
        </w:rPr>
        <w:t>2025年，</w:t>
      </w:r>
      <w:r>
        <w:rPr>
          <w:rFonts w:hint="eastAsia" w:eastAsia="仿宋_GB2312" w:cs="Times New Roman"/>
          <w:b w:val="0"/>
          <w:bCs/>
          <w:sz w:val="32"/>
          <w:szCs w:val="32"/>
          <w:highlight w:val="none"/>
          <w:lang w:val="en-US" w:eastAsia="zh-CN"/>
        </w:rPr>
        <w:t>农科院</w:t>
      </w:r>
      <w:r>
        <w:rPr>
          <w:rFonts w:hint="default" w:ascii="Times New Roman" w:hAnsi="Times New Roman" w:eastAsia="仿宋_GB2312" w:cs="Times New Roman"/>
          <w:b w:val="0"/>
          <w:bCs/>
          <w:sz w:val="32"/>
          <w:szCs w:val="32"/>
          <w:highlight w:val="none"/>
          <w:lang w:val="en-US" w:eastAsia="zh-CN"/>
        </w:rPr>
        <w:t>部门</w:t>
      </w:r>
      <w:r>
        <w:rPr>
          <w:rFonts w:hint="default" w:ascii="Times New Roman" w:hAnsi="Times New Roman" w:eastAsia="仿宋_GB2312" w:cs="Times New Roman"/>
          <w:b w:val="0"/>
          <w:bCs/>
          <w:sz w:val="32"/>
          <w:szCs w:val="32"/>
          <w:highlight w:val="none"/>
          <w:lang w:val="zh-CN" w:eastAsia="zh-CN"/>
        </w:rPr>
        <w:t>预算阶段项目（含一次性项目）总数</w:t>
      </w:r>
      <w:r>
        <w:rPr>
          <w:rFonts w:hint="default" w:ascii="Times New Roman" w:hAnsi="Times New Roman" w:eastAsia="仿宋_GB2312" w:cs="Times New Roman"/>
          <w:b w:val="0"/>
          <w:bCs/>
          <w:sz w:val="32"/>
          <w:szCs w:val="32"/>
          <w:highlight w:val="none"/>
          <w:lang w:val="en-US" w:eastAsia="zh-CN"/>
        </w:rPr>
        <w:t>为</w:t>
      </w:r>
      <w:r>
        <w:rPr>
          <w:rFonts w:hint="eastAsia" w:eastAsia="仿宋_GB2312" w:cs="Times New Roman"/>
          <w:b w:val="0"/>
          <w:bCs/>
          <w:sz w:val="32"/>
          <w:szCs w:val="32"/>
          <w:highlight w:val="none"/>
          <w:lang w:val="en-US" w:eastAsia="zh-CN"/>
        </w:rPr>
        <w:t>52</w:t>
      </w:r>
      <w:r>
        <w:rPr>
          <w:rFonts w:hint="default" w:ascii="Times New Roman" w:hAnsi="Times New Roman" w:eastAsia="仿宋_GB2312" w:cs="Times New Roman"/>
          <w:b w:val="0"/>
          <w:bCs/>
          <w:sz w:val="32"/>
          <w:szCs w:val="32"/>
          <w:highlight w:val="none"/>
          <w:lang w:val="en-US" w:eastAsia="zh-CN"/>
        </w:rPr>
        <w:t>个，绩效目标与计划期内的任务量、预算安排不相匹配的部门预算阶段项目（含一次性项目）数量为0。</w:t>
      </w:r>
    </w:p>
    <w:p w14:paraId="77445055">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综上，根据评分标准，该指标不扣分，得4分。</w:t>
      </w:r>
    </w:p>
    <w:p w14:paraId="3E233706">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（3）项目入库</w:t>
      </w:r>
    </w:p>
    <w:p w14:paraId="6F4A93D9">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2025年，</w:t>
      </w:r>
      <w:r>
        <w:rPr>
          <w:rFonts w:hint="eastAsia" w:eastAsia="仿宋_GB2312" w:cs="Times New Roman"/>
          <w:b w:val="0"/>
          <w:bCs/>
          <w:sz w:val="32"/>
          <w:szCs w:val="32"/>
          <w:highlight w:val="none"/>
          <w:lang w:val="en-US" w:eastAsia="zh-CN"/>
        </w:rPr>
        <w:t>农科院</w:t>
      </w:r>
      <w:r>
        <w:rPr>
          <w:rFonts w:hint="default" w:ascii="Times New Roman" w:hAnsi="Times New Roman" w:eastAsia="仿宋_GB2312" w:cs="Times New Roman"/>
          <w:b w:val="0"/>
          <w:bCs/>
          <w:sz w:val="32"/>
          <w:szCs w:val="32"/>
          <w:highlight w:val="none"/>
          <w:lang w:val="zh-CN" w:eastAsia="zh-CN"/>
        </w:rPr>
        <w:t>部门预算阶段项目（含一次性项目）总数</w:t>
      </w:r>
      <w:r>
        <w:rPr>
          <w:rFonts w:hint="default" w:ascii="Times New Roman" w:hAnsi="Times New Roman" w:eastAsia="仿宋_GB2312" w:cs="Times New Roman"/>
          <w:b w:val="0"/>
          <w:bCs/>
          <w:sz w:val="32"/>
          <w:szCs w:val="32"/>
          <w:highlight w:val="none"/>
          <w:lang w:val="en-US" w:eastAsia="zh-CN"/>
        </w:rPr>
        <w:t>为</w:t>
      </w:r>
      <w:r>
        <w:rPr>
          <w:rFonts w:hint="eastAsia" w:eastAsia="仿宋_GB2312" w:cs="Times New Roman"/>
          <w:b w:val="0"/>
          <w:bCs/>
          <w:sz w:val="32"/>
          <w:szCs w:val="32"/>
          <w:highlight w:val="none"/>
          <w:lang w:val="en-US" w:eastAsia="zh-CN"/>
        </w:rPr>
        <w:t>51</w:t>
      </w:r>
      <w:r>
        <w:rPr>
          <w:rFonts w:hint="default" w:ascii="Times New Roman" w:hAnsi="Times New Roman" w:eastAsia="仿宋_GB2312" w:cs="Times New Roman"/>
          <w:b w:val="0"/>
          <w:bCs/>
          <w:sz w:val="32"/>
          <w:szCs w:val="32"/>
          <w:highlight w:val="none"/>
          <w:lang w:val="en-US" w:eastAsia="zh-CN"/>
        </w:rPr>
        <w:t>个，均已在规定时间内纳入财政项目库。</w:t>
      </w:r>
    </w:p>
    <w:p w14:paraId="39CE4F98">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综上，根据评分标准，该指标不扣分，得4分。</w:t>
      </w:r>
    </w:p>
    <w:p w14:paraId="4BD126E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方正仿宋_GB2312" w:cs="Times New Roman"/>
          <w:b/>
          <w:bCs/>
          <w:color w:val="000000"/>
          <w:kern w:val="0"/>
          <w:sz w:val="32"/>
          <w:szCs w:val="32"/>
          <w:highlight w:val="none"/>
          <w:shd w:val="clear" w:color="auto" w:fill="FFFFFF"/>
          <w:lang w:val="zh-CN" w:eastAsia="zh-CN"/>
        </w:rPr>
      </w:pPr>
      <w:r>
        <w:rPr>
          <w:rFonts w:hint="default" w:ascii="Times New Roman" w:hAnsi="Times New Roman" w:eastAsia="方正仿宋_GB2312" w:cs="Times New Roman"/>
          <w:b/>
          <w:bCs/>
          <w:color w:val="000000"/>
          <w:kern w:val="0"/>
          <w:sz w:val="32"/>
          <w:szCs w:val="32"/>
          <w:highlight w:val="none"/>
          <w:shd w:val="clear" w:color="auto" w:fill="FFFFFF"/>
          <w:lang w:val="en-US" w:eastAsia="zh-CN"/>
        </w:rPr>
        <w:t>2.项目执行</w:t>
      </w:r>
    </w:p>
    <w:p w14:paraId="661762CF">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1</w:t>
      </w: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执行同向</w:t>
      </w:r>
    </w:p>
    <w:p w14:paraId="6CCB8C1E">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2025年，</w:t>
      </w:r>
      <w:r>
        <w:rPr>
          <w:rFonts w:hint="eastAsia" w:eastAsia="仿宋_GB2312" w:cs="Times New Roman"/>
          <w:b w:val="0"/>
          <w:bCs/>
          <w:sz w:val="32"/>
          <w:szCs w:val="32"/>
          <w:highlight w:val="none"/>
          <w:lang w:val="en-US" w:eastAsia="zh-CN"/>
        </w:rPr>
        <w:t>农科院</w:t>
      </w:r>
      <w:r>
        <w:rPr>
          <w:rFonts w:hint="default" w:ascii="Times New Roman" w:hAnsi="Times New Roman" w:eastAsia="仿宋_GB2312" w:cs="Times New Roman"/>
          <w:b w:val="0"/>
          <w:bCs/>
          <w:sz w:val="32"/>
          <w:szCs w:val="32"/>
          <w:highlight w:val="none"/>
          <w:lang w:val="zh-CN" w:eastAsia="zh-CN"/>
        </w:rPr>
        <w:t>部门预算阶段项目（含一次性项目）总数</w:t>
      </w:r>
      <w:r>
        <w:rPr>
          <w:rFonts w:hint="default" w:ascii="Times New Roman" w:hAnsi="Times New Roman" w:eastAsia="仿宋_GB2312" w:cs="Times New Roman"/>
          <w:b w:val="0"/>
          <w:bCs/>
          <w:sz w:val="32"/>
          <w:szCs w:val="32"/>
          <w:highlight w:val="none"/>
          <w:lang w:val="en-US" w:eastAsia="zh-CN"/>
        </w:rPr>
        <w:t>为</w:t>
      </w:r>
      <w:r>
        <w:rPr>
          <w:rFonts w:hint="eastAsia" w:eastAsia="仿宋_GB2312" w:cs="Times New Roman"/>
          <w:b w:val="0"/>
          <w:bCs/>
          <w:sz w:val="32"/>
          <w:szCs w:val="32"/>
          <w:highlight w:val="none"/>
          <w:lang w:val="en-US" w:eastAsia="zh-CN"/>
        </w:rPr>
        <w:t>52</w:t>
      </w:r>
      <w:r>
        <w:rPr>
          <w:rFonts w:hint="default" w:ascii="Times New Roman" w:hAnsi="Times New Roman" w:eastAsia="仿宋_GB2312" w:cs="Times New Roman"/>
          <w:b w:val="0"/>
          <w:bCs/>
          <w:sz w:val="32"/>
          <w:szCs w:val="32"/>
          <w:highlight w:val="none"/>
          <w:lang w:val="en-US" w:eastAsia="zh-CN"/>
        </w:rPr>
        <w:t>个，实际列支内容与绩效目标设置方向不相符的部门预算阶段项目（含一次性项目）数量为0。</w:t>
      </w:r>
    </w:p>
    <w:p w14:paraId="7C320484">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综上，根据评分标准，该指标不扣分，得4分。</w:t>
      </w:r>
    </w:p>
    <w:p w14:paraId="6F9C740A">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2</w:t>
      </w: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项目调整</w:t>
      </w:r>
    </w:p>
    <w:p w14:paraId="2255DF04">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zh-CN" w:eastAsia="zh-CN"/>
        </w:rPr>
      </w:pPr>
      <w:r>
        <w:rPr>
          <w:rFonts w:hint="default" w:ascii="Times New Roman" w:hAnsi="Times New Roman" w:eastAsia="仿宋_GB2312" w:cs="Times New Roman"/>
          <w:b w:val="0"/>
          <w:bCs/>
          <w:sz w:val="32"/>
          <w:szCs w:val="32"/>
          <w:highlight w:val="none"/>
          <w:lang w:val="en-US" w:eastAsia="zh-CN"/>
        </w:rPr>
        <w:t>2025年，</w:t>
      </w:r>
      <w:r>
        <w:rPr>
          <w:rFonts w:hint="eastAsia" w:eastAsia="仿宋_GB2312" w:cs="Times New Roman"/>
          <w:b w:val="0"/>
          <w:bCs/>
          <w:sz w:val="32"/>
          <w:szCs w:val="32"/>
          <w:highlight w:val="none"/>
          <w:lang w:val="en-US" w:eastAsia="zh-CN"/>
        </w:rPr>
        <w:t>农科院</w:t>
      </w:r>
      <w:r>
        <w:rPr>
          <w:rFonts w:hint="default" w:ascii="Times New Roman" w:hAnsi="Times New Roman" w:eastAsia="仿宋_GB2312" w:cs="Times New Roman"/>
          <w:b w:val="0"/>
          <w:bCs/>
          <w:sz w:val="32"/>
          <w:szCs w:val="32"/>
          <w:highlight w:val="none"/>
          <w:lang w:val="zh-CN" w:eastAsia="zh-CN"/>
        </w:rPr>
        <w:t>应采取收回预算、调整目标等处置措施的部门预算阶段项目（含一次性项目）</w:t>
      </w:r>
      <w:r>
        <w:rPr>
          <w:rFonts w:hint="default" w:ascii="Times New Roman" w:hAnsi="Times New Roman" w:eastAsia="仿宋_GB2312" w:cs="Times New Roman"/>
          <w:b w:val="0"/>
          <w:bCs/>
          <w:sz w:val="32"/>
          <w:szCs w:val="32"/>
          <w:highlight w:val="none"/>
          <w:lang w:val="en-US" w:eastAsia="zh-CN"/>
        </w:rPr>
        <w:t>均按照规定程序进行收回和调整。</w:t>
      </w:r>
    </w:p>
    <w:p w14:paraId="12CD0E89">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综上，根据评分标准，该指标不扣分，得4分。</w:t>
      </w:r>
    </w:p>
    <w:p w14:paraId="0C6D3058">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（3）执行结果</w:t>
      </w:r>
    </w:p>
    <w:p w14:paraId="6F23646A">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2025年，</w:t>
      </w:r>
      <w:r>
        <w:rPr>
          <w:rFonts w:hint="eastAsia" w:eastAsia="仿宋_GB2312" w:cs="Times New Roman"/>
          <w:b w:val="0"/>
          <w:bCs/>
          <w:sz w:val="32"/>
          <w:szCs w:val="32"/>
          <w:highlight w:val="none"/>
          <w:lang w:val="en-US" w:eastAsia="zh-CN"/>
        </w:rPr>
        <w:t>农科院</w:t>
      </w:r>
      <w:r>
        <w:rPr>
          <w:rFonts w:hint="default" w:ascii="Times New Roman" w:hAnsi="Times New Roman" w:eastAsia="仿宋_GB2312" w:cs="Times New Roman"/>
          <w:b w:val="0"/>
          <w:bCs/>
          <w:sz w:val="32"/>
          <w:szCs w:val="32"/>
          <w:highlight w:val="none"/>
          <w:lang w:val="en-US" w:eastAsia="zh-CN"/>
        </w:rPr>
        <w:t>部门预算结余率小于10%的常年项目数量为</w:t>
      </w:r>
      <w:r>
        <w:rPr>
          <w:rFonts w:hint="eastAsia" w:eastAsia="仿宋_GB2312" w:cs="Times New Roman"/>
          <w:b w:val="0"/>
          <w:bCs/>
          <w:sz w:val="32"/>
          <w:szCs w:val="32"/>
          <w:highlight w:val="none"/>
          <w:lang w:val="en-US" w:eastAsia="zh-CN"/>
        </w:rPr>
        <w:t>23</w:t>
      </w:r>
      <w:r>
        <w:rPr>
          <w:rFonts w:hint="default" w:ascii="Times New Roman" w:hAnsi="Times New Roman" w:eastAsia="仿宋_GB2312" w:cs="Times New Roman"/>
          <w:b w:val="0"/>
          <w:bCs/>
          <w:sz w:val="32"/>
          <w:szCs w:val="32"/>
          <w:highlight w:val="none"/>
          <w:lang w:val="en-US" w:eastAsia="zh-CN"/>
        </w:rPr>
        <w:t>个，部门预算常年项目总数为</w:t>
      </w:r>
      <w:r>
        <w:rPr>
          <w:rFonts w:hint="eastAsia" w:eastAsia="仿宋_GB2312" w:cs="Times New Roman"/>
          <w:b w:val="0"/>
          <w:bCs/>
          <w:sz w:val="32"/>
          <w:szCs w:val="32"/>
          <w:highlight w:val="none"/>
          <w:lang w:val="en-US" w:eastAsia="zh-CN"/>
        </w:rPr>
        <w:t>26</w:t>
      </w:r>
      <w:r>
        <w:rPr>
          <w:rFonts w:hint="default" w:ascii="Times New Roman" w:hAnsi="Times New Roman" w:eastAsia="仿宋_GB2312" w:cs="Times New Roman"/>
          <w:b w:val="0"/>
          <w:bCs/>
          <w:sz w:val="32"/>
          <w:szCs w:val="32"/>
          <w:highlight w:val="none"/>
          <w:lang w:val="en-US" w:eastAsia="zh-CN"/>
        </w:rPr>
        <w:t>个，预算结余率小于10%的一次性项目和阶段项目数量为</w:t>
      </w:r>
      <w:r>
        <w:rPr>
          <w:rFonts w:hint="eastAsia" w:eastAsia="仿宋_GB2312" w:cs="Times New Roman"/>
          <w:b w:val="0"/>
          <w:bCs/>
          <w:sz w:val="32"/>
          <w:szCs w:val="32"/>
          <w:highlight w:val="none"/>
          <w:lang w:val="en-US" w:eastAsia="zh-CN"/>
        </w:rPr>
        <w:t>22</w:t>
      </w:r>
      <w:r>
        <w:rPr>
          <w:rFonts w:hint="default" w:ascii="Times New Roman" w:hAnsi="Times New Roman" w:eastAsia="仿宋_GB2312" w:cs="Times New Roman"/>
          <w:b w:val="0"/>
          <w:bCs/>
          <w:sz w:val="32"/>
          <w:szCs w:val="32"/>
          <w:highlight w:val="none"/>
          <w:lang w:val="en-US" w:eastAsia="zh-CN"/>
        </w:rPr>
        <w:t>个，部门预算一次性项目和阶段项目总数为</w:t>
      </w:r>
      <w:r>
        <w:rPr>
          <w:rFonts w:hint="eastAsia" w:eastAsia="仿宋_GB2312" w:cs="Times New Roman"/>
          <w:b w:val="0"/>
          <w:bCs/>
          <w:sz w:val="32"/>
          <w:szCs w:val="32"/>
          <w:highlight w:val="none"/>
          <w:lang w:val="en-US" w:eastAsia="zh-CN"/>
        </w:rPr>
        <w:t>28</w:t>
      </w:r>
      <w:r>
        <w:rPr>
          <w:rFonts w:hint="default" w:ascii="Times New Roman" w:hAnsi="Times New Roman" w:eastAsia="仿宋_GB2312" w:cs="Times New Roman"/>
          <w:b w:val="0"/>
          <w:bCs/>
          <w:sz w:val="32"/>
          <w:szCs w:val="32"/>
          <w:highlight w:val="none"/>
          <w:lang w:val="en-US" w:eastAsia="zh-CN"/>
        </w:rPr>
        <w:t>个。</w:t>
      </w:r>
    </w:p>
    <w:p w14:paraId="2A677987">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综上，根据评分标准，该指标扣</w:t>
      </w:r>
      <w:r>
        <w:rPr>
          <w:rFonts w:hint="eastAsia" w:eastAsia="仿宋_GB2312" w:cs="Times New Roman"/>
          <w:b w:val="0"/>
          <w:bCs/>
          <w:sz w:val="32"/>
          <w:szCs w:val="32"/>
          <w:highlight w:val="none"/>
          <w:lang w:val="en-US" w:eastAsia="zh-CN"/>
        </w:rPr>
        <w:t>0.66</w:t>
      </w:r>
      <w:r>
        <w:rPr>
          <w:rFonts w:hint="default" w:ascii="Times New Roman" w:hAnsi="Times New Roman" w:eastAsia="仿宋_GB2312" w:cs="Times New Roman"/>
          <w:b w:val="0"/>
          <w:bCs/>
          <w:sz w:val="32"/>
          <w:szCs w:val="32"/>
          <w:highlight w:val="none"/>
          <w:lang w:val="en-US" w:eastAsia="zh-CN"/>
        </w:rPr>
        <w:t>分，得</w:t>
      </w:r>
      <w:r>
        <w:rPr>
          <w:rFonts w:hint="eastAsia" w:eastAsia="仿宋_GB2312" w:cs="Times New Roman"/>
          <w:b w:val="0"/>
          <w:bCs/>
          <w:sz w:val="32"/>
          <w:szCs w:val="32"/>
          <w:highlight w:val="none"/>
          <w:lang w:val="en-US" w:eastAsia="zh-CN"/>
        </w:rPr>
        <w:t>3.34</w:t>
      </w:r>
      <w:r>
        <w:rPr>
          <w:rFonts w:hint="default" w:ascii="Times New Roman" w:hAnsi="Times New Roman" w:eastAsia="仿宋_GB2312" w:cs="Times New Roman"/>
          <w:b w:val="0"/>
          <w:bCs/>
          <w:sz w:val="32"/>
          <w:szCs w:val="32"/>
          <w:highlight w:val="none"/>
          <w:lang w:val="en-US" w:eastAsia="zh-CN"/>
        </w:rPr>
        <w:t>分。</w:t>
      </w:r>
    </w:p>
    <w:p w14:paraId="3340909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方正仿宋_GB2312" w:cs="Times New Roman"/>
          <w:b/>
          <w:bCs/>
          <w:color w:val="000000"/>
          <w:kern w:val="0"/>
          <w:sz w:val="32"/>
          <w:szCs w:val="32"/>
          <w:highlight w:val="none"/>
          <w:shd w:val="clear" w:color="auto" w:fill="FFFFFF"/>
          <w:lang w:val="zh-CN" w:eastAsia="zh-CN"/>
        </w:rPr>
      </w:pPr>
      <w:r>
        <w:rPr>
          <w:rFonts w:hint="default" w:ascii="Times New Roman" w:hAnsi="Times New Roman" w:eastAsia="方正仿宋_GB2312" w:cs="Times New Roman"/>
          <w:b/>
          <w:bCs/>
          <w:color w:val="000000"/>
          <w:kern w:val="0"/>
          <w:sz w:val="32"/>
          <w:szCs w:val="32"/>
          <w:highlight w:val="none"/>
          <w:shd w:val="clear" w:color="auto" w:fill="FFFFFF"/>
          <w:lang w:val="en-US" w:eastAsia="zh-CN"/>
        </w:rPr>
        <w:t>3.</w:t>
      </w:r>
      <w:r>
        <w:rPr>
          <w:rFonts w:hint="default" w:ascii="Times New Roman" w:hAnsi="Times New Roman" w:eastAsia="方正仿宋_GB2312" w:cs="Times New Roman"/>
          <w:b/>
          <w:bCs/>
          <w:color w:val="000000"/>
          <w:kern w:val="0"/>
          <w:sz w:val="32"/>
          <w:szCs w:val="32"/>
          <w:highlight w:val="none"/>
          <w:shd w:val="clear" w:color="auto" w:fill="FFFFFF"/>
          <w:lang w:val="zh-CN" w:eastAsia="zh-CN"/>
        </w:rPr>
        <w:t>目标实现</w:t>
      </w:r>
    </w:p>
    <w:p w14:paraId="7CAD7B00">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1</w:t>
      </w: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目标完成</w:t>
      </w:r>
    </w:p>
    <w:p w14:paraId="5EC6379E">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2025年，</w:t>
      </w:r>
      <w:r>
        <w:rPr>
          <w:rFonts w:hint="eastAsia" w:eastAsia="仿宋_GB2312" w:cs="Times New Roman"/>
          <w:b w:val="0"/>
          <w:bCs/>
          <w:sz w:val="32"/>
          <w:szCs w:val="32"/>
          <w:highlight w:val="none"/>
          <w:lang w:val="en-US" w:eastAsia="zh-CN"/>
        </w:rPr>
        <w:t>农科院</w:t>
      </w:r>
      <w:r>
        <w:rPr>
          <w:rFonts w:hint="default" w:ascii="Times New Roman" w:hAnsi="Times New Roman" w:eastAsia="仿宋_GB2312" w:cs="Times New Roman"/>
          <w:b w:val="0"/>
          <w:bCs/>
          <w:sz w:val="32"/>
          <w:szCs w:val="32"/>
          <w:highlight w:val="none"/>
          <w:lang w:val="zh-CN" w:eastAsia="zh-CN"/>
        </w:rPr>
        <w:t>部门预算阶段项目（含一次性项目）总数</w:t>
      </w:r>
      <w:r>
        <w:rPr>
          <w:rFonts w:hint="default" w:ascii="Times New Roman" w:hAnsi="Times New Roman" w:eastAsia="仿宋_GB2312" w:cs="Times New Roman"/>
          <w:b w:val="0"/>
          <w:bCs/>
          <w:sz w:val="32"/>
          <w:szCs w:val="32"/>
          <w:highlight w:val="none"/>
          <w:lang w:val="en-US" w:eastAsia="zh-CN"/>
        </w:rPr>
        <w:t>为</w:t>
      </w:r>
      <w:r>
        <w:rPr>
          <w:rFonts w:hint="eastAsia" w:eastAsia="仿宋_GB2312" w:cs="Times New Roman"/>
          <w:b w:val="0"/>
          <w:bCs/>
          <w:sz w:val="32"/>
          <w:szCs w:val="32"/>
          <w:highlight w:val="none"/>
          <w:lang w:val="en-US" w:eastAsia="zh-CN"/>
        </w:rPr>
        <w:t>52</w:t>
      </w:r>
      <w:r>
        <w:rPr>
          <w:rFonts w:hint="default" w:ascii="Times New Roman" w:hAnsi="Times New Roman" w:eastAsia="仿宋_GB2312" w:cs="Times New Roman"/>
          <w:b w:val="0"/>
          <w:bCs/>
          <w:sz w:val="32"/>
          <w:szCs w:val="32"/>
          <w:highlight w:val="none"/>
          <w:lang w:val="en-US" w:eastAsia="zh-CN"/>
        </w:rPr>
        <w:t>个，已完成绩效目标数量指标的部门预算阶段项目（含一次性项目）数量为</w:t>
      </w:r>
      <w:r>
        <w:rPr>
          <w:rFonts w:hint="eastAsia" w:eastAsia="仿宋_GB2312" w:cs="Times New Roman"/>
          <w:b w:val="0"/>
          <w:bCs/>
          <w:sz w:val="32"/>
          <w:szCs w:val="32"/>
          <w:highlight w:val="none"/>
          <w:lang w:val="en-US" w:eastAsia="zh-CN"/>
        </w:rPr>
        <w:t>52</w:t>
      </w:r>
      <w:r>
        <w:rPr>
          <w:rFonts w:hint="default" w:ascii="Times New Roman" w:hAnsi="Times New Roman" w:eastAsia="仿宋_GB2312" w:cs="Times New Roman"/>
          <w:b w:val="0"/>
          <w:bCs/>
          <w:sz w:val="32"/>
          <w:szCs w:val="32"/>
          <w:highlight w:val="none"/>
          <w:lang w:val="en-US" w:eastAsia="zh-CN"/>
        </w:rPr>
        <w:t>个。</w:t>
      </w:r>
    </w:p>
    <w:p w14:paraId="58191E4D">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综上，根据评分标准，该指标不扣分，得4分。</w:t>
      </w:r>
    </w:p>
    <w:p w14:paraId="1634DA1A">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（2）目标偏离</w:t>
      </w:r>
    </w:p>
    <w:p w14:paraId="49BD14CD">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2025年，</w:t>
      </w:r>
      <w:r>
        <w:rPr>
          <w:rFonts w:hint="eastAsia" w:eastAsia="仿宋_GB2312" w:cs="Times New Roman"/>
          <w:b w:val="0"/>
          <w:bCs/>
          <w:sz w:val="32"/>
          <w:szCs w:val="32"/>
          <w:highlight w:val="none"/>
          <w:lang w:val="en-US" w:eastAsia="zh-CN"/>
        </w:rPr>
        <w:t>农科院</w:t>
      </w:r>
      <w:r>
        <w:rPr>
          <w:rFonts w:hint="default" w:ascii="Times New Roman" w:hAnsi="Times New Roman" w:eastAsia="仿宋_GB2312" w:cs="Times New Roman"/>
          <w:b w:val="0"/>
          <w:bCs/>
          <w:sz w:val="32"/>
          <w:szCs w:val="32"/>
          <w:highlight w:val="none"/>
          <w:lang w:val="en-US" w:eastAsia="zh-CN"/>
        </w:rPr>
        <w:t>的所有项目均已完成预期指标值，并且偏离度在30%以内。</w:t>
      </w:r>
    </w:p>
    <w:p w14:paraId="4B566745">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综上，根据评分标准，该指标不扣分，得4分。</w:t>
      </w:r>
    </w:p>
    <w:p w14:paraId="76ACF0B1">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（3）实现效果</w:t>
      </w:r>
    </w:p>
    <w:p w14:paraId="503B79A8">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eastAsia" w:eastAsia="仿宋_GB2312" w:cs="Times New Roman"/>
          <w:b w:val="0"/>
          <w:bCs/>
          <w:sz w:val="32"/>
          <w:szCs w:val="32"/>
          <w:highlight w:val="none"/>
          <w:lang w:val="en-US" w:eastAsia="zh-CN"/>
        </w:rPr>
        <w:t>农科院</w:t>
      </w:r>
      <w:r>
        <w:rPr>
          <w:rFonts w:hint="default" w:ascii="Times New Roman" w:hAnsi="Times New Roman" w:eastAsia="仿宋_GB2312" w:cs="Times New Roman"/>
          <w:b w:val="0"/>
          <w:bCs/>
          <w:sz w:val="32"/>
          <w:szCs w:val="32"/>
          <w:highlight w:val="none"/>
          <w:lang w:val="zh-CN" w:eastAsia="zh-CN"/>
        </w:rPr>
        <w:t>部门预算阶段项目（含一次性项目）总数</w:t>
      </w:r>
      <w:r>
        <w:rPr>
          <w:rFonts w:hint="default" w:ascii="Times New Roman" w:hAnsi="Times New Roman" w:eastAsia="仿宋_GB2312" w:cs="Times New Roman"/>
          <w:b w:val="0"/>
          <w:bCs/>
          <w:sz w:val="32"/>
          <w:szCs w:val="32"/>
          <w:highlight w:val="none"/>
          <w:lang w:val="en-US" w:eastAsia="zh-CN"/>
        </w:rPr>
        <w:t>为</w:t>
      </w:r>
      <w:r>
        <w:rPr>
          <w:rFonts w:hint="eastAsia" w:eastAsia="仿宋_GB2312" w:cs="Times New Roman"/>
          <w:b w:val="0"/>
          <w:bCs/>
          <w:sz w:val="32"/>
          <w:szCs w:val="32"/>
          <w:highlight w:val="none"/>
          <w:lang w:val="en-US" w:eastAsia="zh-CN"/>
        </w:rPr>
        <w:t>52</w:t>
      </w:r>
      <w:r>
        <w:rPr>
          <w:rFonts w:hint="default" w:ascii="Times New Roman" w:hAnsi="Times New Roman" w:eastAsia="仿宋_GB2312" w:cs="Times New Roman"/>
          <w:b w:val="0"/>
          <w:bCs/>
          <w:sz w:val="32"/>
          <w:szCs w:val="32"/>
          <w:highlight w:val="none"/>
          <w:lang w:val="en-US" w:eastAsia="zh-CN"/>
        </w:rPr>
        <w:t>个，完成绩效目标效益指标的部门预算阶段项目（含一次性项目）数量为</w:t>
      </w:r>
      <w:r>
        <w:rPr>
          <w:rFonts w:hint="eastAsia" w:eastAsia="仿宋_GB2312" w:cs="Times New Roman"/>
          <w:b w:val="0"/>
          <w:bCs/>
          <w:sz w:val="32"/>
          <w:szCs w:val="32"/>
          <w:highlight w:val="none"/>
          <w:lang w:val="en-US" w:eastAsia="zh-CN"/>
        </w:rPr>
        <w:t>52</w:t>
      </w:r>
      <w:r>
        <w:rPr>
          <w:rFonts w:hint="default" w:ascii="Times New Roman" w:hAnsi="Times New Roman" w:eastAsia="仿宋_GB2312" w:cs="Times New Roman"/>
          <w:b w:val="0"/>
          <w:bCs/>
          <w:sz w:val="32"/>
          <w:szCs w:val="32"/>
          <w:highlight w:val="none"/>
          <w:lang w:val="en-US" w:eastAsia="zh-CN"/>
        </w:rPr>
        <w:t>个，本</w:t>
      </w:r>
      <w:r>
        <w:rPr>
          <w:rFonts w:hint="default" w:ascii="Times New Roman" w:hAnsi="Times New Roman" w:eastAsia="仿宋_GB2312" w:cs="Times New Roman"/>
          <w:b w:val="0"/>
          <w:bCs/>
          <w:sz w:val="32"/>
          <w:szCs w:val="32"/>
          <w:highlight w:val="none"/>
          <w:lang w:val="zh-CN" w:eastAsia="zh-CN"/>
        </w:rPr>
        <w:t>部门</w:t>
      </w:r>
      <w:r>
        <w:rPr>
          <w:rFonts w:hint="default" w:ascii="Times New Roman" w:hAnsi="Times New Roman" w:eastAsia="仿宋_GB2312" w:cs="Times New Roman"/>
          <w:b w:val="0"/>
          <w:bCs/>
          <w:sz w:val="32"/>
          <w:szCs w:val="32"/>
          <w:highlight w:val="none"/>
          <w:lang w:val="en-US" w:eastAsia="zh-CN"/>
        </w:rPr>
        <w:t>预算项目绩效目标效益指标实施效果较好，均已达到设定指标值。</w:t>
      </w:r>
    </w:p>
    <w:p w14:paraId="0F858A43">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综上，根据评分标准，该指标不扣分，得3分。</w:t>
      </w:r>
    </w:p>
    <w:p w14:paraId="204AB5A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1"/>
        <w:rPr>
          <w:rFonts w:hint="default" w:ascii="Times New Roman" w:hAnsi="Times New Roman" w:eastAsia="楷体_GB2312" w:cs="Times New Roman"/>
          <w:b w:val="0"/>
          <w:bCs w:val="0"/>
          <w:color w:val="000000"/>
          <w:kern w:val="0"/>
          <w:sz w:val="32"/>
          <w:szCs w:val="32"/>
          <w:highlight w:val="none"/>
          <w:shd w:val="clear" w:color="auto" w:fill="FFFFFF"/>
          <w:lang w:val="zh-CN" w:eastAsia="zh-CN"/>
        </w:rPr>
      </w:pPr>
      <w:bookmarkStart w:id="104" w:name="_Toc25535"/>
      <w:bookmarkStart w:id="105" w:name="_Toc25411"/>
      <w:r>
        <w:rPr>
          <w:rFonts w:hint="default" w:ascii="Times New Roman" w:hAnsi="Times New Roman" w:eastAsia="楷体_GB2312" w:cs="Times New Roman"/>
          <w:b w:val="0"/>
          <w:bCs w:val="0"/>
          <w:color w:val="000000"/>
          <w:kern w:val="0"/>
          <w:sz w:val="32"/>
          <w:szCs w:val="32"/>
          <w:highlight w:val="none"/>
          <w:shd w:val="clear" w:color="auto" w:fill="FFFFFF"/>
          <w:lang w:val="zh-CN"/>
        </w:rPr>
        <w:t>（三）绩效结果应用情况</w:t>
      </w:r>
      <w:bookmarkEnd w:id="104"/>
      <w:bookmarkEnd w:id="105"/>
    </w:p>
    <w:p w14:paraId="3FAB4D39">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zh-CN" w:eastAsia="zh-CN"/>
        </w:rPr>
      </w:pPr>
      <w:r>
        <w:rPr>
          <w:rFonts w:hint="eastAsia" w:eastAsia="仿宋_GB2312" w:cs="Times New Roman"/>
          <w:b w:val="0"/>
          <w:bCs/>
          <w:sz w:val="32"/>
          <w:szCs w:val="32"/>
          <w:highlight w:val="none"/>
          <w:lang w:val="en-US" w:eastAsia="zh-CN"/>
        </w:rPr>
        <w:t>农科院</w:t>
      </w:r>
      <w:r>
        <w:rPr>
          <w:rFonts w:hint="default" w:ascii="Times New Roman" w:hAnsi="Times New Roman" w:eastAsia="仿宋_GB2312" w:cs="Times New Roman"/>
          <w:b w:val="0"/>
          <w:bCs/>
          <w:sz w:val="32"/>
          <w:szCs w:val="32"/>
          <w:highlight w:val="none"/>
          <w:lang w:val="zh-CN" w:eastAsia="zh-CN"/>
        </w:rPr>
        <w:t>严格按照要求，财政预算项目应当自觉接受财政、审计等监督部门开展的重点绩效评价，评价结果作为以后年度重点项目资金预算安排的参考依据。对预算编制不精准、绩效评价结果为“中”或“合格”的重点项目，核减项目下年度同类项目资金安排。对绩效评价不合格的重点项目，直接取消项目下年度同类财政项目资金的预算安排。</w:t>
      </w:r>
    </w:p>
    <w:p w14:paraId="503E963A">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zh-CN" w:eastAsia="zh-CN"/>
        </w:rPr>
      </w:pPr>
      <w:r>
        <w:rPr>
          <w:rFonts w:hint="eastAsia" w:eastAsia="仿宋_GB2312" w:cs="Times New Roman"/>
          <w:b w:val="0"/>
          <w:bCs/>
          <w:sz w:val="32"/>
          <w:szCs w:val="32"/>
          <w:highlight w:val="none"/>
          <w:lang w:val="en-US" w:eastAsia="zh-CN"/>
        </w:rPr>
        <w:t>农科院</w:t>
      </w:r>
      <w:r>
        <w:rPr>
          <w:rFonts w:hint="default" w:ascii="Times New Roman" w:hAnsi="Times New Roman" w:eastAsia="仿宋_GB2312" w:cs="Times New Roman"/>
          <w:b w:val="0"/>
          <w:bCs/>
          <w:sz w:val="32"/>
          <w:szCs w:val="32"/>
          <w:highlight w:val="none"/>
          <w:lang w:val="zh-CN" w:eastAsia="zh-CN"/>
        </w:rPr>
        <w:t>严格按照相关要求，经批复的项目绩效目标、绩效评价结果按规定向社会公开。同时，202</w:t>
      </w:r>
      <w:r>
        <w:rPr>
          <w:rFonts w:hint="default" w:ascii="Times New Roman" w:hAnsi="Times New Roman" w:eastAsia="仿宋_GB2312" w:cs="Times New Roman"/>
          <w:b w:val="0"/>
          <w:bCs/>
          <w:sz w:val="32"/>
          <w:szCs w:val="32"/>
          <w:highlight w:val="none"/>
          <w:lang w:val="en-US" w:eastAsia="zh-CN"/>
        </w:rPr>
        <w:t>5</w:t>
      </w:r>
      <w:r>
        <w:rPr>
          <w:rFonts w:hint="default" w:ascii="Times New Roman" w:hAnsi="Times New Roman" w:eastAsia="仿宋_GB2312" w:cs="Times New Roman"/>
          <w:b w:val="0"/>
          <w:bCs/>
          <w:sz w:val="32"/>
          <w:szCs w:val="32"/>
          <w:highlight w:val="none"/>
          <w:lang w:val="zh-CN" w:eastAsia="zh-CN"/>
        </w:rPr>
        <w:t>年</w:t>
      </w:r>
      <w:r>
        <w:rPr>
          <w:rFonts w:hint="eastAsia" w:eastAsia="仿宋_GB2312" w:cs="Times New Roman"/>
          <w:b w:val="0"/>
          <w:bCs/>
          <w:sz w:val="32"/>
          <w:szCs w:val="32"/>
          <w:highlight w:val="none"/>
          <w:lang w:val="zh-CN" w:eastAsia="zh-CN"/>
        </w:rPr>
        <w:t>农科院</w:t>
      </w:r>
      <w:r>
        <w:rPr>
          <w:rFonts w:hint="default" w:ascii="Times New Roman" w:hAnsi="Times New Roman" w:eastAsia="仿宋_GB2312" w:cs="Times New Roman"/>
          <w:b w:val="0"/>
          <w:bCs/>
          <w:sz w:val="32"/>
          <w:szCs w:val="32"/>
          <w:highlight w:val="none"/>
          <w:lang w:val="zh-CN" w:eastAsia="zh-CN"/>
        </w:rPr>
        <w:t>在</w:t>
      </w:r>
      <w:r>
        <w:rPr>
          <w:rFonts w:hint="eastAsia" w:eastAsia="仿宋_GB2312" w:cs="Times New Roman"/>
          <w:b w:val="0"/>
          <w:bCs/>
          <w:sz w:val="32"/>
          <w:szCs w:val="32"/>
          <w:highlight w:val="none"/>
          <w:lang w:val="en-US" w:eastAsia="zh-CN"/>
        </w:rPr>
        <w:t>阿坝州人民政府</w:t>
      </w:r>
      <w:r>
        <w:rPr>
          <w:rFonts w:hint="default" w:ascii="Times New Roman" w:hAnsi="Times New Roman" w:eastAsia="仿宋_GB2312" w:cs="Times New Roman"/>
          <w:b w:val="0"/>
          <w:bCs/>
          <w:sz w:val="32"/>
          <w:szCs w:val="32"/>
          <w:highlight w:val="none"/>
          <w:lang w:val="zh-CN" w:eastAsia="zh-CN"/>
        </w:rPr>
        <w:t>门户网站上公开的202</w:t>
      </w:r>
      <w:r>
        <w:rPr>
          <w:rFonts w:hint="default" w:ascii="Times New Roman" w:hAnsi="Times New Roman" w:eastAsia="仿宋_GB2312" w:cs="Times New Roman"/>
          <w:b w:val="0"/>
          <w:bCs/>
          <w:sz w:val="32"/>
          <w:szCs w:val="32"/>
          <w:highlight w:val="none"/>
          <w:lang w:val="en-US" w:eastAsia="zh-CN"/>
        </w:rPr>
        <w:t>5</w:t>
      </w:r>
      <w:r>
        <w:rPr>
          <w:rFonts w:hint="default" w:ascii="Times New Roman" w:hAnsi="Times New Roman" w:eastAsia="仿宋_GB2312" w:cs="Times New Roman"/>
          <w:b w:val="0"/>
          <w:bCs/>
          <w:sz w:val="32"/>
          <w:szCs w:val="32"/>
          <w:highlight w:val="none"/>
          <w:lang w:val="zh-CN" w:eastAsia="zh-CN"/>
        </w:rPr>
        <w:t>年部门预算说明中同步公开绩效目标。</w:t>
      </w:r>
    </w:p>
    <w:p w14:paraId="55E81D8E">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0"/>
        <w:rPr>
          <w:rFonts w:hint="default" w:ascii="Times New Roman" w:hAnsi="Times New Roman" w:eastAsia="黑体" w:cs="Times New Roman"/>
          <w:color w:val="000000"/>
          <w:kern w:val="0"/>
          <w:sz w:val="32"/>
          <w:szCs w:val="32"/>
          <w:highlight w:val="none"/>
          <w:shd w:val="clear" w:color="auto" w:fill="FFFFFF"/>
        </w:rPr>
      </w:pPr>
      <w:bookmarkStart w:id="106" w:name="_Toc28184"/>
      <w:bookmarkStart w:id="107" w:name="_Toc5372"/>
      <w:r>
        <w:rPr>
          <w:rFonts w:hint="default" w:ascii="Times New Roman" w:hAnsi="Times New Roman" w:eastAsia="黑体" w:cs="Times New Roman"/>
          <w:color w:val="000000"/>
          <w:kern w:val="0"/>
          <w:sz w:val="32"/>
          <w:szCs w:val="32"/>
          <w:highlight w:val="none"/>
          <w:shd w:val="clear" w:color="auto" w:fill="FFFFFF"/>
          <w:lang w:eastAsia="zh-CN"/>
        </w:rPr>
        <w:t>四、</w:t>
      </w:r>
      <w:r>
        <w:rPr>
          <w:rFonts w:hint="default" w:ascii="Times New Roman" w:hAnsi="Times New Roman" w:eastAsia="黑体" w:cs="Times New Roman"/>
          <w:color w:val="000000"/>
          <w:kern w:val="0"/>
          <w:sz w:val="32"/>
          <w:szCs w:val="32"/>
          <w:highlight w:val="none"/>
          <w:shd w:val="clear" w:color="auto" w:fill="FFFFFF"/>
        </w:rPr>
        <w:t>评价结论及建议</w:t>
      </w:r>
      <w:bookmarkEnd w:id="106"/>
      <w:bookmarkEnd w:id="107"/>
    </w:p>
    <w:p w14:paraId="5DDB89B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1"/>
        <w:rPr>
          <w:rFonts w:hint="default" w:ascii="Times New Roman" w:hAnsi="Times New Roman" w:eastAsia="楷体_GB2312" w:cs="Times New Roman"/>
          <w:b w:val="0"/>
          <w:bCs w:val="0"/>
          <w:color w:val="000000"/>
          <w:kern w:val="0"/>
          <w:sz w:val="32"/>
          <w:szCs w:val="32"/>
          <w:highlight w:val="none"/>
          <w:shd w:val="clear" w:color="auto" w:fill="FFFFFF"/>
          <w:lang w:val="zh-CN"/>
        </w:rPr>
      </w:pPr>
      <w:bookmarkStart w:id="108" w:name="_Toc27328"/>
      <w:bookmarkStart w:id="109" w:name="_Toc16516"/>
      <w:r>
        <w:rPr>
          <w:rFonts w:hint="default" w:ascii="Times New Roman" w:hAnsi="Times New Roman" w:eastAsia="楷体_GB2312" w:cs="Times New Roman"/>
          <w:b w:val="0"/>
          <w:bCs w:val="0"/>
          <w:color w:val="000000"/>
          <w:kern w:val="0"/>
          <w:sz w:val="32"/>
          <w:szCs w:val="32"/>
          <w:highlight w:val="none"/>
          <w:shd w:val="clear" w:color="auto" w:fill="FFFFFF"/>
          <w:lang w:val="zh-CN"/>
        </w:rPr>
        <w:t>（一）评价结论</w:t>
      </w:r>
      <w:bookmarkEnd w:id="108"/>
      <w:bookmarkEnd w:id="109"/>
    </w:p>
    <w:p w14:paraId="43800133">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2025年，</w:t>
      </w:r>
      <w:r>
        <w:rPr>
          <w:rFonts w:hint="eastAsia" w:ascii="Times New Roman" w:hAnsi="Times New Roman" w:eastAsia="仿宋_GB2312" w:cs="Times New Roman"/>
          <w:b w:val="0"/>
          <w:bCs/>
          <w:sz w:val="32"/>
          <w:szCs w:val="32"/>
          <w:highlight w:val="none"/>
          <w:lang w:val="en-US" w:eastAsia="zh-CN"/>
        </w:rPr>
        <w:t>农科院</w:t>
      </w:r>
      <w:r>
        <w:rPr>
          <w:rFonts w:hint="default" w:ascii="Times New Roman" w:hAnsi="Times New Roman" w:eastAsia="仿宋_GB2312" w:cs="Times New Roman"/>
          <w:b w:val="0"/>
          <w:bCs/>
          <w:sz w:val="32"/>
          <w:szCs w:val="32"/>
          <w:highlight w:val="none"/>
          <w:lang w:val="en-US" w:eastAsia="zh-CN"/>
        </w:rPr>
        <w:t>履职效果和预算管理效果较好，财务管理、资产管理、采购管理规范，项目决策程序严格</w:t>
      </w:r>
      <w:r>
        <w:rPr>
          <w:rFonts w:hint="default" w:ascii="Times New Roman" w:hAnsi="Times New Roman" w:eastAsia="仿宋_GB2312" w:cs="Times New Roman"/>
          <w:b w:val="0"/>
          <w:bCs/>
          <w:sz w:val="32"/>
          <w:szCs w:val="32"/>
          <w:highlight w:val="none"/>
          <w:lang w:val="zh-CN" w:eastAsia="zh-CN"/>
        </w:rPr>
        <w:t>，项目执行</w:t>
      </w:r>
      <w:r>
        <w:rPr>
          <w:rFonts w:hint="default" w:ascii="Times New Roman" w:hAnsi="Times New Roman" w:eastAsia="仿宋_GB2312" w:cs="Times New Roman"/>
          <w:b w:val="0"/>
          <w:bCs/>
          <w:sz w:val="32"/>
          <w:szCs w:val="32"/>
          <w:highlight w:val="none"/>
          <w:lang w:val="en-US" w:eastAsia="zh-CN"/>
        </w:rPr>
        <w:t>进度良好，绩效目标实现程度良好，但也存在</w:t>
      </w:r>
      <w:r>
        <w:rPr>
          <w:rFonts w:hint="eastAsia" w:ascii="Times New Roman" w:hAnsi="Times New Roman" w:eastAsia="仿宋_GB2312" w:cs="Times New Roman"/>
          <w:b w:val="0"/>
          <w:bCs/>
          <w:sz w:val="32"/>
          <w:szCs w:val="32"/>
          <w:highlight w:val="none"/>
          <w:lang w:val="en-US" w:eastAsia="zh-CN"/>
        </w:rPr>
        <w:t>财政拨款偏离度较高、</w:t>
      </w:r>
      <w:r>
        <w:rPr>
          <w:rFonts w:hint="default" w:ascii="Times New Roman" w:hAnsi="Times New Roman" w:eastAsia="仿宋_GB2312" w:cs="Times New Roman"/>
          <w:b w:val="0"/>
          <w:bCs/>
          <w:sz w:val="32"/>
          <w:szCs w:val="32"/>
          <w:highlight w:val="none"/>
          <w:lang w:val="en-US" w:eastAsia="zh-CN"/>
        </w:rPr>
        <w:t>一般性支出预算执行压减</w:t>
      </w:r>
      <w:r>
        <w:rPr>
          <w:rFonts w:hint="eastAsia" w:ascii="Times New Roman" w:hAnsi="Times New Roman" w:eastAsia="仿宋_GB2312" w:cs="Times New Roman"/>
          <w:b w:val="0"/>
          <w:bCs/>
          <w:sz w:val="32"/>
          <w:szCs w:val="32"/>
          <w:highlight w:val="none"/>
          <w:lang w:val="en-US" w:eastAsia="zh-CN"/>
        </w:rPr>
        <w:t>力度不够</w:t>
      </w:r>
      <w:r>
        <w:rPr>
          <w:rFonts w:hint="default" w:ascii="Times New Roman" w:hAnsi="Times New Roman" w:eastAsia="仿宋_GB2312" w:cs="Times New Roman"/>
          <w:b w:val="0"/>
          <w:bCs/>
          <w:sz w:val="32"/>
          <w:szCs w:val="32"/>
          <w:highlight w:val="none"/>
          <w:lang w:val="en-US" w:eastAsia="zh-CN"/>
        </w:rPr>
        <w:t>、部</w:t>
      </w:r>
      <w:r>
        <w:rPr>
          <w:rFonts w:hint="eastAsia" w:ascii="Times New Roman" w:hAnsi="Times New Roman" w:eastAsia="仿宋_GB2312" w:cs="Times New Roman"/>
          <w:b w:val="0"/>
          <w:bCs/>
          <w:sz w:val="32"/>
          <w:szCs w:val="32"/>
          <w:highlight w:val="none"/>
          <w:lang w:val="en-US" w:eastAsia="zh-CN"/>
        </w:rPr>
        <w:t>门</w:t>
      </w:r>
      <w:r>
        <w:rPr>
          <w:rFonts w:hint="default" w:ascii="Times New Roman" w:hAnsi="Times New Roman" w:eastAsia="仿宋_GB2312" w:cs="Times New Roman"/>
          <w:b w:val="0"/>
          <w:bCs/>
          <w:sz w:val="32"/>
          <w:szCs w:val="32"/>
          <w:highlight w:val="none"/>
          <w:lang w:val="en-US" w:eastAsia="zh-CN"/>
        </w:rPr>
        <w:t>资产管理工作待提升等问题。</w:t>
      </w:r>
      <w:r>
        <w:rPr>
          <w:rFonts w:hint="default" w:ascii="Times New Roman" w:hAnsi="Times New Roman" w:eastAsia="仿宋_GB2312" w:cs="Times New Roman"/>
          <w:b w:val="0"/>
          <w:bCs/>
          <w:sz w:val="32"/>
          <w:szCs w:val="32"/>
          <w:highlight w:val="none"/>
          <w:lang w:val="zh-CN" w:eastAsia="zh-CN"/>
        </w:rPr>
        <w:t>根据《</w:t>
      </w:r>
      <w:r>
        <w:rPr>
          <w:rFonts w:hint="default" w:ascii="Times New Roman" w:hAnsi="Times New Roman" w:eastAsia="仿宋_GB2312" w:cs="Times New Roman"/>
          <w:b w:val="0"/>
          <w:bCs/>
          <w:sz w:val="32"/>
          <w:szCs w:val="32"/>
          <w:highlight w:val="none"/>
          <w:lang w:val="en-US" w:eastAsia="zh-CN"/>
        </w:rPr>
        <w:t>阿坝州财政局关于开展</w:t>
      </w:r>
      <w:r>
        <w:rPr>
          <w:rFonts w:hint="eastAsia" w:ascii="Times New Roman" w:hAnsi="Times New Roman" w:eastAsia="仿宋_GB2312" w:cs="Times New Roman"/>
          <w:b w:val="0"/>
          <w:bCs/>
          <w:sz w:val="32"/>
          <w:szCs w:val="32"/>
          <w:highlight w:val="none"/>
          <w:lang w:val="en-US" w:eastAsia="zh-CN"/>
        </w:rPr>
        <w:t>2026年州级部门预算绩效自评工作的通知</w:t>
      </w: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阿州财监绩</w:t>
      </w:r>
      <w:r>
        <w:rPr>
          <w:rFonts w:hint="default" w:ascii="Times New Roman" w:hAnsi="Times New Roman" w:eastAsia="仿宋_GB2312" w:cs="Times New Roman"/>
          <w:b w:val="0"/>
          <w:bCs/>
          <w:sz w:val="32"/>
          <w:szCs w:val="32"/>
          <w:highlight w:val="none"/>
          <w:lang w:val="zh-CN" w:eastAsia="zh-CN"/>
        </w:rPr>
        <w:t>〔202</w:t>
      </w:r>
      <w:r>
        <w:rPr>
          <w:rFonts w:hint="eastAsia" w:ascii="Times New Roman" w:hAnsi="Times New Roman" w:eastAsia="仿宋_GB2312" w:cs="Times New Roman"/>
          <w:b w:val="0"/>
          <w:bCs/>
          <w:sz w:val="32"/>
          <w:szCs w:val="32"/>
          <w:highlight w:val="none"/>
          <w:lang w:val="en-US" w:eastAsia="zh-CN"/>
        </w:rPr>
        <w:t>6</w:t>
      </w:r>
      <w:r>
        <w:rPr>
          <w:rFonts w:hint="default" w:ascii="Times New Roman" w:hAnsi="Times New Roman" w:eastAsia="仿宋_GB2312" w:cs="Times New Roman"/>
          <w:b w:val="0"/>
          <w:bCs/>
          <w:sz w:val="32"/>
          <w:szCs w:val="32"/>
          <w:highlight w:val="none"/>
          <w:lang w:val="zh-CN" w:eastAsia="zh-CN"/>
        </w:rPr>
        <w:t>〕</w:t>
      </w:r>
      <w:r>
        <w:rPr>
          <w:rFonts w:hint="eastAsia" w:ascii="Times New Roman" w:hAnsi="Times New Roman" w:eastAsia="仿宋_GB2312" w:cs="Times New Roman"/>
          <w:b w:val="0"/>
          <w:bCs/>
          <w:sz w:val="32"/>
          <w:szCs w:val="32"/>
          <w:highlight w:val="none"/>
          <w:lang w:val="en-US" w:eastAsia="zh-CN"/>
        </w:rPr>
        <w:t>3</w:t>
      </w:r>
      <w:r>
        <w:rPr>
          <w:rFonts w:hint="default" w:ascii="Times New Roman" w:hAnsi="Times New Roman" w:eastAsia="仿宋_GB2312" w:cs="Times New Roman"/>
          <w:b w:val="0"/>
          <w:bCs/>
          <w:sz w:val="32"/>
          <w:szCs w:val="32"/>
          <w:highlight w:val="none"/>
          <w:lang w:val="zh-CN" w:eastAsia="zh-CN"/>
        </w:rPr>
        <w:t>号），</w:t>
      </w:r>
      <w:r>
        <w:rPr>
          <w:rFonts w:hint="eastAsia" w:eastAsia="仿宋_GB2312" w:cs="Times New Roman"/>
          <w:b w:val="0"/>
          <w:bCs/>
          <w:sz w:val="32"/>
          <w:szCs w:val="32"/>
          <w:highlight w:val="none"/>
          <w:lang w:val="zh-CN" w:eastAsia="zh-CN"/>
        </w:rPr>
        <w:t>依据</w:t>
      </w:r>
      <w:r>
        <w:rPr>
          <w:rFonts w:hint="default" w:ascii="Times New Roman" w:hAnsi="Times New Roman" w:eastAsia="仿宋_GB2312" w:cs="Times New Roman"/>
          <w:b w:val="0"/>
          <w:bCs/>
          <w:sz w:val="32"/>
          <w:szCs w:val="32"/>
          <w:highlight w:val="none"/>
          <w:lang w:val="zh-CN" w:eastAsia="zh-CN"/>
        </w:rPr>
        <w:t>部门整体支出绩效评价指标体系，202</w:t>
      </w:r>
      <w:r>
        <w:rPr>
          <w:rFonts w:hint="default" w:ascii="Times New Roman" w:hAnsi="Times New Roman" w:eastAsia="仿宋_GB2312" w:cs="Times New Roman"/>
          <w:b w:val="0"/>
          <w:bCs/>
          <w:sz w:val="32"/>
          <w:szCs w:val="32"/>
          <w:highlight w:val="none"/>
          <w:lang w:val="en-US" w:eastAsia="zh-CN"/>
        </w:rPr>
        <w:t>5</w:t>
      </w:r>
      <w:r>
        <w:rPr>
          <w:rFonts w:hint="default" w:ascii="Times New Roman" w:hAnsi="Times New Roman" w:eastAsia="仿宋_GB2312" w:cs="Times New Roman"/>
          <w:b w:val="0"/>
          <w:bCs/>
          <w:sz w:val="32"/>
          <w:szCs w:val="32"/>
          <w:highlight w:val="none"/>
          <w:lang w:val="zh-CN" w:eastAsia="zh-CN"/>
        </w:rPr>
        <w:t>年度自评得分</w:t>
      </w:r>
      <w:r>
        <w:rPr>
          <w:rFonts w:hint="eastAsia" w:eastAsia="仿宋_GB2312" w:cs="Times New Roman"/>
          <w:b w:val="0"/>
          <w:bCs/>
          <w:sz w:val="32"/>
          <w:szCs w:val="32"/>
          <w:highlight w:val="none"/>
          <w:lang w:val="zh-CN" w:eastAsia="zh-CN"/>
        </w:rPr>
        <w:t>88.93分</w:t>
      </w:r>
      <w:r>
        <w:rPr>
          <w:rFonts w:hint="default" w:ascii="Times New Roman" w:hAnsi="Times New Roman" w:eastAsia="仿宋_GB2312" w:cs="Times New Roman"/>
          <w:b w:val="0"/>
          <w:bCs/>
          <w:sz w:val="32"/>
          <w:szCs w:val="32"/>
          <w:highlight w:val="none"/>
          <w:lang w:val="zh-CN" w:eastAsia="zh-CN"/>
        </w:rPr>
        <w:t>。</w:t>
      </w:r>
    </w:p>
    <w:p w14:paraId="5E15E86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1"/>
        <w:rPr>
          <w:rFonts w:hint="default" w:ascii="Times New Roman" w:hAnsi="Times New Roman" w:eastAsia="楷体_GB2312" w:cs="Times New Roman"/>
          <w:b w:val="0"/>
          <w:bCs w:val="0"/>
          <w:color w:val="000000"/>
          <w:kern w:val="0"/>
          <w:sz w:val="32"/>
          <w:szCs w:val="32"/>
          <w:highlight w:val="none"/>
          <w:shd w:val="clear" w:color="auto" w:fill="FFFFFF"/>
          <w:lang w:val="zh-CN"/>
        </w:rPr>
      </w:pPr>
      <w:bookmarkStart w:id="110" w:name="_Toc29442"/>
      <w:bookmarkStart w:id="111" w:name="_Toc991"/>
      <w:r>
        <w:rPr>
          <w:rFonts w:hint="default" w:ascii="Times New Roman" w:hAnsi="Times New Roman" w:eastAsia="楷体_GB2312" w:cs="Times New Roman"/>
          <w:b w:val="0"/>
          <w:bCs w:val="0"/>
          <w:color w:val="000000"/>
          <w:kern w:val="0"/>
          <w:sz w:val="32"/>
          <w:szCs w:val="32"/>
          <w:highlight w:val="none"/>
          <w:shd w:val="clear" w:color="auto" w:fill="FFFFFF"/>
          <w:lang w:val="zh-CN"/>
        </w:rPr>
        <w:t>（二）存在问题</w:t>
      </w:r>
      <w:bookmarkEnd w:id="110"/>
      <w:bookmarkEnd w:id="111"/>
    </w:p>
    <w:p w14:paraId="31992BB1">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Times New Roman"/>
          <w:b w:val="0"/>
          <w:bCs/>
          <w:sz w:val="32"/>
          <w:szCs w:val="32"/>
          <w:highlight w:val="none"/>
          <w:lang w:val="en-US" w:eastAsia="zh-CN"/>
        </w:rPr>
      </w:pPr>
      <w:r>
        <w:rPr>
          <w:rFonts w:hint="eastAsia" w:ascii="Times New Roman" w:hAnsi="Times New Roman" w:eastAsia="仿宋_GB2312" w:cs="Times New Roman"/>
          <w:b/>
          <w:bCs/>
          <w:kern w:val="60"/>
          <w:sz w:val="32"/>
          <w:szCs w:val="32"/>
          <w:highlight w:val="none"/>
          <w:lang w:val="en-US" w:eastAsia="zh-CN"/>
        </w:rPr>
        <w:t>1.财政拨款预算偏离度偏高</w:t>
      </w:r>
    </w:p>
    <w:p w14:paraId="664E6226">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bCs/>
          <w:kern w:val="60"/>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2025年</w:t>
      </w:r>
      <w:r>
        <w:rPr>
          <w:rFonts w:hint="eastAsia" w:ascii="Times New Roman" w:hAnsi="Times New Roman" w:eastAsia="仿宋_GB2312" w:cs="Times New Roman"/>
          <w:b w:val="0"/>
          <w:bCs/>
          <w:sz w:val="32"/>
          <w:szCs w:val="32"/>
          <w:highlight w:val="none"/>
          <w:lang w:val="en-US" w:eastAsia="zh-CN"/>
        </w:rPr>
        <w:t>，我院</w:t>
      </w:r>
      <w:r>
        <w:rPr>
          <w:rFonts w:hint="default" w:ascii="Times New Roman" w:hAnsi="Times New Roman" w:eastAsia="仿宋_GB2312" w:cs="Times New Roman"/>
          <w:sz w:val="32"/>
          <w:szCs w:val="32"/>
          <w:lang w:val="en-US" w:eastAsia="zh-CN"/>
        </w:rPr>
        <w:t>财政拨款预算执行数为</w:t>
      </w:r>
      <w:r>
        <w:rPr>
          <w:rFonts w:hint="eastAsia" w:eastAsia="仿宋_GB2312" w:cs="Times New Roman"/>
          <w:sz w:val="32"/>
          <w:szCs w:val="32"/>
          <w:lang w:val="en-US" w:eastAsia="zh-CN"/>
        </w:rPr>
        <w:t>3373.89</w:t>
      </w:r>
      <w:r>
        <w:rPr>
          <w:rFonts w:hint="default" w:ascii="Times New Roman" w:hAnsi="Times New Roman" w:eastAsia="仿宋_GB2312" w:cs="Times New Roman"/>
          <w:sz w:val="32"/>
          <w:szCs w:val="32"/>
          <w:lang w:val="en-US" w:eastAsia="zh-CN"/>
        </w:rPr>
        <w:t>万元</w:t>
      </w:r>
      <w:r>
        <w:rPr>
          <w:rFonts w:hint="default" w:ascii="Times New Roman" w:hAnsi="Times New Roman" w:eastAsia="仿宋_GB2312" w:cs="Times New Roman"/>
          <w:b w:val="0"/>
          <w:bCs/>
          <w:sz w:val="32"/>
          <w:szCs w:val="32"/>
          <w:highlight w:val="none"/>
          <w:lang w:val="en-US" w:eastAsia="zh-CN"/>
        </w:rPr>
        <w:t>，年</w:t>
      </w:r>
      <w:r>
        <w:rPr>
          <w:rFonts w:hint="default" w:ascii="Times New Roman" w:hAnsi="Times New Roman" w:eastAsia="仿宋_GB2312" w:cs="Times New Roman"/>
          <w:sz w:val="32"/>
          <w:szCs w:val="32"/>
          <w:lang w:val="en-US" w:eastAsia="zh-CN"/>
        </w:rPr>
        <w:t>财政拨款年初预算数为</w:t>
      </w:r>
      <w:r>
        <w:rPr>
          <w:rFonts w:hint="eastAsia" w:eastAsia="仿宋_GB2312" w:cs="Times New Roman"/>
          <w:b w:val="0"/>
          <w:bCs/>
          <w:sz w:val="32"/>
          <w:szCs w:val="32"/>
          <w:lang w:val="en-US" w:eastAsia="zh-CN"/>
        </w:rPr>
        <w:t>2938.51</w:t>
      </w:r>
      <w:r>
        <w:rPr>
          <w:rFonts w:hint="default" w:ascii="Times New Roman" w:hAnsi="Times New Roman" w:eastAsia="仿宋_GB2312" w:cs="Times New Roman"/>
          <w:sz w:val="32"/>
          <w:szCs w:val="32"/>
          <w:lang w:val="en-US" w:eastAsia="zh-CN"/>
        </w:rPr>
        <w:t>万元</w:t>
      </w:r>
      <w:r>
        <w:rPr>
          <w:rFonts w:hint="default" w:ascii="Times New Roman" w:hAnsi="Times New Roman" w:eastAsia="仿宋_GB2312" w:cs="Times New Roman"/>
          <w:b w:val="0"/>
          <w:bCs/>
          <w:sz w:val="32"/>
          <w:szCs w:val="32"/>
          <w:highlight w:val="none"/>
          <w:lang w:val="en-US" w:eastAsia="zh-CN"/>
        </w:rPr>
        <w:t>，</w:t>
      </w:r>
      <w:r>
        <w:rPr>
          <w:rFonts w:hint="default" w:ascii="Times New Roman" w:hAnsi="Times New Roman" w:eastAsia="仿宋_GB2312" w:cs="Times New Roman"/>
          <w:sz w:val="32"/>
          <w:szCs w:val="32"/>
          <w:lang w:val="en-US" w:eastAsia="zh-CN"/>
        </w:rPr>
        <w:t>偏离度为</w:t>
      </w:r>
      <w:r>
        <w:rPr>
          <w:rFonts w:hint="eastAsia" w:eastAsia="仿宋_GB2312" w:cs="Times New Roman"/>
          <w:sz w:val="32"/>
          <w:szCs w:val="32"/>
          <w:lang w:val="en-US" w:eastAsia="zh-CN"/>
        </w:rPr>
        <w:t>14.81</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b w:val="0"/>
          <w:bCs/>
          <w:sz w:val="32"/>
          <w:szCs w:val="32"/>
          <w:highlight w:val="none"/>
          <w:lang w:val="en-US" w:eastAsia="zh-CN"/>
        </w:rPr>
        <w:t>，预算执行偏离度超过100%</w:t>
      </w:r>
      <w:r>
        <w:rPr>
          <w:rFonts w:hint="eastAsia" w:eastAsia="仿宋_GB2312" w:cs="Times New Roman"/>
          <w:b w:val="0"/>
          <w:bCs/>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政府采购预算执行数为</w:t>
      </w:r>
      <w:r>
        <w:rPr>
          <w:rFonts w:hint="eastAsia" w:eastAsia="仿宋_GB2312" w:cs="Times New Roman"/>
          <w:color w:val="000000" w:themeColor="text1"/>
          <w:sz w:val="32"/>
          <w:szCs w:val="32"/>
          <w:highlight w:val="none"/>
          <w:lang w:val="en-US" w:eastAsia="zh-CN"/>
          <w14:textFill>
            <w14:solidFill>
              <w14:schemeClr w14:val="tx1"/>
            </w14:solidFill>
          </w14:textFill>
        </w:rPr>
        <w:t>171.16</w:t>
      </w:r>
      <w:r>
        <w:rPr>
          <w:rFonts w:hint="default" w:ascii="Times New Roman" w:hAnsi="Times New Roman" w:eastAsia="仿宋_GB2312" w:cs="Times New Roman"/>
          <w:sz w:val="32"/>
          <w:szCs w:val="32"/>
          <w:highlight w:val="none"/>
          <w:lang w:val="en-US" w:eastAsia="zh-CN"/>
        </w:rPr>
        <w:t>万</w:t>
      </w:r>
      <w:r>
        <w:rPr>
          <w:rFonts w:hint="default" w:ascii="Times New Roman" w:hAnsi="Times New Roman" w:eastAsia="仿宋_GB2312" w:cs="Times New Roman"/>
          <w:b w:val="0"/>
          <w:bCs/>
          <w:sz w:val="32"/>
          <w:szCs w:val="32"/>
          <w:highlight w:val="none"/>
          <w:lang w:val="en-US" w:eastAsia="zh-CN"/>
        </w:rPr>
        <w:t>元，年初预算数为</w:t>
      </w:r>
      <w:r>
        <w:rPr>
          <w:rFonts w:hint="eastAsia" w:ascii="Times New Roman" w:hAnsi="Times New Roman" w:eastAsia="仿宋_GB2312" w:cs="Times New Roman"/>
          <w:b w:val="0"/>
          <w:bCs/>
          <w:sz w:val="32"/>
          <w:szCs w:val="32"/>
          <w:highlight w:val="none"/>
          <w:lang w:val="en-US" w:eastAsia="zh-CN"/>
        </w:rPr>
        <w:t>48</w:t>
      </w:r>
      <w:r>
        <w:rPr>
          <w:rFonts w:hint="default" w:ascii="Times New Roman" w:hAnsi="Times New Roman" w:eastAsia="仿宋_GB2312" w:cs="Times New Roman"/>
          <w:b w:val="0"/>
          <w:bCs/>
          <w:sz w:val="32"/>
          <w:szCs w:val="32"/>
          <w:highlight w:val="none"/>
          <w:lang w:val="en-US" w:eastAsia="zh-CN"/>
        </w:rPr>
        <w:t>万元，预算执行偏离度超过100%。</w:t>
      </w:r>
    </w:p>
    <w:p w14:paraId="0057693C">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Times New Roman"/>
          <w:b/>
          <w:bCs/>
          <w:kern w:val="60"/>
          <w:sz w:val="32"/>
          <w:szCs w:val="32"/>
          <w:highlight w:val="none"/>
          <w:lang w:val="en-US" w:eastAsia="zh-CN"/>
        </w:rPr>
      </w:pPr>
      <w:r>
        <w:rPr>
          <w:rFonts w:hint="eastAsia" w:eastAsia="仿宋_GB2312" w:cs="Times New Roman"/>
          <w:b/>
          <w:bCs/>
          <w:kern w:val="60"/>
          <w:sz w:val="32"/>
          <w:szCs w:val="32"/>
          <w:highlight w:val="none"/>
          <w:lang w:val="en-US" w:eastAsia="zh-CN"/>
        </w:rPr>
        <w:t>2</w:t>
      </w:r>
      <w:r>
        <w:rPr>
          <w:rFonts w:hint="default" w:ascii="Times New Roman" w:hAnsi="Times New Roman" w:eastAsia="仿宋_GB2312" w:cs="Times New Roman"/>
          <w:b/>
          <w:bCs/>
          <w:kern w:val="60"/>
          <w:sz w:val="32"/>
          <w:szCs w:val="32"/>
          <w:highlight w:val="none"/>
          <w:lang w:val="en-US" w:eastAsia="zh-CN"/>
        </w:rPr>
        <w:t>.一般性支出管理有待加强。</w:t>
      </w:r>
    </w:p>
    <w:p w14:paraId="4C3C7BBE">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2025年一般性支出预算执行198.23万元，2024年一般性支出预算执行90.46万元，未实现压减。</w:t>
      </w:r>
    </w:p>
    <w:p w14:paraId="67B8AFD7">
      <w:pPr>
        <w:pStyle w:val="13"/>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ascii="Times New Roman" w:hAnsi="Times New Roman" w:cs="Times New Roman"/>
          <w:b w:val="0"/>
          <w:bCs w:val="0"/>
          <w:kern w:val="0"/>
          <w:position w:val="0"/>
          <w:sz w:val="32"/>
          <w:szCs w:val="32"/>
          <w:highlight w:val="none"/>
          <w:lang w:val="en-US" w:eastAsia="zh-CN" w:bidi="ar-SA"/>
        </w:rPr>
      </w:pPr>
      <w:r>
        <w:rPr>
          <w:rFonts w:hint="eastAsia" w:cs="Times New Roman"/>
          <w:b/>
          <w:bCs/>
          <w:kern w:val="0"/>
          <w:position w:val="0"/>
          <w:sz w:val="32"/>
          <w:szCs w:val="32"/>
          <w:highlight w:val="none"/>
          <w:lang w:val="en-US" w:eastAsia="zh-CN" w:bidi="ar-SA"/>
        </w:rPr>
        <w:t>3</w:t>
      </w:r>
      <w:r>
        <w:rPr>
          <w:rFonts w:hint="default" w:ascii="Times New Roman" w:hAnsi="Times New Roman" w:cs="Times New Roman"/>
          <w:b/>
          <w:bCs/>
          <w:kern w:val="0"/>
          <w:position w:val="0"/>
          <w:sz w:val="32"/>
          <w:szCs w:val="32"/>
          <w:highlight w:val="none"/>
          <w:lang w:val="en-US" w:eastAsia="zh-CN" w:bidi="ar-SA"/>
        </w:rPr>
        <w:t>.</w:t>
      </w:r>
      <w:r>
        <w:rPr>
          <w:rFonts w:hint="default" w:ascii="Times New Roman" w:hAnsi="Times New Roman" w:eastAsia="仿宋_GB2312" w:cs="Times New Roman"/>
          <w:b/>
          <w:bCs/>
          <w:kern w:val="60"/>
          <w:sz w:val="32"/>
          <w:szCs w:val="32"/>
          <w:lang w:val="en-US" w:eastAsia="zh-CN" w:bidi="ar-SA"/>
        </w:rPr>
        <w:t>资产管理工作有待提升</w:t>
      </w:r>
      <w:r>
        <w:rPr>
          <w:rFonts w:hint="default" w:ascii="Times New Roman" w:hAnsi="Times New Roman" w:eastAsia="仿宋_GB2312" w:cs="Times New Roman"/>
          <w:b/>
          <w:bCs/>
          <w:kern w:val="60"/>
          <w:sz w:val="32"/>
          <w:szCs w:val="32"/>
          <w:highlight w:val="none"/>
          <w:lang w:val="en-US" w:eastAsia="zh-CN" w:bidi="ar-SA"/>
        </w:rPr>
        <w:t>。</w:t>
      </w:r>
    </w:p>
    <w:p w14:paraId="0D0AF36B">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2025年末，农科院办公家具账面原值118.63万元，其中超最低使用年限办公家具账面原值14.20万元，部门办公家具超最低使用年限资产利用率为11.97%，低于当年州属行政事业单位办公家具资产利用率平均值12.93%；同期农科院办公设备账面原值391.80万元，超最低使用年限办公设备账面原值91.40万元，部门办公设备超最低使用年限资产利用率为23.33%，明显低于当年州属行政事业单位办公设备资产利用率平均值53.14%。</w:t>
      </w:r>
    </w:p>
    <w:p w14:paraId="5215AF1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1"/>
        <w:rPr>
          <w:rFonts w:hint="default" w:ascii="Times New Roman" w:hAnsi="Times New Roman" w:eastAsia="楷体_GB2312" w:cs="Times New Roman"/>
          <w:b w:val="0"/>
          <w:bCs w:val="0"/>
          <w:color w:val="000000"/>
          <w:kern w:val="0"/>
          <w:sz w:val="32"/>
          <w:szCs w:val="32"/>
          <w:highlight w:val="none"/>
          <w:shd w:val="clear" w:color="auto" w:fill="FFFFFF"/>
          <w:lang w:val="zh-CN" w:eastAsia="zh-CN"/>
        </w:rPr>
      </w:pPr>
      <w:bookmarkStart w:id="112" w:name="_Toc5819"/>
      <w:bookmarkStart w:id="113" w:name="_Toc9388"/>
      <w:r>
        <w:rPr>
          <w:rFonts w:hint="default" w:ascii="Times New Roman" w:hAnsi="Times New Roman" w:eastAsia="楷体_GB2312" w:cs="Times New Roman"/>
          <w:b w:val="0"/>
          <w:bCs w:val="0"/>
          <w:color w:val="000000"/>
          <w:kern w:val="0"/>
          <w:sz w:val="32"/>
          <w:szCs w:val="32"/>
          <w:highlight w:val="none"/>
          <w:shd w:val="clear" w:color="auto" w:fill="FFFFFF"/>
          <w:lang w:val="zh-CN" w:eastAsia="zh-CN"/>
        </w:rPr>
        <w:t>（三）改进建议</w:t>
      </w:r>
      <w:bookmarkEnd w:id="112"/>
      <w:bookmarkEnd w:id="113"/>
      <w:bookmarkStart w:id="114" w:name="_Hlk110546638"/>
    </w:p>
    <w:bookmarkEnd w:id="114"/>
    <w:p w14:paraId="61CFEDC0">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both"/>
        <w:textAlignment w:val="auto"/>
        <w:outlineLvl w:val="9"/>
        <w:rPr>
          <w:rFonts w:hint="eastAsia" w:cs="Times New Roman"/>
          <w:b/>
          <w:bCs/>
          <w:kern w:val="0"/>
          <w:position w:val="0"/>
          <w:sz w:val="32"/>
          <w:szCs w:val="32"/>
          <w:highlight w:val="none"/>
          <w:lang w:val="en-US" w:eastAsia="zh-CN" w:bidi="ar-SA"/>
        </w:rPr>
      </w:pPr>
      <w:r>
        <w:rPr>
          <w:rFonts w:hint="eastAsia" w:cs="Times New Roman"/>
          <w:b/>
          <w:bCs/>
          <w:kern w:val="0"/>
          <w:position w:val="0"/>
          <w:sz w:val="32"/>
          <w:szCs w:val="32"/>
          <w:highlight w:val="none"/>
          <w:lang w:val="en-US" w:eastAsia="zh-CN" w:bidi="ar-SA"/>
        </w:rPr>
        <w:t>1.强化预算编制管理</w:t>
      </w:r>
    </w:p>
    <w:p w14:paraId="7D7D8939">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eastAsia" w:ascii="Times New Roman" w:hAnsi="Times New Roman" w:eastAsia="仿宋_GB2312" w:cs="Times New Roman"/>
          <w:b w:val="0"/>
          <w:bCs/>
          <w:sz w:val="32"/>
          <w:szCs w:val="32"/>
          <w:highlight w:val="none"/>
          <w:lang w:val="en-US" w:eastAsia="zh-CN"/>
        </w:rPr>
        <w:t>严格遵循“先有预算、后有支出”原则，提升预算编制的科学性和精准性。加强项目前期论证，细化预算编制内容，减少预算调整幅度；对政府采购等重点支出，提前做好需求研判和计划安排，确保预算与执行有效</w:t>
      </w:r>
      <w:r>
        <w:rPr>
          <w:rFonts w:hint="eastAsia" w:eastAsia="仿宋_GB2312" w:cs="Times New Roman"/>
          <w:b w:val="0"/>
          <w:bCs/>
          <w:sz w:val="32"/>
          <w:szCs w:val="32"/>
          <w:highlight w:val="none"/>
          <w:lang w:val="en-US" w:eastAsia="zh-CN"/>
        </w:rPr>
        <w:t>衔接。</w:t>
      </w:r>
    </w:p>
    <w:p w14:paraId="3DE862C3">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both"/>
        <w:textAlignment w:val="auto"/>
        <w:outlineLvl w:val="9"/>
        <w:rPr>
          <w:rFonts w:hint="default" w:ascii="Times New Roman" w:hAnsi="Times New Roman" w:cs="Times New Roman"/>
          <w:b/>
          <w:bCs/>
          <w:kern w:val="0"/>
          <w:position w:val="0"/>
          <w:sz w:val="32"/>
          <w:szCs w:val="32"/>
          <w:highlight w:val="none"/>
          <w:lang w:val="en-US" w:eastAsia="zh-CN" w:bidi="ar-SA"/>
        </w:rPr>
      </w:pPr>
      <w:r>
        <w:rPr>
          <w:rFonts w:hint="eastAsia" w:cs="Times New Roman"/>
          <w:b/>
          <w:bCs/>
          <w:kern w:val="0"/>
          <w:position w:val="0"/>
          <w:sz w:val="32"/>
          <w:szCs w:val="32"/>
          <w:highlight w:val="none"/>
          <w:lang w:val="en-US" w:eastAsia="zh-CN" w:bidi="ar-SA"/>
        </w:rPr>
        <w:t>2.</w:t>
      </w:r>
      <w:r>
        <w:rPr>
          <w:rFonts w:hint="default" w:ascii="Times New Roman" w:hAnsi="Times New Roman" w:cs="Times New Roman"/>
          <w:b/>
          <w:bCs/>
          <w:kern w:val="0"/>
          <w:position w:val="0"/>
          <w:sz w:val="32"/>
          <w:szCs w:val="32"/>
          <w:highlight w:val="none"/>
          <w:lang w:val="en-US" w:eastAsia="zh-CN" w:bidi="ar-SA"/>
        </w:rPr>
        <w:t>严控一般性支出</w:t>
      </w:r>
    </w:p>
    <w:p w14:paraId="752A3432">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 w:eastAsia="zh-CN"/>
        </w:rPr>
      </w:pPr>
      <w:r>
        <w:rPr>
          <w:rFonts w:hint="eastAsia" w:eastAsia="仿宋_GB2312" w:cs="Times New Roman"/>
          <w:b w:val="0"/>
          <w:bCs/>
          <w:sz w:val="32"/>
          <w:szCs w:val="32"/>
          <w:highlight w:val="none"/>
          <w:lang w:val="en-US" w:eastAsia="zh-CN"/>
        </w:rPr>
        <w:t>农科院</w:t>
      </w:r>
      <w:r>
        <w:rPr>
          <w:rFonts w:hint="default" w:ascii="Times New Roman" w:hAnsi="Times New Roman" w:eastAsia="仿宋_GB2312" w:cs="Times New Roman"/>
          <w:b w:val="0"/>
          <w:bCs/>
          <w:sz w:val="32"/>
          <w:szCs w:val="32"/>
          <w:highlight w:val="none"/>
          <w:lang w:val="en-US" w:eastAsia="zh-CN"/>
        </w:rPr>
        <w:t>将增强“过紧日子”思想意识，充分认识“过紧日子”的重要性和必要性，减少非必要的公务接待及出差人员数量。相关领导要以身作则，做好表率，层层压实责任，确保“过紧日子”思想深入人心，厉行节约措施落实到位。</w:t>
      </w:r>
    </w:p>
    <w:p w14:paraId="557DBC7B">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both"/>
        <w:textAlignment w:val="auto"/>
        <w:outlineLvl w:val="9"/>
        <w:rPr>
          <w:rFonts w:hint="default" w:ascii="Times New Roman" w:hAnsi="Times New Roman" w:cs="Times New Roman"/>
          <w:b/>
          <w:bCs/>
          <w:kern w:val="0"/>
          <w:position w:val="0"/>
          <w:sz w:val="32"/>
          <w:szCs w:val="32"/>
          <w:highlight w:val="none"/>
          <w:lang w:val="en-US" w:eastAsia="zh-CN" w:bidi="ar-SA"/>
        </w:rPr>
      </w:pPr>
      <w:r>
        <w:rPr>
          <w:rFonts w:hint="eastAsia" w:cs="Times New Roman"/>
          <w:b/>
          <w:bCs/>
          <w:kern w:val="0"/>
          <w:position w:val="0"/>
          <w:sz w:val="32"/>
          <w:szCs w:val="32"/>
          <w:highlight w:val="none"/>
          <w:lang w:val="en-US" w:eastAsia="zh-CN" w:bidi="ar-SA"/>
        </w:rPr>
        <w:t>3.</w:t>
      </w:r>
      <w:r>
        <w:rPr>
          <w:rFonts w:hint="default" w:ascii="Times New Roman" w:hAnsi="Times New Roman" w:cs="Times New Roman"/>
          <w:b/>
          <w:bCs/>
          <w:kern w:val="0"/>
          <w:position w:val="0"/>
          <w:sz w:val="32"/>
          <w:szCs w:val="32"/>
          <w:highlight w:val="none"/>
          <w:lang w:val="en-US" w:eastAsia="zh-CN" w:bidi="ar-SA"/>
        </w:rPr>
        <w:t>加强资产管理基础</w:t>
      </w:r>
    </w:p>
    <w:p w14:paraId="1BBE4C65">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en-US" w:eastAsia="zh-CN"/>
        </w:rPr>
      </w:pPr>
      <w:r>
        <w:rPr>
          <w:rFonts w:hint="eastAsia" w:eastAsia="仿宋_GB2312" w:cs="Times New Roman"/>
          <w:b w:val="0"/>
          <w:bCs/>
          <w:sz w:val="32"/>
          <w:szCs w:val="32"/>
          <w:highlight w:val="none"/>
          <w:lang w:val="en-US" w:eastAsia="zh-CN"/>
        </w:rPr>
        <w:t>一是</w:t>
      </w:r>
      <w:r>
        <w:rPr>
          <w:rFonts w:hint="default" w:ascii="Times New Roman" w:hAnsi="Times New Roman" w:eastAsia="仿宋_GB2312" w:cs="Times New Roman"/>
          <w:b w:val="0"/>
          <w:bCs/>
          <w:sz w:val="32"/>
          <w:szCs w:val="32"/>
          <w:highlight w:val="none"/>
          <w:lang w:val="en-US" w:eastAsia="zh-CN"/>
        </w:rPr>
        <w:t>实行资产分类分级管理。对新</w:t>
      </w:r>
      <w:r>
        <w:rPr>
          <w:rFonts w:hint="eastAsia" w:eastAsia="仿宋_GB2312" w:cs="Times New Roman"/>
          <w:b w:val="0"/>
          <w:bCs/>
          <w:sz w:val="32"/>
          <w:szCs w:val="32"/>
          <w:highlight w:val="none"/>
          <w:lang w:val="en-US" w:eastAsia="zh-CN"/>
        </w:rPr>
        <w:t>合并的部门</w:t>
      </w:r>
      <w:r>
        <w:rPr>
          <w:rFonts w:hint="default" w:ascii="Times New Roman" w:hAnsi="Times New Roman" w:eastAsia="仿宋_GB2312" w:cs="Times New Roman"/>
          <w:b w:val="0"/>
          <w:bCs/>
          <w:sz w:val="32"/>
          <w:szCs w:val="32"/>
          <w:highlight w:val="none"/>
          <w:lang w:val="en-US" w:eastAsia="zh-CN"/>
        </w:rPr>
        <w:t>区新增资产与原有存量资产进行分类登记、分级管控</w:t>
      </w:r>
      <w:r>
        <w:rPr>
          <w:rFonts w:hint="eastAsia" w:eastAsia="仿宋_GB2312" w:cs="Times New Roman"/>
          <w:b w:val="0"/>
          <w:bCs/>
          <w:sz w:val="32"/>
          <w:szCs w:val="32"/>
          <w:highlight w:val="none"/>
          <w:lang w:val="en-US" w:eastAsia="zh-CN"/>
        </w:rPr>
        <w:t>。</w:t>
      </w:r>
      <w:r>
        <w:rPr>
          <w:rFonts w:hint="default" w:ascii="Times New Roman" w:hAnsi="Times New Roman" w:eastAsia="仿宋_GB2312" w:cs="Times New Roman"/>
          <w:b w:val="0"/>
          <w:bCs/>
          <w:sz w:val="32"/>
          <w:szCs w:val="32"/>
          <w:highlight w:val="none"/>
          <w:lang w:val="en-US" w:eastAsia="zh-CN"/>
        </w:rPr>
        <w:t>建立资产全生命周期管理台账，明确资产使用部门、责任人及使用年限，实现资产从采购、入库、使用到处置的全流程可追溯，提升资产统筹管控精细化水平。二是贯彻落实固定资产管理制度，组织落实固定资产管理，定期组织设备的清点，保证账、卡、物三相符，定期组织固定资产的盘点。三是将相关责任落实到具体负责人，加强固定资产卡片管理，做到有物必登、登记到人、一物一卡、不重不漏，并定期与固定资产卡片进行核对，确保账卡相符。对于新购资产，应当及时建立并登记固定资产卡片，明确资产基本信息及使用信息，并随资产生命周期管理动态更新。</w:t>
      </w:r>
    </w:p>
    <w:p w14:paraId="22CC3E6C">
      <w:pPr>
        <w:keepNext w:val="0"/>
        <w:keepLines w:val="0"/>
        <w:pageBreakBefore w:val="0"/>
        <w:kinsoku/>
        <w:wordWrap/>
        <w:overflowPunct/>
        <w:topLinePunct w:val="0"/>
        <w:autoSpaceDE/>
        <w:autoSpaceDN/>
        <w:bidi w:val="0"/>
        <w:spacing w:line="578" w:lineRule="exact"/>
        <w:ind w:firstLine="420" w:firstLineChars="200"/>
        <w:jc w:val="left"/>
        <w:textAlignment w:val="auto"/>
        <w:rPr>
          <w:rFonts w:hint="default" w:ascii="Times New Roman" w:hAnsi="Times New Roman" w:eastAsia="仿宋_GB2312" w:cs="Times New Roman"/>
          <w:color w:val="000000"/>
          <w:kern w:val="0"/>
          <w:szCs w:val="32"/>
          <w:highlight w:val="none"/>
          <w:shd w:val="clear" w:color="auto" w:fill="FFFFFF"/>
          <w:lang w:val="en-US" w:eastAsia="zh-CN"/>
        </w:rPr>
      </w:pPr>
    </w:p>
    <w:p w14:paraId="2ED1CCE1">
      <w:pPr>
        <w:keepNext w:val="0"/>
        <w:keepLines w:val="0"/>
        <w:pageBreakBefore w:val="0"/>
        <w:kinsoku/>
        <w:wordWrap/>
        <w:overflowPunct/>
        <w:topLinePunct w:val="0"/>
        <w:autoSpaceDE/>
        <w:autoSpaceDN/>
        <w:bidi w:val="0"/>
        <w:spacing w:line="578" w:lineRule="exact"/>
        <w:ind w:firstLine="640" w:firstLineChars="200"/>
        <w:jc w:val="left"/>
        <w:textAlignment w:val="auto"/>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附表：1.部门预算绩效自评打分表</w:t>
      </w:r>
    </w:p>
    <w:p w14:paraId="081F39D2">
      <w:pPr>
        <w:keepNext w:val="0"/>
        <w:keepLines w:val="0"/>
        <w:pageBreakBefore w:val="0"/>
        <w:kinsoku/>
        <w:wordWrap/>
        <w:overflowPunct/>
        <w:topLinePunct w:val="0"/>
        <w:autoSpaceDE/>
        <w:autoSpaceDN/>
        <w:bidi w:val="0"/>
        <w:spacing w:line="578" w:lineRule="exact"/>
        <w:ind w:firstLine="1600" w:firstLineChars="500"/>
        <w:jc w:val="left"/>
        <w:textAlignment w:val="auto"/>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2.</w:t>
      </w:r>
      <w:r>
        <w:rPr>
          <w:rFonts w:hint="default" w:ascii="Times New Roman" w:hAnsi="Times New Roman" w:eastAsia="仿宋_GB2312" w:cs="Times New Roman"/>
          <w:color w:val="000000"/>
          <w:kern w:val="0"/>
          <w:sz w:val="32"/>
          <w:szCs w:val="32"/>
          <w:highlight w:val="none"/>
          <w:shd w:val="clear" w:color="auto" w:fill="FFFFFF"/>
          <w:lang w:val="en-US" w:eastAsia="zh-CN"/>
        </w:rPr>
        <w:t>部门整体</w:t>
      </w:r>
      <w:r>
        <w:rPr>
          <w:rFonts w:hint="eastAsia" w:ascii="Times New Roman" w:hAnsi="Times New Roman" w:eastAsia="仿宋_GB2312" w:cs="Times New Roman"/>
          <w:color w:val="000000"/>
          <w:kern w:val="0"/>
          <w:sz w:val="32"/>
          <w:szCs w:val="32"/>
          <w:highlight w:val="none"/>
          <w:shd w:val="clear" w:color="auto" w:fill="FFFFFF"/>
          <w:lang w:val="en-US" w:eastAsia="zh-CN"/>
        </w:rPr>
        <w:t>支出</w:t>
      </w:r>
      <w:r>
        <w:rPr>
          <w:rFonts w:hint="default" w:ascii="Times New Roman" w:hAnsi="Times New Roman" w:eastAsia="仿宋_GB2312" w:cs="Times New Roman"/>
          <w:color w:val="000000"/>
          <w:kern w:val="0"/>
          <w:sz w:val="32"/>
          <w:szCs w:val="32"/>
          <w:highlight w:val="none"/>
          <w:shd w:val="clear" w:color="auto" w:fill="FFFFFF"/>
          <w:lang w:val="en-US" w:eastAsia="zh-CN"/>
        </w:rPr>
        <w:t>绩效目标完成情况自评表</w:t>
      </w:r>
    </w:p>
    <w:p w14:paraId="773BF23C">
      <w:pPr>
        <w:keepNext w:val="0"/>
        <w:keepLines w:val="0"/>
        <w:pageBreakBefore w:val="0"/>
        <w:kinsoku/>
        <w:wordWrap/>
        <w:overflowPunct/>
        <w:topLinePunct w:val="0"/>
        <w:autoSpaceDE/>
        <w:autoSpaceDN/>
        <w:bidi w:val="0"/>
        <w:spacing w:line="578" w:lineRule="exact"/>
        <w:ind w:firstLine="1600" w:firstLineChars="500"/>
        <w:jc w:val="left"/>
        <w:textAlignment w:val="auto"/>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3.</w:t>
      </w:r>
      <w:r>
        <w:rPr>
          <w:rFonts w:hint="default" w:ascii="Times New Roman" w:hAnsi="Times New Roman" w:eastAsia="仿宋_GB2312" w:cs="Times New Roman"/>
          <w:color w:val="000000"/>
          <w:kern w:val="0"/>
          <w:sz w:val="32"/>
          <w:szCs w:val="32"/>
          <w:highlight w:val="none"/>
          <w:shd w:val="clear" w:color="auto" w:fill="FFFFFF"/>
          <w:lang w:val="en-US" w:eastAsia="zh-CN"/>
        </w:rPr>
        <w:t>部门预算项目支出绩效评价表</w:t>
      </w:r>
    </w:p>
    <w:p w14:paraId="16DCAF39">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p>
    <w:p w14:paraId="54C7383D">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sectPr>
          <w:headerReference r:id="rId7" w:type="default"/>
          <w:footerReference r:id="rId8" w:type="default"/>
          <w:pgSz w:w="11906" w:h="16838"/>
          <w:pgMar w:top="2098" w:right="1474" w:bottom="1984" w:left="1587" w:header="851" w:footer="992" w:gutter="0"/>
          <w:pgNumType w:fmt="decimal" w:start="1"/>
          <w:cols w:space="425" w:num="1"/>
          <w:docGrid w:type="lines" w:linePitch="312" w:charSpace="0"/>
        </w:sectPr>
      </w:pPr>
    </w:p>
    <w:p w14:paraId="60DCC878">
      <w:pPr>
        <w:spacing w:line="578" w:lineRule="exact"/>
        <w:jc w:val="left"/>
        <w:rPr>
          <w:rFonts w:eastAsia="黑体"/>
        </w:rPr>
      </w:pPr>
      <w:r>
        <w:rPr>
          <w:rFonts w:eastAsia="黑体"/>
        </w:rPr>
        <w:t>附表</w:t>
      </w:r>
      <w:r>
        <w:rPr>
          <w:rFonts w:hint="eastAsia" w:eastAsia="黑体"/>
        </w:rPr>
        <w:t>1</w:t>
      </w:r>
    </w:p>
    <w:p w14:paraId="0853C3F1">
      <w:pPr>
        <w:widowControl/>
        <w:snapToGrid w:val="0"/>
        <w:spacing w:line="240" w:lineRule="auto"/>
        <w:ind w:left="0" w:leftChars="0" w:right="0" w:rightChars="0" w:firstLine="0" w:firstLineChars="0"/>
        <w:jc w:val="center"/>
        <w:textAlignment w:val="center"/>
        <w:rPr>
          <w:rFonts w:hint="eastAsia" w:eastAsia="方正小标宋简体"/>
          <w:color w:val="000000"/>
          <w:kern w:val="0"/>
          <w:sz w:val="44"/>
          <w:szCs w:val="44"/>
        </w:rPr>
      </w:pPr>
      <w:r>
        <w:rPr>
          <w:rFonts w:hint="eastAsia" w:eastAsia="方正小标宋简体"/>
          <w:color w:val="000000"/>
          <w:kern w:val="0"/>
          <w:sz w:val="44"/>
          <w:szCs w:val="44"/>
        </w:rPr>
        <w:t>部门预算绩效自评打分表</w:t>
      </w:r>
    </w:p>
    <w:tbl>
      <w:tblPr>
        <w:tblStyle w:val="17"/>
        <w:tblW w:w="9962" w:type="dxa"/>
        <w:jc w:val="center"/>
        <w:tblLayout w:type="autofit"/>
        <w:tblCellMar>
          <w:top w:w="0" w:type="dxa"/>
          <w:left w:w="108" w:type="dxa"/>
          <w:bottom w:w="0" w:type="dxa"/>
          <w:right w:w="108" w:type="dxa"/>
        </w:tblCellMar>
      </w:tblPr>
      <w:tblGrid>
        <w:gridCol w:w="1173"/>
        <w:gridCol w:w="1111"/>
        <w:gridCol w:w="2262"/>
        <w:gridCol w:w="689"/>
        <w:gridCol w:w="3571"/>
        <w:gridCol w:w="656"/>
        <w:gridCol w:w="500"/>
      </w:tblGrid>
      <w:tr w14:paraId="77ED33E5">
        <w:tblPrEx>
          <w:tblCellMar>
            <w:top w:w="0" w:type="dxa"/>
            <w:left w:w="108" w:type="dxa"/>
            <w:bottom w:w="0" w:type="dxa"/>
            <w:right w:w="108" w:type="dxa"/>
          </w:tblCellMar>
        </w:tblPrEx>
        <w:trPr>
          <w:trHeight w:val="840" w:hRule="atLeast"/>
          <w:tblHeader/>
          <w:jc w:val="center"/>
        </w:trPr>
        <w:tc>
          <w:tcPr>
            <w:tcW w:w="523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4BF7718">
            <w:pPr>
              <w:widowControl/>
              <w:snapToGrid w:val="0"/>
              <w:spacing w:line="240" w:lineRule="auto"/>
              <w:ind w:left="0" w:leftChars="0" w:right="0" w:rightChars="0" w:firstLine="0" w:firstLineChars="0"/>
              <w:jc w:val="center"/>
              <w:textAlignment w:val="center"/>
              <w:rPr>
                <w:rFonts w:ascii="黑体" w:hAnsi="宋体" w:eastAsia="黑体" w:cs="黑体"/>
                <w:b/>
                <w:color w:val="000000"/>
                <w:sz w:val="21"/>
                <w:szCs w:val="24"/>
              </w:rPr>
            </w:pPr>
            <w:r>
              <w:rPr>
                <w:rFonts w:hint="eastAsia" w:ascii="黑体" w:hAnsi="宋体" w:eastAsia="黑体" w:cs="黑体"/>
                <w:b/>
                <w:color w:val="000000"/>
                <w:kern w:val="0"/>
                <w:sz w:val="21"/>
                <w:szCs w:val="24"/>
              </w:rPr>
              <w:t>绩效评价</w:t>
            </w:r>
            <w:r>
              <w:rPr>
                <w:rFonts w:hint="eastAsia" w:ascii="黑体" w:hAnsi="宋体" w:eastAsia="黑体" w:cs="黑体"/>
                <w:b/>
                <w:color w:val="000000"/>
                <w:kern w:val="0"/>
                <w:sz w:val="21"/>
                <w:szCs w:val="24"/>
                <w:lang w:eastAsia="zh-CN"/>
              </w:rPr>
              <w:t>指标</w:t>
            </w:r>
            <w:r>
              <w:rPr>
                <w:rFonts w:hint="eastAsia" w:ascii="黑体" w:hAnsi="宋体" w:eastAsia="黑体" w:cs="黑体"/>
                <w:b/>
                <w:color w:val="000000"/>
                <w:kern w:val="0"/>
                <w:sz w:val="21"/>
                <w:szCs w:val="24"/>
              </w:rPr>
              <w:t>分值</w:t>
            </w:r>
          </w:p>
        </w:tc>
        <w:tc>
          <w:tcPr>
            <w:tcW w:w="357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A7C57E2">
            <w:pPr>
              <w:widowControl/>
              <w:snapToGrid w:val="0"/>
              <w:spacing w:line="240" w:lineRule="auto"/>
              <w:ind w:left="0" w:leftChars="0" w:right="0" w:rightChars="0" w:firstLine="0" w:firstLineChars="0"/>
              <w:jc w:val="center"/>
              <w:textAlignment w:val="center"/>
              <w:rPr>
                <w:rFonts w:ascii="黑体" w:hAnsi="宋体" w:eastAsia="黑体" w:cs="黑体"/>
                <w:b/>
                <w:color w:val="000000"/>
                <w:sz w:val="21"/>
                <w:szCs w:val="24"/>
              </w:rPr>
            </w:pPr>
            <w:r>
              <w:rPr>
                <w:rFonts w:hint="eastAsia" w:ascii="黑体" w:hAnsi="宋体" w:eastAsia="黑体" w:cs="黑体"/>
                <w:b/>
                <w:color w:val="000000"/>
                <w:kern w:val="0"/>
                <w:sz w:val="21"/>
                <w:szCs w:val="24"/>
              </w:rPr>
              <w:t>指标解释</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5A7104C">
            <w:pPr>
              <w:widowControl/>
              <w:snapToGrid w:val="0"/>
              <w:spacing w:line="240" w:lineRule="auto"/>
              <w:ind w:left="0" w:leftChars="0" w:right="0" w:rightChars="0" w:firstLine="0" w:firstLineChars="0"/>
              <w:jc w:val="center"/>
              <w:textAlignment w:val="center"/>
              <w:rPr>
                <w:rFonts w:ascii="黑体" w:hAnsi="宋体" w:eastAsia="黑体" w:cs="黑体"/>
                <w:b/>
                <w:color w:val="000000"/>
                <w:kern w:val="0"/>
                <w:sz w:val="21"/>
                <w:szCs w:val="24"/>
              </w:rPr>
            </w:pPr>
            <w:r>
              <w:rPr>
                <w:rFonts w:hint="eastAsia" w:ascii="黑体" w:hAnsi="宋体" w:eastAsia="黑体" w:cs="黑体"/>
                <w:b/>
                <w:color w:val="000000"/>
                <w:kern w:val="0"/>
                <w:sz w:val="21"/>
                <w:szCs w:val="24"/>
              </w:rPr>
              <w:t>自评得分</w:t>
            </w:r>
          </w:p>
        </w:tc>
        <w:tc>
          <w:tcPr>
            <w:tcW w:w="5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658AF5D">
            <w:pPr>
              <w:widowControl/>
              <w:snapToGrid w:val="0"/>
              <w:spacing w:line="240" w:lineRule="auto"/>
              <w:ind w:left="0" w:leftChars="0" w:right="0" w:rightChars="0" w:firstLine="0" w:firstLineChars="0"/>
              <w:jc w:val="center"/>
              <w:textAlignment w:val="center"/>
              <w:rPr>
                <w:rFonts w:ascii="黑体" w:hAnsi="宋体" w:eastAsia="黑体" w:cs="黑体"/>
                <w:b/>
                <w:color w:val="000000"/>
                <w:kern w:val="0"/>
                <w:sz w:val="21"/>
                <w:szCs w:val="24"/>
              </w:rPr>
            </w:pPr>
            <w:r>
              <w:rPr>
                <w:rFonts w:hint="eastAsia" w:ascii="黑体" w:hAnsi="宋体" w:eastAsia="黑体" w:cs="黑体"/>
                <w:b/>
                <w:color w:val="000000"/>
                <w:kern w:val="0"/>
                <w:sz w:val="21"/>
                <w:szCs w:val="24"/>
              </w:rPr>
              <w:t>备注</w:t>
            </w:r>
          </w:p>
        </w:tc>
      </w:tr>
      <w:tr w14:paraId="453BAE2B">
        <w:tblPrEx>
          <w:tblCellMar>
            <w:top w:w="0" w:type="dxa"/>
            <w:left w:w="108" w:type="dxa"/>
            <w:bottom w:w="0" w:type="dxa"/>
            <w:right w:w="108" w:type="dxa"/>
          </w:tblCellMar>
        </w:tblPrEx>
        <w:trPr>
          <w:trHeight w:val="0" w:hRule="atLeast"/>
          <w:tblHeader/>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9413B5F">
            <w:pPr>
              <w:widowControl/>
              <w:snapToGrid w:val="0"/>
              <w:spacing w:line="240" w:lineRule="auto"/>
              <w:ind w:left="0" w:leftChars="0" w:right="0" w:rightChars="0" w:firstLine="0" w:firstLineChars="0"/>
              <w:jc w:val="center"/>
              <w:textAlignment w:val="center"/>
              <w:rPr>
                <w:rFonts w:ascii="黑体" w:hAnsi="宋体" w:eastAsia="黑体" w:cs="黑体"/>
                <w:b/>
                <w:color w:val="000000"/>
                <w:sz w:val="21"/>
                <w:szCs w:val="24"/>
              </w:rPr>
            </w:pPr>
            <w:r>
              <w:rPr>
                <w:rFonts w:hint="eastAsia" w:ascii="黑体" w:hAnsi="宋体" w:eastAsia="黑体" w:cs="黑体"/>
                <w:b/>
                <w:color w:val="000000"/>
                <w:kern w:val="0"/>
                <w:sz w:val="21"/>
                <w:szCs w:val="24"/>
              </w:rPr>
              <w:t>一级指标</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8DA188D">
            <w:pPr>
              <w:widowControl/>
              <w:snapToGrid w:val="0"/>
              <w:spacing w:line="240" w:lineRule="auto"/>
              <w:ind w:left="0" w:leftChars="0" w:right="0" w:rightChars="0" w:firstLine="0" w:firstLineChars="0"/>
              <w:jc w:val="center"/>
              <w:textAlignment w:val="center"/>
              <w:rPr>
                <w:rFonts w:ascii="黑体" w:hAnsi="宋体" w:eastAsia="黑体" w:cs="黑体"/>
                <w:b/>
                <w:color w:val="000000"/>
                <w:sz w:val="21"/>
                <w:szCs w:val="24"/>
              </w:rPr>
            </w:pPr>
            <w:r>
              <w:rPr>
                <w:rFonts w:hint="eastAsia" w:ascii="黑体" w:hAnsi="宋体" w:eastAsia="黑体" w:cs="黑体"/>
                <w:b/>
                <w:color w:val="000000"/>
                <w:kern w:val="0"/>
                <w:sz w:val="21"/>
                <w:szCs w:val="24"/>
              </w:rPr>
              <w:t>二级指标</w:t>
            </w:r>
          </w:p>
        </w:tc>
        <w:tc>
          <w:tcPr>
            <w:tcW w:w="2107" w:type="dxa"/>
            <w:tcBorders>
              <w:top w:val="single" w:color="auto" w:sz="4" w:space="0"/>
              <w:left w:val="single" w:color="auto" w:sz="4" w:space="0"/>
              <w:bottom w:val="single" w:color="auto" w:sz="4" w:space="0"/>
              <w:right w:val="single" w:color="auto" w:sz="4" w:space="0"/>
            </w:tcBorders>
            <w:shd w:val="clear" w:color="auto" w:fill="auto"/>
            <w:vAlign w:val="center"/>
          </w:tcPr>
          <w:p w14:paraId="1F50B6BD">
            <w:pPr>
              <w:widowControl/>
              <w:snapToGrid w:val="0"/>
              <w:spacing w:line="240" w:lineRule="auto"/>
              <w:ind w:left="0" w:leftChars="0" w:right="0" w:rightChars="0" w:firstLine="0" w:firstLineChars="0"/>
              <w:jc w:val="center"/>
              <w:textAlignment w:val="center"/>
              <w:rPr>
                <w:rFonts w:ascii="黑体" w:hAnsi="宋体" w:eastAsia="黑体" w:cs="黑体"/>
                <w:b/>
                <w:color w:val="000000"/>
                <w:sz w:val="21"/>
                <w:szCs w:val="24"/>
              </w:rPr>
            </w:pPr>
            <w:r>
              <w:rPr>
                <w:rFonts w:hint="eastAsia" w:ascii="黑体" w:hAnsi="宋体" w:eastAsia="黑体" w:cs="黑体"/>
                <w:b/>
                <w:color w:val="000000"/>
                <w:kern w:val="0"/>
                <w:sz w:val="21"/>
                <w:szCs w:val="24"/>
              </w:rPr>
              <w:t>三级指标</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CC46FDD">
            <w:pPr>
              <w:widowControl/>
              <w:snapToGrid w:val="0"/>
              <w:spacing w:line="240" w:lineRule="auto"/>
              <w:ind w:left="0" w:leftChars="0" w:right="0" w:rightChars="0" w:firstLine="0" w:firstLineChars="0"/>
              <w:jc w:val="center"/>
              <w:textAlignment w:val="center"/>
              <w:rPr>
                <w:rFonts w:ascii="黑体" w:hAnsi="宋体" w:eastAsia="黑体" w:cs="黑体"/>
                <w:b/>
                <w:color w:val="000000"/>
                <w:sz w:val="21"/>
                <w:szCs w:val="24"/>
              </w:rPr>
            </w:pPr>
            <w:r>
              <w:rPr>
                <w:rFonts w:hint="eastAsia" w:ascii="黑体" w:hAnsi="宋体" w:eastAsia="黑体" w:cs="黑体"/>
                <w:b/>
                <w:color w:val="000000"/>
                <w:kern w:val="0"/>
                <w:sz w:val="21"/>
                <w:szCs w:val="24"/>
              </w:rPr>
              <w:t>指标分值</w:t>
            </w:r>
          </w:p>
        </w:tc>
        <w:tc>
          <w:tcPr>
            <w:tcW w:w="357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56005AB">
            <w:pPr>
              <w:widowControl/>
              <w:snapToGrid w:val="0"/>
              <w:spacing w:line="240" w:lineRule="auto"/>
              <w:ind w:left="0" w:leftChars="0" w:right="0" w:rightChars="0" w:firstLine="0" w:firstLineChars="0"/>
              <w:jc w:val="center"/>
              <w:rPr>
                <w:rFonts w:ascii="黑体" w:hAnsi="宋体" w:eastAsia="黑体" w:cs="黑体"/>
                <w:b/>
                <w:color w:val="000000"/>
                <w:sz w:val="21"/>
                <w:szCs w:val="24"/>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392A75A">
            <w:pPr>
              <w:widowControl/>
              <w:snapToGrid w:val="0"/>
              <w:spacing w:line="240" w:lineRule="auto"/>
              <w:ind w:left="0" w:leftChars="0" w:right="0" w:rightChars="0" w:firstLine="0" w:firstLineChars="0"/>
              <w:jc w:val="center"/>
              <w:rPr>
                <w:rFonts w:ascii="黑体" w:hAnsi="宋体" w:eastAsia="黑体" w:cs="黑体"/>
                <w:b/>
                <w:color w:val="000000"/>
                <w:sz w:val="21"/>
                <w:szCs w:val="24"/>
              </w:rPr>
            </w:pPr>
          </w:p>
        </w:tc>
        <w:tc>
          <w:tcPr>
            <w:tcW w:w="5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29C726D">
            <w:pPr>
              <w:widowControl/>
              <w:snapToGrid w:val="0"/>
              <w:spacing w:line="240" w:lineRule="auto"/>
              <w:ind w:left="0" w:leftChars="0" w:right="0" w:rightChars="0" w:firstLine="0" w:firstLineChars="0"/>
              <w:jc w:val="center"/>
              <w:rPr>
                <w:rFonts w:ascii="黑体" w:hAnsi="宋体" w:eastAsia="黑体" w:cs="黑体"/>
                <w:b/>
                <w:color w:val="000000"/>
                <w:sz w:val="21"/>
                <w:szCs w:val="24"/>
              </w:rPr>
            </w:pPr>
          </w:p>
        </w:tc>
      </w:tr>
      <w:tr w14:paraId="657F43A2">
        <w:tblPrEx>
          <w:tblCellMar>
            <w:top w:w="0" w:type="dxa"/>
            <w:left w:w="108" w:type="dxa"/>
            <w:bottom w:w="0" w:type="dxa"/>
            <w:right w:w="108" w:type="dxa"/>
          </w:tblCellMar>
        </w:tblPrEx>
        <w:trPr>
          <w:trHeight w:val="272" w:hRule="atLeast"/>
          <w:jc w:val="center"/>
        </w:trPr>
        <w:tc>
          <w:tcPr>
            <w:tcW w:w="0" w:type="auto"/>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398112D">
            <w:pPr>
              <w:widowControl/>
              <w:snapToGrid w:val="0"/>
              <w:spacing w:line="240" w:lineRule="auto"/>
              <w:ind w:left="0" w:leftChars="0" w:right="0" w:rightChars="0" w:firstLine="0" w:firstLineChars="0"/>
              <w:jc w:val="center"/>
              <w:textAlignment w:val="center"/>
              <w:rPr>
                <w:rFonts w:ascii="宋体" w:hAnsi="宋体" w:eastAsia="宋体" w:cs="宋体"/>
                <w:b/>
                <w:color w:val="000000"/>
                <w:sz w:val="21"/>
                <w:szCs w:val="24"/>
              </w:rPr>
            </w:pPr>
            <w:r>
              <w:rPr>
                <w:rFonts w:hint="eastAsia" w:ascii="宋体" w:hAnsi="宋体" w:eastAsia="宋体" w:cs="宋体"/>
                <w:b/>
                <w:color w:val="000000"/>
                <w:kern w:val="0"/>
                <w:sz w:val="21"/>
                <w:szCs w:val="24"/>
              </w:rPr>
              <w:t>总体绩效（65分）</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F454108">
            <w:pPr>
              <w:widowControl/>
              <w:snapToGrid w:val="0"/>
              <w:spacing w:line="240" w:lineRule="auto"/>
              <w:ind w:left="0" w:leftChars="0" w:right="0" w:rightChars="0" w:firstLine="0" w:firstLineChars="0"/>
              <w:jc w:val="center"/>
              <w:textAlignment w:val="center"/>
              <w:rPr>
                <w:rFonts w:ascii="宋体" w:hAnsi="宋体" w:eastAsia="宋体" w:cs="宋体"/>
                <w:b/>
                <w:color w:val="000000"/>
                <w:sz w:val="21"/>
                <w:szCs w:val="24"/>
              </w:rPr>
            </w:pPr>
            <w:r>
              <w:rPr>
                <w:rFonts w:hint="eastAsia" w:ascii="宋体" w:hAnsi="宋体" w:eastAsia="宋体" w:cs="宋体"/>
                <w:b/>
                <w:color w:val="000000"/>
                <w:kern w:val="0"/>
                <w:sz w:val="21"/>
                <w:szCs w:val="24"/>
              </w:rPr>
              <w:t>履职效能</w:t>
            </w:r>
            <w:r>
              <w:rPr>
                <w:rFonts w:hint="eastAsia" w:ascii="宋体" w:hAnsi="宋体" w:eastAsia="宋体" w:cs="宋体"/>
                <w:b/>
                <w:color w:val="000000"/>
                <w:kern w:val="0"/>
                <w:sz w:val="21"/>
                <w:szCs w:val="24"/>
              </w:rPr>
              <w:br w:type="textWrapping"/>
            </w:r>
            <w:r>
              <w:rPr>
                <w:rFonts w:hint="eastAsia" w:ascii="宋体" w:hAnsi="宋体" w:eastAsia="宋体" w:cs="宋体"/>
                <w:b/>
                <w:color w:val="000000"/>
                <w:kern w:val="0"/>
                <w:sz w:val="21"/>
                <w:szCs w:val="24"/>
              </w:rPr>
              <w:t>（15分）</w:t>
            </w:r>
          </w:p>
        </w:tc>
        <w:tc>
          <w:tcPr>
            <w:tcW w:w="2107" w:type="dxa"/>
            <w:tcBorders>
              <w:top w:val="single" w:color="auto" w:sz="4" w:space="0"/>
              <w:left w:val="single" w:color="auto" w:sz="4" w:space="0"/>
              <w:bottom w:val="single" w:color="auto" w:sz="4" w:space="0"/>
              <w:right w:val="single" w:color="auto" w:sz="4" w:space="0"/>
            </w:tcBorders>
            <w:shd w:val="clear" w:color="auto" w:fill="auto"/>
            <w:vAlign w:val="center"/>
          </w:tcPr>
          <w:p w14:paraId="4A21F4A0">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lang w:val="en-US" w:eastAsia="zh-CN"/>
              </w:rPr>
              <w:t>畜牧水产领域引领突破</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BE38D72">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15</w:t>
            </w:r>
          </w:p>
        </w:tc>
        <w:tc>
          <w:tcPr>
            <w:tcW w:w="357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E5164A4">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部门整体绩效目标中选定3</w:t>
            </w:r>
            <w:r>
              <w:rPr>
                <w:rFonts w:hint="eastAsia" w:ascii="宋体" w:hAnsi="宋体" w:eastAsia="宋体" w:cs="宋体"/>
                <w:color w:val="000000"/>
                <w:kern w:val="0"/>
                <w:sz w:val="21"/>
                <w:szCs w:val="24"/>
                <w:lang w:eastAsia="zh-CN"/>
              </w:rPr>
              <w:t>—</w:t>
            </w:r>
            <w:r>
              <w:rPr>
                <w:rFonts w:hint="eastAsia" w:ascii="宋体" w:hAnsi="宋体" w:eastAsia="宋体" w:cs="宋体"/>
                <w:color w:val="000000"/>
                <w:kern w:val="0"/>
                <w:sz w:val="21"/>
                <w:szCs w:val="24"/>
              </w:rPr>
              <w:t>5个核心职能目标，反映该项职能目标完成效果情况</w:t>
            </w:r>
          </w:p>
        </w:tc>
        <w:tc>
          <w:tcPr>
            <w:tcW w:w="65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823869F">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lang w:val="en-US" w:eastAsia="zh-CN"/>
              </w:rPr>
              <w:t>15</w:t>
            </w:r>
          </w:p>
        </w:tc>
        <w:tc>
          <w:tcPr>
            <w:tcW w:w="5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C74458E">
            <w:pPr>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1"/>
                <w:szCs w:val="24"/>
              </w:rPr>
            </w:pPr>
          </w:p>
        </w:tc>
      </w:tr>
      <w:tr w14:paraId="07943C59">
        <w:tblPrEx>
          <w:tblCellMar>
            <w:top w:w="0" w:type="dxa"/>
            <w:left w:w="108" w:type="dxa"/>
            <w:bottom w:w="0" w:type="dxa"/>
            <w:right w:w="108" w:type="dxa"/>
          </w:tblCellMar>
        </w:tblPrEx>
        <w:trPr>
          <w:trHeight w:val="272" w:hRule="atLeast"/>
          <w:jc w:val="center"/>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714F9C4">
            <w:pPr>
              <w:widowControl/>
              <w:snapToGrid w:val="0"/>
              <w:spacing w:line="240" w:lineRule="auto"/>
              <w:ind w:left="0" w:leftChars="0" w:right="0" w:rightChars="0" w:firstLine="0" w:firstLineChars="0"/>
              <w:jc w:val="center"/>
              <w:textAlignment w:val="cente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CF0F347">
            <w:pPr>
              <w:widowControl/>
              <w:snapToGrid w:val="0"/>
              <w:spacing w:line="240" w:lineRule="auto"/>
              <w:ind w:left="0" w:leftChars="0" w:right="0" w:rightChars="0" w:firstLine="0" w:firstLineChars="0"/>
              <w:jc w:val="center"/>
              <w:textAlignment w:val="center"/>
            </w:pPr>
          </w:p>
        </w:tc>
        <w:tc>
          <w:tcPr>
            <w:tcW w:w="2107" w:type="dxa"/>
            <w:tcBorders>
              <w:top w:val="single" w:color="auto" w:sz="4" w:space="0"/>
              <w:left w:val="single" w:color="auto" w:sz="4" w:space="0"/>
              <w:bottom w:val="single" w:color="auto" w:sz="4" w:space="0"/>
              <w:right w:val="single" w:color="auto" w:sz="4" w:space="0"/>
            </w:tcBorders>
            <w:shd w:val="clear" w:color="auto" w:fill="auto"/>
            <w:vAlign w:val="center"/>
          </w:tcPr>
          <w:p w14:paraId="606F122E">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lang w:val="en-US" w:eastAsia="zh-CN"/>
              </w:rPr>
              <w:t>作物与园艺领域稳步推进</w:t>
            </w: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EB7AE91">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p>
        </w:tc>
        <w:tc>
          <w:tcPr>
            <w:tcW w:w="357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5C2D7CB">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734A7AB">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p>
        </w:tc>
        <w:tc>
          <w:tcPr>
            <w:tcW w:w="5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C17C4F3">
            <w:pPr>
              <w:widowControl/>
              <w:snapToGrid w:val="0"/>
              <w:spacing w:line="240" w:lineRule="auto"/>
              <w:ind w:left="0" w:leftChars="0" w:right="0" w:rightChars="0" w:firstLine="0" w:firstLineChars="0"/>
              <w:jc w:val="center"/>
              <w:textAlignment w:val="center"/>
              <w:rPr>
                <w:rFonts w:ascii="宋体" w:hAnsi="宋体" w:eastAsia="宋体" w:cs="宋体"/>
                <w:color w:val="000000"/>
                <w:sz w:val="21"/>
                <w:szCs w:val="24"/>
              </w:rPr>
            </w:pPr>
          </w:p>
        </w:tc>
      </w:tr>
      <w:tr w14:paraId="484E607E">
        <w:tblPrEx>
          <w:tblCellMar>
            <w:top w:w="0" w:type="dxa"/>
            <w:left w:w="108" w:type="dxa"/>
            <w:bottom w:w="0" w:type="dxa"/>
            <w:right w:w="108" w:type="dxa"/>
          </w:tblCellMar>
        </w:tblPrEx>
        <w:trPr>
          <w:trHeight w:val="272" w:hRule="atLeast"/>
          <w:jc w:val="center"/>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94EB961">
            <w:pPr>
              <w:widowControl/>
              <w:snapToGrid w:val="0"/>
              <w:spacing w:line="240" w:lineRule="auto"/>
              <w:ind w:left="0" w:leftChars="0" w:right="0" w:rightChars="0" w:firstLine="0" w:firstLineChars="0"/>
              <w:jc w:val="center"/>
              <w:textAlignment w:val="center"/>
              <w:rPr>
                <w:rFonts w:ascii="宋体" w:hAnsi="宋体" w:eastAsia="宋体" w:cs="宋体"/>
                <w:color w:val="000000"/>
                <w:sz w:val="21"/>
                <w:szCs w:val="24"/>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457849E">
            <w:pPr>
              <w:widowControl/>
              <w:snapToGrid w:val="0"/>
              <w:spacing w:line="240" w:lineRule="auto"/>
              <w:ind w:left="0" w:leftChars="0" w:right="0" w:rightChars="0" w:firstLine="0" w:firstLineChars="0"/>
              <w:jc w:val="center"/>
              <w:textAlignment w:val="center"/>
              <w:rPr>
                <w:rFonts w:ascii="宋体" w:hAnsi="宋体" w:eastAsia="宋体" w:cs="宋体"/>
                <w:color w:val="000000"/>
                <w:sz w:val="21"/>
                <w:szCs w:val="24"/>
              </w:rPr>
            </w:pPr>
          </w:p>
        </w:tc>
        <w:tc>
          <w:tcPr>
            <w:tcW w:w="2107" w:type="dxa"/>
            <w:tcBorders>
              <w:top w:val="single" w:color="auto" w:sz="4" w:space="0"/>
              <w:left w:val="single" w:color="auto" w:sz="4" w:space="0"/>
              <w:bottom w:val="single" w:color="auto" w:sz="4" w:space="0"/>
              <w:right w:val="single" w:color="auto" w:sz="4" w:space="0"/>
            </w:tcBorders>
            <w:shd w:val="clear" w:color="auto" w:fill="auto"/>
            <w:vAlign w:val="center"/>
          </w:tcPr>
          <w:p w14:paraId="0DE38E52">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lang w:val="en-US" w:eastAsia="zh-CN"/>
              </w:rPr>
              <w:t>综合管理与内控制度初步健全</w:t>
            </w: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DBFBDCF">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p>
        </w:tc>
        <w:tc>
          <w:tcPr>
            <w:tcW w:w="357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15DA322">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D309629">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p>
        </w:tc>
        <w:tc>
          <w:tcPr>
            <w:tcW w:w="5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340093F">
            <w:pPr>
              <w:widowControl/>
              <w:snapToGrid w:val="0"/>
              <w:spacing w:line="240" w:lineRule="auto"/>
              <w:ind w:left="0" w:leftChars="0" w:right="0" w:rightChars="0" w:firstLine="0" w:firstLineChars="0"/>
              <w:jc w:val="center"/>
              <w:textAlignment w:val="center"/>
              <w:rPr>
                <w:rFonts w:ascii="宋体" w:hAnsi="宋体" w:eastAsia="宋体" w:cs="宋体"/>
                <w:color w:val="000000"/>
                <w:sz w:val="21"/>
                <w:szCs w:val="24"/>
              </w:rPr>
            </w:pPr>
          </w:p>
        </w:tc>
      </w:tr>
      <w:tr w14:paraId="1CAF9F54">
        <w:tblPrEx>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BD490DB">
            <w:pPr>
              <w:widowControl/>
              <w:snapToGrid w:val="0"/>
              <w:spacing w:line="240" w:lineRule="auto"/>
              <w:ind w:left="0" w:leftChars="0" w:right="0" w:rightChars="0" w:firstLine="0" w:firstLineChars="0"/>
              <w:jc w:val="center"/>
              <w:rPr>
                <w:rFonts w:ascii="宋体" w:hAnsi="宋体" w:eastAsia="宋体" w:cs="宋体"/>
                <w:b/>
                <w:color w:val="000000"/>
                <w:sz w:val="21"/>
                <w:szCs w:val="24"/>
              </w:rPr>
            </w:pP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0B00C51">
            <w:pPr>
              <w:widowControl/>
              <w:snapToGrid w:val="0"/>
              <w:spacing w:line="240" w:lineRule="auto"/>
              <w:ind w:left="0" w:leftChars="0" w:right="0" w:rightChars="0" w:firstLine="0" w:firstLineChars="0"/>
              <w:jc w:val="center"/>
              <w:textAlignment w:val="center"/>
              <w:rPr>
                <w:rFonts w:ascii="宋体" w:hAnsi="宋体" w:eastAsia="宋体" w:cs="宋体"/>
                <w:b/>
                <w:color w:val="000000"/>
                <w:sz w:val="21"/>
                <w:szCs w:val="24"/>
              </w:rPr>
            </w:pPr>
            <w:r>
              <w:rPr>
                <w:rFonts w:hint="eastAsia" w:ascii="宋体" w:hAnsi="宋体" w:eastAsia="宋体" w:cs="宋体"/>
                <w:b/>
                <w:color w:val="000000"/>
                <w:kern w:val="0"/>
                <w:sz w:val="21"/>
                <w:szCs w:val="24"/>
              </w:rPr>
              <w:t>预算管理</w:t>
            </w:r>
            <w:r>
              <w:rPr>
                <w:rFonts w:hint="eastAsia" w:ascii="宋体" w:hAnsi="宋体" w:eastAsia="宋体" w:cs="宋体"/>
                <w:b/>
                <w:color w:val="000000"/>
                <w:kern w:val="0"/>
                <w:sz w:val="21"/>
                <w:szCs w:val="24"/>
              </w:rPr>
              <w:br w:type="textWrapping"/>
            </w:r>
            <w:r>
              <w:rPr>
                <w:rFonts w:hint="eastAsia" w:ascii="宋体" w:hAnsi="宋体" w:eastAsia="宋体" w:cs="宋体"/>
                <w:b/>
                <w:color w:val="000000"/>
                <w:kern w:val="0"/>
                <w:sz w:val="21"/>
                <w:szCs w:val="24"/>
              </w:rPr>
              <w:t>（25分）</w:t>
            </w:r>
          </w:p>
        </w:tc>
        <w:tc>
          <w:tcPr>
            <w:tcW w:w="2107" w:type="dxa"/>
            <w:tcBorders>
              <w:top w:val="single" w:color="auto" w:sz="4" w:space="0"/>
              <w:left w:val="single" w:color="auto" w:sz="4" w:space="0"/>
              <w:bottom w:val="single" w:color="auto" w:sz="4" w:space="0"/>
              <w:right w:val="single" w:color="auto" w:sz="4" w:space="0"/>
            </w:tcBorders>
            <w:shd w:val="clear" w:color="auto" w:fill="auto"/>
            <w:vAlign w:val="center"/>
          </w:tcPr>
          <w:p w14:paraId="61BD5439">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预算编制质量</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4B8B543">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8</w:t>
            </w:r>
          </w:p>
        </w:tc>
        <w:tc>
          <w:tcPr>
            <w:tcW w:w="3571" w:type="dxa"/>
            <w:tcBorders>
              <w:top w:val="single" w:color="auto" w:sz="4" w:space="0"/>
              <w:left w:val="single" w:color="auto" w:sz="4" w:space="0"/>
              <w:bottom w:val="single" w:color="auto" w:sz="4" w:space="0"/>
              <w:right w:val="single" w:color="auto" w:sz="4" w:space="0"/>
            </w:tcBorders>
            <w:shd w:val="clear" w:color="auto" w:fill="auto"/>
            <w:vAlign w:val="center"/>
          </w:tcPr>
          <w:p w14:paraId="3E12CADF">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部门是否严格按要求编制年初部门预算，年初预算编制的科学性和准确性</w:t>
            </w:r>
          </w:p>
        </w:tc>
        <w:tc>
          <w:tcPr>
            <w:tcW w:w="656" w:type="dxa"/>
            <w:tcBorders>
              <w:top w:val="single" w:color="auto" w:sz="4" w:space="0"/>
              <w:left w:val="single" w:color="auto" w:sz="4" w:space="0"/>
              <w:bottom w:val="single" w:color="auto" w:sz="4" w:space="0"/>
              <w:right w:val="single" w:color="auto" w:sz="4" w:space="0"/>
            </w:tcBorders>
            <w:shd w:val="clear" w:color="auto" w:fill="auto"/>
            <w:vAlign w:val="center"/>
          </w:tcPr>
          <w:p w14:paraId="55EEFB28">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lang w:val="en-US" w:eastAsia="zh-CN"/>
              </w:rPr>
              <w:t>5.41</w:t>
            </w: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14:paraId="57469937">
            <w:pPr>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1"/>
                <w:szCs w:val="24"/>
              </w:rPr>
            </w:pPr>
          </w:p>
        </w:tc>
      </w:tr>
      <w:tr w14:paraId="738C2D3F">
        <w:tblPrEx>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85D7B4A">
            <w:pPr>
              <w:widowControl/>
              <w:snapToGrid w:val="0"/>
              <w:spacing w:line="240" w:lineRule="auto"/>
              <w:ind w:left="0" w:leftChars="0" w:right="0" w:rightChars="0" w:firstLine="0" w:firstLineChars="0"/>
              <w:jc w:val="center"/>
              <w:rPr>
                <w:rFonts w:ascii="宋体" w:hAnsi="宋体" w:eastAsia="宋体" w:cs="宋体"/>
                <w:b/>
                <w:color w:val="000000"/>
                <w:sz w:val="21"/>
                <w:szCs w:val="24"/>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8F872E4">
            <w:pPr>
              <w:widowControl/>
              <w:snapToGrid w:val="0"/>
              <w:spacing w:line="240" w:lineRule="auto"/>
              <w:ind w:left="0" w:leftChars="0" w:right="0" w:rightChars="0" w:firstLine="0" w:firstLineChars="0"/>
              <w:jc w:val="center"/>
              <w:rPr>
                <w:rFonts w:ascii="宋体" w:hAnsi="宋体" w:eastAsia="宋体" w:cs="宋体"/>
                <w:b/>
                <w:color w:val="000000"/>
                <w:sz w:val="21"/>
                <w:szCs w:val="24"/>
              </w:rPr>
            </w:pPr>
          </w:p>
        </w:tc>
        <w:tc>
          <w:tcPr>
            <w:tcW w:w="2107" w:type="dxa"/>
            <w:tcBorders>
              <w:top w:val="single" w:color="auto" w:sz="4" w:space="0"/>
              <w:left w:val="single" w:color="auto" w:sz="4" w:space="0"/>
              <w:bottom w:val="single" w:color="auto" w:sz="4" w:space="0"/>
              <w:right w:val="single" w:color="auto" w:sz="4" w:space="0"/>
            </w:tcBorders>
            <w:shd w:val="clear" w:color="auto" w:fill="auto"/>
            <w:vAlign w:val="center"/>
          </w:tcPr>
          <w:p w14:paraId="28B1C4FE">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单位收入统筹</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F5622D0">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4</w:t>
            </w:r>
          </w:p>
        </w:tc>
        <w:tc>
          <w:tcPr>
            <w:tcW w:w="3571" w:type="dxa"/>
            <w:tcBorders>
              <w:top w:val="single" w:color="auto" w:sz="4" w:space="0"/>
              <w:left w:val="single" w:color="auto" w:sz="4" w:space="0"/>
              <w:bottom w:val="single" w:color="auto" w:sz="4" w:space="0"/>
              <w:right w:val="single" w:color="auto" w:sz="4" w:space="0"/>
            </w:tcBorders>
            <w:shd w:val="clear" w:color="auto" w:fill="auto"/>
            <w:vAlign w:val="center"/>
          </w:tcPr>
          <w:p w14:paraId="24776296">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部门统筹自有收入努力程度</w:t>
            </w:r>
          </w:p>
        </w:tc>
        <w:tc>
          <w:tcPr>
            <w:tcW w:w="656" w:type="dxa"/>
            <w:tcBorders>
              <w:top w:val="single" w:color="auto" w:sz="4" w:space="0"/>
              <w:left w:val="single" w:color="auto" w:sz="4" w:space="0"/>
              <w:bottom w:val="single" w:color="auto" w:sz="4" w:space="0"/>
              <w:right w:val="single" w:color="auto" w:sz="4" w:space="0"/>
            </w:tcBorders>
            <w:shd w:val="clear" w:color="auto" w:fill="auto"/>
            <w:vAlign w:val="center"/>
          </w:tcPr>
          <w:p w14:paraId="10B58590">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lang w:val="en-US" w:eastAsia="zh-CN"/>
              </w:rPr>
              <w:t>2</w:t>
            </w: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14:paraId="23DC9D93">
            <w:pPr>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1"/>
                <w:szCs w:val="24"/>
              </w:rPr>
            </w:pPr>
          </w:p>
        </w:tc>
      </w:tr>
      <w:tr w14:paraId="552EED85">
        <w:tblPrEx>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D5BCD34">
            <w:pPr>
              <w:widowControl/>
              <w:snapToGrid w:val="0"/>
              <w:spacing w:line="240" w:lineRule="auto"/>
              <w:ind w:left="0" w:leftChars="0" w:right="0" w:rightChars="0" w:firstLine="0" w:firstLineChars="0"/>
              <w:jc w:val="center"/>
              <w:rPr>
                <w:rFonts w:ascii="宋体" w:hAnsi="宋体" w:eastAsia="宋体" w:cs="宋体"/>
                <w:b/>
                <w:color w:val="000000"/>
                <w:sz w:val="21"/>
                <w:szCs w:val="24"/>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6EE7135">
            <w:pPr>
              <w:widowControl/>
              <w:snapToGrid w:val="0"/>
              <w:spacing w:line="240" w:lineRule="auto"/>
              <w:ind w:left="0" w:leftChars="0" w:right="0" w:rightChars="0" w:firstLine="0" w:firstLineChars="0"/>
              <w:jc w:val="center"/>
              <w:rPr>
                <w:rFonts w:ascii="宋体" w:hAnsi="宋体" w:eastAsia="宋体" w:cs="宋体"/>
                <w:b/>
                <w:color w:val="000000"/>
                <w:sz w:val="21"/>
                <w:szCs w:val="24"/>
              </w:rPr>
            </w:pPr>
          </w:p>
        </w:tc>
        <w:tc>
          <w:tcPr>
            <w:tcW w:w="2107" w:type="dxa"/>
            <w:tcBorders>
              <w:top w:val="single" w:color="auto" w:sz="4" w:space="0"/>
              <w:left w:val="single" w:color="auto" w:sz="4" w:space="0"/>
              <w:bottom w:val="single" w:color="auto" w:sz="4" w:space="0"/>
              <w:right w:val="single" w:color="auto" w:sz="4" w:space="0"/>
            </w:tcBorders>
            <w:shd w:val="clear" w:color="auto" w:fill="auto"/>
            <w:vAlign w:val="center"/>
          </w:tcPr>
          <w:p w14:paraId="05D28095">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支出执行管理</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93883BE">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6</w:t>
            </w:r>
          </w:p>
        </w:tc>
        <w:tc>
          <w:tcPr>
            <w:tcW w:w="3571" w:type="dxa"/>
            <w:tcBorders>
              <w:top w:val="single" w:color="auto" w:sz="4" w:space="0"/>
              <w:left w:val="single" w:color="auto" w:sz="4" w:space="0"/>
              <w:bottom w:val="single" w:color="auto" w:sz="4" w:space="0"/>
              <w:right w:val="single" w:color="auto" w:sz="4" w:space="0"/>
            </w:tcBorders>
            <w:shd w:val="clear" w:color="auto" w:fill="auto"/>
            <w:vAlign w:val="center"/>
          </w:tcPr>
          <w:p w14:paraId="7BFA89D2">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部门1至6月、1至10月预算执行情况</w:t>
            </w:r>
          </w:p>
        </w:tc>
        <w:tc>
          <w:tcPr>
            <w:tcW w:w="656" w:type="dxa"/>
            <w:tcBorders>
              <w:top w:val="single" w:color="auto" w:sz="4" w:space="0"/>
              <w:left w:val="single" w:color="auto" w:sz="4" w:space="0"/>
              <w:bottom w:val="single" w:color="auto" w:sz="4" w:space="0"/>
              <w:right w:val="single" w:color="auto" w:sz="4" w:space="0"/>
            </w:tcBorders>
            <w:shd w:val="clear" w:color="auto" w:fill="auto"/>
            <w:vAlign w:val="center"/>
          </w:tcPr>
          <w:p w14:paraId="1B072FB8">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lang w:val="en-US" w:eastAsia="zh-CN"/>
              </w:rPr>
              <w:t>5.06</w:t>
            </w: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14:paraId="1DD9AA8E">
            <w:pPr>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1"/>
                <w:szCs w:val="24"/>
              </w:rPr>
            </w:pPr>
          </w:p>
        </w:tc>
      </w:tr>
      <w:tr w14:paraId="10BACDC5">
        <w:tblPrEx>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728442A">
            <w:pPr>
              <w:widowControl/>
              <w:snapToGrid w:val="0"/>
              <w:spacing w:line="240" w:lineRule="auto"/>
              <w:ind w:left="0" w:leftChars="0" w:right="0" w:rightChars="0" w:firstLine="0" w:firstLineChars="0"/>
              <w:jc w:val="center"/>
              <w:rPr>
                <w:rFonts w:ascii="宋体" w:hAnsi="宋体" w:eastAsia="宋体" w:cs="宋体"/>
                <w:b/>
                <w:color w:val="000000"/>
                <w:sz w:val="21"/>
                <w:szCs w:val="24"/>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FB9B2F3">
            <w:pPr>
              <w:widowControl/>
              <w:snapToGrid w:val="0"/>
              <w:spacing w:line="240" w:lineRule="auto"/>
              <w:ind w:left="0" w:leftChars="0" w:right="0" w:rightChars="0" w:firstLine="0" w:firstLineChars="0"/>
              <w:jc w:val="center"/>
              <w:rPr>
                <w:rFonts w:ascii="宋体" w:hAnsi="宋体" w:eastAsia="宋体" w:cs="宋体"/>
                <w:b/>
                <w:color w:val="000000"/>
                <w:sz w:val="21"/>
                <w:szCs w:val="24"/>
              </w:rPr>
            </w:pPr>
          </w:p>
        </w:tc>
        <w:tc>
          <w:tcPr>
            <w:tcW w:w="2107" w:type="dxa"/>
            <w:tcBorders>
              <w:top w:val="single" w:color="auto" w:sz="4" w:space="0"/>
              <w:left w:val="single" w:color="auto" w:sz="4" w:space="0"/>
              <w:bottom w:val="single" w:color="auto" w:sz="4" w:space="0"/>
              <w:right w:val="single" w:color="auto" w:sz="4" w:space="0"/>
            </w:tcBorders>
            <w:shd w:val="clear" w:color="auto" w:fill="auto"/>
            <w:vAlign w:val="center"/>
          </w:tcPr>
          <w:p w14:paraId="218D4465">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预算年终结余</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1DF0BA6">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2</w:t>
            </w:r>
          </w:p>
        </w:tc>
        <w:tc>
          <w:tcPr>
            <w:tcW w:w="3571" w:type="dxa"/>
            <w:tcBorders>
              <w:top w:val="single" w:color="auto" w:sz="4" w:space="0"/>
              <w:left w:val="single" w:color="auto" w:sz="4" w:space="0"/>
              <w:bottom w:val="single" w:color="auto" w:sz="4" w:space="0"/>
              <w:right w:val="single" w:color="auto" w:sz="4" w:space="0"/>
            </w:tcBorders>
            <w:shd w:val="clear" w:color="auto" w:fill="auto"/>
            <w:vAlign w:val="center"/>
          </w:tcPr>
          <w:p w14:paraId="4AF95536">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部门整体年终预算结余情况</w:t>
            </w:r>
          </w:p>
        </w:tc>
        <w:tc>
          <w:tcPr>
            <w:tcW w:w="656" w:type="dxa"/>
            <w:tcBorders>
              <w:top w:val="single" w:color="auto" w:sz="4" w:space="0"/>
              <w:left w:val="single" w:color="auto" w:sz="4" w:space="0"/>
              <w:bottom w:val="single" w:color="auto" w:sz="4" w:space="0"/>
              <w:right w:val="single" w:color="auto" w:sz="4" w:space="0"/>
            </w:tcBorders>
            <w:shd w:val="clear" w:color="auto" w:fill="auto"/>
            <w:vAlign w:val="center"/>
          </w:tcPr>
          <w:p w14:paraId="594CDE30">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lang w:val="en-US" w:eastAsia="zh-CN"/>
              </w:rPr>
              <w:t>1.94</w:t>
            </w: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14:paraId="4D21290A">
            <w:pPr>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1"/>
                <w:szCs w:val="24"/>
              </w:rPr>
            </w:pPr>
          </w:p>
        </w:tc>
      </w:tr>
      <w:tr w14:paraId="5E03A92D">
        <w:tblPrEx>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3B725FD">
            <w:pPr>
              <w:widowControl/>
              <w:snapToGrid w:val="0"/>
              <w:spacing w:line="240" w:lineRule="auto"/>
              <w:ind w:left="0" w:leftChars="0" w:right="0" w:rightChars="0" w:firstLine="0" w:firstLineChars="0"/>
              <w:jc w:val="center"/>
              <w:rPr>
                <w:rFonts w:ascii="宋体" w:hAnsi="宋体" w:eastAsia="宋体" w:cs="宋体"/>
                <w:b/>
                <w:color w:val="000000"/>
                <w:sz w:val="21"/>
                <w:szCs w:val="24"/>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AD60D3">
            <w:pPr>
              <w:widowControl/>
              <w:snapToGrid w:val="0"/>
              <w:spacing w:line="240" w:lineRule="auto"/>
              <w:ind w:left="0" w:leftChars="0" w:right="0" w:rightChars="0" w:firstLine="0" w:firstLineChars="0"/>
              <w:jc w:val="center"/>
              <w:rPr>
                <w:rFonts w:ascii="宋体" w:hAnsi="宋体" w:eastAsia="宋体" w:cs="宋体"/>
                <w:b/>
                <w:color w:val="000000"/>
                <w:sz w:val="21"/>
                <w:szCs w:val="24"/>
              </w:rPr>
            </w:pPr>
          </w:p>
        </w:tc>
        <w:tc>
          <w:tcPr>
            <w:tcW w:w="2107" w:type="dxa"/>
            <w:tcBorders>
              <w:top w:val="single" w:color="auto" w:sz="4" w:space="0"/>
              <w:left w:val="single" w:color="auto" w:sz="4" w:space="0"/>
              <w:bottom w:val="single" w:color="auto" w:sz="4" w:space="0"/>
              <w:right w:val="single" w:color="auto" w:sz="4" w:space="0"/>
            </w:tcBorders>
            <w:shd w:val="clear" w:color="auto" w:fill="auto"/>
            <w:vAlign w:val="center"/>
          </w:tcPr>
          <w:p w14:paraId="22754D4C">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严控一般性支出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67D6EE6">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5</w:t>
            </w:r>
          </w:p>
        </w:tc>
        <w:tc>
          <w:tcPr>
            <w:tcW w:w="3571" w:type="dxa"/>
            <w:tcBorders>
              <w:top w:val="single" w:color="auto" w:sz="4" w:space="0"/>
              <w:left w:val="single" w:color="auto" w:sz="4" w:space="0"/>
              <w:bottom w:val="single" w:color="auto" w:sz="4" w:space="0"/>
              <w:right w:val="single" w:color="auto" w:sz="4" w:space="0"/>
            </w:tcBorders>
            <w:shd w:val="clear" w:color="auto" w:fill="auto"/>
            <w:vAlign w:val="center"/>
          </w:tcPr>
          <w:p w14:paraId="2CD8A7E5">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部门严控“三公”经费、会议、培训、差旅、办节办展、办公设备购置、信息化建设和运维、课题经费、竞赛活动、规划编</w:t>
            </w:r>
            <w:r>
              <w:rPr>
                <w:rFonts w:hint="eastAsia" w:ascii="宋体" w:hAnsi="宋体" w:eastAsia="宋体" w:cs="宋体"/>
                <w:color w:val="000000"/>
                <w:kern w:val="0"/>
                <w:sz w:val="21"/>
                <w:szCs w:val="24"/>
                <w:lang w:eastAsia="zh-CN"/>
              </w:rPr>
              <w:t>制等</w:t>
            </w:r>
            <w:r>
              <w:rPr>
                <w:rFonts w:hint="eastAsia" w:ascii="宋体" w:hAnsi="宋体" w:eastAsia="宋体" w:cs="宋体"/>
                <w:color w:val="000000"/>
                <w:kern w:val="0"/>
                <w:sz w:val="21"/>
                <w:szCs w:val="24"/>
              </w:rPr>
              <w:t>一般性支出情况</w:t>
            </w:r>
          </w:p>
        </w:tc>
        <w:tc>
          <w:tcPr>
            <w:tcW w:w="656" w:type="dxa"/>
            <w:tcBorders>
              <w:top w:val="single" w:color="auto" w:sz="4" w:space="0"/>
              <w:left w:val="single" w:color="auto" w:sz="4" w:space="0"/>
              <w:bottom w:val="single" w:color="auto" w:sz="4" w:space="0"/>
              <w:right w:val="single" w:color="auto" w:sz="4" w:space="0"/>
            </w:tcBorders>
            <w:shd w:val="clear" w:color="auto" w:fill="auto"/>
            <w:vAlign w:val="center"/>
          </w:tcPr>
          <w:p w14:paraId="40F7B1CE">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lang w:val="en-US" w:eastAsia="zh-CN"/>
              </w:rPr>
              <w:t>2</w:t>
            </w: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14:paraId="4FA43EBF">
            <w:pPr>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1"/>
                <w:szCs w:val="24"/>
              </w:rPr>
            </w:pPr>
          </w:p>
        </w:tc>
      </w:tr>
      <w:tr w14:paraId="109002DB">
        <w:tblPrEx>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62CBA38">
            <w:pPr>
              <w:widowControl/>
              <w:snapToGrid w:val="0"/>
              <w:spacing w:line="240" w:lineRule="auto"/>
              <w:ind w:left="0" w:leftChars="0" w:right="0" w:rightChars="0" w:firstLine="0" w:firstLineChars="0"/>
              <w:jc w:val="center"/>
              <w:rPr>
                <w:rFonts w:ascii="宋体" w:hAnsi="宋体" w:eastAsia="宋体" w:cs="宋体"/>
                <w:b/>
                <w:color w:val="000000"/>
                <w:sz w:val="21"/>
                <w:szCs w:val="24"/>
              </w:rPr>
            </w:pP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21028DF">
            <w:pPr>
              <w:widowControl/>
              <w:snapToGrid w:val="0"/>
              <w:spacing w:line="240" w:lineRule="auto"/>
              <w:ind w:left="0" w:leftChars="0" w:right="0" w:rightChars="0" w:firstLine="0" w:firstLineChars="0"/>
              <w:jc w:val="center"/>
              <w:textAlignment w:val="center"/>
              <w:rPr>
                <w:rFonts w:ascii="宋体" w:hAnsi="宋体" w:eastAsia="宋体" w:cs="宋体"/>
                <w:b/>
                <w:color w:val="000000"/>
                <w:sz w:val="21"/>
                <w:szCs w:val="24"/>
              </w:rPr>
            </w:pPr>
            <w:r>
              <w:rPr>
                <w:rFonts w:hint="eastAsia" w:ascii="宋体" w:hAnsi="宋体" w:eastAsia="宋体" w:cs="宋体"/>
                <w:b/>
                <w:color w:val="000000"/>
                <w:kern w:val="0"/>
                <w:sz w:val="21"/>
                <w:szCs w:val="24"/>
              </w:rPr>
              <w:t>财务管理</w:t>
            </w:r>
            <w:r>
              <w:rPr>
                <w:rFonts w:hint="eastAsia" w:ascii="宋体" w:hAnsi="宋体" w:eastAsia="宋体" w:cs="宋体"/>
                <w:b/>
                <w:color w:val="000000"/>
                <w:kern w:val="0"/>
                <w:sz w:val="21"/>
                <w:szCs w:val="24"/>
              </w:rPr>
              <w:br w:type="textWrapping"/>
            </w:r>
            <w:r>
              <w:rPr>
                <w:rFonts w:hint="eastAsia" w:ascii="宋体" w:hAnsi="宋体" w:eastAsia="宋体" w:cs="宋体"/>
                <w:b/>
                <w:color w:val="000000"/>
                <w:kern w:val="0"/>
                <w:sz w:val="21"/>
                <w:szCs w:val="24"/>
              </w:rPr>
              <w:t>（10分）</w:t>
            </w:r>
          </w:p>
        </w:tc>
        <w:tc>
          <w:tcPr>
            <w:tcW w:w="2107" w:type="dxa"/>
            <w:tcBorders>
              <w:top w:val="single" w:color="auto" w:sz="4" w:space="0"/>
              <w:left w:val="single" w:color="auto" w:sz="4" w:space="0"/>
              <w:bottom w:val="single" w:color="auto" w:sz="4" w:space="0"/>
              <w:right w:val="single" w:color="auto" w:sz="4" w:space="0"/>
            </w:tcBorders>
            <w:shd w:val="clear" w:color="auto" w:fill="auto"/>
            <w:vAlign w:val="center"/>
          </w:tcPr>
          <w:p w14:paraId="58691C27">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财务管理制度</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503A801">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4</w:t>
            </w:r>
          </w:p>
        </w:tc>
        <w:tc>
          <w:tcPr>
            <w:tcW w:w="3571" w:type="dxa"/>
            <w:tcBorders>
              <w:top w:val="single" w:color="auto" w:sz="4" w:space="0"/>
              <w:left w:val="single" w:color="auto" w:sz="4" w:space="0"/>
              <w:bottom w:val="single" w:color="auto" w:sz="4" w:space="0"/>
              <w:right w:val="single" w:color="auto" w:sz="4" w:space="0"/>
            </w:tcBorders>
            <w:shd w:val="clear" w:color="auto" w:fill="auto"/>
            <w:vAlign w:val="center"/>
          </w:tcPr>
          <w:p w14:paraId="0BF1A6AD">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部门财务管理制度建立情况</w:t>
            </w:r>
          </w:p>
        </w:tc>
        <w:tc>
          <w:tcPr>
            <w:tcW w:w="656" w:type="dxa"/>
            <w:tcBorders>
              <w:top w:val="single" w:color="auto" w:sz="4" w:space="0"/>
              <w:left w:val="single" w:color="auto" w:sz="4" w:space="0"/>
              <w:bottom w:val="single" w:color="auto" w:sz="4" w:space="0"/>
              <w:right w:val="single" w:color="auto" w:sz="4" w:space="0"/>
            </w:tcBorders>
            <w:shd w:val="clear" w:color="auto" w:fill="auto"/>
            <w:vAlign w:val="center"/>
          </w:tcPr>
          <w:p w14:paraId="75015BEF">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lang w:val="en-US" w:eastAsia="zh-CN"/>
              </w:rPr>
              <w:t>4</w:t>
            </w: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14:paraId="14FBA0F2">
            <w:pPr>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1"/>
                <w:szCs w:val="24"/>
              </w:rPr>
            </w:pPr>
          </w:p>
        </w:tc>
      </w:tr>
      <w:tr w14:paraId="30C526F2">
        <w:tblPrEx>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3710737">
            <w:pPr>
              <w:widowControl/>
              <w:snapToGrid w:val="0"/>
              <w:spacing w:line="240" w:lineRule="auto"/>
              <w:ind w:left="0" w:leftChars="0" w:right="0" w:rightChars="0" w:firstLine="0" w:firstLineChars="0"/>
              <w:jc w:val="center"/>
              <w:rPr>
                <w:rFonts w:ascii="宋体" w:hAnsi="宋体" w:eastAsia="宋体" w:cs="宋体"/>
                <w:b/>
                <w:color w:val="000000"/>
                <w:sz w:val="21"/>
                <w:szCs w:val="24"/>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6A107E8">
            <w:pPr>
              <w:widowControl/>
              <w:snapToGrid w:val="0"/>
              <w:spacing w:line="240" w:lineRule="auto"/>
              <w:ind w:left="0" w:leftChars="0" w:right="0" w:rightChars="0" w:firstLine="0" w:firstLineChars="0"/>
              <w:jc w:val="center"/>
              <w:rPr>
                <w:rFonts w:ascii="宋体" w:hAnsi="宋体" w:eastAsia="宋体" w:cs="宋体"/>
                <w:b/>
                <w:color w:val="000000"/>
                <w:sz w:val="21"/>
                <w:szCs w:val="24"/>
              </w:rPr>
            </w:pPr>
          </w:p>
        </w:tc>
        <w:tc>
          <w:tcPr>
            <w:tcW w:w="2107" w:type="dxa"/>
            <w:tcBorders>
              <w:top w:val="single" w:color="auto" w:sz="4" w:space="0"/>
              <w:left w:val="single" w:color="auto" w:sz="4" w:space="0"/>
              <w:bottom w:val="single" w:color="auto" w:sz="4" w:space="0"/>
              <w:right w:val="single" w:color="auto" w:sz="4" w:space="0"/>
            </w:tcBorders>
            <w:shd w:val="clear" w:color="auto" w:fill="auto"/>
            <w:vAlign w:val="center"/>
          </w:tcPr>
          <w:p w14:paraId="74D440C6">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财务岗位设置</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B017A17">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2</w:t>
            </w:r>
          </w:p>
        </w:tc>
        <w:tc>
          <w:tcPr>
            <w:tcW w:w="3571" w:type="dxa"/>
            <w:tcBorders>
              <w:top w:val="single" w:color="auto" w:sz="4" w:space="0"/>
              <w:left w:val="single" w:color="auto" w:sz="4" w:space="0"/>
              <w:bottom w:val="single" w:color="auto" w:sz="4" w:space="0"/>
              <w:right w:val="single" w:color="auto" w:sz="4" w:space="0"/>
            </w:tcBorders>
            <w:shd w:val="clear" w:color="auto" w:fill="auto"/>
            <w:vAlign w:val="center"/>
          </w:tcPr>
          <w:p w14:paraId="43DD45FF">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部门财务岗位设置是否符合相关财务管理制度要求</w:t>
            </w:r>
          </w:p>
        </w:tc>
        <w:tc>
          <w:tcPr>
            <w:tcW w:w="656" w:type="dxa"/>
            <w:tcBorders>
              <w:top w:val="single" w:color="auto" w:sz="4" w:space="0"/>
              <w:left w:val="single" w:color="auto" w:sz="4" w:space="0"/>
              <w:bottom w:val="single" w:color="auto" w:sz="4" w:space="0"/>
              <w:right w:val="single" w:color="auto" w:sz="4" w:space="0"/>
            </w:tcBorders>
            <w:shd w:val="clear" w:color="auto" w:fill="auto"/>
            <w:vAlign w:val="center"/>
          </w:tcPr>
          <w:p w14:paraId="24F67FB5">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lang w:val="en-US" w:eastAsia="zh-CN"/>
              </w:rPr>
              <w:t>2</w:t>
            </w: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14:paraId="4E42DF8E">
            <w:pPr>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1"/>
                <w:szCs w:val="24"/>
              </w:rPr>
            </w:pPr>
          </w:p>
        </w:tc>
      </w:tr>
      <w:tr w14:paraId="19D7CFFF">
        <w:tblPrEx>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71D33DE">
            <w:pPr>
              <w:widowControl/>
              <w:snapToGrid w:val="0"/>
              <w:spacing w:line="240" w:lineRule="auto"/>
              <w:ind w:left="0" w:leftChars="0" w:right="0" w:rightChars="0" w:firstLine="0" w:firstLineChars="0"/>
              <w:jc w:val="center"/>
              <w:rPr>
                <w:rFonts w:ascii="宋体" w:hAnsi="宋体" w:eastAsia="宋体" w:cs="宋体"/>
                <w:b/>
                <w:color w:val="000000"/>
                <w:sz w:val="21"/>
                <w:szCs w:val="24"/>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F8F7DFB">
            <w:pPr>
              <w:widowControl/>
              <w:snapToGrid w:val="0"/>
              <w:spacing w:line="240" w:lineRule="auto"/>
              <w:ind w:left="0" w:leftChars="0" w:right="0" w:rightChars="0" w:firstLine="0" w:firstLineChars="0"/>
              <w:jc w:val="center"/>
              <w:rPr>
                <w:rFonts w:ascii="宋体" w:hAnsi="宋体" w:eastAsia="宋体" w:cs="宋体"/>
                <w:b/>
                <w:color w:val="000000"/>
                <w:sz w:val="21"/>
                <w:szCs w:val="24"/>
              </w:rPr>
            </w:pPr>
          </w:p>
        </w:tc>
        <w:tc>
          <w:tcPr>
            <w:tcW w:w="2107" w:type="dxa"/>
            <w:tcBorders>
              <w:top w:val="single" w:color="auto" w:sz="4" w:space="0"/>
              <w:left w:val="single" w:color="auto" w:sz="4" w:space="0"/>
              <w:bottom w:val="single" w:color="auto" w:sz="4" w:space="0"/>
              <w:right w:val="single" w:color="auto" w:sz="4" w:space="0"/>
            </w:tcBorders>
            <w:shd w:val="clear" w:color="auto" w:fill="auto"/>
            <w:vAlign w:val="center"/>
          </w:tcPr>
          <w:p w14:paraId="60025EC2">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资金使用规范</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7A399E8">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4</w:t>
            </w:r>
          </w:p>
        </w:tc>
        <w:tc>
          <w:tcPr>
            <w:tcW w:w="3571" w:type="dxa"/>
            <w:tcBorders>
              <w:top w:val="single" w:color="auto" w:sz="4" w:space="0"/>
              <w:left w:val="single" w:color="auto" w:sz="4" w:space="0"/>
              <w:bottom w:val="single" w:color="auto" w:sz="4" w:space="0"/>
              <w:right w:val="single" w:color="auto" w:sz="4" w:space="0"/>
            </w:tcBorders>
            <w:shd w:val="clear" w:color="auto" w:fill="auto"/>
            <w:vAlign w:val="center"/>
          </w:tcPr>
          <w:p w14:paraId="3866E5E4">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部门资金使用是否符合相关财务管理制度规定</w:t>
            </w:r>
          </w:p>
        </w:tc>
        <w:tc>
          <w:tcPr>
            <w:tcW w:w="656" w:type="dxa"/>
            <w:tcBorders>
              <w:top w:val="single" w:color="auto" w:sz="4" w:space="0"/>
              <w:left w:val="single" w:color="auto" w:sz="4" w:space="0"/>
              <w:bottom w:val="single" w:color="auto" w:sz="4" w:space="0"/>
              <w:right w:val="single" w:color="auto" w:sz="4" w:space="0"/>
            </w:tcBorders>
            <w:shd w:val="clear" w:color="auto" w:fill="auto"/>
            <w:vAlign w:val="center"/>
          </w:tcPr>
          <w:p w14:paraId="5DA4F538">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lang w:val="en-US" w:eastAsia="zh-CN"/>
              </w:rPr>
              <w:t>4</w:t>
            </w: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14:paraId="56D04828">
            <w:pPr>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1"/>
                <w:szCs w:val="24"/>
              </w:rPr>
            </w:pPr>
          </w:p>
        </w:tc>
      </w:tr>
      <w:tr w14:paraId="1A76DEEE">
        <w:tblPrEx>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3E25723">
            <w:pPr>
              <w:widowControl/>
              <w:snapToGrid w:val="0"/>
              <w:spacing w:line="240" w:lineRule="auto"/>
              <w:ind w:left="0" w:leftChars="0" w:right="0" w:rightChars="0" w:firstLine="0" w:firstLineChars="0"/>
              <w:jc w:val="center"/>
              <w:rPr>
                <w:rFonts w:ascii="宋体" w:hAnsi="宋体" w:eastAsia="宋体" w:cs="宋体"/>
                <w:b/>
                <w:color w:val="000000"/>
                <w:sz w:val="21"/>
                <w:szCs w:val="24"/>
              </w:rPr>
            </w:pP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1813CEA">
            <w:pPr>
              <w:widowControl/>
              <w:snapToGrid w:val="0"/>
              <w:spacing w:line="240" w:lineRule="auto"/>
              <w:ind w:left="0" w:leftChars="0" w:right="0" w:rightChars="0" w:firstLine="0" w:firstLineChars="0"/>
              <w:jc w:val="center"/>
              <w:textAlignment w:val="center"/>
              <w:rPr>
                <w:rFonts w:ascii="宋体" w:hAnsi="宋体" w:eastAsia="宋体" w:cs="宋体"/>
                <w:b/>
                <w:color w:val="000000"/>
                <w:sz w:val="21"/>
                <w:szCs w:val="24"/>
              </w:rPr>
            </w:pPr>
            <w:r>
              <w:rPr>
                <w:rFonts w:hint="eastAsia" w:ascii="宋体" w:hAnsi="宋体" w:eastAsia="宋体" w:cs="宋体"/>
                <w:b/>
                <w:color w:val="000000"/>
                <w:kern w:val="0"/>
                <w:sz w:val="21"/>
                <w:szCs w:val="24"/>
              </w:rPr>
              <w:t>资产管理</w:t>
            </w:r>
            <w:r>
              <w:rPr>
                <w:rFonts w:hint="eastAsia" w:ascii="宋体" w:hAnsi="宋体" w:eastAsia="宋体" w:cs="宋体"/>
                <w:b/>
                <w:color w:val="000000"/>
                <w:kern w:val="0"/>
                <w:sz w:val="21"/>
                <w:szCs w:val="24"/>
              </w:rPr>
              <w:br w:type="textWrapping"/>
            </w:r>
            <w:r>
              <w:rPr>
                <w:rFonts w:hint="eastAsia" w:ascii="宋体" w:hAnsi="宋体" w:eastAsia="宋体" w:cs="宋体"/>
                <w:b/>
                <w:color w:val="000000"/>
                <w:kern w:val="0"/>
                <w:sz w:val="21"/>
                <w:szCs w:val="24"/>
              </w:rPr>
              <w:t>（9分）</w:t>
            </w:r>
          </w:p>
        </w:tc>
        <w:tc>
          <w:tcPr>
            <w:tcW w:w="2107" w:type="dxa"/>
            <w:tcBorders>
              <w:top w:val="single" w:color="auto" w:sz="4" w:space="0"/>
              <w:left w:val="single" w:color="auto" w:sz="4" w:space="0"/>
              <w:bottom w:val="single" w:color="auto" w:sz="4" w:space="0"/>
              <w:right w:val="single" w:color="auto" w:sz="4" w:space="0"/>
            </w:tcBorders>
            <w:shd w:val="clear" w:color="auto" w:fill="auto"/>
            <w:vAlign w:val="center"/>
          </w:tcPr>
          <w:p w14:paraId="3BECE14E">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人均资产变化率</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DE36A0C">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3</w:t>
            </w:r>
          </w:p>
        </w:tc>
        <w:tc>
          <w:tcPr>
            <w:tcW w:w="3571" w:type="dxa"/>
            <w:tcBorders>
              <w:top w:val="single" w:color="auto" w:sz="4" w:space="0"/>
              <w:left w:val="single" w:color="auto" w:sz="4" w:space="0"/>
              <w:bottom w:val="single" w:color="auto" w:sz="4" w:space="0"/>
              <w:right w:val="single" w:color="auto" w:sz="4" w:space="0"/>
            </w:tcBorders>
            <w:shd w:val="clear" w:color="auto" w:fill="auto"/>
            <w:vAlign w:val="center"/>
          </w:tcPr>
          <w:p w14:paraId="4435C235">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部门人均资产变化情况</w:t>
            </w:r>
          </w:p>
        </w:tc>
        <w:tc>
          <w:tcPr>
            <w:tcW w:w="656" w:type="dxa"/>
            <w:tcBorders>
              <w:top w:val="single" w:color="auto" w:sz="4" w:space="0"/>
              <w:left w:val="single" w:color="auto" w:sz="4" w:space="0"/>
              <w:bottom w:val="single" w:color="auto" w:sz="4" w:space="0"/>
              <w:right w:val="single" w:color="auto" w:sz="4" w:space="0"/>
            </w:tcBorders>
            <w:shd w:val="clear" w:color="auto" w:fill="auto"/>
            <w:vAlign w:val="center"/>
          </w:tcPr>
          <w:p w14:paraId="316C4FD0">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lang w:val="en-US" w:eastAsia="zh-CN"/>
              </w:rPr>
              <w:t>3</w:t>
            </w: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14:paraId="6D34BA30">
            <w:pPr>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1"/>
                <w:szCs w:val="24"/>
              </w:rPr>
            </w:pPr>
          </w:p>
        </w:tc>
      </w:tr>
      <w:tr w14:paraId="0AC8409B">
        <w:tblPrEx>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5DCA70D">
            <w:pPr>
              <w:widowControl/>
              <w:snapToGrid w:val="0"/>
              <w:spacing w:line="240" w:lineRule="auto"/>
              <w:ind w:left="0" w:leftChars="0" w:right="0" w:rightChars="0" w:firstLine="0" w:firstLineChars="0"/>
              <w:jc w:val="center"/>
              <w:rPr>
                <w:rFonts w:ascii="宋体" w:hAnsi="宋体" w:eastAsia="宋体" w:cs="宋体"/>
                <w:b/>
                <w:color w:val="000000"/>
                <w:sz w:val="21"/>
                <w:szCs w:val="24"/>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CEEF138">
            <w:pPr>
              <w:widowControl/>
              <w:snapToGrid w:val="0"/>
              <w:spacing w:line="240" w:lineRule="auto"/>
              <w:ind w:left="0" w:leftChars="0" w:right="0" w:rightChars="0" w:firstLine="0" w:firstLineChars="0"/>
              <w:jc w:val="center"/>
              <w:rPr>
                <w:rFonts w:ascii="宋体" w:hAnsi="宋体" w:eastAsia="宋体" w:cs="宋体"/>
                <w:b/>
                <w:color w:val="000000"/>
                <w:sz w:val="21"/>
                <w:szCs w:val="24"/>
              </w:rPr>
            </w:pPr>
          </w:p>
        </w:tc>
        <w:tc>
          <w:tcPr>
            <w:tcW w:w="2107" w:type="dxa"/>
            <w:tcBorders>
              <w:top w:val="single" w:color="auto" w:sz="4" w:space="0"/>
              <w:left w:val="single" w:color="auto" w:sz="4" w:space="0"/>
              <w:bottom w:val="single" w:color="auto" w:sz="4" w:space="0"/>
              <w:right w:val="single" w:color="auto" w:sz="4" w:space="0"/>
            </w:tcBorders>
            <w:shd w:val="clear" w:color="auto" w:fill="auto"/>
            <w:vAlign w:val="center"/>
          </w:tcPr>
          <w:p w14:paraId="36326038">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资产利用率</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2C082F1">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3</w:t>
            </w:r>
          </w:p>
        </w:tc>
        <w:tc>
          <w:tcPr>
            <w:tcW w:w="3571" w:type="dxa"/>
            <w:tcBorders>
              <w:top w:val="single" w:color="auto" w:sz="4" w:space="0"/>
              <w:left w:val="single" w:color="auto" w:sz="4" w:space="0"/>
              <w:bottom w:val="single" w:color="auto" w:sz="4" w:space="0"/>
              <w:right w:val="single" w:color="auto" w:sz="4" w:space="0"/>
            </w:tcBorders>
            <w:shd w:val="clear" w:color="auto" w:fill="auto"/>
            <w:vAlign w:val="center"/>
          </w:tcPr>
          <w:p w14:paraId="7A306A95">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部门资产超最低使用年限情况</w:t>
            </w:r>
          </w:p>
        </w:tc>
        <w:tc>
          <w:tcPr>
            <w:tcW w:w="656" w:type="dxa"/>
            <w:tcBorders>
              <w:top w:val="single" w:color="auto" w:sz="4" w:space="0"/>
              <w:left w:val="single" w:color="auto" w:sz="4" w:space="0"/>
              <w:bottom w:val="single" w:color="auto" w:sz="4" w:space="0"/>
              <w:right w:val="single" w:color="auto" w:sz="4" w:space="0"/>
            </w:tcBorders>
            <w:shd w:val="clear" w:color="auto" w:fill="auto"/>
            <w:vAlign w:val="center"/>
          </w:tcPr>
          <w:p w14:paraId="262EA3DC">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lang w:val="en-US" w:eastAsia="zh-CN"/>
              </w:rPr>
              <w:t>1.2</w:t>
            </w: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14:paraId="5180D453">
            <w:pPr>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1"/>
                <w:szCs w:val="24"/>
              </w:rPr>
            </w:pPr>
          </w:p>
        </w:tc>
      </w:tr>
      <w:tr w14:paraId="68658837">
        <w:tblPrEx>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AC253B7">
            <w:pPr>
              <w:widowControl/>
              <w:snapToGrid w:val="0"/>
              <w:spacing w:line="240" w:lineRule="auto"/>
              <w:ind w:left="0" w:leftChars="0" w:right="0" w:rightChars="0" w:firstLine="0" w:firstLineChars="0"/>
              <w:jc w:val="center"/>
              <w:textAlignment w:val="center"/>
              <w:rPr>
                <w:rFonts w:ascii="宋体" w:hAnsi="宋体" w:eastAsia="宋体" w:cs="宋体"/>
                <w:b/>
                <w:color w:val="000000"/>
                <w:sz w:val="21"/>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6089E59">
            <w:pPr>
              <w:widowControl/>
              <w:snapToGrid w:val="0"/>
              <w:spacing w:line="240" w:lineRule="auto"/>
              <w:ind w:left="0" w:leftChars="0" w:right="0" w:rightChars="0" w:firstLine="0" w:firstLineChars="0"/>
              <w:jc w:val="center"/>
              <w:textAlignment w:val="center"/>
              <w:rPr>
                <w:rFonts w:ascii="宋体" w:hAnsi="宋体" w:eastAsia="宋体" w:cs="宋体"/>
                <w:b/>
                <w:color w:val="000000"/>
                <w:sz w:val="21"/>
                <w:szCs w:val="24"/>
              </w:rPr>
            </w:pPr>
            <w:r>
              <w:rPr>
                <w:rFonts w:hint="eastAsia" w:ascii="宋体" w:hAnsi="宋体" w:eastAsia="宋体" w:cs="宋体"/>
                <w:b/>
                <w:color w:val="000000"/>
                <w:kern w:val="0"/>
                <w:sz w:val="21"/>
                <w:szCs w:val="24"/>
              </w:rPr>
              <w:t>资产管理</w:t>
            </w:r>
            <w:r>
              <w:rPr>
                <w:rFonts w:hint="eastAsia" w:ascii="宋体" w:hAnsi="宋体" w:eastAsia="宋体" w:cs="宋体"/>
                <w:b/>
                <w:color w:val="000000"/>
                <w:kern w:val="0"/>
                <w:sz w:val="21"/>
                <w:szCs w:val="24"/>
              </w:rPr>
              <w:br w:type="textWrapping"/>
            </w:r>
            <w:r>
              <w:rPr>
                <w:rFonts w:hint="eastAsia" w:ascii="宋体" w:hAnsi="宋体" w:eastAsia="宋体" w:cs="宋体"/>
                <w:b/>
                <w:color w:val="000000"/>
                <w:kern w:val="0"/>
                <w:sz w:val="21"/>
                <w:szCs w:val="24"/>
              </w:rPr>
              <w:t>（9分）</w:t>
            </w:r>
          </w:p>
        </w:tc>
        <w:tc>
          <w:tcPr>
            <w:tcW w:w="2107" w:type="dxa"/>
            <w:tcBorders>
              <w:top w:val="single" w:color="auto" w:sz="4" w:space="0"/>
              <w:left w:val="single" w:color="auto" w:sz="4" w:space="0"/>
              <w:bottom w:val="single" w:color="auto" w:sz="4" w:space="0"/>
              <w:right w:val="single" w:color="auto" w:sz="4" w:space="0"/>
            </w:tcBorders>
            <w:shd w:val="clear" w:color="auto" w:fill="auto"/>
            <w:vAlign w:val="center"/>
          </w:tcPr>
          <w:p w14:paraId="5ED0AD7C">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资产盘活率</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05D5CC4">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3</w:t>
            </w:r>
          </w:p>
        </w:tc>
        <w:tc>
          <w:tcPr>
            <w:tcW w:w="3571" w:type="dxa"/>
            <w:tcBorders>
              <w:top w:val="single" w:color="auto" w:sz="4" w:space="0"/>
              <w:left w:val="single" w:color="auto" w:sz="4" w:space="0"/>
              <w:bottom w:val="single" w:color="auto" w:sz="4" w:space="0"/>
              <w:right w:val="single" w:color="auto" w:sz="4" w:space="0"/>
            </w:tcBorders>
            <w:shd w:val="clear" w:color="auto" w:fill="auto"/>
            <w:vAlign w:val="center"/>
          </w:tcPr>
          <w:p w14:paraId="50ED5284">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部门闲置一年以上的资产盘活情况</w:t>
            </w:r>
          </w:p>
        </w:tc>
        <w:tc>
          <w:tcPr>
            <w:tcW w:w="656" w:type="dxa"/>
            <w:tcBorders>
              <w:top w:val="single" w:color="auto" w:sz="4" w:space="0"/>
              <w:left w:val="single" w:color="auto" w:sz="4" w:space="0"/>
              <w:bottom w:val="single" w:color="auto" w:sz="4" w:space="0"/>
              <w:right w:val="single" w:color="auto" w:sz="4" w:space="0"/>
            </w:tcBorders>
            <w:shd w:val="clear" w:color="auto" w:fill="auto"/>
            <w:vAlign w:val="center"/>
          </w:tcPr>
          <w:p w14:paraId="23D10510">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lang w:val="en-US" w:eastAsia="zh-CN"/>
              </w:rPr>
              <w:t>3</w:t>
            </w: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14:paraId="1697F2B2">
            <w:pPr>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1"/>
                <w:szCs w:val="24"/>
              </w:rPr>
            </w:pPr>
          </w:p>
        </w:tc>
      </w:tr>
      <w:tr w14:paraId="41E307DF">
        <w:tblPrEx>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87DC555">
            <w:pPr>
              <w:widowControl/>
              <w:snapToGrid w:val="0"/>
              <w:spacing w:line="240" w:lineRule="auto"/>
              <w:ind w:left="0" w:leftChars="0" w:right="0" w:rightChars="0" w:firstLine="0" w:firstLineChars="0"/>
              <w:jc w:val="center"/>
              <w:rPr>
                <w:rFonts w:ascii="宋体" w:hAnsi="宋体" w:eastAsia="宋体" w:cs="宋体"/>
                <w:b/>
                <w:color w:val="000000"/>
                <w:sz w:val="21"/>
                <w:szCs w:val="24"/>
              </w:rPr>
            </w:pP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F266733">
            <w:pPr>
              <w:widowControl/>
              <w:snapToGrid w:val="0"/>
              <w:spacing w:line="240" w:lineRule="auto"/>
              <w:ind w:left="0" w:leftChars="0" w:right="0" w:rightChars="0" w:firstLine="0" w:firstLineChars="0"/>
              <w:jc w:val="center"/>
              <w:textAlignment w:val="center"/>
              <w:rPr>
                <w:rFonts w:ascii="宋体" w:hAnsi="宋体" w:eastAsia="宋体" w:cs="宋体"/>
                <w:b/>
                <w:color w:val="000000"/>
                <w:sz w:val="21"/>
                <w:szCs w:val="24"/>
              </w:rPr>
            </w:pPr>
            <w:r>
              <w:rPr>
                <w:rFonts w:hint="eastAsia" w:ascii="宋体" w:hAnsi="宋体" w:eastAsia="宋体" w:cs="宋体"/>
                <w:b/>
                <w:color w:val="000000"/>
                <w:kern w:val="0"/>
                <w:sz w:val="21"/>
                <w:szCs w:val="24"/>
              </w:rPr>
              <w:t>采购管理</w:t>
            </w:r>
            <w:r>
              <w:rPr>
                <w:rFonts w:hint="eastAsia" w:ascii="宋体" w:hAnsi="宋体" w:eastAsia="宋体" w:cs="宋体"/>
                <w:b/>
                <w:color w:val="000000"/>
                <w:kern w:val="0"/>
                <w:sz w:val="21"/>
                <w:szCs w:val="24"/>
              </w:rPr>
              <w:br w:type="textWrapping"/>
            </w:r>
            <w:r>
              <w:rPr>
                <w:rFonts w:hint="eastAsia" w:ascii="宋体" w:hAnsi="宋体" w:eastAsia="宋体" w:cs="宋体"/>
                <w:b/>
                <w:color w:val="000000"/>
                <w:kern w:val="0"/>
                <w:sz w:val="21"/>
                <w:szCs w:val="24"/>
              </w:rPr>
              <w:t>（6分）</w:t>
            </w:r>
          </w:p>
        </w:tc>
        <w:tc>
          <w:tcPr>
            <w:tcW w:w="2107" w:type="dxa"/>
            <w:tcBorders>
              <w:top w:val="single" w:color="auto" w:sz="4" w:space="0"/>
              <w:left w:val="single" w:color="auto" w:sz="4" w:space="0"/>
              <w:bottom w:val="single" w:color="auto" w:sz="4" w:space="0"/>
              <w:right w:val="single" w:color="auto" w:sz="4" w:space="0"/>
            </w:tcBorders>
            <w:shd w:val="clear" w:color="auto" w:fill="auto"/>
            <w:vAlign w:val="center"/>
          </w:tcPr>
          <w:p w14:paraId="1A7D33A4">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支持中小企业发展</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EAEA68E">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3</w:t>
            </w:r>
          </w:p>
        </w:tc>
        <w:tc>
          <w:tcPr>
            <w:tcW w:w="3571" w:type="dxa"/>
            <w:tcBorders>
              <w:top w:val="single" w:color="auto" w:sz="4" w:space="0"/>
              <w:left w:val="single" w:color="auto" w:sz="4" w:space="0"/>
              <w:bottom w:val="single" w:color="auto" w:sz="4" w:space="0"/>
              <w:right w:val="single" w:color="auto" w:sz="4" w:space="0"/>
            </w:tcBorders>
            <w:shd w:val="clear" w:color="auto" w:fill="auto"/>
            <w:vAlign w:val="center"/>
          </w:tcPr>
          <w:p w14:paraId="26598208">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部门是否严格执行政府采购促进中小企业发展相关管理办法</w:t>
            </w:r>
          </w:p>
        </w:tc>
        <w:tc>
          <w:tcPr>
            <w:tcW w:w="656" w:type="dxa"/>
            <w:tcBorders>
              <w:top w:val="single" w:color="auto" w:sz="4" w:space="0"/>
              <w:left w:val="single" w:color="auto" w:sz="4" w:space="0"/>
              <w:bottom w:val="single" w:color="auto" w:sz="4" w:space="0"/>
              <w:right w:val="single" w:color="auto" w:sz="4" w:space="0"/>
            </w:tcBorders>
            <w:shd w:val="clear" w:color="auto" w:fill="auto"/>
            <w:vAlign w:val="center"/>
          </w:tcPr>
          <w:p w14:paraId="21DBBC04">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lang w:val="en-US" w:eastAsia="zh-CN"/>
              </w:rPr>
              <w:t>3</w:t>
            </w: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14:paraId="117815AD">
            <w:pPr>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1"/>
                <w:szCs w:val="24"/>
              </w:rPr>
            </w:pPr>
          </w:p>
        </w:tc>
      </w:tr>
      <w:tr w14:paraId="6DE6E93D">
        <w:tblPrEx>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693F6CF">
            <w:pPr>
              <w:widowControl/>
              <w:snapToGrid w:val="0"/>
              <w:spacing w:line="240" w:lineRule="auto"/>
              <w:ind w:left="0" w:leftChars="0" w:right="0" w:rightChars="0" w:firstLine="0" w:firstLineChars="0"/>
              <w:jc w:val="center"/>
              <w:rPr>
                <w:rFonts w:ascii="宋体" w:hAnsi="宋体" w:eastAsia="宋体" w:cs="宋体"/>
                <w:b/>
                <w:color w:val="000000"/>
                <w:sz w:val="21"/>
                <w:szCs w:val="24"/>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6072BDC">
            <w:pPr>
              <w:widowControl/>
              <w:snapToGrid w:val="0"/>
              <w:spacing w:line="240" w:lineRule="auto"/>
              <w:ind w:left="0" w:leftChars="0" w:right="0" w:rightChars="0" w:firstLine="0" w:firstLineChars="0"/>
              <w:jc w:val="center"/>
              <w:rPr>
                <w:rFonts w:ascii="宋体" w:hAnsi="宋体" w:eastAsia="宋体" w:cs="宋体"/>
                <w:b/>
                <w:color w:val="000000"/>
                <w:sz w:val="21"/>
                <w:szCs w:val="24"/>
              </w:rPr>
            </w:pPr>
          </w:p>
        </w:tc>
        <w:tc>
          <w:tcPr>
            <w:tcW w:w="2107" w:type="dxa"/>
            <w:tcBorders>
              <w:top w:val="single" w:color="auto" w:sz="4" w:space="0"/>
              <w:left w:val="single" w:color="auto" w:sz="4" w:space="0"/>
              <w:bottom w:val="single" w:color="auto" w:sz="4" w:space="0"/>
              <w:right w:val="single" w:color="auto" w:sz="4" w:space="0"/>
            </w:tcBorders>
            <w:shd w:val="clear" w:color="auto" w:fill="auto"/>
            <w:vAlign w:val="center"/>
          </w:tcPr>
          <w:p w14:paraId="3B6AB805">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采购执行率</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CB8484B">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3</w:t>
            </w:r>
          </w:p>
        </w:tc>
        <w:tc>
          <w:tcPr>
            <w:tcW w:w="3571" w:type="dxa"/>
            <w:tcBorders>
              <w:top w:val="single" w:color="auto" w:sz="4" w:space="0"/>
              <w:left w:val="single" w:color="auto" w:sz="4" w:space="0"/>
              <w:bottom w:val="single" w:color="auto" w:sz="4" w:space="0"/>
              <w:right w:val="single" w:color="auto" w:sz="4" w:space="0"/>
            </w:tcBorders>
            <w:shd w:val="clear" w:color="auto" w:fill="auto"/>
            <w:vAlign w:val="center"/>
          </w:tcPr>
          <w:p w14:paraId="163EF541">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部门政府采购项目资金支付比例情况</w:t>
            </w:r>
          </w:p>
        </w:tc>
        <w:tc>
          <w:tcPr>
            <w:tcW w:w="656" w:type="dxa"/>
            <w:tcBorders>
              <w:top w:val="single" w:color="auto" w:sz="4" w:space="0"/>
              <w:left w:val="single" w:color="auto" w:sz="4" w:space="0"/>
              <w:bottom w:val="single" w:color="auto" w:sz="4" w:space="0"/>
              <w:right w:val="single" w:color="auto" w:sz="4" w:space="0"/>
            </w:tcBorders>
            <w:shd w:val="clear" w:color="auto" w:fill="auto"/>
            <w:vAlign w:val="center"/>
          </w:tcPr>
          <w:p w14:paraId="228951C4">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lang w:val="en-US" w:eastAsia="zh-CN"/>
              </w:rPr>
              <w:t>2.97</w:t>
            </w: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14:paraId="52DF5844">
            <w:pPr>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1"/>
                <w:szCs w:val="24"/>
              </w:rPr>
            </w:pPr>
          </w:p>
        </w:tc>
      </w:tr>
      <w:tr w14:paraId="54D116E9">
        <w:tblPrEx>
          <w:tblCellMar>
            <w:top w:w="0" w:type="dxa"/>
            <w:left w:w="108" w:type="dxa"/>
            <w:bottom w:w="0" w:type="dxa"/>
            <w:right w:w="108" w:type="dxa"/>
          </w:tblCellMar>
        </w:tblPrEx>
        <w:trPr>
          <w:trHeight w:val="0" w:hRule="atLeast"/>
          <w:jc w:val="center"/>
        </w:trPr>
        <w:tc>
          <w:tcPr>
            <w:tcW w:w="0" w:type="auto"/>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4C12648">
            <w:pPr>
              <w:widowControl/>
              <w:snapToGrid w:val="0"/>
              <w:spacing w:line="240" w:lineRule="auto"/>
              <w:ind w:left="0" w:leftChars="0" w:right="0" w:rightChars="0" w:firstLine="0" w:firstLineChars="0"/>
              <w:jc w:val="center"/>
              <w:textAlignment w:val="center"/>
              <w:rPr>
                <w:rFonts w:ascii="宋体" w:hAnsi="宋体" w:eastAsia="宋体" w:cs="宋体"/>
                <w:b/>
                <w:color w:val="000000"/>
                <w:sz w:val="21"/>
                <w:szCs w:val="24"/>
              </w:rPr>
            </w:pPr>
            <w:r>
              <w:rPr>
                <w:rFonts w:hint="eastAsia" w:ascii="宋体" w:hAnsi="宋体" w:eastAsia="宋体" w:cs="宋体"/>
                <w:b/>
                <w:color w:val="000000"/>
                <w:kern w:val="0"/>
                <w:sz w:val="21"/>
                <w:szCs w:val="24"/>
              </w:rPr>
              <w:t>项目绩效（35分）</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3D1A26A">
            <w:pPr>
              <w:widowControl/>
              <w:snapToGrid w:val="0"/>
              <w:spacing w:line="240" w:lineRule="auto"/>
              <w:ind w:left="0" w:leftChars="0" w:right="0" w:rightChars="0" w:firstLine="0" w:firstLineChars="0"/>
              <w:jc w:val="center"/>
              <w:textAlignment w:val="center"/>
              <w:rPr>
                <w:rFonts w:ascii="宋体" w:hAnsi="宋体" w:eastAsia="宋体" w:cs="宋体"/>
                <w:b/>
                <w:color w:val="000000"/>
                <w:sz w:val="21"/>
                <w:szCs w:val="24"/>
              </w:rPr>
            </w:pPr>
            <w:r>
              <w:rPr>
                <w:rFonts w:hint="eastAsia" w:ascii="宋体" w:hAnsi="宋体" w:eastAsia="宋体" w:cs="宋体"/>
                <w:b/>
                <w:color w:val="000000"/>
                <w:kern w:val="0"/>
                <w:sz w:val="21"/>
                <w:szCs w:val="24"/>
              </w:rPr>
              <w:t>项目决策</w:t>
            </w:r>
            <w:r>
              <w:rPr>
                <w:rFonts w:hint="eastAsia" w:ascii="宋体" w:hAnsi="宋体" w:eastAsia="宋体" w:cs="宋体"/>
                <w:b/>
                <w:color w:val="000000"/>
                <w:kern w:val="0"/>
                <w:sz w:val="21"/>
                <w:szCs w:val="24"/>
              </w:rPr>
              <w:br w:type="textWrapping"/>
            </w:r>
            <w:r>
              <w:rPr>
                <w:rFonts w:hint="eastAsia" w:ascii="宋体" w:hAnsi="宋体" w:eastAsia="宋体" w:cs="宋体"/>
                <w:b/>
                <w:color w:val="000000"/>
                <w:kern w:val="0"/>
                <w:sz w:val="21"/>
                <w:szCs w:val="24"/>
              </w:rPr>
              <w:t>（12分）</w:t>
            </w:r>
          </w:p>
        </w:tc>
        <w:tc>
          <w:tcPr>
            <w:tcW w:w="2107" w:type="dxa"/>
            <w:tcBorders>
              <w:top w:val="single" w:color="auto" w:sz="4" w:space="0"/>
              <w:left w:val="single" w:color="auto" w:sz="4" w:space="0"/>
              <w:bottom w:val="single" w:color="auto" w:sz="4" w:space="0"/>
              <w:right w:val="single" w:color="auto" w:sz="4" w:space="0"/>
            </w:tcBorders>
            <w:shd w:val="clear" w:color="auto" w:fill="auto"/>
            <w:vAlign w:val="center"/>
          </w:tcPr>
          <w:p w14:paraId="0BCBAA82">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决策程序</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83A7538">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4</w:t>
            </w:r>
          </w:p>
        </w:tc>
        <w:tc>
          <w:tcPr>
            <w:tcW w:w="3571" w:type="dxa"/>
            <w:tcBorders>
              <w:top w:val="single" w:color="auto" w:sz="4" w:space="0"/>
              <w:left w:val="single" w:color="auto" w:sz="4" w:space="0"/>
              <w:bottom w:val="single" w:color="auto" w:sz="4" w:space="0"/>
              <w:right w:val="single" w:color="auto" w:sz="4" w:space="0"/>
            </w:tcBorders>
            <w:shd w:val="clear" w:color="auto" w:fill="auto"/>
            <w:vAlign w:val="center"/>
          </w:tcPr>
          <w:p w14:paraId="0DC9CAFD">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部门预算项目设立是否按规定履行评估论证、申报程序</w:t>
            </w:r>
          </w:p>
        </w:tc>
        <w:tc>
          <w:tcPr>
            <w:tcW w:w="656" w:type="dxa"/>
            <w:tcBorders>
              <w:top w:val="single" w:color="auto" w:sz="4" w:space="0"/>
              <w:left w:val="single" w:color="auto" w:sz="4" w:space="0"/>
              <w:bottom w:val="single" w:color="auto" w:sz="4" w:space="0"/>
              <w:right w:val="single" w:color="auto" w:sz="4" w:space="0"/>
            </w:tcBorders>
            <w:shd w:val="clear" w:color="auto" w:fill="auto"/>
            <w:vAlign w:val="center"/>
          </w:tcPr>
          <w:p w14:paraId="0BBC7CEE">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lang w:val="en-US" w:eastAsia="zh-CN"/>
              </w:rPr>
              <w:t>4</w:t>
            </w: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14:paraId="6D306E39">
            <w:pPr>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1"/>
                <w:szCs w:val="24"/>
              </w:rPr>
            </w:pPr>
          </w:p>
        </w:tc>
      </w:tr>
      <w:tr w14:paraId="5A6BE7E2">
        <w:tblPrEx>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C9B9BED">
            <w:pPr>
              <w:widowControl/>
              <w:snapToGrid w:val="0"/>
              <w:spacing w:line="240" w:lineRule="auto"/>
              <w:ind w:left="0" w:leftChars="0" w:right="0" w:rightChars="0" w:firstLine="0" w:firstLineChars="0"/>
              <w:jc w:val="center"/>
              <w:rPr>
                <w:rFonts w:ascii="宋体" w:hAnsi="宋体" w:eastAsia="宋体" w:cs="宋体"/>
                <w:b/>
                <w:color w:val="000000"/>
                <w:sz w:val="21"/>
                <w:szCs w:val="24"/>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297EDE3">
            <w:pPr>
              <w:widowControl/>
              <w:snapToGrid w:val="0"/>
              <w:spacing w:line="240" w:lineRule="auto"/>
              <w:ind w:left="0" w:leftChars="0" w:right="0" w:rightChars="0" w:firstLine="0" w:firstLineChars="0"/>
              <w:jc w:val="center"/>
              <w:rPr>
                <w:rFonts w:ascii="宋体" w:hAnsi="宋体" w:eastAsia="宋体" w:cs="宋体"/>
                <w:b/>
                <w:color w:val="000000"/>
                <w:sz w:val="21"/>
                <w:szCs w:val="24"/>
              </w:rPr>
            </w:pPr>
          </w:p>
        </w:tc>
        <w:tc>
          <w:tcPr>
            <w:tcW w:w="2107" w:type="dxa"/>
            <w:tcBorders>
              <w:top w:val="single" w:color="auto" w:sz="4" w:space="0"/>
              <w:left w:val="single" w:color="auto" w:sz="4" w:space="0"/>
              <w:bottom w:val="single" w:color="auto" w:sz="4" w:space="0"/>
              <w:right w:val="single" w:color="auto" w:sz="4" w:space="0"/>
            </w:tcBorders>
            <w:shd w:val="clear" w:color="auto" w:fill="auto"/>
            <w:vAlign w:val="center"/>
          </w:tcPr>
          <w:p w14:paraId="269F0ABF">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目标设置</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F02FACB">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4</w:t>
            </w:r>
          </w:p>
        </w:tc>
        <w:tc>
          <w:tcPr>
            <w:tcW w:w="3571" w:type="dxa"/>
            <w:tcBorders>
              <w:top w:val="single" w:color="auto" w:sz="4" w:space="0"/>
              <w:left w:val="single" w:color="auto" w:sz="4" w:space="0"/>
              <w:bottom w:val="single" w:color="auto" w:sz="4" w:space="0"/>
              <w:right w:val="single" w:color="auto" w:sz="4" w:space="0"/>
            </w:tcBorders>
            <w:shd w:val="clear" w:color="auto" w:fill="auto"/>
            <w:vAlign w:val="center"/>
          </w:tcPr>
          <w:p w14:paraId="75BA050B">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部门预算项目绩效目标与计划期内的任务量、预算安排的资金量匹配情况，绩效目标设置是否科学合理、规范完整、量化细化、预算匹配</w:t>
            </w:r>
          </w:p>
        </w:tc>
        <w:tc>
          <w:tcPr>
            <w:tcW w:w="656" w:type="dxa"/>
            <w:tcBorders>
              <w:top w:val="single" w:color="auto" w:sz="4" w:space="0"/>
              <w:left w:val="single" w:color="auto" w:sz="4" w:space="0"/>
              <w:bottom w:val="single" w:color="auto" w:sz="4" w:space="0"/>
              <w:right w:val="single" w:color="auto" w:sz="4" w:space="0"/>
            </w:tcBorders>
            <w:shd w:val="clear" w:color="auto" w:fill="auto"/>
            <w:vAlign w:val="center"/>
          </w:tcPr>
          <w:p w14:paraId="5DDEEADD">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lang w:val="en-US" w:eastAsia="zh-CN"/>
              </w:rPr>
              <w:t>4</w:t>
            </w: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14:paraId="41E12421">
            <w:pPr>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1"/>
                <w:szCs w:val="24"/>
              </w:rPr>
            </w:pPr>
          </w:p>
        </w:tc>
      </w:tr>
      <w:tr w14:paraId="5A70DADB">
        <w:tblPrEx>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6CDD1FC">
            <w:pPr>
              <w:widowControl/>
              <w:snapToGrid w:val="0"/>
              <w:spacing w:line="240" w:lineRule="auto"/>
              <w:ind w:left="0" w:leftChars="0" w:right="0" w:rightChars="0" w:firstLine="0" w:firstLineChars="0"/>
              <w:jc w:val="center"/>
              <w:rPr>
                <w:rFonts w:ascii="宋体" w:hAnsi="宋体" w:eastAsia="宋体" w:cs="宋体"/>
                <w:b/>
                <w:color w:val="000000"/>
                <w:sz w:val="21"/>
                <w:szCs w:val="24"/>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064BBBE">
            <w:pPr>
              <w:widowControl/>
              <w:snapToGrid w:val="0"/>
              <w:spacing w:line="240" w:lineRule="auto"/>
              <w:ind w:left="0" w:leftChars="0" w:right="0" w:rightChars="0" w:firstLine="0" w:firstLineChars="0"/>
              <w:jc w:val="center"/>
              <w:rPr>
                <w:rFonts w:ascii="宋体" w:hAnsi="宋体" w:eastAsia="宋体" w:cs="宋体"/>
                <w:b/>
                <w:color w:val="000000"/>
                <w:sz w:val="21"/>
                <w:szCs w:val="24"/>
              </w:rPr>
            </w:pPr>
          </w:p>
        </w:tc>
        <w:tc>
          <w:tcPr>
            <w:tcW w:w="2107" w:type="dxa"/>
            <w:tcBorders>
              <w:top w:val="single" w:color="auto" w:sz="4" w:space="0"/>
              <w:left w:val="single" w:color="auto" w:sz="4" w:space="0"/>
              <w:bottom w:val="single" w:color="auto" w:sz="4" w:space="0"/>
              <w:right w:val="single" w:color="auto" w:sz="4" w:space="0"/>
            </w:tcBorders>
            <w:shd w:val="clear" w:color="auto" w:fill="auto"/>
            <w:vAlign w:val="center"/>
          </w:tcPr>
          <w:p w14:paraId="729048ED">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项目入库</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3BF4A45">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4</w:t>
            </w:r>
          </w:p>
        </w:tc>
        <w:tc>
          <w:tcPr>
            <w:tcW w:w="3571" w:type="dxa"/>
            <w:tcBorders>
              <w:top w:val="single" w:color="auto" w:sz="4" w:space="0"/>
              <w:left w:val="single" w:color="auto" w:sz="4" w:space="0"/>
              <w:bottom w:val="single" w:color="auto" w:sz="4" w:space="0"/>
              <w:right w:val="single" w:color="auto" w:sz="4" w:space="0"/>
            </w:tcBorders>
            <w:shd w:val="clear" w:color="auto" w:fill="auto"/>
            <w:vAlign w:val="center"/>
          </w:tcPr>
          <w:p w14:paraId="54F81604">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部门预算项目是否在规定时</w:t>
            </w:r>
            <w:r>
              <w:rPr>
                <w:rFonts w:hint="eastAsia" w:ascii="宋体" w:hAnsi="宋体" w:eastAsia="宋体" w:cs="宋体"/>
                <w:color w:val="000000"/>
                <w:kern w:val="0"/>
                <w:sz w:val="21"/>
                <w:szCs w:val="24"/>
                <w:lang w:eastAsia="zh-CN"/>
              </w:rPr>
              <w:t>间内</w:t>
            </w:r>
            <w:r>
              <w:rPr>
                <w:rFonts w:hint="eastAsia" w:ascii="宋体" w:hAnsi="宋体" w:eastAsia="宋体" w:cs="宋体"/>
                <w:color w:val="000000"/>
                <w:kern w:val="0"/>
                <w:sz w:val="21"/>
                <w:szCs w:val="24"/>
              </w:rPr>
              <w:t>完成项目入库</w:t>
            </w:r>
          </w:p>
        </w:tc>
        <w:tc>
          <w:tcPr>
            <w:tcW w:w="656" w:type="dxa"/>
            <w:tcBorders>
              <w:top w:val="single" w:color="auto" w:sz="4" w:space="0"/>
              <w:left w:val="single" w:color="auto" w:sz="4" w:space="0"/>
              <w:bottom w:val="single" w:color="auto" w:sz="4" w:space="0"/>
              <w:right w:val="single" w:color="auto" w:sz="4" w:space="0"/>
            </w:tcBorders>
            <w:shd w:val="clear" w:color="auto" w:fill="auto"/>
            <w:vAlign w:val="center"/>
          </w:tcPr>
          <w:p w14:paraId="34B6AE33">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lang w:val="en-US" w:eastAsia="zh-CN"/>
              </w:rPr>
              <w:t>4</w:t>
            </w: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14:paraId="5D2345FC">
            <w:pPr>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1"/>
                <w:szCs w:val="24"/>
              </w:rPr>
            </w:pPr>
          </w:p>
        </w:tc>
      </w:tr>
      <w:tr w14:paraId="5C289E8B">
        <w:tblPrEx>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428856A">
            <w:pPr>
              <w:widowControl/>
              <w:snapToGrid w:val="0"/>
              <w:spacing w:line="240" w:lineRule="auto"/>
              <w:ind w:left="0" w:leftChars="0" w:right="0" w:rightChars="0" w:firstLine="0" w:firstLineChars="0"/>
              <w:jc w:val="center"/>
              <w:rPr>
                <w:rFonts w:ascii="宋体" w:hAnsi="宋体" w:eastAsia="宋体" w:cs="宋体"/>
                <w:b/>
                <w:color w:val="000000"/>
                <w:sz w:val="21"/>
                <w:szCs w:val="24"/>
              </w:rPr>
            </w:pP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F5962AE">
            <w:pPr>
              <w:widowControl/>
              <w:snapToGrid w:val="0"/>
              <w:spacing w:line="240" w:lineRule="auto"/>
              <w:ind w:left="0" w:leftChars="0" w:right="0" w:rightChars="0" w:firstLine="0" w:firstLineChars="0"/>
              <w:jc w:val="center"/>
              <w:textAlignment w:val="center"/>
              <w:rPr>
                <w:rFonts w:ascii="宋体" w:hAnsi="宋体" w:eastAsia="宋体" w:cs="宋体"/>
                <w:b/>
                <w:color w:val="000000"/>
                <w:sz w:val="21"/>
                <w:szCs w:val="24"/>
              </w:rPr>
            </w:pPr>
            <w:r>
              <w:rPr>
                <w:rFonts w:hint="eastAsia" w:ascii="宋体" w:hAnsi="宋体" w:eastAsia="宋体" w:cs="宋体"/>
                <w:b/>
                <w:color w:val="000000"/>
                <w:kern w:val="0"/>
                <w:sz w:val="21"/>
                <w:szCs w:val="24"/>
              </w:rPr>
              <w:t>项目执行</w:t>
            </w:r>
            <w:r>
              <w:rPr>
                <w:rFonts w:hint="eastAsia" w:ascii="宋体" w:hAnsi="宋体" w:eastAsia="宋体" w:cs="宋体"/>
                <w:b/>
                <w:color w:val="000000"/>
                <w:kern w:val="0"/>
                <w:sz w:val="21"/>
                <w:szCs w:val="24"/>
              </w:rPr>
              <w:br w:type="textWrapping"/>
            </w:r>
            <w:r>
              <w:rPr>
                <w:rFonts w:hint="eastAsia" w:ascii="宋体" w:hAnsi="宋体" w:eastAsia="宋体" w:cs="宋体"/>
                <w:b/>
                <w:color w:val="000000"/>
                <w:kern w:val="0"/>
                <w:sz w:val="21"/>
                <w:szCs w:val="24"/>
              </w:rPr>
              <w:t>（12分）</w:t>
            </w:r>
          </w:p>
        </w:tc>
        <w:tc>
          <w:tcPr>
            <w:tcW w:w="2107" w:type="dxa"/>
            <w:tcBorders>
              <w:top w:val="single" w:color="auto" w:sz="4" w:space="0"/>
              <w:left w:val="single" w:color="auto" w:sz="4" w:space="0"/>
              <w:bottom w:val="single" w:color="auto" w:sz="4" w:space="0"/>
              <w:right w:val="single" w:color="auto" w:sz="4" w:space="0"/>
            </w:tcBorders>
            <w:shd w:val="clear" w:color="auto" w:fill="auto"/>
            <w:vAlign w:val="center"/>
          </w:tcPr>
          <w:p w14:paraId="2DC90909">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执行同向</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C32A063">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4</w:t>
            </w:r>
          </w:p>
        </w:tc>
        <w:tc>
          <w:tcPr>
            <w:tcW w:w="3571" w:type="dxa"/>
            <w:tcBorders>
              <w:top w:val="single" w:color="auto" w:sz="4" w:space="0"/>
              <w:left w:val="single" w:color="auto" w:sz="4" w:space="0"/>
              <w:bottom w:val="single" w:color="auto" w:sz="4" w:space="0"/>
              <w:right w:val="single" w:color="auto" w:sz="4" w:space="0"/>
            </w:tcBorders>
            <w:shd w:val="clear" w:color="auto" w:fill="auto"/>
            <w:vAlign w:val="center"/>
          </w:tcPr>
          <w:p w14:paraId="765D1C19">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部门预算项目实际列支内容是否与绩效目标设置方向相符</w:t>
            </w:r>
          </w:p>
        </w:tc>
        <w:tc>
          <w:tcPr>
            <w:tcW w:w="656" w:type="dxa"/>
            <w:tcBorders>
              <w:top w:val="single" w:color="auto" w:sz="4" w:space="0"/>
              <w:left w:val="single" w:color="auto" w:sz="4" w:space="0"/>
              <w:bottom w:val="single" w:color="auto" w:sz="4" w:space="0"/>
              <w:right w:val="single" w:color="auto" w:sz="4" w:space="0"/>
            </w:tcBorders>
            <w:shd w:val="clear" w:color="auto" w:fill="auto"/>
            <w:vAlign w:val="center"/>
          </w:tcPr>
          <w:p w14:paraId="5BE2550F">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lang w:val="en-US" w:eastAsia="zh-CN"/>
              </w:rPr>
              <w:t>4</w:t>
            </w: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14:paraId="3AB3CF97">
            <w:pPr>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1"/>
                <w:szCs w:val="24"/>
              </w:rPr>
            </w:pPr>
          </w:p>
        </w:tc>
      </w:tr>
      <w:tr w14:paraId="11DFB57F">
        <w:tblPrEx>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26C88A4">
            <w:pPr>
              <w:widowControl/>
              <w:snapToGrid w:val="0"/>
              <w:spacing w:line="240" w:lineRule="auto"/>
              <w:ind w:left="0" w:leftChars="0" w:right="0" w:rightChars="0" w:firstLine="0" w:firstLineChars="0"/>
              <w:jc w:val="center"/>
              <w:rPr>
                <w:rFonts w:ascii="宋体" w:hAnsi="宋体" w:eastAsia="宋体" w:cs="宋体"/>
                <w:b/>
                <w:color w:val="000000"/>
                <w:sz w:val="21"/>
                <w:szCs w:val="24"/>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0D5000C">
            <w:pPr>
              <w:widowControl/>
              <w:snapToGrid w:val="0"/>
              <w:spacing w:line="240" w:lineRule="auto"/>
              <w:ind w:left="0" w:leftChars="0" w:right="0" w:rightChars="0" w:firstLine="0" w:firstLineChars="0"/>
              <w:jc w:val="center"/>
              <w:rPr>
                <w:rFonts w:ascii="宋体" w:hAnsi="宋体" w:eastAsia="宋体" w:cs="宋体"/>
                <w:b/>
                <w:color w:val="000000"/>
                <w:sz w:val="21"/>
                <w:szCs w:val="24"/>
              </w:rPr>
            </w:pPr>
          </w:p>
        </w:tc>
        <w:tc>
          <w:tcPr>
            <w:tcW w:w="2107" w:type="dxa"/>
            <w:tcBorders>
              <w:top w:val="single" w:color="auto" w:sz="4" w:space="0"/>
              <w:left w:val="single" w:color="auto" w:sz="4" w:space="0"/>
              <w:bottom w:val="single" w:color="auto" w:sz="4" w:space="0"/>
              <w:right w:val="single" w:color="auto" w:sz="4" w:space="0"/>
            </w:tcBorders>
            <w:shd w:val="clear" w:color="auto" w:fill="auto"/>
            <w:vAlign w:val="center"/>
          </w:tcPr>
          <w:p w14:paraId="0B6360B0">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项目调整</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AC88199">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4</w:t>
            </w:r>
          </w:p>
        </w:tc>
        <w:tc>
          <w:tcPr>
            <w:tcW w:w="3571" w:type="dxa"/>
            <w:tcBorders>
              <w:top w:val="single" w:color="auto" w:sz="4" w:space="0"/>
              <w:left w:val="single" w:color="auto" w:sz="4" w:space="0"/>
              <w:bottom w:val="single" w:color="auto" w:sz="4" w:space="0"/>
              <w:right w:val="single" w:color="auto" w:sz="4" w:space="0"/>
            </w:tcBorders>
            <w:shd w:val="clear" w:color="auto" w:fill="auto"/>
            <w:vAlign w:val="center"/>
          </w:tcPr>
          <w:p w14:paraId="0959EBB7">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部门预算项目是否采取对应调整措施</w:t>
            </w:r>
          </w:p>
        </w:tc>
        <w:tc>
          <w:tcPr>
            <w:tcW w:w="656" w:type="dxa"/>
            <w:tcBorders>
              <w:top w:val="single" w:color="auto" w:sz="4" w:space="0"/>
              <w:left w:val="single" w:color="auto" w:sz="4" w:space="0"/>
              <w:bottom w:val="single" w:color="auto" w:sz="4" w:space="0"/>
              <w:right w:val="single" w:color="auto" w:sz="4" w:space="0"/>
            </w:tcBorders>
            <w:shd w:val="clear" w:color="auto" w:fill="auto"/>
            <w:vAlign w:val="center"/>
          </w:tcPr>
          <w:p w14:paraId="433F8A11">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lang w:val="en-US" w:eastAsia="zh-CN"/>
              </w:rPr>
              <w:t>4</w:t>
            </w: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14:paraId="37A14261">
            <w:pPr>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1"/>
                <w:szCs w:val="24"/>
              </w:rPr>
            </w:pPr>
          </w:p>
        </w:tc>
      </w:tr>
      <w:tr w14:paraId="03AFC870">
        <w:tblPrEx>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7A0C013">
            <w:pPr>
              <w:widowControl/>
              <w:snapToGrid w:val="0"/>
              <w:spacing w:line="240" w:lineRule="auto"/>
              <w:ind w:left="0" w:leftChars="0" w:right="0" w:rightChars="0" w:firstLine="0" w:firstLineChars="0"/>
              <w:jc w:val="center"/>
              <w:rPr>
                <w:rFonts w:ascii="宋体" w:hAnsi="宋体" w:eastAsia="宋体" w:cs="宋体"/>
                <w:b/>
                <w:color w:val="000000"/>
                <w:sz w:val="21"/>
                <w:szCs w:val="24"/>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84A2F6F">
            <w:pPr>
              <w:widowControl/>
              <w:snapToGrid w:val="0"/>
              <w:spacing w:line="240" w:lineRule="auto"/>
              <w:ind w:left="0" w:leftChars="0" w:right="0" w:rightChars="0" w:firstLine="0" w:firstLineChars="0"/>
              <w:jc w:val="center"/>
              <w:rPr>
                <w:rFonts w:ascii="宋体" w:hAnsi="宋体" w:eastAsia="宋体" w:cs="宋体"/>
                <w:b/>
                <w:color w:val="000000"/>
                <w:sz w:val="21"/>
                <w:szCs w:val="24"/>
              </w:rPr>
            </w:pPr>
          </w:p>
        </w:tc>
        <w:tc>
          <w:tcPr>
            <w:tcW w:w="2107" w:type="dxa"/>
            <w:tcBorders>
              <w:top w:val="single" w:color="auto" w:sz="4" w:space="0"/>
              <w:left w:val="single" w:color="auto" w:sz="4" w:space="0"/>
              <w:bottom w:val="single" w:color="auto" w:sz="4" w:space="0"/>
              <w:right w:val="single" w:color="auto" w:sz="4" w:space="0"/>
            </w:tcBorders>
            <w:shd w:val="clear" w:color="auto" w:fill="auto"/>
            <w:vAlign w:val="center"/>
          </w:tcPr>
          <w:p w14:paraId="349BDC77">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执行结果</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ADCA685">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4</w:t>
            </w:r>
          </w:p>
        </w:tc>
        <w:tc>
          <w:tcPr>
            <w:tcW w:w="3571" w:type="dxa"/>
            <w:tcBorders>
              <w:top w:val="single" w:color="auto" w:sz="4" w:space="0"/>
              <w:left w:val="single" w:color="auto" w:sz="4" w:space="0"/>
              <w:bottom w:val="single" w:color="auto" w:sz="4" w:space="0"/>
              <w:right w:val="single" w:color="auto" w:sz="4" w:space="0"/>
            </w:tcBorders>
            <w:shd w:val="clear" w:color="auto" w:fill="auto"/>
            <w:vAlign w:val="center"/>
          </w:tcPr>
          <w:p w14:paraId="1BD420BC">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部门预算项目预算执行情况</w:t>
            </w:r>
          </w:p>
        </w:tc>
        <w:tc>
          <w:tcPr>
            <w:tcW w:w="656" w:type="dxa"/>
            <w:tcBorders>
              <w:top w:val="single" w:color="auto" w:sz="4" w:space="0"/>
              <w:left w:val="single" w:color="auto" w:sz="4" w:space="0"/>
              <w:bottom w:val="single" w:color="auto" w:sz="4" w:space="0"/>
              <w:right w:val="single" w:color="auto" w:sz="4" w:space="0"/>
            </w:tcBorders>
            <w:shd w:val="clear" w:color="auto" w:fill="auto"/>
            <w:vAlign w:val="center"/>
          </w:tcPr>
          <w:p w14:paraId="7D88ABB4">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lang w:val="en-US" w:eastAsia="zh-CN"/>
              </w:rPr>
              <w:t>3.34</w:t>
            </w: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14:paraId="0B375A92">
            <w:pPr>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1"/>
                <w:szCs w:val="24"/>
              </w:rPr>
            </w:pPr>
          </w:p>
        </w:tc>
      </w:tr>
      <w:tr w14:paraId="2B83EF32">
        <w:tblPrEx>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A85D1F1">
            <w:pPr>
              <w:widowControl/>
              <w:snapToGrid w:val="0"/>
              <w:spacing w:line="240" w:lineRule="auto"/>
              <w:ind w:left="0" w:leftChars="0" w:right="0" w:rightChars="0" w:firstLine="0" w:firstLineChars="0"/>
              <w:jc w:val="center"/>
              <w:rPr>
                <w:rFonts w:ascii="宋体" w:hAnsi="宋体" w:eastAsia="宋体" w:cs="宋体"/>
                <w:b/>
                <w:color w:val="000000"/>
                <w:sz w:val="21"/>
                <w:szCs w:val="24"/>
              </w:rPr>
            </w:pP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D209B80">
            <w:pPr>
              <w:widowControl/>
              <w:snapToGrid w:val="0"/>
              <w:spacing w:line="240" w:lineRule="auto"/>
              <w:ind w:left="0" w:leftChars="0" w:right="0" w:rightChars="0" w:firstLine="0" w:firstLineChars="0"/>
              <w:jc w:val="center"/>
              <w:textAlignment w:val="center"/>
              <w:rPr>
                <w:rFonts w:ascii="宋体" w:hAnsi="宋体" w:eastAsia="宋体" w:cs="宋体"/>
                <w:b/>
                <w:color w:val="000000"/>
                <w:sz w:val="21"/>
                <w:szCs w:val="24"/>
              </w:rPr>
            </w:pPr>
            <w:r>
              <w:rPr>
                <w:rFonts w:hint="eastAsia" w:ascii="宋体" w:hAnsi="宋体" w:eastAsia="宋体" w:cs="宋体"/>
                <w:b/>
                <w:color w:val="000000"/>
                <w:kern w:val="0"/>
                <w:sz w:val="21"/>
                <w:szCs w:val="24"/>
              </w:rPr>
              <w:t>目标实现</w:t>
            </w:r>
            <w:r>
              <w:rPr>
                <w:rFonts w:hint="eastAsia" w:ascii="宋体" w:hAnsi="宋体" w:eastAsia="宋体" w:cs="宋体"/>
                <w:b/>
                <w:color w:val="000000"/>
                <w:kern w:val="0"/>
                <w:sz w:val="21"/>
                <w:szCs w:val="24"/>
              </w:rPr>
              <w:br w:type="textWrapping"/>
            </w:r>
            <w:r>
              <w:rPr>
                <w:rFonts w:hint="eastAsia" w:ascii="宋体" w:hAnsi="宋体" w:eastAsia="宋体" w:cs="宋体"/>
                <w:b/>
                <w:color w:val="000000"/>
                <w:kern w:val="0"/>
                <w:sz w:val="21"/>
                <w:szCs w:val="24"/>
              </w:rPr>
              <w:t>（11分）</w:t>
            </w:r>
          </w:p>
        </w:tc>
        <w:tc>
          <w:tcPr>
            <w:tcW w:w="2107" w:type="dxa"/>
            <w:tcBorders>
              <w:top w:val="single" w:color="auto" w:sz="4" w:space="0"/>
              <w:left w:val="single" w:color="auto" w:sz="4" w:space="0"/>
              <w:bottom w:val="single" w:color="auto" w:sz="4" w:space="0"/>
              <w:right w:val="single" w:color="auto" w:sz="4" w:space="0"/>
            </w:tcBorders>
            <w:shd w:val="clear" w:color="auto" w:fill="auto"/>
            <w:vAlign w:val="center"/>
          </w:tcPr>
          <w:p w14:paraId="44A22806">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目标完成</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CE2FF43">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4</w:t>
            </w:r>
          </w:p>
        </w:tc>
        <w:tc>
          <w:tcPr>
            <w:tcW w:w="3571" w:type="dxa"/>
            <w:tcBorders>
              <w:top w:val="single" w:color="auto" w:sz="4" w:space="0"/>
              <w:left w:val="single" w:color="auto" w:sz="4" w:space="0"/>
              <w:bottom w:val="single" w:color="auto" w:sz="4" w:space="0"/>
              <w:right w:val="single" w:color="auto" w:sz="4" w:space="0"/>
            </w:tcBorders>
            <w:shd w:val="clear" w:color="auto" w:fill="auto"/>
            <w:vAlign w:val="center"/>
          </w:tcPr>
          <w:p w14:paraId="74127BAB">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部门预算项目绩效目标数量指标完成情况</w:t>
            </w:r>
          </w:p>
        </w:tc>
        <w:tc>
          <w:tcPr>
            <w:tcW w:w="656" w:type="dxa"/>
            <w:tcBorders>
              <w:top w:val="single" w:color="auto" w:sz="4" w:space="0"/>
              <w:left w:val="single" w:color="auto" w:sz="4" w:space="0"/>
              <w:bottom w:val="single" w:color="auto" w:sz="4" w:space="0"/>
              <w:right w:val="single" w:color="auto" w:sz="4" w:space="0"/>
            </w:tcBorders>
            <w:shd w:val="clear" w:color="auto" w:fill="auto"/>
            <w:vAlign w:val="center"/>
          </w:tcPr>
          <w:p w14:paraId="35E7852D">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lang w:val="en-US" w:eastAsia="zh-CN"/>
              </w:rPr>
              <w:t>4</w:t>
            </w: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14:paraId="4080516F">
            <w:pPr>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1"/>
                <w:szCs w:val="24"/>
              </w:rPr>
            </w:pPr>
          </w:p>
        </w:tc>
      </w:tr>
      <w:tr w14:paraId="7EFFFBFC">
        <w:tblPrEx>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C7A5C39">
            <w:pPr>
              <w:widowControl/>
              <w:snapToGrid w:val="0"/>
              <w:spacing w:line="240" w:lineRule="auto"/>
              <w:ind w:left="0" w:leftChars="0" w:right="0" w:rightChars="0" w:firstLine="0" w:firstLineChars="0"/>
              <w:jc w:val="center"/>
              <w:rPr>
                <w:rFonts w:ascii="宋体" w:hAnsi="宋体" w:eastAsia="宋体" w:cs="宋体"/>
                <w:b/>
                <w:color w:val="000000"/>
                <w:sz w:val="21"/>
                <w:szCs w:val="24"/>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25C5DBD">
            <w:pPr>
              <w:widowControl/>
              <w:snapToGrid w:val="0"/>
              <w:spacing w:line="240" w:lineRule="auto"/>
              <w:ind w:left="0" w:leftChars="0" w:right="0" w:rightChars="0" w:firstLine="0" w:firstLineChars="0"/>
              <w:jc w:val="center"/>
              <w:rPr>
                <w:rFonts w:ascii="宋体" w:hAnsi="宋体" w:eastAsia="宋体" w:cs="宋体"/>
                <w:b/>
                <w:color w:val="000000"/>
                <w:sz w:val="21"/>
                <w:szCs w:val="24"/>
              </w:rPr>
            </w:pPr>
          </w:p>
        </w:tc>
        <w:tc>
          <w:tcPr>
            <w:tcW w:w="2107" w:type="dxa"/>
            <w:tcBorders>
              <w:top w:val="single" w:color="auto" w:sz="4" w:space="0"/>
              <w:left w:val="single" w:color="auto" w:sz="4" w:space="0"/>
              <w:bottom w:val="single" w:color="auto" w:sz="4" w:space="0"/>
              <w:right w:val="single" w:color="auto" w:sz="4" w:space="0"/>
            </w:tcBorders>
            <w:shd w:val="clear" w:color="auto" w:fill="auto"/>
            <w:vAlign w:val="center"/>
          </w:tcPr>
          <w:p w14:paraId="22D16EC2">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目标偏离</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FFF332E">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4</w:t>
            </w:r>
          </w:p>
        </w:tc>
        <w:tc>
          <w:tcPr>
            <w:tcW w:w="3571" w:type="dxa"/>
            <w:tcBorders>
              <w:top w:val="single" w:color="auto" w:sz="4" w:space="0"/>
              <w:left w:val="single" w:color="auto" w:sz="4" w:space="0"/>
              <w:bottom w:val="single" w:color="auto" w:sz="4" w:space="0"/>
              <w:right w:val="single" w:color="auto" w:sz="4" w:space="0"/>
            </w:tcBorders>
            <w:shd w:val="clear" w:color="auto" w:fill="auto"/>
            <w:vAlign w:val="center"/>
          </w:tcPr>
          <w:p w14:paraId="277CAC18">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部门预算项目绩效目标数量指标实现程度与预期目标的偏离情况</w:t>
            </w:r>
          </w:p>
        </w:tc>
        <w:tc>
          <w:tcPr>
            <w:tcW w:w="656" w:type="dxa"/>
            <w:tcBorders>
              <w:top w:val="single" w:color="auto" w:sz="4" w:space="0"/>
              <w:left w:val="single" w:color="auto" w:sz="4" w:space="0"/>
              <w:bottom w:val="single" w:color="auto" w:sz="4" w:space="0"/>
              <w:right w:val="single" w:color="auto" w:sz="4" w:space="0"/>
            </w:tcBorders>
            <w:shd w:val="clear" w:color="auto" w:fill="auto"/>
            <w:vAlign w:val="center"/>
          </w:tcPr>
          <w:p w14:paraId="1088A14D">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lang w:val="en-US" w:eastAsia="zh-CN"/>
              </w:rPr>
              <w:t>4</w:t>
            </w: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14:paraId="4DD7F2B9">
            <w:pPr>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1"/>
                <w:szCs w:val="24"/>
              </w:rPr>
            </w:pPr>
          </w:p>
        </w:tc>
      </w:tr>
      <w:tr w14:paraId="7ABE841A">
        <w:tblPrEx>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8CFBFC1">
            <w:pPr>
              <w:widowControl/>
              <w:snapToGrid w:val="0"/>
              <w:spacing w:line="240" w:lineRule="auto"/>
              <w:ind w:left="0" w:leftChars="0" w:right="0" w:rightChars="0" w:firstLine="0" w:firstLineChars="0"/>
              <w:jc w:val="center"/>
              <w:rPr>
                <w:rFonts w:ascii="宋体" w:hAnsi="宋体" w:eastAsia="宋体" w:cs="宋体"/>
                <w:b/>
                <w:color w:val="000000"/>
                <w:sz w:val="21"/>
                <w:szCs w:val="24"/>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37C3477">
            <w:pPr>
              <w:widowControl/>
              <w:snapToGrid w:val="0"/>
              <w:spacing w:line="240" w:lineRule="auto"/>
              <w:ind w:left="0" w:leftChars="0" w:right="0" w:rightChars="0" w:firstLine="0" w:firstLineChars="0"/>
              <w:jc w:val="center"/>
              <w:rPr>
                <w:rFonts w:ascii="宋体" w:hAnsi="宋体" w:eastAsia="宋体" w:cs="宋体"/>
                <w:b/>
                <w:color w:val="000000"/>
                <w:sz w:val="21"/>
                <w:szCs w:val="24"/>
              </w:rPr>
            </w:pPr>
          </w:p>
        </w:tc>
        <w:tc>
          <w:tcPr>
            <w:tcW w:w="2107" w:type="dxa"/>
            <w:tcBorders>
              <w:top w:val="single" w:color="auto" w:sz="4" w:space="0"/>
              <w:left w:val="single" w:color="auto" w:sz="4" w:space="0"/>
              <w:bottom w:val="single" w:color="auto" w:sz="4" w:space="0"/>
              <w:right w:val="single" w:color="auto" w:sz="4" w:space="0"/>
            </w:tcBorders>
            <w:shd w:val="clear" w:color="auto" w:fill="auto"/>
            <w:vAlign w:val="center"/>
          </w:tcPr>
          <w:p w14:paraId="16630828">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实现效果</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AC52C51">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3</w:t>
            </w:r>
          </w:p>
        </w:tc>
        <w:tc>
          <w:tcPr>
            <w:tcW w:w="3571" w:type="dxa"/>
            <w:tcBorders>
              <w:top w:val="single" w:color="auto" w:sz="4" w:space="0"/>
              <w:left w:val="single" w:color="auto" w:sz="4" w:space="0"/>
              <w:bottom w:val="single" w:color="auto" w:sz="4" w:space="0"/>
              <w:right w:val="single" w:color="auto" w:sz="4" w:space="0"/>
            </w:tcBorders>
            <w:shd w:val="clear" w:color="auto" w:fill="auto"/>
            <w:vAlign w:val="center"/>
          </w:tcPr>
          <w:p w14:paraId="04B3494C">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rPr>
              <w:t>部门预算项目绩效目标效益指标实施效果</w:t>
            </w:r>
          </w:p>
        </w:tc>
        <w:tc>
          <w:tcPr>
            <w:tcW w:w="656" w:type="dxa"/>
            <w:tcBorders>
              <w:top w:val="single" w:color="auto" w:sz="4" w:space="0"/>
              <w:left w:val="single" w:color="auto" w:sz="4" w:space="0"/>
              <w:bottom w:val="single" w:color="auto" w:sz="4" w:space="0"/>
              <w:right w:val="single" w:color="auto" w:sz="4" w:space="0"/>
            </w:tcBorders>
            <w:shd w:val="clear" w:color="auto" w:fill="auto"/>
            <w:vAlign w:val="center"/>
          </w:tcPr>
          <w:p w14:paraId="796C61EE">
            <w:pPr>
              <w:widowControl/>
              <w:snapToGrid w:val="0"/>
              <w:spacing w:line="240" w:lineRule="auto"/>
              <w:ind w:left="0" w:leftChars="0" w:right="0" w:rightChars="0" w:firstLine="0" w:firstLineChars="0"/>
              <w:jc w:val="left"/>
              <w:textAlignment w:val="center"/>
              <w:rPr>
                <w:rFonts w:hint="eastAsia" w:ascii="宋体" w:hAnsi="宋体" w:eastAsia="宋体" w:cs="宋体"/>
                <w:color w:val="000000"/>
                <w:kern w:val="0"/>
                <w:sz w:val="21"/>
                <w:szCs w:val="24"/>
              </w:rPr>
            </w:pPr>
            <w:r>
              <w:rPr>
                <w:rFonts w:hint="eastAsia" w:ascii="宋体" w:hAnsi="宋体" w:eastAsia="宋体" w:cs="宋体"/>
                <w:color w:val="000000"/>
                <w:kern w:val="0"/>
                <w:sz w:val="21"/>
                <w:szCs w:val="24"/>
                <w:lang w:val="en-US" w:eastAsia="zh-CN"/>
              </w:rPr>
              <w:t>3</w:t>
            </w: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14:paraId="73BB1A84">
            <w:pPr>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1"/>
                <w:szCs w:val="24"/>
              </w:rPr>
            </w:pPr>
          </w:p>
        </w:tc>
      </w:tr>
      <w:tr w14:paraId="42D2C2F0">
        <w:tblPrEx>
          <w:tblCellMar>
            <w:top w:w="0" w:type="dxa"/>
            <w:left w:w="108" w:type="dxa"/>
            <w:bottom w:w="0" w:type="dxa"/>
            <w:right w:w="108" w:type="dxa"/>
          </w:tblCellMar>
        </w:tblPrEx>
        <w:trPr>
          <w:trHeight w:val="0" w:hRule="atLeast"/>
          <w:jc w:val="center"/>
        </w:trPr>
        <w:tc>
          <w:tcPr>
            <w:tcW w:w="1120" w:type="dxa"/>
            <w:tcBorders>
              <w:top w:val="single" w:color="auto" w:sz="4" w:space="0"/>
              <w:left w:val="single" w:color="auto" w:sz="4" w:space="0"/>
              <w:bottom w:val="single" w:color="auto" w:sz="4" w:space="0"/>
              <w:right w:val="single" w:color="auto" w:sz="4" w:space="0"/>
            </w:tcBorders>
            <w:shd w:val="clear" w:color="auto" w:fill="auto"/>
            <w:vAlign w:val="center"/>
          </w:tcPr>
          <w:p w14:paraId="09419FD3">
            <w:pPr>
              <w:widowControl/>
              <w:snapToGrid w:val="0"/>
              <w:spacing w:line="240" w:lineRule="auto"/>
              <w:ind w:left="0" w:leftChars="0" w:right="0" w:rightChars="0" w:firstLine="0" w:firstLineChars="0"/>
              <w:jc w:val="center"/>
              <w:textAlignment w:val="center"/>
              <w:rPr>
                <w:rFonts w:ascii="宋体" w:hAnsi="宋体" w:eastAsia="宋体" w:cs="宋体"/>
                <w:b/>
                <w:color w:val="000000"/>
                <w:sz w:val="21"/>
                <w:szCs w:val="24"/>
              </w:rPr>
            </w:pPr>
            <w:r>
              <w:rPr>
                <w:rFonts w:hint="eastAsia" w:ascii="宋体" w:hAnsi="宋体" w:eastAsia="宋体" w:cs="宋体"/>
                <w:b/>
                <w:color w:val="000000"/>
                <w:kern w:val="0"/>
                <w:sz w:val="21"/>
                <w:szCs w:val="24"/>
              </w:rPr>
              <w:t>扣分项</w:t>
            </w:r>
            <w:r>
              <w:rPr>
                <w:rFonts w:hint="eastAsia" w:ascii="宋体" w:hAnsi="宋体" w:eastAsia="宋体" w:cs="宋体"/>
                <w:b/>
                <w:color w:val="000000"/>
                <w:kern w:val="0"/>
                <w:sz w:val="21"/>
                <w:szCs w:val="24"/>
              </w:rPr>
              <w:br w:type="textWrapping"/>
            </w:r>
            <w:r>
              <w:rPr>
                <w:rFonts w:hint="eastAsia" w:ascii="宋体" w:hAnsi="宋体" w:eastAsia="宋体" w:cs="宋体"/>
                <w:b/>
                <w:color w:val="000000"/>
                <w:kern w:val="0"/>
                <w:sz w:val="21"/>
                <w:szCs w:val="24"/>
              </w:rPr>
              <w:t>（10分）</w:t>
            </w:r>
          </w:p>
        </w:tc>
        <w:tc>
          <w:tcPr>
            <w:tcW w:w="345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C6E0A1B">
            <w:pPr>
              <w:widowControl/>
              <w:snapToGrid w:val="0"/>
              <w:spacing w:line="240" w:lineRule="auto"/>
              <w:ind w:left="0" w:leftChars="0" w:right="0" w:rightChars="0" w:firstLine="0" w:firstLineChars="0"/>
              <w:jc w:val="center"/>
              <w:textAlignment w:val="center"/>
              <w:rPr>
                <w:rFonts w:ascii="宋体" w:hAnsi="宋体" w:eastAsia="宋体" w:cs="宋体"/>
                <w:color w:val="000000"/>
                <w:sz w:val="21"/>
                <w:szCs w:val="24"/>
              </w:rPr>
            </w:pPr>
            <w:r>
              <w:rPr>
                <w:rFonts w:hint="eastAsia" w:ascii="宋体" w:hAnsi="宋体" w:eastAsia="宋体" w:cs="宋体"/>
                <w:color w:val="000000"/>
                <w:kern w:val="0"/>
                <w:sz w:val="21"/>
                <w:szCs w:val="24"/>
              </w:rPr>
              <w:t>被评价部门配合度</w:t>
            </w:r>
          </w:p>
        </w:tc>
        <w:tc>
          <w:tcPr>
            <w:tcW w:w="658" w:type="dxa"/>
            <w:tcBorders>
              <w:top w:val="single" w:color="auto" w:sz="4" w:space="0"/>
              <w:left w:val="single" w:color="auto" w:sz="4" w:space="0"/>
              <w:bottom w:val="single" w:color="auto" w:sz="4" w:space="0"/>
              <w:right w:val="single" w:color="auto" w:sz="4" w:space="0"/>
            </w:tcBorders>
            <w:shd w:val="clear" w:color="auto" w:fill="auto"/>
            <w:vAlign w:val="center"/>
          </w:tcPr>
          <w:p w14:paraId="3F210295">
            <w:pPr>
              <w:widowControl/>
              <w:snapToGrid w:val="0"/>
              <w:spacing w:line="240" w:lineRule="auto"/>
              <w:ind w:left="0" w:leftChars="0" w:right="0" w:rightChars="0" w:firstLine="0" w:firstLineChars="0"/>
              <w:jc w:val="left"/>
              <w:textAlignment w:val="center"/>
              <w:rPr>
                <w:rFonts w:ascii="宋体" w:hAnsi="宋体" w:eastAsia="宋体" w:cs="宋体"/>
                <w:color w:val="000000"/>
                <w:sz w:val="21"/>
                <w:szCs w:val="24"/>
              </w:rPr>
            </w:pPr>
            <w:r>
              <w:rPr>
                <w:rFonts w:hint="eastAsia" w:ascii="宋体" w:hAnsi="宋体" w:eastAsia="宋体" w:cs="宋体"/>
                <w:color w:val="000000"/>
                <w:kern w:val="0"/>
                <w:sz w:val="21"/>
                <w:szCs w:val="24"/>
              </w:rPr>
              <w:t>-</w:t>
            </w:r>
          </w:p>
        </w:tc>
        <w:tc>
          <w:tcPr>
            <w:tcW w:w="3571" w:type="dxa"/>
            <w:tcBorders>
              <w:top w:val="single" w:color="auto" w:sz="4" w:space="0"/>
              <w:left w:val="single" w:color="auto" w:sz="4" w:space="0"/>
              <w:bottom w:val="single" w:color="auto" w:sz="4" w:space="0"/>
              <w:right w:val="single" w:color="auto" w:sz="4" w:space="0"/>
            </w:tcBorders>
            <w:shd w:val="clear" w:color="auto" w:fill="auto"/>
            <w:vAlign w:val="center"/>
          </w:tcPr>
          <w:p w14:paraId="1011F1A4">
            <w:pPr>
              <w:widowControl/>
              <w:snapToGrid w:val="0"/>
              <w:spacing w:line="240" w:lineRule="auto"/>
              <w:ind w:left="0" w:leftChars="0" w:right="0" w:rightChars="0" w:firstLine="0" w:firstLineChars="0"/>
              <w:jc w:val="left"/>
              <w:textAlignment w:val="center"/>
              <w:rPr>
                <w:rFonts w:ascii="宋体" w:hAnsi="宋体" w:eastAsia="宋体" w:cs="宋体"/>
                <w:color w:val="000000"/>
                <w:sz w:val="21"/>
                <w:szCs w:val="24"/>
              </w:rPr>
            </w:pPr>
            <w:r>
              <w:rPr>
                <w:rFonts w:hint="eastAsia" w:ascii="宋体" w:hAnsi="宋体" w:eastAsia="宋体" w:cs="宋体"/>
                <w:color w:val="000000"/>
                <w:kern w:val="0"/>
                <w:sz w:val="21"/>
                <w:szCs w:val="24"/>
              </w:rPr>
              <w:t>被评价对象工作配合情况</w:t>
            </w:r>
          </w:p>
        </w:tc>
        <w:tc>
          <w:tcPr>
            <w:tcW w:w="656" w:type="dxa"/>
            <w:tcBorders>
              <w:top w:val="single" w:color="auto" w:sz="4" w:space="0"/>
              <w:left w:val="single" w:color="auto" w:sz="4" w:space="0"/>
              <w:bottom w:val="single" w:color="auto" w:sz="4" w:space="0"/>
              <w:right w:val="single" w:color="auto" w:sz="4" w:space="0"/>
            </w:tcBorders>
            <w:shd w:val="clear" w:color="auto" w:fill="auto"/>
            <w:vAlign w:val="center"/>
          </w:tcPr>
          <w:p w14:paraId="21290CEF">
            <w:pPr>
              <w:widowControl/>
              <w:snapToGrid w:val="0"/>
              <w:spacing w:line="240" w:lineRule="auto"/>
              <w:ind w:left="0" w:leftChars="0" w:right="0" w:rightChars="0" w:firstLine="0" w:firstLineChars="0"/>
              <w:jc w:val="left"/>
              <w:textAlignment w:val="center"/>
              <w:rPr>
                <w:rFonts w:ascii="宋体" w:hAnsi="宋体" w:eastAsia="宋体" w:cs="宋体"/>
                <w:color w:val="000000"/>
                <w:kern w:val="0"/>
                <w:sz w:val="21"/>
                <w:szCs w:val="24"/>
              </w:rPr>
            </w:pP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14:paraId="38A5555A">
            <w:pPr>
              <w:widowControl/>
              <w:snapToGrid w:val="0"/>
              <w:spacing w:line="240" w:lineRule="auto"/>
              <w:ind w:left="0" w:leftChars="0" w:right="0" w:rightChars="0" w:firstLine="0" w:firstLineChars="0"/>
              <w:jc w:val="center"/>
              <w:textAlignment w:val="center"/>
              <w:rPr>
                <w:rFonts w:ascii="宋体" w:hAnsi="宋体" w:eastAsia="宋体" w:cs="宋体"/>
                <w:color w:val="000000"/>
                <w:kern w:val="0"/>
                <w:sz w:val="21"/>
                <w:szCs w:val="24"/>
              </w:rPr>
            </w:pPr>
          </w:p>
        </w:tc>
      </w:tr>
    </w:tbl>
    <w:p w14:paraId="0959AD0C">
      <w:pPr>
        <w:rPr>
          <w:rFonts w:hint="eastAsia" w:eastAsia="方正小标宋简体"/>
          <w:color w:val="000000"/>
          <w:kern w:val="0"/>
          <w:sz w:val="44"/>
          <w:szCs w:val="44"/>
        </w:rPr>
      </w:pPr>
      <w:r>
        <w:rPr>
          <w:rFonts w:hint="eastAsia" w:eastAsia="方正小标宋简体"/>
          <w:color w:val="000000"/>
          <w:kern w:val="0"/>
          <w:sz w:val="44"/>
          <w:szCs w:val="44"/>
        </w:rPr>
        <w:br w:type="page"/>
      </w:r>
    </w:p>
    <w:p w14:paraId="5541F0CA">
      <w:pPr>
        <w:spacing w:line="578" w:lineRule="exact"/>
        <w:jc w:val="left"/>
        <w:rPr>
          <w:rFonts w:eastAsia="黑体"/>
        </w:rPr>
      </w:pPr>
      <w:r>
        <w:rPr>
          <w:rFonts w:eastAsia="黑体"/>
        </w:rPr>
        <w:t>附表</w:t>
      </w:r>
      <w:r>
        <w:rPr>
          <w:rFonts w:hint="eastAsia" w:eastAsia="黑体"/>
        </w:rPr>
        <w:t>2</w:t>
      </w:r>
    </w:p>
    <w:p w14:paraId="045D495B">
      <w:pPr>
        <w:widowControl/>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部门整体</w:t>
      </w:r>
      <w:r>
        <w:rPr>
          <w:rFonts w:hint="eastAsia" w:eastAsia="方正小标宋简体"/>
          <w:color w:val="000000"/>
          <w:kern w:val="0"/>
          <w:sz w:val="44"/>
          <w:szCs w:val="44"/>
        </w:rPr>
        <w:t>支出</w:t>
      </w:r>
      <w:r>
        <w:rPr>
          <w:rFonts w:eastAsia="方正小标宋简体"/>
          <w:color w:val="000000"/>
          <w:kern w:val="0"/>
          <w:sz w:val="44"/>
          <w:szCs w:val="44"/>
        </w:rPr>
        <w:t>绩效目标完成情况自评表</w:t>
      </w:r>
    </w:p>
    <w:tbl>
      <w:tblPr>
        <w:tblStyle w:val="17"/>
        <w:tblW w:w="9375" w:type="dxa"/>
        <w:jc w:val="center"/>
        <w:tblLayout w:type="fixed"/>
        <w:tblCellMar>
          <w:top w:w="0" w:type="dxa"/>
          <w:left w:w="108" w:type="dxa"/>
          <w:bottom w:w="0" w:type="dxa"/>
          <w:right w:w="108" w:type="dxa"/>
        </w:tblCellMar>
      </w:tblPr>
      <w:tblGrid>
        <w:gridCol w:w="331"/>
        <w:gridCol w:w="593"/>
        <w:gridCol w:w="803"/>
        <w:gridCol w:w="1490"/>
        <w:gridCol w:w="709"/>
        <w:gridCol w:w="175"/>
        <w:gridCol w:w="675"/>
        <w:gridCol w:w="795"/>
        <w:gridCol w:w="1045"/>
        <w:gridCol w:w="1111"/>
        <w:gridCol w:w="1648"/>
      </w:tblGrid>
      <w:tr w14:paraId="07464189">
        <w:tblPrEx>
          <w:tblCellMar>
            <w:top w:w="0" w:type="dxa"/>
            <w:left w:w="108" w:type="dxa"/>
            <w:bottom w:w="0" w:type="dxa"/>
            <w:right w:w="108" w:type="dxa"/>
          </w:tblCellMar>
        </w:tblPrEx>
        <w:trPr>
          <w:trHeight w:val="90"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2D2CB92F">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rPr>
              <w:br w:type="page"/>
            </w:r>
            <w:r>
              <w:rPr>
                <w:rFonts w:hint="eastAsia" w:ascii="宋体" w:hAnsi="宋体" w:eastAsia="宋体" w:cs="宋体"/>
                <w:color w:val="000000"/>
                <w:kern w:val="0"/>
                <w:sz w:val="22"/>
                <w:szCs w:val="28"/>
              </w:rPr>
              <w:t>部门名称</w:t>
            </w:r>
          </w:p>
        </w:tc>
        <w:tc>
          <w:tcPr>
            <w:tcW w:w="7648" w:type="dxa"/>
            <w:gridSpan w:val="8"/>
            <w:tcBorders>
              <w:top w:val="single" w:color="auto" w:sz="4" w:space="0"/>
              <w:left w:val="single" w:color="auto" w:sz="4" w:space="0"/>
              <w:bottom w:val="single" w:color="auto" w:sz="4" w:space="0"/>
              <w:right w:val="single" w:color="auto" w:sz="4" w:space="0"/>
            </w:tcBorders>
            <w:noWrap/>
            <w:vAlign w:val="center"/>
          </w:tcPr>
          <w:p w14:paraId="37624CB5">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rPr>
              <w:t>阿坝州农业科学研究院部门</w:t>
            </w:r>
          </w:p>
        </w:tc>
      </w:tr>
      <w:tr w14:paraId="002BA77F">
        <w:tblPrEx>
          <w:tblCellMar>
            <w:top w:w="0" w:type="dxa"/>
            <w:left w:w="108" w:type="dxa"/>
            <w:bottom w:w="0" w:type="dxa"/>
            <w:right w:w="108" w:type="dxa"/>
          </w:tblCellMar>
        </w:tblPrEx>
        <w:trPr>
          <w:trHeight w:val="378"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28C979D2">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rPr>
              <w:t>年度部门整体预算</w:t>
            </w:r>
          </w:p>
        </w:tc>
        <w:tc>
          <w:tcPr>
            <w:tcW w:w="2374" w:type="dxa"/>
            <w:gridSpan w:val="3"/>
            <w:tcBorders>
              <w:top w:val="single" w:color="auto" w:sz="4" w:space="0"/>
              <w:left w:val="single" w:color="auto" w:sz="4" w:space="0"/>
              <w:bottom w:val="single" w:color="auto" w:sz="4" w:space="0"/>
              <w:right w:val="single" w:color="auto" w:sz="4" w:space="0"/>
            </w:tcBorders>
            <w:noWrap/>
            <w:vAlign w:val="center"/>
          </w:tcPr>
          <w:p w14:paraId="5A6958E2">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rPr>
              <w:t>资金总额</w:t>
            </w:r>
          </w:p>
        </w:tc>
        <w:tc>
          <w:tcPr>
            <w:tcW w:w="1470" w:type="dxa"/>
            <w:gridSpan w:val="2"/>
            <w:tcBorders>
              <w:top w:val="single" w:color="auto" w:sz="4" w:space="0"/>
              <w:left w:val="single" w:color="auto" w:sz="4" w:space="0"/>
              <w:bottom w:val="single" w:color="auto" w:sz="4" w:space="0"/>
              <w:right w:val="single" w:color="auto" w:sz="4" w:space="0"/>
            </w:tcBorders>
            <w:noWrap/>
            <w:vAlign w:val="center"/>
          </w:tcPr>
          <w:p w14:paraId="5A46E8E3">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rPr>
              <w:t>财政拨款</w:t>
            </w:r>
          </w:p>
        </w:tc>
        <w:tc>
          <w:tcPr>
            <w:tcW w:w="3804" w:type="dxa"/>
            <w:gridSpan w:val="3"/>
            <w:tcBorders>
              <w:top w:val="single" w:color="auto" w:sz="4" w:space="0"/>
              <w:left w:val="single" w:color="auto" w:sz="4" w:space="0"/>
              <w:bottom w:val="single" w:color="auto" w:sz="4" w:space="0"/>
              <w:right w:val="single" w:color="auto" w:sz="4" w:space="0"/>
            </w:tcBorders>
            <w:noWrap/>
            <w:vAlign w:val="center"/>
          </w:tcPr>
          <w:p w14:paraId="48323464">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rPr>
              <w:t>其他资金</w:t>
            </w:r>
          </w:p>
        </w:tc>
      </w:tr>
      <w:tr w14:paraId="0D08D50E">
        <w:tblPrEx>
          <w:tblCellMar>
            <w:top w:w="0" w:type="dxa"/>
            <w:left w:w="108" w:type="dxa"/>
            <w:bottom w:w="0" w:type="dxa"/>
            <w:right w:w="108" w:type="dxa"/>
          </w:tblCellMar>
        </w:tblPrEx>
        <w:trPr>
          <w:trHeight w:val="228"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4ACA3F15">
            <w:pPr>
              <w:widowControl/>
              <w:spacing w:line="240" w:lineRule="exact"/>
              <w:jc w:val="center"/>
              <w:textAlignment w:val="center"/>
              <w:rPr>
                <w:rFonts w:hint="eastAsia" w:ascii="宋体" w:hAnsi="宋体" w:eastAsia="宋体" w:cs="宋体"/>
                <w:color w:val="000000"/>
                <w:kern w:val="0"/>
                <w:sz w:val="22"/>
                <w:szCs w:val="28"/>
                <w:highlight w:val="none"/>
              </w:rPr>
            </w:pPr>
            <w:r>
              <w:rPr>
                <w:rFonts w:hint="eastAsia" w:ascii="宋体" w:hAnsi="宋体" w:eastAsia="宋体" w:cs="宋体"/>
                <w:color w:val="000000"/>
                <w:kern w:val="0"/>
                <w:sz w:val="22"/>
                <w:szCs w:val="28"/>
                <w:highlight w:val="none"/>
              </w:rPr>
              <w:t>收入预算</w:t>
            </w:r>
          </w:p>
        </w:tc>
        <w:tc>
          <w:tcPr>
            <w:tcW w:w="2374" w:type="dxa"/>
            <w:gridSpan w:val="3"/>
            <w:tcBorders>
              <w:top w:val="single" w:color="auto" w:sz="4" w:space="0"/>
              <w:left w:val="single" w:color="auto" w:sz="4" w:space="0"/>
              <w:bottom w:val="single" w:color="auto" w:sz="4" w:space="0"/>
              <w:right w:val="single" w:color="auto" w:sz="4" w:space="0"/>
            </w:tcBorders>
            <w:noWrap/>
            <w:vAlign w:val="center"/>
          </w:tcPr>
          <w:p w14:paraId="64BC7634">
            <w:pPr>
              <w:widowControl/>
              <w:spacing w:line="240" w:lineRule="exact"/>
              <w:jc w:val="center"/>
              <w:textAlignment w:val="center"/>
              <w:rPr>
                <w:rFonts w:hint="default" w:ascii="宋体" w:hAnsi="宋体" w:eastAsia="宋体" w:cs="宋体"/>
                <w:color w:val="000000" w:themeColor="text1"/>
                <w:kern w:val="0"/>
                <w:sz w:val="22"/>
                <w:szCs w:val="28"/>
                <w:highlight w:val="none"/>
                <w:lang w:val="en-US" w:eastAsia="zh-CN"/>
                <w14:textFill>
                  <w14:solidFill>
                    <w14:schemeClr w14:val="tx1"/>
                  </w14:solidFill>
                </w14:textFill>
              </w:rPr>
            </w:pPr>
            <w:r>
              <w:rPr>
                <w:rFonts w:hint="eastAsia" w:ascii="宋体" w:hAnsi="宋体" w:eastAsia="宋体" w:cs="宋体"/>
                <w:color w:val="000000" w:themeColor="text1"/>
                <w:kern w:val="0"/>
                <w:sz w:val="22"/>
                <w:szCs w:val="28"/>
                <w:highlight w:val="none"/>
                <w:lang w:val="en-US" w:eastAsia="zh-CN"/>
                <w14:textFill>
                  <w14:solidFill>
                    <w14:schemeClr w14:val="tx1"/>
                  </w14:solidFill>
                </w14:textFill>
              </w:rPr>
              <w:t>3633.57</w:t>
            </w:r>
          </w:p>
        </w:tc>
        <w:tc>
          <w:tcPr>
            <w:tcW w:w="1470" w:type="dxa"/>
            <w:gridSpan w:val="2"/>
            <w:tcBorders>
              <w:top w:val="single" w:color="auto" w:sz="4" w:space="0"/>
              <w:left w:val="single" w:color="auto" w:sz="4" w:space="0"/>
              <w:bottom w:val="single" w:color="auto" w:sz="4" w:space="0"/>
              <w:right w:val="single" w:color="auto" w:sz="4" w:space="0"/>
            </w:tcBorders>
            <w:noWrap/>
            <w:vAlign w:val="center"/>
          </w:tcPr>
          <w:p w14:paraId="447C8168">
            <w:pPr>
              <w:widowControl/>
              <w:spacing w:line="240" w:lineRule="exact"/>
              <w:jc w:val="center"/>
              <w:textAlignment w:val="center"/>
              <w:rPr>
                <w:rFonts w:hint="default" w:ascii="宋体" w:hAnsi="宋体" w:eastAsia="宋体" w:cs="宋体"/>
                <w:color w:val="000000" w:themeColor="text1"/>
                <w:kern w:val="0"/>
                <w:sz w:val="22"/>
                <w:szCs w:val="28"/>
                <w:highlight w:val="none"/>
                <w:lang w:val="en-US" w:eastAsia="zh-CN"/>
                <w14:textFill>
                  <w14:solidFill>
                    <w14:schemeClr w14:val="tx1"/>
                  </w14:solidFill>
                </w14:textFill>
              </w:rPr>
            </w:pPr>
            <w:r>
              <w:rPr>
                <w:rFonts w:hint="eastAsia" w:ascii="宋体" w:hAnsi="宋体" w:eastAsia="宋体" w:cs="宋体"/>
                <w:color w:val="000000" w:themeColor="text1"/>
                <w:kern w:val="0"/>
                <w:sz w:val="22"/>
                <w:szCs w:val="28"/>
                <w:highlight w:val="none"/>
                <w:lang w:val="en-US" w:eastAsia="zh-CN"/>
                <w14:textFill>
                  <w14:solidFill>
                    <w14:schemeClr w14:val="tx1"/>
                  </w14:solidFill>
                </w14:textFill>
              </w:rPr>
              <w:t>3373.89</w:t>
            </w:r>
          </w:p>
        </w:tc>
        <w:tc>
          <w:tcPr>
            <w:tcW w:w="3804" w:type="dxa"/>
            <w:gridSpan w:val="3"/>
            <w:tcBorders>
              <w:top w:val="single" w:color="auto" w:sz="4" w:space="0"/>
              <w:left w:val="single" w:color="auto" w:sz="4" w:space="0"/>
              <w:bottom w:val="single" w:color="auto" w:sz="4" w:space="0"/>
              <w:right w:val="single" w:color="auto" w:sz="4" w:space="0"/>
            </w:tcBorders>
            <w:noWrap/>
            <w:vAlign w:val="center"/>
          </w:tcPr>
          <w:p w14:paraId="06FF342D">
            <w:pPr>
              <w:widowControl/>
              <w:spacing w:line="240" w:lineRule="exact"/>
              <w:jc w:val="center"/>
              <w:textAlignment w:val="center"/>
              <w:rPr>
                <w:rFonts w:hint="default" w:ascii="宋体" w:hAnsi="宋体" w:eastAsia="宋体" w:cs="宋体"/>
                <w:color w:val="000000" w:themeColor="text1"/>
                <w:kern w:val="0"/>
                <w:sz w:val="22"/>
                <w:szCs w:val="28"/>
                <w:highlight w:val="none"/>
                <w:lang w:val="en-US" w:eastAsia="zh-CN"/>
                <w14:textFill>
                  <w14:solidFill>
                    <w14:schemeClr w14:val="tx1"/>
                  </w14:solidFill>
                </w14:textFill>
              </w:rPr>
            </w:pPr>
            <w:r>
              <w:rPr>
                <w:rFonts w:hint="eastAsia" w:ascii="宋体" w:hAnsi="宋体" w:eastAsia="宋体" w:cs="宋体"/>
                <w:color w:val="000000" w:themeColor="text1"/>
                <w:kern w:val="0"/>
                <w:sz w:val="22"/>
                <w:szCs w:val="28"/>
                <w:highlight w:val="none"/>
                <w:lang w:val="en-US" w:eastAsia="zh-CN"/>
                <w14:textFill>
                  <w14:solidFill>
                    <w14:schemeClr w14:val="tx1"/>
                  </w14:solidFill>
                </w14:textFill>
              </w:rPr>
              <w:t>259.68</w:t>
            </w:r>
          </w:p>
        </w:tc>
      </w:tr>
      <w:tr w14:paraId="55F1DBCF">
        <w:tblPrEx>
          <w:tblCellMar>
            <w:top w:w="0" w:type="dxa"/>
            <w:left w:w="108" w:type="dxa"/>
            <w:bottom w:w="0" w:type="dxa"/>
            <w:right w:w="108" w:type="dxa"/>
          </w:tblCellMar>
        </w:tblPrEx>
        <w:trPr>
          <w:trHeight w:val="308"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73F4111E">
            <w:pPr>
              <w:widowControl/>
              <w:spacing w:line="240" w:lineRule="exact"/>
              <w:jc w:val="center"/>
              <w:textAlignment w:val="center"/>
              <w:rPr>
                <w:rFonts w:hint="eastAsia" w:ascii="宋体" w:hAnsi="宋体" w:eastAsia="宋体" w:cs="宋体"/>
                <w:color w:val="000000"/>
                <w:kern w:val="0"/>
                <w:sz w:val="22"/>
                <w:szCs w:val="28"/>
                <w:highlight w:val="none"/>
              </w:rPr>
            </w:pPr>
            <w:r>
              <w:rPr>
                <w:rFonts w:hint="eastAsia" w:ascii="宋体" w:hAnsi="宋体" w:eastAsia="宋体" w:cs="宋体"/>
                <w:color w:val="000000"/>
                <w:kern w:val="0"/>
                <w:sz w:val="22"/>
                <w:szCs w:val="28"/>
                <w:highlight w:val="none"/>
              </w:rPr>
              <w:t>支出预算</w:t>
            </w:r>
          </w:p>
        </w:tc>
        <w:tc>
          <w:tcPr>
            <w:tcW w:w="2374" w:type="dxa"/>
            <w:gridSpan w:val="3"/>
            <w:tcBorders>
              <w:top w:val="single" w:color="auto" w:sz="4" w:space="0"/>
              <w:left w:val="single" w:color="auto" w:sz="4" w:space="0"/>
              <w:bottom w:val="single" w:color="auto" w:sz="4" w:space="0"/>
              <w:right w:val="single" w:color="auto" w:sz="4" w:space="0"/>
            </w:tcBorders>
            <w:noWrap/>
            <w:vAlign w:val="center"/>
          </w:tcPr>
          <w:p w14:paraId="75FF5AE1">
            <w:pPr>
              <w:widowControl/>
              <w:spacing w:line="240" w:lineRule="exact"/>
              <w:jc w:val="center"/>
              <w:textAlignment w:val="center"/>
              <w:rPr>
                <w:rFonts w:hint="default" w:ascii="宋体" w:hAnsi="宋体" w:eastAsia="宋体" w:cs="宋体"/>
                <w:color w:val="000000" w:themeColor="text1"/>
                <w:kern w:val="0"/>
                <w:sz w:val="22"/>
                <w:szCs w:val="28"/>
                <w:highlight w:val="none"/>
                <w:lang w:val="en-US" w:eastAsia="zh-CN"/>
                <w14:textFill>
                  <w14:solidFill>
                    <w14:schemeClr w14:val="tx1"/>
                  </w14:solidFill>
                </w14:textFill>
              </w:rPr>
            </w:pPr>
            <w:r>
              <w:rPr>
                <w:rFonts w:hint="eastAsia" w:ascii="宋体" w:hAnsi="宋体" w:eastAsia="宋体" w:cs="宋体"/>
                <w:color w:val="000000" w:themeColor="text1"/>
                <w:kern w:val="0"/>
                <w:sz w:val="22"/>
                <w:szCs w:val="28"/>
                <w:highlight w:val="none"/>
                <w:lang w:val="en-US" w:eastAsia="zh-CN"/>
                <w14:textFill>
                  <w14:solidFill>
                    <w14:schemeClr w14:val="tx1"/>
                  </w14:solidFill>
                </w14:textFill>
              </w:rPr>
              <w:t>3633.57</w:t>
            </w:r>
          </w:p>
        </w:tc>
        <w:tc>
          <w:tcPr>
            <w:tcW w:w="1470" w:type="dxa"/>
            <w:gridSpan w:val="2"/>
            <w:tcBorders>
              <w:top w:val="single" w:color="auto" w:sz="4" w:space="0"/>
              <w:left w:val="single" w:color="auto" w:sz="4" w:space="0"/>
              <w:bottom w:val="single" w:color="auto" w:sz="4" w:space="0"/>
              <w:right w:val="single" w:color="auto" w:sz="4" w:space="0"/>
            </w:tcBorders>
            <w:noWrap/>
            <w:vAlign w:val="center"/>
          </w:tcPr>
          <w:p w14:paraId="08F6602D">
            <w:pPr>
              <w:widowControl/>
              <w:spacing w:line="240" w:lineRule="exact"/>
              <w:jc w:val="center"/>
              <w:textAlignment w:val="center"/>
              <w:rPr>
                <w:rFonts w:hint="eastAsia" w:ascii="宋体" w:hAnsi="宋体" w:eastAsia="宋体" w:cs="宋体"/>
                <w:color w:val="000000" w:themeColor="text1"/>
                <w:kern w:val="0"/>
                <w:sz w:val="22"/>
                <w:szCs w:val="28"/>
                <w:highlight w:val="none"/>
                <w14:textFill>
                  <w14:solidFill>
                    <w14:schemeClr w14:val="tx1"/>
                  </w14:solidFill>
                </w14:textFill>
              </w:rPr>
            </w:pPr>
            <w:r>
              <w:rPr>
                <w:rFonts w:hint="eastAsia" w:ascii="宋体" w:hAnsi="宋体" w:eastAsia="宋体" w:cs="宋体"/>
                <w:color w:val="000000" w:themeColor="text1"/>
                <w:kern w:val="0"/>
                <w:sz w:val="22"/>
                <w:szCs w:val="28"/>
                <w:highlight w:val="none"/>
                <w:lang w:val="en-US" w:eastAsia="zh-CN"/>
                <w14:textFill>
                  <w14:solidFill>
                    <w14:schemeClr w14:val="tx1"/>
                  </w14:solidFill>
                </w14:textFill>
              </w:rPr>
              <w:t>3373.89</w:t>
            </w:r>
          </w:p>
        </w:tc>
        <w:tc>
          <w:tcPr>
            <w:tcW w:w="3804" w:type="dxa"/>
            <w:gridSpan w:val="3"/>
            <w:tcBorders>
              <w:top w:val="single" w:color="auto" w:sz="4" w:space="0"/>
              <w:left w:val="single" w:color="auto" w:sz="4" w:space="0"/>
              <w:bottom w:val="single" w:color="auto" w:sz="4" w:space="0"/>
              <w:right w:val="single" w:color="auto" w:sz="4" w:space="0"/>
            </w:tcBorders>
            <w:noWrap/>
            <w:vAlign w:val="center"/>
          </w:tcPr>
          <w:p w14:paraId="33370C72">
            <w:pPr>
              <w:widowControl/>
              <w:spacing w:line="240" w:lineRule="exact"/>
              <w:jc w:val="center"/>
              <w:textAlignment w:val="center"/>
              <w:rPr>
                <w:rFonts w:hint="default" w:ascii="宋体" w:hAnsi="宋体" w:eastAsia="宋体" w:cs="宋体"/>
                <w:color w:val="000000" w:themeColor="text1"/>
                <w:kern w:val="0"/>
                <w:sz w:val="22"/>
                <w:szCs w:val="28"/>
                <w:highlight w:val="none"/>
                <w:lang w:val="en-US"/>
                <w14:textFill>
                  <w14:solidFill>
                    <w14:schemeClr w14:val="tx1"/>
                  </w14:solidFill>
                </w14:textFill>
              </w:rPr>
            </w:pPr>
            <w:r>
              <w:rPr>
                <w:rFonts w:hint="eastAsia" w:ascii="宋体" w:hAnsi="宋体" w:eastAsia="宋体" w:cs="宋体"/>
                <w:color w:val="000000" w:themeColor="text1"/>
                <w:kern w:val="0"/>
                <w:sz w:val="22"/>
                <w:szCs w:val="28"/>
                <w:highlight w:val="none"/>
                <w:lang w:val="en-US" w:eastAsia="zh-CN"/>
                <w14:textFill>
                  <w14:solidFill>
                    <w14:schemeClr w14:val="tx1"/>
                  </w14:solidFill>
                </w14:textFill>
              </w:rPr>
              <w:t>259.68</w:t>
            </w:r>
          </w:p>
        </w:tc>
      </w:tr>
      <w:tr w14:paraId="2A6B1EC8">
        <w:tblPrEx>
          <w:tblCellMar>
            <w:top w:w="0" w:type="dxa"/>
            <w:left w:w="108" w:type="dxa"/>
            <w:bottom w:w="0" w:type="dxa"/>
            <w:right w:w="108" w:type="dxa"/>
          </w:tblCellMar>
        </w:tblPrEx>
        <w:trPr>
          <w:trHeight w:val="1065"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211301A6">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rPr>
              <w:t>年度总体目标</w:t>
            </w:r>
          </w:p>
        </w:tc>
        <w:tc>
          <w:tcPr>
            <w:tcW w:w="7648" w:type="dxa"/>
            <w:gridSpan w:val="8"/>
            <w:tcBorders>
              <w:top w:val="single" w:color="auto" w:sz="4" w:space="0"/>
              <w:left w:val="single" w:color="auto" w:sz="4" w:space="0"/>
              <w:bottom w:val="single" w:color="auto" w:sz="4" w:space="0"/>
              <w:right w:val="single" w:color="auto" w:sz="4" w:space="0"/>
            </w:tcBorders>
            <w:noWrap/>
            <w:vAlign w:val="center"/>
          </w:tcPr>
          <w:p w14:paraId="64A532E5">
            <w:pPr>
              <w:widowControl/>
              <w:spacing w:line="240" w:lineRule="exact"/>
              <w:jc w:val="left"/>
              <w:textAlignment w:val="center"/>
              <w:rPr>
                <w:rFonts w:hint="eastAsia" w:ascii="宋体" w:hAnsi="宋体" w:eastAsia="宋体" w:cs="宋体"/>
                <w:color w:val="000000"/>
                <w:kern w:val="0"/>
                <w:sz w:val="22"/>
                <w:szCs w:val="28"/>
                <w:lang w:eastAsia="zh-CN"/>
              </w:rPr>
            </w:pPr>
            <w:r>
              <w:rPr>
                <w:rFonts w:hint="eastAsia" w:ascii="宋体" w:hAnsi="宋体" w:eastAsia="宋体" w:cs="宋体"/>
                <w:color w:val="000000"/>
                <w:kern w:val="0"/>
                <w:sz w:val="22"/>
                <w:szCs w:val="28"/>
              </w:rPr>
              <w:t>保障单位运行，继续承担高原牧区遗传资源保护与研究，保存川西北牧区草地畜牧业的主要畜种牦牛、藏绵羊、河曲马等珍稀遗传资源；承担牦牛、藏绵羊、河曲马品种选育、良种扩繁与改良利用</w:t>
            </w:r>
            <w:r>
              <w:rPr>
                <w:rFonts w:hint="eastAsia" w:ascii="宋体" w:hAnsi="宋体" w:cs="宋体"/>
                <w:color w:val="000000"/>
                <w:kern w:val="0"/>
                <w:sz w:val="22"/>
                <w:szCs w:val="28"/>
                <w:lang w:eastAsia="zh-CN"/>
              </w:rPr>
              <w:t>工作，</w:t>
            </w:r>
            <w:r>
              <w:rPr>
                <w:rFonts w:hint="eastAsia" w:ascii="宋体" w:hAnsi="宋体" w:eastAsia="宋体" w:cs="宋体"/>
                <w:color w:val="000000"/>
                <w:kern w:val="0"/>
                <w:sz w:val="22"/>
                <w:szCs w:val="28"/>
              </w:rPr>
              <w:t>为川西北牧区提供优良种畜，负责为川西北牧区草地畜牧业的科研、教学、新技术示范提供平台；指导牧民和科技人员开展高原畜牧业饲养管理。 与外单位合作项目不少于1个</w:t>
            </w:r>
            <w:r>
              <w:rPr>
                <w:rFonts w:hint="eastAsia" w:ascii="宋体" w:hAnsi="宋体" w:cs="宋体"/>
                <w:color w:val="000000"/>
                <w:kern w:val="0"/>
                <w:sz w:val="22"/>
                <w:szCs w:val="28"/>
                <w:lang w:eastAsia="zh-CN"/>
              </w:rPr>
              <w:t>。</w:t>
            </w:r>
          </w:p>
        </w:tc>
      </w:tr>
      <w:tr w14:paraId="226B6D3C">
        <w:tblPrEx>
          <w:tblCellMar>
            <w:top w:w="0" w:type="dxa"/>
            <w:left w:w="108" w:type="dxa"/>
            <w:bottom w:w="0" w:type="dxa"/>
            <w:right w:w="108" w:type="dxa"/>
          </w:tblCellMar>
        </w:tblPrEx>
        <w:trPr>
          <w:trHeight w:val="296" w:hRule="atLeast"/>
          <w:jc w:val="center"/>
        </w:trPr>
        <w:tc>
          <w:tcPr>
            <w:tcW w:w="331" w:type="dxa"/>
            <w:vMerge w:val="restart"/>
            <w:tcBorders>
              <w:top w:val="single" w:color="auto" w:sz="4" w:space="0"/>
              <w:left w:val="single" w:color="auto" w:sz="4" w:space="0"/>
              <w:bottom w:val="single" w:color="auto" w:sz="4" w:space="0"/>
              <w:right w:val="single" w:color="auto" w:sz="4" w:space="0"/>
            </w:tcBorders>
            <w:noWrap/>
            <w:vAlign w:val="center"/>
          </w:tcPr>
          <w:p w14:paraId="1451488C">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rPr>
              <w:t>管理效率</w:t>
            </w:r>
          </w:p>
        </w:tc>
        <w:tc>
          <w:tcPr>
            <w:tcW w:w="593" w:type="dxa"/>
            <w:vMerge w:val="restart"/>
            <w:tcBorders>
              <w:top w:val="single" w:color="auto" w:sz="4" w:space="0"/>
              <w:left w:val="single" w:color="auto" w:sz="4" w:space="0"/>
              <w:bottom w:val="single" w:color="auto" w:sz="4" w:space="0"/>
              <w:right w:val="single" w:color="auto" w:sz="4" w:space="0"/>
            </w:tcBorders>
            <w:noWrap/>
            <w:vAlign w:val="center"/>
          </w:tcPr>
          <w:p w14:paraId="5FCD8F81">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rPr>
              <w:t>一级指标</w:t>
            </w:r>
          </w:p>
        </w:tc>
        <w:tc>
          <w:tcPr>
            <w:tcW w:w="803" w:type="dxa"/>
            <w:vMerge w:val="restart"/>
            <w:tcBorders>
              <w:top w:val="single" w:color="auto" w:sz="4" w:space="0"/>
              <w:left w:val="single" w:color="auto" w:sz="4" w:space="0"/>
              <w:bottom w:val="single" w:color="auto" w:sz="4" w:space="0"/>
              <w:right w:val="single" w:color="auto" w:sz="4" w:space="0"/>
            </w:tcBorders>
            <w:noWrap/>
            <w:vAlign w:val="center"/>
          </w:tcPr>
          <w:p w14:paraId="5E21ACF1">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rPr>
              <w:t>二级指标</w:t>
            </w:r>
          </w:p>
        </w:tc>
        <w:tc>
          <w:tcPr>
            <w:tcW w:w="1490" w:type="dxa"/>
            <w:vMerge w:val="restart"/>
            <w:tcBorders>
              <w:top w:val="single" w:color="auto" w:sz="4" w:space="0"/>
              <w:left w:val="single" w:color="auto" w:sz="4" w:space="0"/>
              <w:bottom w:val="single" w:color="auto" w:sz="4" w:space="0"/>
              <w:right w:val="single" w:color="auto" w:sz="4" w:space="0"/>
            </w:tcBorders>
            <w:noWrap/>
            <w:vAlign w:val="center"/>
          </w:tcPr>
          <w:p w14:paraId="58FCC5EB">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rPr>
              <w:t>三级指标</w:t>
            </w:r>
          </w:p>
        </w:tc>
        <w:tc>
          <w:tcPr>
            <w:tcW w:w="709" w:type="dxa"/>
            <w:vMerge w:val="restart"/>
            <w:tcBorders>
              <w:top w:val="single" w:color="auto" w:sz="4" w:space="0"/>
              <w:left w:val="single" w:color="auto" w:sz="4" w:space="0"/>
              <w:bottom w:val="single" w:color="auto" w:sz="4" w:space="0"/>
              <w:right w:val="single" w:color="auto" w:sz="4" w:space="0"/>
            </w:tcBorders>
            <w:noWrap/>
            <w:vAlign w:val="center"/>
          </w:tcPr>
          <w:p w14:paraId="22349185">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rPr>
              <w:t>指标值</w:t>
            </w:r>
          </w:p>
        </w:tc>
        <w:tc>
          <w:tcPr>
            <w:tcW w:w="3801" w:type="dxa"/>
            <w:gridSpan w:val="5"/>
            <w:tcBorders>
              <w:top w:val="single" w:color="auto" w:sz="4" w:space="0"/>
              <w:left w:val="single" w:color="auto" w:sz="4" w:space="0"/>
              <w:bottom w:val="single" w:color="auto" w:sz="4" w:space="0"/>
              <w:right w:val="single" w:color="auto" w:sz="4" w:space="0"/>
            </w:tcBorders>
            <w:noWrap/>
            <w:vAlign w:val="center"/>
          </w:tcPr>
          <w:p w14:paraId="32857749">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rPr>
              <w:t>指标设置参考值</w:t>
            </w:r>
          </w:p>
        </w:tc>
        <w:tc>
          <w:tcPr>
            <w:tcW w:w="1648" w:type="dxa"/>
            <w:vMerge w:val="restart"/>
            <w:tcBorders>
              <w:top w:val="single" w:color="auto" w:sz="4" w:space="0"/>
              <w:left w:val="single" w:color="auto" w:sz="4" w:space="0"/>
              <w:bottom w:val="single" w:color="auto" w:sz="4" w:space="0"/>
              <w:right w:val="single" w:color="auto" w:sz="4" w:space="0"/>
            </w:tcBorders>
            <w:noWrap/>
            <w:vAlign w:val="center"/>
          </w:tcPr>
          <w:p w14:paraId="7F624E52">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rPr>
              <w:t>指标实际完成值</w:t>
            </w:r>
          </w:p>
        </w:tc>
      </w:tr>
      <w:tr w14:paraId="4B5AF092">
        <w:tblPrEx>
          <w:tblCellMar>
            <w:top w:w="0" w:type="dxa"/>
            <w:left w:w="108" w:type="dxa"/>
            <w:bottom w:w="0" w:type="dxa"/>
            <w:right w:w="108" w:type="dxa"/>
          </w:tblCellMar>
        </w:tblPrEx>
        <w:trPr>
          <w:trHeight w:val="335" w:hRule="atLeast"/>
          <w:jc w:val="center"/>
        </w:trPr>
        <w:tc>
          <w:tcPr>
            <w:tcW w:w="331" w:type="dxa"/>
            <w:vMerge w:val="continue"/>
            <w:tcBorders>
              <w:top w:val="single" w:color="auto" w:sz="4" w:space="0"/>
              <w:left w:val="single" w:color="auto" w:sz="4" w:space="0"/>
              <w:bottom w:val="single" w:color="auto" w:sz="4" w:space="0"/>
              <w:right w:val="single" w:color="auto" w:sz="4" w:space="0"/>
            </w:tcBorders>
            <w:noWrap/>
            <w:vAlign w:val="center"/>
          </w:tcPr>
          <w:p w14:paraId="4BEDDA13">
            <w:pPr>
              <w:widowControl/>
              <w:spacing w:line="240" w:lineRule="exact"/>
              <w:jc w:val="center"/>
              <w:textAlignment w:val="center"/>
              <w:rPr>
                <w:rFonts w:hint="eastAsia" w:ascii="宋体" w:hAnsi="宋体" w:eastAsia="宋体" w:cs="宋体"/>
                <w:color w:val="000000"/>
                <w:kern w:val="0"/>
                <w:sz w:val="22"/>
                <w:szCs w:val="28"/>
              </w:rPr>
            </w:pPr>
          </w:p>
        </w:tc>
        <w:tc>
          <w:tcPr>
            <w:tcW w:w="593" w:type="dxa"/>
            <w:vMerge w:val="continue"/>
            <w:tcBorders>
              <w:top w:val="single" w:color="auto" w:sz="4" w:space="0"/>
              <w:left w:val="single" w:color="auto" w:sz="4" w:space="0"/>
              <w:bottom w:val="single" w:color="auto" w:sz="4" w:space="0"/>
              <w:right w:val="single" w:color="auto" w:sz="4" w:space="0"/>
            </w:tcBorders>
            <w:noWrap/>
            <w:vAlign w:val="center"/>
          </w:tcPr>
          <w:p w14:paraId="434BBCA0">
            <w:pPr>
              <w:widowControl/>
              <w:spacing w:line="240" w:lineRule="exact"/>
              <w:jc w:val="center"/>
              <w:textAlignment w:val="center"/>
              <w:rPr>
                <w:rFonts w:hint="eastAsia" w:ascii="宋体" w:hAnsi="宋体" w:eastAsia="宋体" w:cs="宋体"/>
                <w:color w:val="000000"/>
                <w:kern w:val="0"/>
                <w:sz w:val="22"/>
                <w:szCs w:val="28"/>
              </w:rPr>
            </w:pPr>
          </w:p>
        </w:tc>
        <w:tc>
          <w:tcPr>
            <w:tcW w:w="803" w:type="dxa"/>
            <w:vMerge w:val="continue"/>
            <w:tcBorders>
              <w:top w:val="single" w:color="auto" w:sz="4" w:space="0"/>
              <w:left w:val="single" w:color="auto" w:sz="4" w:space="0"/>
              <w:bottom w:val="single" w:color="auto" w:sz="4" w:space="0"/>
              <w:right w:val="single" w:color="auto" w:sz="4" w:space="0"/>
            </w:tcBorders>
            <w:noWrap/>
            <w:vAlign w:val="center"/>
          </w:tcPr>
          <w:p w14:paraId="41AC2AC1">
            <w:pPr>
              <w:widowControl/>
              <w:spacing w:line="240" w:lineRule="exact"/>
              <w:jc w:val="center"/>
              <w:textAlignment w:val="center"/>
              <w:rPr>
                <w:rFonts w:hint="eastAsia" w:ascii="宋体" w:hAnsi="宋体" w:eastAsia="宋体" w:cs="宋体"/>
                <w:color w:val="000000"/>
                <w:kern w:val="0"/>
                <w:sz w:val="22"/>
                <w:szCs w:val="28"/>
              </w:rPr>
            </w:pPr>
          </w:p>
        </w:tc>
        <w:tc>
          <w:tcPr>
            <w:tcW w:w="1490" w:type="dxa"/>
            <w:vMerge w:val="continue"/>
            <w:tcBorders>
              <w:top w:val="single" w:color="auto" w:sz="4" w:space="0"/>
              <w:left w:val="single" w:color="auto" w:sz="4" w:space="0"/>
              <w:bottom w:val="single" w:color="auto" w:sz="4" w:space="0"/>
              <w:right w:val="single" w:color="auto" w:sz="4" w:space="0"/>
            </w:tcBorders>
            <w:noWrap/>
            <w:vAlign w:val="center"/>
          </w:tcPr>
          <w:p w14:paraId="43823CCA">
            <w:pPr>
              <w:widowControl/>
              <w:spacing w:line="240" w:lineRule="exact"/>
              <w:jc w:val="center"/>
              <w:textAlignment w:val="center"/>
              <w:rPr>
                <w:rFonts w:hint="eastAsia" w:ascii="宋体" w:hAnsi="宋体" w:eastAsia="宋体" w:cs="宋体"/>
                <w:color w:val="000000"/>
                <w:kern w:val="0"/>
                <w:sz w:val="22"/>
                <w:szCs w:val="28"/>
              </w:rPr>
            </w:pPr>
          </w:p>
        </w:tc>
        <w:tc>
          <w:tcPr>
            <w:tcW w:w="709" w:type="dxa"/>
            <w:vMerge w:val="continue"/>
            <w:tcBorders>
              <w:top w:val="single" w:color="auto" w:sz="4" w:space="0"/>
              <w:left w:val="single" w:color="auto" w:sz="4" w:space="0"/>
              <w:bottom w:val="single" w:color="auto" w:sz="4" w:space="0"/>
              <w:right w:val="single" w:color="auto" w:sz="4" w:space="0"/>
            </w:tcBorders>
            <w:noWrap/>
            <w:vAlign w:val="center"/>
          </w:tcPr>
          <w:p w14:paraId="078C9C10">
            <w:pPr>
              <w:widowControl/>
              <w:spacing w:line="240" w:lineRule="exact"/>
              <w:jc w:val="center"/>
              <w:textAlignment w:val="center"/>
              <w:rPr>
                <w:rFonts w:hint="eastAsia" w:ascii="宋体" w:hAnsi="宋体" w:eastAsia="宋体" w:cs="宋体"/>
                <w:color w:val="000000"/>
                <w:kern w:val="0"/>
                <w:sz w:val="22"/>
                <w:szCs w:val="28"/>
              </w:rPr>
            </w:pPr>
          </w:p>
        </w:tc>
        <w:tc>
          <w:tcPr>
            <w:tcW w:w="850" w:type="dxa"/>
            <w:gridSpan w:val="2"/>
            <w:tcBorders>
              <w:top w:val="single" w:color="auto" w:sz="4" w:space="0"/>
              <w:left w:val="single" w:color="auto" w:sz="4" w:space="0"/>
              <w:bottom w:val="single" w:color="auto" w:sz="4" w:space="0"/>
              <w:right w:val="single" w:color="auto" w:sz="4" w:space="0"/>
            </w:tcBorders>
            <w:noWrap/>
            <w:vAlign w:val="center"/>
          </w:tcPr>
          <w:p w14:paraId="1F998355">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rPr>
              <w:t>三年</w:t>
            </w:r>
          </w:p>
          <w:p w14:paraId="5760F0F4">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rPr>
              <w:t>均值</w:t>
            </w:r>
          </w:p>
        </w:tc>
        <w:tc>
          <w:tcPr>
            <w:tcW w:w="795" w:type="dxa"/>
            <w:tcBorders>
              <w:top w:val="single" w:color="auto" w:sz="4" w:space="0"/>
              <w:left w:val="single" w:color="auto" w:sz="4" w:space="0"/>
              <w:bottom w:val="single" w:color="auto" w:sz="4" w:space="0"/>
              <w:right w:val="single" w:color="auto" w:sz="4" w:space="0"/>
            </w:tcBorders>
            <w:noWrap/>
            <w:vAlign w:val="center"/>
          </w:tcPr>
          <w:p w14:paraId="41090E9A">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rPr>
              <w:t>2023年</w:t>
            </w:r>
          </w:p>
        </w:tc>
        <w:tc>
          <w:tcPr>
            <w:tcW w:w="1045" w:type="dxa"/>
            <w:tcBorders>
              <w:top w:val="single" w:color="auto" w:sz="4" w:space="0"/>
              <w:left w:val="single" w:color="auto" w:sz="4" w:space="0"/>
              <w:bottom w:val="single" w:color="auto" w:sz="4" w:space="0"/>
              <w:right w:val="single" w:color="auto" w:sz="4" w:space="0"/>
            </w:tcBorders>
            <w:noWrap/>
            <w:vAlign w:val="center"/>
          </w:tcPr>
          <w:p w14:paraId="44E39BD0">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rPr>
              <w:t>2024年</w:t>
            </w:r>
          </w:p>
        </w:tc>
        <w:tc>
          <w:tcPr>
            <w:tcW w:w="1111" w:type="dxa"/>
            <w:tcBorders>
              <w:top w:val="single" w:color="auto" w:sz="4" w:space="0"/>
              <w:left w:val="single" w:color="auto" w:sz="4" w:space="0"/>
              <w:bottom w:val="single" w:color="auto" w:sz="4" w:space="0"/>
              <w:right w:val="single" w:color="auto" w:sz="4" w:space="0"/>
            </w:tcBorders>
            <w:noWrap/>
            <w:vAlign w:val="center"/>
          </w:tcPr>
          <w:p w14:paraId="6BD597DC">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rPr>
              <w:t>2025年</w:t>
            </w:r>
          </w:p>
        </w:tc>
        <w:tc>
          <w:tcPr>
            <w:tcW w:w="1648" w:type="dxa"/>
            <w:vMerge w:val="continue"/>
            <w:tcBorders>
              <w:top w:val="single" w:color="auto" w:sz="4" w:space="0"/>
              <w:left w:val="single" w:color="auto" w:sz="4" w:space="0"/>
              <w:bottom w:val="single" w:color="auto" w:sz="4" w:space="0"/>
              <w:right w:val="single" w:color="auto" w:sz="4" w:space="0"/>
            </w:tcBorders>
            <w:noWrap/>
            <w:vAlign w:val="center"/>
          </w:tcPr>
          <w:p w14:paraId="5733CDD2">
            <w:pPr>
              <w:widowControl/>
              <w:spacing w:line="240" w:lineRule="exact"/>
              <w:jc w:val="center"/>
              <w:textAlignment w:val="center"/>
              <w:rPr>
                <w:rFonts w:hint="eastAsia" w:ascii="宋体" w:hAnsi="宋体" w:eastAsia="宋体" w:cs="宋体"/>
                <w:color w:val="000000"/>
                <w:kern w:val="0"/>
                <w:sz w:val="22"/>
                <w:szCs w:val="28"/>
              </w:rPr>
            </w:pPr>
          </w:p>
        </w:tc>
      </w:tr>
      <w:tr w14:paraId="46F8A79D">
        <w:tblPrEx>
          <w:tblCellMar>
            <w:top w:w="0" w:type="dxa"/>
            <w:left w:w="108" w:type="dxa"/>
            <w:bottom w:w="0" w:type="dxa"/>
            <w:right w:w="108" w:type="dxa"/>
          </w:tblCellMar>
        </w:tblPrEx>
        <w:trPr>
          <w:trHeight w:val="90" w:hRule="atLeast"/>
          <w:jc w:val="center"/>
        </w:trPr>
        <w:tc>
          <w:tcPr>
            <w:tcW w:w="331" w:type="dxa"/>
            <w:vMerge w:val="continue"/>
            <w:tcBorders>
              <w:top w:val="single" w:color="auto" w:sz="4" w:space="0"/>
              <w:left w:val="single" w:color="auto" w:sz="4" w:space="0"/>
              <w:bottom w:val="single" w:color="auto" w:sz="4" w:space="0"/>
              <w:right w:val="single" w:color="auto" w:sz="4" w:space="0"/>
            </w:tcBorders>
            <w:noWrap/>
            <w:vAlign w:val="center"/>
          </w:tcPr>
          <w:p w14:paraId="477260A5">
            <w:pPr>
              <w:widowControl/>
              <w:spacing w:line="240" w:lineRule="exact"/>
              <w:jc w:val="center"/>
              <w:textAlignment w:val="center"/>
              <w:rPr>
                <w:rFonts w:hint="eastAsia" w:ascii="宋体" w:hAnsi="宋体" w:eastAsia="宋体" w:cs="宋体"/>
                <w:color w:val="000000"/>
                <w:kern w:val="0"/>
                <w:sz w:val="22"/>
                <w:szCs w:val="28"/>
              </w:rPr>
            </w:pPr>
          </w:p>
        </w:tc>
        <w:tc>
          <w:tcPr>
            <w:tcW w:w="593" w:type="dxa"/>
            <w:vMerge w:val="restart"/>
            <w:tcBorders>
              <w:top w:val="single" w:color="auto" w:sz="4" w:space="0"/>
              <w:left w:val="single" w:color="auto" w:sz="4" w:space="0"/>
              <w:bottom w:val="single" w:color="auto" w:sz="4" w:space="0"/>
              <w:right w:val="single" w:color="auto" w:sz="4" w:space="0"/>
            </w:tcBorders>
            <w:noWrap/>
            <w:vAlign w:val="center"/>
          </w:tcPr>
          <w:p w14:paraId="46AC3A5D">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rPr>
              <w:t>成本指标</w:t>
            </w:r>
          </w:p>
        </w:tc>
        <w:tc>
          <w:tcPr>
            <w:tcW w:w="803" w:type="dxa"/>
            <w:vMerge w:val="restart"/>
            <w:tcBorders>
              <w:top w:val="single" w:color="auto" w:sz="4" w:space="0"/>
              <w:left w:val="single" w:color="auto" w:sz="4" w:space="0"/>
              <w:bottom w:val="single" w:color="auto" w:sz="4" w:space="0"/>
              <w:right w:val="single" w:color="auto" w:sz="4" w:space="0"/>
            </w:tcBorders>
            <w:noWrap/>
            <w:vAlign w:val="center"/>
          </w:tcPr>
          <w:p w14:paraId="4F6D8DCC">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rPr>
              <w:t>预算管理</w:t>
            </w:r>
          </w:p>
        </w:tc>
        <w:tc>
          <w:tcPr>
            <w:tcW w:w="1490" w:type="dxa"/>
            <w:tcBorders>
              <w:top w:val="single" w:color="auto" w:sz="4" w:space="0"/>
              <w:left w:val="single" w:color="auto" w:sz="4" w:space="0"/>
              <w:bottom w:val="single" w:color="auto" w:sz="4" w:space="0"/>
              <w:right w:val="single" w:color="auto" w:sz="4" w:space="0"/>
            </w:tcBorders>
            <w:noWrap/>
            <w:vAlign w:val="center"/>
          </w:tcPr>
          <w:p w14:paraId="121A9E63">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rPr>
              <w:t>财政拨款预算编制偏离度</w:t>
            </w:r>
          </w:p>
        </w:tc>
        <w:tc>
          <w:tcPr>
            <w:tcW w:w="709" w:type="dxa"/>
            <w:tcBorders>
              <w:top w:val="single" w:color="auto" w:sz="4" w:space="0"/>
              <w:left w:val="single" w:color="auto" w:sz="4" w:space="0"/>
              <w:bottom w:val="single" w:color="auto" w:sz="4" w:space="0"/>
              <w:right w:val="single" w:color="auto" w:sz="4" w:space="0"/>
            </w:tcBorders>
            <w:noWrap/>
            <w:vAlign w:val="center"/>
          </w:tcPr>
          <w:p w14:paraId="35A0F095">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100%</w:t>
            </w:r>
          </w:p>
        </w:tc>
        <w:tc>
          <w:tcPr>
            <w:tcW w:w="850" w:type="dxa"/>
            <w:gridSpan w:val="2"/>
            <w:tcBorders>
              <w:top w:val="single" w:color="auto" w:sz="4" w:space="0"/>
              <w:left w:val="single" w:color="auto" w:sz="4" w:space="0"/>
              <w:bottom w:val="single" w:color="auto" w:sz="4" w:space="0"/>
              <w:right w:val="single" w:color="auto" w:sz="4" w:space="0"/>
            </w:tcBorders>
            <w:noWrap/>
            <w:vAlign w:val="center"/>
          </w:tcPr>
          <w:p w14:paraId="7F887398">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100.00%</w:t>
            </w:r>
          </w:p>
        </w:tc>
        <w:tc>
          <w:tcPr>
            <w:tcW w:w="795" w:type="dxa"/>
            <w:tcBorders>
              <w:top w:val="single" w:color="auto" w:sz="4" w:space="0"/>
              <w:left w:val="single" w:color="auto" w:sz="4" w:space="0"/>
              <w:bottom w:val="single" w:color="auto" w:sz="4" w:space="0"/>
              <w:right w:val="single" w:color="auto" w:sz="4" w:space="0"/>
            </w:tcBorders>
            <w:noWrap/>
            <w:vAlign w:val="center"/>
          </w:tcPr>
          <w:p w14:paraId="2BE756DC">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100%</w:t>
            </w:r>
          </w:p>
        </w:tc>
        <w:tc>
          <w:tcPr>
            <w:tcW w:w="1045" w:type="dxa"/>
            <w:tcBorders>
              <w:top w:val="single" w:color="auto" w:sz="4" w:space="0"/>
              <w:left w:val="single" w:color="auto" w:sz="4" w:space="0"/>
              <w:bottom w:val="single" w:color="auto" w:sz="4" w:space="0"/>
              <w:right w:val="single" w:color="auto" w:sz="4" w:space="0"/>
            </w:tcBorders>
            <w:noWrap/>
            <w:vAlign w:val="center"/>
          </w:tcPr>
          <w:p w14:paraId="06531AE7">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100%</w:t>
            </w:r>
          </w:p>
        </w:tc>
        <w:tc>
          <w:tcPr>
            <w:tcW w:w="1111" w:type="dxa"/>
            <w:tcBorders>
              <w:top w:val="single" w:color="auto" w:sz="4" w:space="0"/>
              <w:left w:val="single" w:color="auto" w:sz="4" w:space="0"/>
              <w:bottom w:val="single" w:color="auto" w:sz="4" w:space="0"/>
              <w:right w:val="single" w:color="auto" w:sz="4" w:space="0"/>
            </w:tcBorders>
            <w:noWrap/>
            <w:vAlign w:val="center"/>
          </w:tcPr>
          <w:p w14:paraId="4E285B5B">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100%</w:t>
            </w:r>
          </w:p>
        </w:tc>
        <w:tc>
          <w:tcPr>
            <w:tcW w:w="1648" w:type="dxa"/>
            <w:tcBorders>
              <w:top w:val="single" w:color="auto" w:sz="4" w:space="0"/>
              <w:left w:val="single" w:color="auto" w:sz="4" w:space="0"/>
              <w:bottom w:val="single" w:color="auto" w:sz="4" w:space="0"/>
              <w:right w:val="single" w:color="auto" w:sz="4" w:space="0"/>
            </w:tcBorders>
            <w:noWrap/>
            <w:vAlign w:val="center"/>
          </w:tcPr>
          <w:p w14:paraId="6EB2C040">
            <w:pPr>
              <w:widowControl/>
              <w:spacing w:line="240" w:lineRule="exact"/>
              <w:jc w:val="center"/>
              <w:textAlignment w:val="center"/>
              <w:rPr>
                <w:rFonts w:hint="default" w:ascii="宋体" w:hAnsi="宋体" w:eastAsia="宋体" w:cs="宋体"/>
                <w:color w:val="000000"/>
                <w:kern w:val="0"/>
                <w:sz w:val="22"/>
                <w:szCs w:val="28"/>
                <w:lang w:val="en-US" w:eastAsia="zh-CN"/>
              </w:rPr>
            </w:pPr>
            <w:r>
              <w:rPr>
                <w:rFonts w:hint="eastAsia" w:ascii="宋体" w:hAnsi="宋体" w:eastAsia="宋体" w:cs="宋体"/>
                <w:color w:val="000000"/>
                <w:kern w:val="0"/>
                <w:sz w:val="22"/>
                <w:szCs w:val="28"/>
                <w:lang w:val="en-US" w:eastAsia="zh-CN"/>
              </w:rPr>
              <w:t>115.37%</w:t>
            </w:r>
          </w:p>
        </w:tc>
      </w:tr>
      <w:tr w14:paraId="25AF8CBB">
        <w:tblPrEx>
          <w:tblCellMar>
            <w:top w:w="0" w:type="dxa"/>
            <w:left w:w="108" w:type="dxa"/>
            <w:bottom w:w="0" w:type="dxa"/>
            <w:right w:w="108" w:type="dxa"/>
          </w:tblCellMar>
        </w:tblPrEx>
        <w:trPr>
          <w:trHeight w:val="90" w:hRule="atLeast"/>
          <w:jc w:val="center"/>
        </w:trPr>
        <w:tc>
          <w:tcPr>
            <w:tcW w:w="331" w:type="dxa"/>
            <w:vMerge w:val="continue"/>
            <w:tcBorders>
              <w:top w:val="single" w:color="auto" w:sz="4" w:space="0"/>
              <w:left w:val="single" w:color="auto" w:sz="4" w:space="0"/>
              <w:bottom w:val="single" w:color="auto" w:sz="4" w:space="0"/>
              <w:right w:val="single" w:color="auto" w:sz="4" w:space="0"/>
            </w:tcBorders>
            <w:noWrap/>
            <w:vAlign w:val="center"/>
          </w:tcPr>
          <w:p w14:paraId="32A36E32">
            <w:pPr>
              <w:widowControl/>
              <w:spacing w:line="240" w:lineRule="exact"/>
              <w:jc w:val="center"/>
              <w:textAlignment w:val="center"/>
              <w:rPr>
                <w:rFonts w:hint="eastAsia" w:ascii="宋体" w:hAnsi="宋体" w:eastAsia="宋体" w:cs="宋体"/>
                <w:color w:val="000000"/>
                <w:kern w:val="0"/>
                <w:sz w:val="22"/>
                <w:szCs w:val="28"/>
              </w:rPr>
            </w:pPr>
          </w:p>
        </w:tc>
        <w:tc>
          <w:tcPr>
            <w:tcW w:w="593" w:type="dxa"/>
            <w:vMerge w:val="continue"/>
            <w:tcBorders>
              <w:top w:val="single" w:color="auto" w:sz="4" w:space="0"/>
              <w:left w:val="single" w:color="auto" w:sz="4" w:space="0"/>
              <w:bottom w:val="single" w:color="auto" w:sz="4" w:space="0"/>
              <w:right w:val="single" w:color="auto" w:sz="4" w:space="0"/>
            </w:tcBorders>
            <w:noWrap/>
            <w:vAlign w:val="center"/>
          </w:tcPr>
          <w:p w14:paraId="006F81C5">
            <w:pPr>
              <w:widowControl/>
              <w:spacing w:line="240" w:lineRule="exact"/>
              <w:jc w:val="center"/>
              <w:textAlignment w:val="center"/>
              <w:rPr>
                <w:rFonts w:hint="eastAsia" w:ascii="宋体" w:hAnsi="宋体" w:eastAsia="宋体" w:cs="宋体"/>
                <w:color w:val="000000"/>
                <w:kern w:val="0"/>
                <w:sz w:val="22"/>
                <w:szCs w:val="28"/>
              </w:rPr>
            </w:pPr>
          </w:p>
        </w:tc>
        <w:tc>
          <w:tcPr>
            <w:tcW w:w="803" w:type="dxa"/>
            <w:vMerge w:val="continue"/>
            <w:tcBorders>
              <w:top w:val="single" w:color="auto" w:sz="4" w:space="0"/>
              <w:left w:val="single" w:color="auto" w:sz="4" w:space="0"/>
              <w:bottom w:val="single" w:color="auto" w:sz="4" w:space="0"/>
              <w:right w:val="single" w:color="auto" w:sz="4" w:space="0"/>
            </w:tcBorders>
            <w:noWrap/>
            <w:vAlign w:val="center"/>
          </w:tcPr>
          <w:p w14:paraId="08F1E365">
            <w:pPr>
              <w:widowControl/>
              <w:spacing w:line="240" w:lineRule="exact"/>
              <w:jc w:val="center"/>
              <w:textAlignment w:val="center"/>
              <w:rPr>
                <w:rFonts w:hint="eastAsia" w:ascii="宋体" w:hAnsi="宋体" w:eastAsia="宋体" w:cs="宋体"/>
                <w:color w:val="000000"/>
                <w:kern w:val="0"/>
                <w:sz w:val="22"/>
                <w:szCs w:val="28"/>
              </w:rPr>
            </w:pPr>
          </w:p>
        </w:tc>
        <w:tc>
          <w:tcPr>
            <w:tcW w:w="1490" w:type="dxa"/>
            <w:tcBorders>
              <w:top w:val="single" w:color="auto" w:sz="4" w:space="0"/>
              <w:left w:val="single" w:color="auto" w:sz="4" w:space="0"/>
              <w:bottom w:val="single" w:color="auto" w:sz="4" w:space="0"/>
              <w:right w:val="single" w:color="auto" w:sz="4" w:space="0"/>
            </w:tcBorders>
            <w:noWrap/>
            <w:vAlign w:val="center"/>
          </w:tcPr>
          <w:p w14:paraId="17AD91A7">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rPr>
              <w:t>单位收入统筹度</w:t>
            </w:r>
          </w:p>
        </w:tc>
        <w:tc>
          <w:tcPr>
            <w:tcW w:w="709" w:type="dxa"/>
            <w:tcBorders>
              <w:top w:val="single" w:color="auto" w:sz="4" w:space="0"/>
              <w:left w:val="single" w:color="auto" w:sz="4" w:space="0"/>
              <w:bottom w:val="single" w:color="auto" w:sz="4" w:space="0"/>
              <w:right w:val="single" w:color="auto" w:sz="4" w:space="0"/>
            </w:tcBorders>
            <w:noWrap/>
            <w:vAlign w:val="center"/>
          </w:tcPr>
          <w:p w14:paraId="0DCE3AC2">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93.5%</w:t>
            </w:r>
          </w:p>
        </w:tc>
        <w:tc>
          <w:tcPr>
            <w:tcW w:w="850" w:type="dxa"/>
            <w:gridSpan w:val="2"/>
            <w:tcBorders>
              <w:top w:val="single" w:color="auto" w:sz="4" w:space="0"/>
              <w:left w:val="single" w:color="auto" w:sz="4" w:space="0"/>
              <w:bottom w:val="single" w:color="auto" w:sz="4" w:space="0"/>
              <w:right w:val="single" w:color="auto" w:sz="4" w:space="0"/>
            </w:tcBorders>
            <w:noWrap/>
            <w:vAlign w:val="center"/>
          </w:tcPr>
          <w:p w14:paraId="5F1241F5">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93.33%</w:t>
            </w:r>
          </w:p>
        </w:tc>
        <w:tc>
          <w:tcPr>
            <w:tcW w:w="795" w:type="dxa"/>
            <w:tcBorders>
              <w:top w:val="single" w:color="auto" w:sz="4" w:space="0"/>
              <w:left w:val="single" w:color="auto" w:sz="4" w:space="0"/>
              <w:bottom w:val="single" w:color="auto" w:sz="4" w:space="0"/>
              <w:right w:val="single" w:color="auto" w:sz="4" w:space="0"/>
            </w:tcBorders>
            <w:noWrap/>
            <w:vAlign w:val="center"/>
          </w:tcPr>
          <w:p w14:paraId="4F9F417B">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90%</w:t>
            </w:r>
          </w:p>
        </w:tc>
        <w:tc>
          <w:tcPr>
            <w:tcW w:w="1045" w:type="dxa"/>
            <w:tcBorders>
              <w:top w:val="single" w:color="auto" w:sz="4" w:space="0"/>
              <w:left w:val="single" w:color="auto" w:sz="4" w:space="0"/>
              <w:bottom w:val="single" w:color="auto" w:sz="4" w:space="0"/>
              <w:right w:val="single" w:color="auto" w:sz="4" w:space="0"/>
            </w:tcBorders>
            <w:noWrap/>
            <w:vAlign w:val="center"/>
          </w:tcPr>
          <w:p w14:paraId="3781E705">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95%</w:t>
            </w:r>
          </w:p>
        </w:tc>
        <w:tc>
          <w:tcPr>
            <w:tcW w:w="1111" w:type="dxa"/>
            <w:tcBorders>
              <w:top w:val="single" w:color="auto" w:sz="4" w:space="0"/>
              <w:left w:val="single" w:color="auto" w:sz="4" w:space="0"/>
              <w:bottom w:val="single" w:color="auto" w:sz="4" w:space="0"/>
              <w:right w:val="single" w:color="auto" w:sz="4" w:space="0"/>
            </w:tcBorders>
            <w:noWrap/>
            <w:vAlign w:val="center"/>
          </w:tcPr>
          <w:p w14:paraId="7BB0BD04">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95%</w:t>
            </w:r>
          </w:p>
        </w:tc>
        <w:tc>
          <w:tcPr>
            <w:tcW w:w="1648" w:type="dxa"/>
            <w:tcBorders>
              <w:top w:val="single" w:color="auto" w:sz="4" w:space="0"/>
              <w:left w:val="single" w:color="auto" w:sz="4" w:space="0"/>
              <w:bottom w:val="single" w:color="auto" w:sz="4" w:space="0"/>
              <w:right w:val="single" w:color="auto" w:sz="4" w:space="0"/>
            </w:tcBorders>
            <w:noWrap/>
            <w:vAlign w:val="center"/>
          </w:tcPr>
          <w:p w14:paraId="3F187517">
            <w:pPr>
              <w:widowControl/>
              <w:spacing w:line="240" w:lineRule="exact"/>
              <w:jc w:val="center"/>
              <w:textAlignment w:val="center"/>
              <w:rPr>
                <w:rFonts w:hint="default" w:ascii="宋体" w:hAnsi="宋体" w:eastAsia="宋体" w:cs="宋体"/>
                <w:color w:val="000000"/>
                <w:kern w:val="0"/>
                <w:sz w:val="22"/>
                <w:szCs w:val="28"/>
                <w:lang w:val="en-US" w:eastAsia="zh-CN"/>
              </w:rPr>
            </w:pPr>
            <w:r>
              <w:rPr>
                <w:rFonts w:hint="eastAsia" w:ascii="宋体" w:hAnsi="宋体" w:eastAsia="宋体" w:cs="宋体"/>
                <w:color w:val="000000"/>
                <w:kern w:val="0"/>
                <w:sz w:val="22"/>
                <w:szCs w:val="28"/>
                <w:lang w:val="en-US" w:eastAsia="zh-CN"/>
              </w:rPr>
              <w:t>95%</w:t>
            </w:r>
          </w:p>
        </w:tc>
      </w:tr>
      <w:tr w14:paraId="77BB13D3">
        <w:tblPrEx>
          <w:tblCellMar>
            <w:top w:w="0" w:type="dxa"/>
            <w:left w:w="108" w:type="dxa"/>
            <w:bottom w:w="0" w:type="dxa"/>
            <w:right w:w="108" w:type="dxa"/>
          </w:tblCellMar>
        </w:tblPrEx>
        <w:trPr>
          <w:trHeight w:val="502" w:hRule="atLeast"/>
          <w:jc w:val="center"/>
        </w:trPr>
        <w:tc>
          <w:tcPr>
            <w:tcW w:w="331" w:type="dxa"/>
            <w:vMerge w:val="continue"/>
            <w:tcBorders>
              <w:top w:val="single" w:color="auto" w:sz="4" w:space="0"/>
              <w:left w:val="single" w:color="auto" w:sz="4" w:space="0"/>
              <w:bottom w:val="single" w:color="auto" w:sz="4" w:space="0"/>
              <w:right w:val="single" w:color="auto" w:sz="4" w:space="0"/>
            </w:tcBorders>
            <w:noWrap/>
            <w:vAlign w:val="center"/>
          </w:tcPr>
          <w:p w14:paraId="7F020B46">
            <w:pPr>
              <w:widowControl/>
              <w:spacing w:line="240" w:lineRule="exact"/>
              <w:jc w:val="center"/>
              <w:textAlignment w:val="center"/>
              <w:rPr>
                <w:rFonts w:hint="eastAsia" w:ascii="宋体" w:hAnsi="宋体" w:eastAsia="宋体" w:cs="宋体"/>
                <w:color w:val="000000"/>
                <w:kern w:val="0"/>
                <w:sz w:val="22"/>
                <w:szCs w:val="28"/>
              </w:rPr>
            </w:pPr>
          </w:p>
        </w:tc>
        <w:tc>
          <w:tcPr>
            <w:tcW w:w="593" w:type="dxa"/>
            <w:vMerge w:val="continue"/>
            <w:tcBorders>
              <w:top w:val="single" w:color="auto" w:sz="4" w:space="0"/>
              <w:left w:val="single" w:color="auto" w:sz="4" w:space="0"/>
              <w:bottom w:val="single" w:color="auto" w:sz="4" w:space="0"/>
              <w:right w:val="single" w:color="auto" w:sz="4" w:space="0"/>
            </w:tcBorders>
            <w:noWrap/>
            <w:vAlign w:val="center"/>
          </w:tcPr>
          <w:p w14:paraId="60450254">
            <w:pPr>
              <w:widowControl/>
              <w:spacing w:line="240" w:lineRule="exact"/>
              <w:jc w:val="center"/>
              <w:textAlignment w:val="center"/>
              <w:rPr>
                <w:rFonts w:hint="eastAsia" w:ascii="宋体" w:hAnsi="宋体" w:eastAsia="宋体" w:cs="宋体"/>
                <w:color w:val="000000"/>
                <w:kern w:val="0"/>
                <w:sz w:val="22"/>
                <w:szCs w:val="28"/>
              </w:rPr>
            </w:pPr>
          </w:p>
        </w:tc>
        <w:tc>
          <w:tcPr>
            <w:tcW w:w="803" w:type="dxa"/>
            <w:vMerge w:val="continue"/>
            <w:tcBorders>
              <w:top w:val="single" w:color="auto" w:sz="4" w:space="0"/>
              <w:left w:val="single" w:color="auto" w:sz="4" w:space="0"/>
              <w:bottom w:val="single" w:color="auto" w:sz="4" w:space="0"/>
              <w:right w:val="single" w:color="auto" w:sz="4" w:space="0"/>
            </w:tcBorders>
            <w:noWrap/>
            <w:vAlign w:val="center"/>
          </w:tcPr>
          <w:p w14:paraId="5D024293">
            <w:pPr>
              <w:widowControl/>
              <w:spacing w:line="240" w:lineRule="exact"/>
              <w:jc w:val="center"/>
              <w:textAlignment w:val="center"/>
              <w:rPr>
                <w:rFonts w:hint="eastAsia" w:ascii="宋体" w:hAnsi="宋体" w:eastAsia="宋体" w:cs="宋体"/>
                <w:color w:val="000000"/>
                <w:kern w:val="0"/>
                <w:sz w:val="22"/>
                <w:szCs w:val="28"/>
              </w:rPr>
            </w:pPr>
          </w:p>
        </w:tc>
        <w:tc>
          <w:tcPr>
            <w:tcW w:w="1490" w:type="dxa"/>
            <w:tcBorders>
              <w:top w:val="single" w:color="auto" w:sz="4" w:space="0"/>
              <w:left w:val="single" w:color="auto" w:sz="4" w:space="0"/>
              <w:bottom w:val="single" w:color="auto" w:sz="4" w:space="0"/>
              <w:right w:val="single" w:color="auto" w:sz="4" w:space="0"/>
            </w:tcBorders>
            <w:noWrap/>
            <w:vAlign w:val="center"/>
          </w:tcPr>
          <w:p w14:paraId="1EE779E1">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rPr>
              <w:t>预算年终结余率</w:t>
            </w:r>
          </w:p>
        </w:tc>
        <w:tc>
          <w:tcPr>
            <w:tcW w:w="709" w:type="dxa"/>
            <w:tcBorders>
              <w:top w:val="single" w:color="auto" w:sz="4" w:space="0"/>
              <w:left w:val="single" w:color="auto" w:sz="4" w:space="0"/>
              <w:bottom w:val="single" w:color="auto" w:sz="4" w:space="0"/>
              <w:right w:val="single" w:color="auto" w:sz="4" w:space="0"/>
            </w:tcBorders>
            <w:noWrap/>
            <w:vAlign w:val="center"/>
          </w:tcPr>
          <w:p w14:paraId="7C11E88E">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100%</w:t>
            </w:r>
          </w:p>
        </w:tc>
        <w:tc>
          <w:tcPr>
            <w:tcW w:w="850" w:type="dxa"/>
            <w:gridSpan w:val="2"/>
            <w:tcBorders>
              <w:top w:val="single" w:color="auto" w:sz="4" w:space="0"/>
              <w:left w:val="single" w:color="auto" w:sz="4" w:space="0"/>
              <w:bottom w:val="single" w:color="auto" w:sz="4" w:space="0"/>
              <w:right w:val="single" w:color="auto" w:sz="4" w:space="0"/>
            </w:tcBorders>
            <w:noWrap/>
            <w:vAlign w:val="center"/>
          </w:tcPr>
          <w:p w14:paraId="7AE3925F">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100.00%</w:t>
            </w:r>
          </w:p>
        </w:tc>
        <w:tc>
          <w:tcPr>
            <w:tcW w:w="795" w:type="dxa"/>
            <w:tcBorders>
              <w:top w:val="single" w:color="auto" w:sz="4" w:space="0"/>
              <w:left w:val="single" w:color="auto" w:sz="4" w:space="0"/>
              <w:bottom w:val="single" w:color="auto" w:sz="4" w:space="0"/>
              <w:right w:val="single" w:color="auto" w:sz="4" w:space="0"/>
            </w:tcBorders>
            <w:noWrap/>
            <w:vAlign w:val="center"/>
          </w:tcPr>
          <w:p w14:paraId="69FB5085">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100%</w:t>
            </w:r>
          </w:p>
        </w:tc>
        <w:tc>
          <w:tcPr>
            <w:tcW w:w="1045" w:type="dxa"/>
            <w:tcBorders>
              <w:top w:val="single" w:color="auto" w:sz="4" w:space="0"/>
              <w:left w:val="single" w:color="auto" w:sz="4" w:space="0"/>
              <w:bottom w:val="single" w:color="auto" w:sz="4" w:space="0"/>
              <w:right w:val="single" w:color="auto" w:sz="4" w:space="0"/>
            </w:tcBorders>
            <w:noWrap/>
            <w:vAlign w:val="center"/>
          </w:tcPr>
          <w:p w14:paraId="0BC633B4">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100%</w:t>
            </w:r>
          </w:p>
        </w:tc>
        <w:tc>
          <w:tcPr>
            <w:tcW w:w="1111" w:type="dxa"/>
            <w:tcBorders>
              <w:top w:val="single" w:color="auto" w:sz="4" w:space="0"/>
              <w:left w:val="single" w:color="auto" w:sz="4" w:space="0"/>
              <w:bottom w:val="single" w:color="auto" w:sz="4" w:space="0"/>
              <w:right w:val="single" w:color="auto" w:sz="4" w:space="0"/>
            </w:tcBorders>
            <w:noWrap/>
            <w:vAlign w:val="center"/>
          </w:tcPr>
          <w:p w14:paraId="69F3C7DF">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100%</w:t>
            </w:r>
          </w:p>
        </w:tc>
        <w:tc>
          <w:tcPr>
            <w:tcW w:w="1648" w:type="dxa"/>
            <w:tcBorders>
              <w:top w:val="single" w:color="auto" w:sz="4" w:space="0"/>
              <w:left w:val="single" w:color="auto" w:sz="4" w:space="0"/>
              <w:bottom w:val="single" w:color="auto" w:sz="4" w:space="0"/>
              <w:right w:val="single" w:color="auto" w:sz="4" w:space="0"/>
            </w:tcBorders>
            <w:noWrap/>
            <w:vAlign w:val="center"/>
          </w:tcPr>
          <w:p w14:paraId="3358A6C5">
            <w:pPr>
              <w:widowControl/>
              <w:spacing w:line="240" w:lineRule="exact"/>
              <w:jc w:val="center"/>
              <w:textAlignment w:val="center"/>
              <w:rPr>
                <w:rFonts w:hint="default" w:ascii="宋体" w:hAnsi="宋体" w:eastAsia="宋体" w:cs="宋体"/>
                <w:color w:val="000000"/>
                <w:kern w:val="0"/>
                <w:sz w:val="22"/>
                <w:szCs w:val="28"/>
                <w:lang w:val="en-US" w:eastAsia="zh-CN"/>
              </w:rPr>
            </w:pPr>
            <w:r>
              <w:rPr>
                <w:rFonts w:hint="eastAsia" w:ascii="宋体" w:hAnsi="宋体" w:eastAsia="宋体" w:cs="宋体"/>
                <w:color w:val="000000"/>
                <w:kern w:val="0"/>
                <w:sz w:val="22"/>
                <w:szCs w:val="28"/>
                <w:lang w:val="en-US" w:eastAsia="zh-CN"/>
              </w:rPr>
              <w:t>100%</w:t>
            </w:r>
          </w:p>
        </w:tc>
      </w:tr>
      <w:tr w14:paraId="024C842E">
        <w:tblPrEx>
          <w:tblCellMar>
            <w:top w:w="0" w:type="dxa"/>
            <w:left w:w="108" w:type="dxa"/>
            <w:bottom w:w="0" w:type="dxa"/>
            <w:right w:w="108" w:type="dxa"/>
          </w:tblCellMar>
        </w:tblPrEx>
        <w:trPr>
          <w:trHeight w:val="526" w:hRule="atLeast"/>
          <w:jc w:val="center"/>
        </w:trPr>
        <w:tc>
          <w:tcPr>
            <w:tcW w:w="331" w:type="dxa"/>
            <w:vMerge w:val="continue"/>
            <w:tcBorders>
              <w:top w:val="single" w:color="auto" w:sz="4" w:space="0"/>
              <w:left w:val="single" w:color="auto" w:sz="4" w:space="0"/>
              <w:bottom w:val="single" w:color="auto" w:sz="4" w:space="0"/>
              <w:right w:val="single" w:color="auto" w:sz="4" w:space="0"/>
            </w:tcBorders>
            <w:noWrap/>
            <w:vAlign w:val="center"/>
          </w:tcPr>
          <w:p w14:paraId="0502F7C6">
            <w:pPr>
              <w:widowControl/>
              <w:spacing w:line="240" w:lineRule="exact"/>
              <w:jc w:val="center"/>
              <w:textAlignment w:val="center"/>
              <w:rPr>
                <w:rFonts w:hint="eastAsia" w:ascii="宋体" w:hAnsi="宋体" w:eastAsia="宋体" w:cs="宋体"/>
                <w:color w:val="000000"/>
                <w:kern w:val="0"/>
                <w:sz w:val="22"/>
                <w:szCs w:val="28"/>
              </w:rPr>
            </w:pPr>
          </w:p>
        </w:tc>
        <w:tc>
          <w:tcPr>
            <w:tcW w:w="593" w:type="dxa"/>
            <w:vMerge w:val="continue"/>
            <w:tcBorders>
              <w:top w:val="single" w:color="auto" w:sz="4" w:space="0"/>
              <w:left w:val="single" w:color="auto" w:sz="4" w:space="0"/>
              <w:bottom w:val="single" w:color="auto" w:sz="4" w:space="0"/>
              <w:right w:val="single" w:color="auto" w:sz="4" w:space="0"/>
            </w:tcBorders>
            <w:noWrap/>
            <w:vAlign w:val="center"/>
          </w:tcPr>
          <w:p w14:paraId="3F9C39DF">
            <w:pPr>
              <w:widowControl/>
              <w:spacing w:line="240" w:lineRule="exact"/>
              <w:jc w:val="center"/>
              <w:textAlignment w:val="center"/>
              <w:rPr>
                <w:rFonts w:hint="eastAsia" w:ascii="宋体" w:hAnsi="宋体" w:eastAsia="宋体" w:cs="宋体"/>
                <w:color w:val="000000"/>
                <w:kern w:val="0"/>
                <w:sz w:val="22"/>
                <w:szCs w:val="28"/>
              </w:rPr>
            </w:pPr>
          </w:p>
        </w:tc>
        <w:tc>
          <w:tcPr>
            <w:tcW w:w="803" w:type="dxa"/>
            <w:vMerge w:val="continue"/>
            <w:tcBorders>
              <w:top w:val="single" w:color="auto" w:sz="4" w:space="0"/>
              <w:left w:val="single" w:color="auto" w:sz="4" w:space="0"/>
              <w:bottom w:val="single" w:color="auto" w:sz="4" w:space="0"/>
              <w:right w:val="single" w:color="auto" w:sz="4" w:space="0"/>
            </w:tcBorders>
            <w:noWrap/>
            <w:vAlign w:val="center"/>
          </w:tcPr>
          <w:p w14:paraId="4F1166AF">
            <w:pPr>
              <w:widowControl/>
              <w:spacing w:line="240" w:lineRule="exact"/>
              <w:jc w:val="center"/>
              <w:textAlignment w:val="center"/>
              <w:rPr>
                <w:rFonts w:hint="eastAsia" w:ascii="宋体" w:hAnsi="宋体" w:eastAsia="宋体" w:cs="宋体"/>
                <w:color w:val="000000"/>
                <w:kern w:val="0"/>
                <w:sz w:val="22"/>
                <w:szCs w:val="28"/>
              </w:rPr>
            </w:pPr>
          </w:p>
        </w:tc>
        <w:tc>
          <w:tcPr>
            <w:tcW w:w="1490" w:type="dxa"/>
            <w:tcBorders>
              <w:top w:val="single" w:color="auto" w:sz="4" w:space="0"/>
              <w:left w:val="single" w:color="auto" w:sz="4" w:space="0"/>
              <w:bottom w:val="single" w:color="auto" w:sz="4" w:space="0"/>
              <w:right w:val="single" w:color="auto" w:sz="4" w:space="0"/>
            </w:tcBorders>
            <w:noWrap/>
            <w:vAlign w:val="center"/>
          </w:tcPr>
          <w:p w14:paraId="4D1604E9">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rPr>
              <w:t>一般性支出金额</w:t>
            </w:r>
          </w:p>
        </w:tc>
        <w:tc>
          <w:tcPr>
            <w:tcW w:w="709" w:type="dxa"/>
            <w:tcBorders>
              <w:top w:val="single" w:color="auto" w:sz="4" w:space="0"/>
              <w:left w:val="single" w:color="auto" w:sz="4" w:space="0"/>
              <w:bottom w:val="single" w:color="auto" w:sz="4" w:space="0"/>
              <w:right w:val="single" w:color="auto" w:sz="4" w:space="0"/>
            </w:tcBorders>
            <w:noWrap/>
            <w:vAlign w:val="center"/>
          </w:tcPr>
          <w:p w14:paraId="67BFA31A">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164.39万元</w:t>
            </w:r>
          </w:p>
        </w:tc>
        <w:tc>
          <w:tcPr>
            <w:tcW w:w="3801"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603F536B">
            <w:pPr>
              <w:widowControl/>
              <w:spacing w:line="240" w:lineRule="exact"/>
              <w:jc w:val="center"/>
              <w:textAlignment w:val="center"/>
              <w:rPr>
                <w:rFonts w:hint="eastAsia" w:ascii="宋体" w:hAnsi="宋体" w:eastAsia="宋体" w:cs="宋体"/>
                <w:color w:val="000000"/>
                <w:kern w:val="0"/>
                <w:sz w:val="22"/>
                <w:szCs w:val="28"/>
                <w:lang w:val="en-US" w:eastAsia="zh-CN"/>
              </w:rPr>
            </w:pPr>
            <w:r>
              <w:rPr>
                <w:rFonts w:hint="eastAsia" w:ascii="宋体" w:hAnsi="宋体" w:eastAsia="宋体" w:cs="宋体"/>
                <w:color w:val="000000"/>
                <w:kern w:val="0"/>
                <w:sz w:val="22"/>
                <w:szCs w:val="28"/>
                <w:lang w:val="en-US" w:eastAsia="zh-CN"/>
              </w:rPr>
              <w:t>184.5万元</w:t>
            </w:r>
          </w:p>
        </w:tc>
        <w:tc>
          <w:tcPr>
            <w:tcW w:w="1648" w:type="dxa"/>
            <w:tcBorders>
              <w:top w:val="single" w:color="auto" w:sz="4" w:space="0"/>
              <w:left w:val="single" w:color="auto" w:sz="4" w:space="0"/>
              <w:bottom w:val="single" w:color="auto" w:sz="4" w:space="0"/>
              <w:right w:val="single" w:color="auto" w:sz="4" w:space="0"/>
            </w:tcBorders>
            <w:noWrap/>
            <w:vAlign w:val="center"/>
          </w:tcPr>
          <w:p w14:paraId="07E7A019">
            <w:pPr>
              <w:widowControl/>
              <w:spacing w:line="240" w:lineRule="exact"/>
              <w:jc w:val="center"/>
              <w:textAlignment w:val="center"/>
              <w:rPr>
                <w:rFonts w:hint="default" w:ascii="宋体" w:hAnsi="宋体" w:eastAsia="宋体" w:cs="宋体"/>
                <w:color w:val="000000"/>
                <w:kern w:val="0"/>
                <w:sz w:val="22"/>
                <w:szCs w:val="28"/>
                <w:lang w:val="en-US" w:eastAsia="zh-CN"/>
              </w:rPr>
            </w:pPr>
            <w:r>
              <w:rPr>
                <w:rFonts w:hint="eastAsia" w:ascii="宋体" w:hAnsi="宋体" w:eastAsia="宋体" w:cs="宋体"/>
                <w:color w:val="000000"/>
                <w:kern w:val="0"/>
                <w:sz w:val="22"/>
                <w:szCs w:val="28"/>
                <w:lang w:val="en-US" w:eastAsia="zh-CN"/>
              </w:rPr>
              <w:t>184.5</w:t>
            </w:r>
          </w:p>
        </w:tc>
      </w:tr>
      <w:tr w14:paraId="73128042">
        <w:tblPrEx>
          <w:tblCellMar>
            <w:top w:w="0" w:type="dxa"/>
            <w:left w:w="108" w:type="dxa"/>
            <w:bottom w:w="0" w:type="dxa"/>
            <w:right w:w="108" w:type="dxa"/>
          </w:tblCellMar>
        </w:tblPrEx>
        <w:trPr>
          <w:trHeight w:val="90" w:hRule="atLeast"/>
          <w:jc w:val="center"/>
        </w:trPr>
        <w:tc>
          <w:tcPr>
            <w:tcW w:w="331" w:type="dxa"/>
            <w:vMerge w:val="continue"/>
            <w:tcBorders>
              <w:top w:val="single" w:color="auto" w:sz="4" w:space="0"/>
              <w:left w:val="single" w:color="auto" w:sz="4" w:space="0"/>
              <w:bottom w:val="single" w:color="auto" w:sz="4" w:space="0"/>
              <w:right w:val="single" w:color="auto" w:sz="4" w:space="0"/>
            </w:tcBorders>
            <w:noWrap/>
            <w:vAlign w:val="center"/>
          </w:tcPr>
          <w:p w14:paraId="3C811888">
            <w:pPr>
              <w:widowControl/>
              <w:spacing w:line="240" w:lineRule="exact"/>
              <w:jc w:val="center"/>
              <w:textAlignment w:val="center"/>
              <w:rPr>
                <w:rFonts w:hint="eastAsia" w:ascii="宋体" w:hAnsi="宋体" w:eastAsia="宋体" w:cs="宋体"/>
                <w:color w:val="000000"/>
                <w:kern w:val="0"/>
                <w:sz w:val="22"/>
                <w:szCs w:val="28"/>
              </w:rPr>
            </w:pPr>
          </w:p>
        </w:tc>
        <w:tc>
          <w:tcPr>
            <w:tcW w:w="593" w:type="dxa"/>
            <w:vMerge w:val="continue"/>
            <w:tcBorders>
              <w:top w:val="single" w:color="auto" w:sz="4" w:space="0"/>
              <w:left w:val="single" w:color="auto" w:sz="4" w:space="0"/>
              <w:bottom w:val="single" w:color="auto" w:sz="4" w:space="0"/>
              <w:right w:val="single" w:color="auto" w:sz="4" w:space="0"/>
            </w:tcBorders>
            <w:noWrap/>
            <w:vAlign w:val="center"/>
          </w:tcPr>
          <w:p w14:paraId="1A0F40F6">
            <w:pPr>
              <w:widowControl/>
              <w:spacing w:line="240" w:lineRule="exact"/>
              <w:jc w:val="center"/>
              <w:textAlignment w:val="center"/>
              <w:rPr>
                <w:rFonts w:hint="eastAsia" w:ascii="宋体" w:hAnsi="宋体" w:eastAsia="宋体" w:cs="宋体"/>
                <w:color w:val="000000"/>
                <w:kern w:val="0"/>
                <w:sz w:val="22"/>
                <w:szCs w:val="28"/>
              </w:rPr>
            </w:pPr>
          </w:p>
        </w:tc>
        <w:tc>
          <w:tcPr>
            <w:tcW w:w="803" w:type="dxa"/>
            <w:tcBorders>
              <w:top w:val="single" w:color="auto" w:sz="4" w:space="0"/>
              <w:left w:val="single" w:color="auto" w:sz="4" w:space="0"/>
              <w:bottom w:val="single" w:color="auto" w:sz="4" w:space="0"/>
              <w:right w:val="single" w:color="auto" w:sz="4" w:space="0"/>
            </w:tcBorders>
            <w:noWrap/>
            <w:vAlign w:val="center"/>
          </w:tcPr>
          <w:p w14:paraId="25FDD48F">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rPr>
              <w:t>财务管理</w:t>
            </w:r>
          </w:p>
        </w:tc>
        <w:tc>
          <w:tcPr>
            <w:tcW w:w="1490" w:type="dxa"/>
            <w:tcBorders>
              <w:top w:val="single" w:color="auto" w:sz="4" w:space="0"/>
              <w:left w:val="single" w:color="auto" w:sz="4" w:space="0"/>
              <w:bottom w:val="single" w:color="auto" w:sz="4" w:space="0"/>
              <w:right w:val="single" w:color="auto" w:sz="4" w:space="0"/>
            </w:tcBorders>
            <w:noWrap/>
            <w:vAlign w:val="center"/>
          </w:tcPr>
          <w:p w14:paraId="2790CEE3">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rPr>
              <w:t>财务管理规范</w:t>
            </w:r>
          </w:p>
        </w:tc>
        <w:tc>
          <w:tcPr>
            <w:tcW w:w="709" w:type="dxa"/>
            <w:tcBorders>
              <w:top w:val="single" w:color="auto" w:sz="4" w:space="0"/>
              <w:left w:val="single" w:color="auto" w:sz="4" w:space="0"/>
              <w:bottom w:val="single" w:color="auto" w:sz="4" w:space="0"/>
              <w:right w:val="single" w:color="auto" w:sz="4" w:space="0"/>
            </w:tcBorders>
            <w:noWrap/>
            <w:vAlign w:val="center"/>
          </w:tcPr>
          <w:p w14:paraId="0CBD4605">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优</w:t>
            </w:r>
          </w:p>
        </w:tc>
        <w:tc>
          <w:tcPr>
            <w:tcW w:w="3801" w:type="dxa"/>
            <w:gridSpan w:val="5"/>
            <w:tcBorders>
              <w:top w:val="single" w:color="auto" w:sz="4" w:space="0"/>
              <w:left w:val="single" w:color="auto" w:sz="4" w:space="0"/>
              <w:bottom w:val="single" w:color="auto" w:sz="4" w:space="0"/>
              <w:right w:val="single" w:color="auto" w:sz="4" w:space="0"/>
            </w:tcBorders>
            <w:noWrap/>
            <w:vAlign w:val="center"/>
          </w:tcPr>
          <w:p w14:paraId="2F6E3DBD">
            <w:pPr>
              <w:widowControl/>
              <w:spacing w:line="240" w:lineRule="exact"/>
              <w:jc w:val="center"/>
              <w:textAlignment w:val="center"/>
              <w:rPr>
                <w:rFonts w:hint="eastAsia" w:ascii="宋体" w:hAnsi="宋体" w:eastAsia="宋体" w:cs="宋体"/>
                <w:color w:val="000000"/>
                <w:kern w:val="0"/>
                <w:sz w:val="22"/>
                <w:szCs w:val="28"/>
                <w:lang w:eastAsia="zh-CN"/>
              </w:rPr>
            </w:pPr>
            <w:r>
              <w:rPr>
                <w:rFonts w:hint="eastAsia" w:ascii="宋体" w:hAnsi="宋体" w:eastAsia="宋体" w:cs="宋体"/>
                <w:color w:val="000000"/>
                <w:kern w:val="0"/>
                <w:sz w:val="22"/>
                <w:szCs w:val="28"/>
                <w:lang w:val="en-US" w:eastAsia="zh-CN"/>
              </w:rPr>
              <w:t>优</w:t>
            </w:r>
          </w:p>
        </w:tc>
        <w:tc>
          <w:tcPr>
            <w:tcW w:w="1648" w:type="dxa"/>
            <w:tcBorders>
              <w:top w:val="single" w:color="auto" w:sz="4" w:space="0"/>
              <w:left w:val="single" w:color="auto" w:sz="4" w:space="0"/>
              <w:bottom w:val="single" w:color="auto" w:sz="4" w:space="0"/>
              <w:right w:val="single" w:color="auto" w:sz="4" w:space="0"/>
            </w:tcBorders>
            <w:noWrap/>
            <w:vAlign w:val="center"/>
          </w:tcPr>
          <w:p w14:paraId="29915DBB">
            <w:pPr>
              <w:widowControl/>
              <w:spacing w:line="240" w:lineRule="exact"/>
              <w:jc w:val="center"/>
              <w:textAlignment w:val="center"/>
              <w:rPr>
                <w:rFonts w:hint="eastAsia" w:ascii="宋体" w:hAnsi="宋体" w:eastAsia="宋体" w:cs="宋体"/>
                <w:color w:val="000000"/>
                <w:kern w:val="0"/>
                <w:sz w:val="22"/>
                <w:szCs w:val="28"/>
                <w:lang w:val="en-US" w:eastAsia="zh-CN"/>
              </w:rPr>
            </w:pPr>
            <w:r>
              <w:rPr>
                <w:rFonts w:hint="eastAsia" w:ascii="宋体" w:hAnsi="宋体" w:eastAsia="宋体" w:cs="宋体"/>
                <w:color w:val="000000"/>
                <w:kern w:val="0"/>
                <w:sz w:val="22"/>
                <w:szCs w:val="28"/>
                <w:lang w:val="en-US" w:eastAsia="zh-CN"/>
              </w:rPr>
              <w:t>优</w:t>
            </w:r>
          </w:p>
        </w:tc>
      </w:tr>
      <w:tr w14:paraId="465EFEAE">
        <w:tblPrEx>
          <w:tblCellMar>
            <w:top w:w="0" w:type="dxa"/>
            <w:left w:w="108" w:type="dxa"/>
            <w:bottom w:w="0" w:type="dxa"/>
            <w:right w:w="108" w:type="dxa"/>
          </w:tblCellMar>
        </w:tblPrEx>
        <w:trPr>
          <w:trHeight w:val="90" w:hRule="atLeast"/>
          <w:jc w:val="center"/>
        </w:trPr>
        <w:tc>
          <w:tcPr>
            <w:tcW w:w="331" w:type="dxa"/>
            <w:vMerge w:val="continue"/>
            <w:tcBorders>
              <w:top w:val="single" w:color="auto" w:sz="4" w:space="0"/>
              <w:left w:val="single" w:color="auto" w:sz="4" w:space="0"/>
              <w:bottom w:val="single" w:color="auto" w:sz="4" w:space="0"/>
              <w:right w:val="single" w:color="auto" w:sz="4" w:space="0"/>
            </w:tcBorders>
            <w:noWrap/>
            <w:vAlign w:val="center"/>
          </w:tcPr>
          <w:p w14:paraId="21EFA342">
            <w:pPr>
              <w:widowControl/>
              <w:spacing w:line="240" w:lineRule="exact"/>
              <w:jc w:val="center"/>
              <w:textAlignment w:val="center"/>
              <w:rPr>
                <w:rFonts w:hint="eastAsia" w:ascii="宋体" w:hAnsi="宋体" w:eastAsia="宋体" w:cs="宋体"/>
                <w:color w:val="000000"/>
                <w:kern w:val="0"/>
                <w:sz w:val="22"/>
                <w:szCs w:val="28"/>
              </w:rPr>
            </w:pPr>
          </w:p>
        </w:tc>
        <w:tc>
          <w:tcPr>
            <w:tcW w:w="593" w:type="dxa"/>
            <w:vMerge w:val="continue"/>
            <w:tcBorders>
              <w:top w:val="single" w:color="auto" w:sz="4" w:space="0"/>
              <w:left w:val="single" w:color="auto" w:sz="4" w:space="0"/>
              <w:bottom w:val="single" w:color="auto" w:sz="4" w:space="0"/>
              <w:right w:val="single" w:color="auto" w:sz="4" w:space="0"/>
            </w:tcBorders>
            <w:noWrap/>
            <w:vAlign w:val="center"/>
          </w:tcPr>
          <w:p w14:paraId="7689B693">
            <w:pPr>
              <w:widowControl/>
              <w:spacing w:line="240" w:lineRule="exact"/>
              <w:jc w:val="center"/>
              <w:textAlignment w:val="center"/>
              <w:rPr>
                <w:rFonts w:hint="eastAsia" w:ascii="宋体" w:hAnsi="宋体" w:eastAsia="宋体" w:cs="宋体"/>
                <w:color w:val="000000"/>
                <w:kern w:val="0"/>
                <w:sz w:val="22"/>
                <w:szCs w:val="28"/>
              </w:rPr>
            </w:pPr>
          </w:p>
        </w:tc>
        <w:tc>
          <w:tcPr>
            <w:tcW w:w="803" w:type="dxa"/>
            <w:tcBorders>
              <w:top w:val="single" w:color="auto" w:sz="4" w:space="0"/>
              <w:left w:val="single" w:color="auto" w:sz="4" w:space="0"/>
              <w:bottom w:val="single" w:color="auto" w:sz="4" w:space="0"/>
              <w:right w:val="single" w:color="auto" w:sz="4" w:space="0"/>
            </w:tcBorders>
            <w:noWrap/>
            <w:vAlign w:val="center"/>
          </w:tcPr>
          <w:p w14:paraId="61AD845E">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rPr>
              <w:t>资产管理</w:t>
            </w:r>
          </w:p>
        </w:tc>
        <w:tc>
          <w:tcPr>
            <w:tcW w:w="1490" w:type="dxa"/>
            <w:tcBorders>
              <w:top w:val="single" w:color="auto" w:sz="4" w:space="0"/>
              <w:left w:val="single" w:color="auto" w:sz="4" w:space="0"/>
              <w:bottom w:val="single" w:color="auto" w:sz="4" w:space="0"/>
              <w:right w:val="single" w:color="auto" w:sz="4" w:space="0"/>
            </w:tcBorders>
            <w:noWrap/>
            <w:vAlign w:val="center"/>
          </w:tcPr>
          <w:p w14:paraId="1320C913">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rPr>
              <w:t>资产配置预算偏离度</w:t>
            </w:r>
          </w:p>
        </w:tc>
        <w:tc>
          <w:tcPr>
            <w:tcW w:w="709" w:type="dxa"/>
            <w:tcBorders>
              <w:top w:val="single" w:color="auto" w:sz="4" w:space="0"/>
              <w:left w:val="single" w:color="auto" w:sz="4" w:space="0"/>
              <w:bottom w:val="single" w:color="auto" w:sz="4" w:space="0"/>
              <w:right w:val="single" w:color="auto" w:sz="4" w:space="0"/>
            </w:tcBorders>
            <w:noWrap/>
            <w:vAlign w:val="center"/>
          </w:tcPr>
          <w:p w14:paraId="68DF73EA">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95%</w:t>
            </w:r>
          </w:p>
        </w:tc>
        <w:tc>
          <w:tcPr>
            <w:tcW w:w="850" w:type="dxa"/>
            <w:gridSpan w:val="2"/>
            <w:tcBorders>
              <w:top w:val="single" w:color="auto" w:sz="4" w:space="0"/>
              <w:left w:val="single" w:color="auto" w:sz="4" w:space="0"/>
              <w:bottom w:val="single" w:color="auto" w:sz="4" w:space="0"/>
              <w:right w:val="single" w:color="auto" w:sz="4" w:space="0"/>
            </w:tcBorders>
            <w:noWrap/>
            <w:vAlign w:val="center"/>
          </w:tcPr>
          <w:p w14:paraId="524F5135">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95.00%</w:t>
            </w:r>
          </w:p>
        </w:tc>
        <w:tc>
          <w:tcPr>
            <w:tcW w:w="795" w:type="dxa"/>
            <w:tcBorders>
              <w:top w:val="single" w:color="auto" w:sz="4" w:space="0"/>
              <w:left w:val="single" w:color="auto" w:sz="4" w:space="0"/>
              <w:bottom w:val="single" w:color="auto" w:sz="4" w:space="0"/>
              <w:right w:val="single" w:color="auto" w:sz="4" w:space="0"/>
            </w:tcBorders>
            <w:noWrap/>
            <w:vAlign w:val="center"/>
          </w:tcPr>
          <w:p w14:paraId="08A146AC">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95%</w:t>
            </w:r>
          </w:p>
        </w:tc>
        <w:tc>
          <w:tcPr>
            <w:tcW w:w="1045" w:type="dxa"/>
            <w:tcBorders>
              <w:top w:val="single" w:color="auto" w:sz="4" w:space="0"/>
              <w:left w:val="single" w:color="auto" w:sz="4" w:space="0"/>
              <w:bottom w:val="single" w:color="auto" w:sz="4" w:space="0"/>
              <w:right w:val="single" w:color="auto" w:sz="4" w:space="0"/>
            </w:tcBorders>
            <w:noWrap/>
            <w:vAlign w:val="center"/>
          </w:tcPr>
          <w:p w14:paraId="320A0DB4">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95%</w:t>
            </w:r>
          </w:p>
        </w:tc>
        <w:tc>
          <w:tcPr>
            <w:tcW w:w="1111" w:type="dxa"/>
            <w:tcBorders>
              <w:top w:val="single" w:color="auto" w:sz="4" w:space="0"/>
              <w:left w:val="single" w:color="auto" w:sz="4" w:space="0"/>
              <w:bottom w:val="single" w:color="auto" w:sz="4" w:space="0"/>
              <w:right w:val="single" w:color="auto" w:sz="4" w:space="0"/>
            </w:tcBorders>
            <w:noWrap/>
            <w:vAlign w:val="center"/>
          </w:tcPr>
          <w:p w14:paraId="7B19C37A">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95%</w:t>
            </w:r>
          </w:p>
        </w:tc>
        <w:tc>
          <w:tcPr>
            <w:tcW w:w="1648" w:type="dxa"/>
            <w:tcBorders>
              <w:top w:val="single" w:color="auto" w:sz="4" w:space="0"/>
              <w:left w:val="single" w:color="auto" w:sz="4" w:space="0"/>
              <w:bottom w:val="single" w:color="auto" w:sz="4" w:space="0"/>
              <w:right w:val="single" w:color="auto" w:sz="4" w:space="0"/>
            </w:tcBorders>
            <w:noWrap/>
            <w:vAlign w:val="center"/>
          </w:tcPr>
          <w:p w14:paraId="31D841D8">
            <w:pPr>
              <w:widowControl/>
              <w:spacing w:line="240" w:lineRule="exact"/>
              <w:jc w:val="center"/>
              <w:textAlignment w:val="center"/>
              <w:rPr>
                <w:rFonts w:hint="default" w:ascii="宋体" w:hAnsi="宋体" w:eastAsia="宋体" w:cs="宋体"/>
                <w:color w:val="000000"/>
                <w:kern w:val="0"/>
                <w:sz w:val="22"/>
                <w:szCs w:val="28"/>
                <w:lang w:val="en-US" w:eastAsia="zh-CN"/>
              </w:rPr>
            </w:pPr>
            <w:r>
              <w:rPr>
                <w:rFonts w:hint="eastAsia" w:ascii="宋体" w:hAnsi="宋体" w:eastAsia="宋体" w:cs="宋体"/>
                <w:color w:val="000000"/>
                <w:kern w:val="0"/>
                <w:sz w:val="22"/>
                <w:szCs w:val="28"/>
                <w:lang w:val="en-US" w:eastAsia="zh-CN"/>
              </w:rPr>
              <w:t>95%</w:t>
            </w:r>
          </w:p>
        </w:tc>
      </w:tr>
      <w:tr w14:paraId="655618BB">
        <w:tblPrEx>
          <w:tblCellMar>
            <w:top w:w="0" w:type="dxa"/>
            <w:left w:w="108" w:type="dxa"/>
            <w:bottom w:w="0" w:type="dxa"/>
            <w:right w:w="108" w:type="dxa"/>
          </w:tblCellMar>
        </w:tblPrEx>
        <w:trPr>
          <w:trHeight w:val="90" w:hRule="atLeast"/>
          <w:jc w:val="center"/>
        </w:trPr>
        <w:tc>
          <w:tcPr>
            <w:tcW w:w="331" w:type="dxa"/>
            <w:vMerge w:val="continue"/>
            <w:tcBorders>
              <w:top w:val="single" w:color="auto" w:sz="4" w:space="0"/>
              <w:left w:val="single" w:color="auto" w:sz="4" w:space="0"/>
              <w:bottom w:val="single" w:color="auto" w:sz="4" w:space="0"/>
              <w:right w:val="single" w:color="auto" w:sz="4" w:space="0"/>
            </w:tcBorders>
            <w:noWrap/>
            <w:vAlign w:val="center"/>
          </w:tcPr>
          <w:p w14:paraId="056CED53">
            <w:pPr>
              <w:widowControl/>
              <w:spacing w:line="240" w:lineRule="exact"/>
              <w:jc w:val="center"/>
              <w:textAlignment w:val="center"/>
              <w:rPr>
                <w:rFonts w:hint="eastAsia" w:ascii="宋体" w:hAnsi="宋体" w:eastAsia="宋体" w:cs="宋体"/>
                <w:color w:val="000000"/>
                <w:kern w:val="0"/>
                <w:sz w:val="22"/>
                <w:szCs w:val="28"/>
              </w:rPr>
            </w:pPr>
          </w:p>
        </w:tc>
        <w:tc>
          <w:tcPr>
            <w:tcW w:w="593" w:type="dxa"/>
            <w:vMerge w:val="continue"/>
            <w:tcBorders>
              <w:top w:val="single" w:color="auto" w:sz="4" w:space="0"/>
              <w:left w:val="single" w:color="auto" w:sz="4" w:space="0"/>
              <w:bottom w:val="single" w:color="auto" w:sz="4" w:space="0"/>
              <w:right w:val="single" w:color="auto" w:sz="4" w:space="0"/>
            </w:tcBorders>
            <w:noWrap/>
            <w:vAlign w:val="center"/>
          </w:tcPr>
          <w:p w14:paraId="1A1C5EEC">
            <w:pPr>
              <w:widowControl/>
              <w:spacing w:line="240" w:lineRule="exact"/>
              <w:jc w:val="center"/>
              <w:textAlignment w:val="center"/>
              <w:rPr>
                <w:rFonts w:hint="eastAsia" w:ascii="宋体" w:hAnsi="宋体" w:eastAsia="宋体" w:cs="宋体"/>
                <w:color w:val="000000"/>
                <w:kern w:val="0"/>
                <w:sz w:val="22"/>
                <w:szCs w:val="28"/>
              </w:rPr>
            </w:pPr>
          </w:p>
        </w:tc>
        <w:tc>
          <w:tcPr>
            <w:tcW w:w="803" w:type="dxa"/>
            <w:tcBorders>
              <w:top w:val="single" w:color="auto" w:sz="4" w:space="0"/>
              <w:left w:val="single" w:color="auto" w:sz="4" w:space="0"/>
              <w:bottom w:val="single" w:color="auto" w:sz="4" w:space="0"/>
              <w:right w:val="single" w:color="auto" w:sz="4" w:space="0"/>
            </w:tcBorders>
            <w:noWrap/>
            <w:vAlign w:val="center"/>
          </w:tcPr>
          <w:p w14:paraId="2B6AAF93">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rPr>
              <w:t>采购管理</w:t>
            </w:r>
          </w:p>
        </w:tc>
        <w:tc>
          <w:tcPr>
            <w:tcW w:w="1490" w:type="dxa"/>
            <w:tcBorders>
              <w:top w:val="single" w:color="auto" w:sz="4" w:space="0"/>
              <w:left w:val="single" w:color="auto" w:sz="4" w:space="0"/>
              <w:bottom w:val="single" w:color="auto" w:sz="4" w:space="0"/>
              <w:right w:val="single" w:color="auto" w:sz="4" w:space="0"/>
            </w:tcBorders>
            <w:noWrap/>
            <w:vAlign w:val="center"/>
          </w:tcPr>
          <w:p w14:paraId="57253E78">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rPr>
              <w:t>采购执行率</w:t>
            </w:r>
          </w:p>
        </w:tc>
        <w:tc>
          <w:tcPr>
            <w:tcW w:w="709" w:type="dxa"/>
            <w:tcBorders>
              <w:top w:val="single" w:color="auto" w:sz="4" w:space="0"/>
              <w:left w:val="single" w:color="auto" w:sz="4" w:space="0"/>
              <w:bottom w:val="single" w:color="auto" w:sz="4" w:space="0"/>
              <w:right w:val="single" w:color="auto" w:sz="4" w:space="0"/>
            </w:tcBorders>
            <w:noWrap/>
            <w:vAlign w:val="center"/>
          </w:tcPr>
          <w:p w14:paraId="4BBF935B">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90%</w:t>
            </w:r>
          </w:p>
        </w:tc>
        <w:tc>
          <w:tcPr>
            <w:tcW w:w="850" w:type="dxa"/>
            <w:gridSpan w:val="2"/>
            <w:tcBorders>
              <w:top w:val="single" w:color="auto" w:sz="4" w:space="0"/>
              <w:left w:val="single" w:color="auto" w:sz="4" w:space="0"/>
              <w:bottom w:val="single" w:color="auto" w:sz="4" w:space="0"/>
              <w:right w:val="single" w:color="auto" w:sz="4" w:space="0"/>
            </w:tcBorders>
            <w:noWrap/>
            <w:vAlign w:val="center"/>
          </w:tcPr>
          <w:p w14:paraId="731794F5">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86.67%</w:t>
            </w:r>
          </w:p>
        </w:tc>
        <w:tc>
          <w:tcPr>
            <w:tcW w:w="795" w:type="dxa"/>
            <w:tcBorders>
              <w:top w:val="single" w:color="auto" w:sz="4" w:space="0"/>
              <w:left w:val="single" w:color="auto" w:sz="4" w:space="0"/>
              <w:bottom w:val="single" w:color="auto" w:sz="4" w:space="0"/>
              <w:right w:val="single" w:color="auto" w:sz="4" w:space="0"/>
            </w:tcBorders>
            <w:noWrap/>
            <w:vAlign w:val="center"/>
          </w:tcPr>
          <w:p w14:paraId="152A229A">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90%</w:t>
            </w:r>
          </w:p>
        </w:tc>
        <w:tc>
          <w:tcPr>
            <w:tcW w:w="1045" w:type="dxa"/>
            <w:tcBorders>
              <w:top w:val="single" w:color="auto" w:sz="4" w:space="0"/>
              <w:left w:val="single" w:color="auto" w:sz="4" w:space="0"/>
              <w:bottom w:val="single" w:color="auto" w:sz="4" w:space="0"/>
              <w:right w:val="single" w:color="auto" w:sz="4" w:space="0"/>
            </w:tcBorders>
            <w:noWrap/>
            <w:vAlign w:val="center"/>
          </w:tcPr>
          <w:p w14:paraId="1D4AD7B7">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85%</w:t>
            </w:r>
          </w:p>
        </w:tc>
        <w:tc>
          <w:tcPr>
            <w:tcW w:w="1111" w:type="dxa"/>
            <w:tcBorders>
              <w:top w:val="single" w:color="auto" w:sz="4" w:space="0"/>
              <w:left w:val="single" w:color="auto" w:sz="4" w:space="0"/>
              <w:bottom w:val="single" w:color="auto" w:sz="4" w:space="0"/>
              <w:right w:val="single" w:color="auto" w:sz="4" w:space="0"/>
            </w:tcBorders>
            <w:noWrap/>
            <w:vAlign w:val="center"/>
          </w:tcPr>
          <w:p w14:paraId="433E3874">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85%</w:t>
            </w:r>
          </w:p>
        </w:tc>
        <w:tc>
          <w:tcPr>
            <w:tcW w:w="1648" w:type="dxa"/>
            <w:tcBorders>
              <w:top w:val="single" w:color="auto" w:sz="4" w:space="0"/>
              <w:left w:val="single" w:color="auto" w:sz="4" w:space="0"/>
              <w:bottom w:val="single" w:color="auto" w:sz="4" w:space="0"/>
              <w:right w:val="single" w:color="auto" w:sz="4" w:space="0"/>
            </w:tcBorders>
            <w:noWrap/>
            <w:vAlign w:val="center"/>
          </w:tcPr>
          <w:p w14:paraId="55EBEEEE">
            <w:pPr>
              <w:widowControl/>
              <w:spacing w:line="240" w:lineRule="exact"/>
              <w:jc w:val="center"/>
              <w:textAlignment w:val="center"/>
              <w:rPr>
                <w:rFonts w:hint="default" w:ascii="宋体" w:hAnsi="宋体" w:eastAsia="宋体" w:cs="宋体"/>
                <w:color w:val="000000"/>
                <w:kern w:val="0"/>
                <w:sz w:val="22"/>
                <w:szCs w:val="28"/>
                <w:lang w:val="en-US" w:eastAsia="zh-CN"/>
              </w:rPr>
            </w:pPr>
            <w:r>
              <w:rPr>
                <w:rFonts w:hint="eastAsia" w:ascii="宋体" w:hAnsi="宋体" w:eastAsia="宋体" w:cs="宋体"/>
                <w:color w:val="000000"/>
                <w:kern w:val="0"/>
                <w:sz w:val="22"/>
                <w:szCs w:val="28"/>
                <w:lang w:val="en-US" w:eastAsia="zh-CN"/>
              </w:rPr>
              <w:t>90%</w:t>
            </w:r>
          </w:p>
        </w:tc>
      </w:tr>
      <w:tr w14:paraId="1DA0AC3E">
        <w:tblPrEx>
          <w:tblCellMar>
            <w:top w:w="0" w:type="dxa"/>
            <w:left w:w="108" w:type="dxa"/>
            <w:bottom w:w="0" w:type="dxa"/>
            <w:right w:w="108" w:type="dxa"/>
          </w:tblCellMar>
        </w:tblPrEx>
        <w:trPr>
          <w:trHeight w:val="616" w:hRule="atLeast"/>
          <w:jc w:val="center"/>
        </w:trPr>
        <w:tc>
          <w:tcPr>
            <w:tcW w:w="331" w:type="dxa"/>
            <w:vMerge w:val="restart"/>
            <w:tcBorders>
              <w:top w:val="single" w:color="auto" w:sz="4" w:space="0"/>
              <w:left w:val="single" w:color="auto" w:sz="4" w:space="0"/>
              <w:bottom w:val="single" w:color="auto" w:sz="4" w:space="0"/>
              <w:right w:val="single" w:color="auto" w:sz="4" w:space="0"/>
            </w:tcBorders>
            <w:noWrap/>
            <w:vAlign w:val="center"/>
          </w:tcPr>
          <w:p w14:paraId="436A479B">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rPr>
              <w:t>履职效能</w:t>
            </w:r>
          </w:p>
        </w:tc>
        <w:tc>
          <w:tcPr>
            <w:tcW w:w="593" w:type="dxa"/>
            <w:tcBorders>
              <w:top w:val="single" w:color="auto" w:sz="4" w:space="0"/>
              <w:left w:val="single" w:color="auto" w:sz="4" w:space="0"/>
              <w:bottom w:val="single" w:color="auto" w:sz="4" w:space="0"/>
              <w:right w:val="single" w:color="auto" w:sz="4" w:space="0"/>
            </w:tcBorders>
            <w:noWrap/>
            <w:vAlign w:val="center"/>
          </w:tcPr>
          <w:p w14:paraId="59D1B362">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rPr>
              <w:t>一级指标</w:t>
            </w:r>
          </w:p>
        </w:tc>
        <w:tc>
          <w:tcPr>
            <w:tcW w:w="803" w:type="dxa"/>
            <w:tcBorders>
              <w:top w:val="single" w:color="auto" w:sz="4" w:space="0"/>
              <w:left w:val="single" w:color="auto" w:sz="4" w:space="0"/>
              <w:bottom w:val="single" w:color="auto" w:sz="4" w:space="0"/>
              <w:right w:val="single" w:color="auto" w:sz="4" w:space="0"/>
            </w:tcBorders>
            <w:noWrap/>
            <w:vAlign w:val="center"/>
          </w:tcPr>
          <w:p w14:paraId="6CA411B9">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rPr>
              <w:t>二级指标</w:t>
            </w:r>
          </w:p>
        </w:tc>
        <w:tc>
          <w:tcPr>
            <w:tcW w:w="1490" w:type="dxa"/>
            <w:tcBorders>
              <w:top w:val="single" w:color="auto" w:sz="4" w:space="0"/>
              <w:left w:val="single" w:color="auto" w:sz="4" w:space="0"/>
              <w:bottom w:val="single" w:color="auto" w:sz="4" w:space="0"/>
              <w:right w:val="single" w:color="auto" w:sz="4" w:space="0"/>
            </w:tcBorders>
            <w:noWrap/>
            <w:vAlign w:val="center"/>
          </w:tcPr>
          <w:p w14:paraId="789510FA">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rPr>
              <w:t>三级指标</w:t>
            </w:r>
          </w:p>
        </w:tc>
        <w:tc>
          <w:tcPr>
            <w:tcW w:w="4510" w:type="dxa"/>
            <w:gridSpan w:val="6"/>
            <w:tcBorders>
              <w:top w:val="single" w:color="auto" w:sz="4" w:space="0"/>
              <w:left w:val="single" w:color="auto" w:sz="4" w:space="0"/>
              <w:bottom w:val="single" w:color="auto" w:sz="4" w:space="0"/>
              <w:right w:val="single" w:color="auto" w:sz="4" w:space="0"/>
            </w:tcBorders>
            <w:noWrap/>
            <w:vAlign w:val="center"/>
          </w:tcPr>
          <w:p w14:paraId="75F7B64A">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rPr>
              <w:t>指标值（包含数字及文字描述）</w:t>
            </w:r>
          </w:p>
        </w:tc>
        <w:tc>
          <w:tcPr>
            <w:tcW w:w="1648" w:type="dxa"/>
            <w:tcBorders>
              <w:top w:val="single" w:color="auto" w:sz="4" w:space="0"/>
              <w:left w:val="single" w:color="auto" w:sz="4" w:space="0"/>
              <w:bottom w:val="single" w:color="auto" w:sz="4" w:space="0"/>
              <w:right w:val="single" w:color="auto" w:sz="4" w:space="0"/>
            </w:tcBorders>
            <w:noWrap/>
            <w:vAlign w:val="center"/>
          </w:tcPr>
          <w:p w14:paraId="1D535206">
            <w:pPr>
              <w:widowControl/>
              <w:spacing w:line="240" w:lineRule="exact"/>
              <w:jc w:val="center"/>
              <w:textAlignment w:val="center"/>
              <w:rPr>
                <w:rFonts w:hint="eastAsia" w:ascii="宋体" w:hAnsi="宋体" w:eastAsia="宋体" w:cs="宋体"/>
                <w:color w:val="000000"/>
                <w:kern w:val="0"/>
                <w:sz w:val="22"/>
                <w:szCs w:val="28"/>
              </w:rPr>
            </w:pPr>
          </w:p>
        </w:tc>
      </w:tr>
      <w:tr w14:paraId="45A48368">
        <w:tblPrEx>
          <w:tblCellMar>
            <w:top w:w="0" w:type="dxa"/>
            <w:left w:w="108" w:type="dxa"/>
            <w:bottom w:w="0" w:type="dxa"/>
            <w:right w:w="108" w:type="dxa"/>
          </w:tblCellMar>
        </w:tblPrEx>
        <w:trPr>
          <w:trHeight w:val="585" w:hRule="atLeast"/>
          <w:jc w:val="center"/>
        </w:trPr>
        <w:tc>
          <w:tcPr>
            <w:tcW w:w="331" w:type="dxa"/>
            <w:vMerge w:val="continue"/>
            <w:tcBorders>
              <w:top w:val="single" w:color="auto" w:sz="4" w:space="0"/>
              <w:left w:val="single" w:color="auto" w:sz="4" w:space="0"/>
              <w:bottom w:val="single" w:color="auto" w:sz="4" w:space="0"/>
              <w:right w:val="single" w:color="auto" w:sz="4" w:space="0"/>
            </w:tcBorders>
            <w:noWrap/>
            <w:vAlign w:val="center"/>
          </w:tcPr>
          <w:p w14:paraId="095BDE04">
            <w:pPr>
              <w:widowControl/>
              <w:spacing w:line="240" w:lineRule="exact"/>
              <w:jc w:val="center"/>
              <w:textAlignment w:val="center"/>
              <w:rPr>
                <w:rFonts w:hint="eastAsia" w:ascii="宋体" w:hAnsi="宋体" w:eastAsia="宋体" w:cs="宋体"/>
                <w:color w:val="000000"/>
                <w:kern w:val="0"/>
                <w:sz w:val="22"/>
                <w:szCs w:val="28"/>
              </w:rPr>
            </w:pPr>
          </w:p>
        </w:tc>
        <w:tc>
          <w:tcPr>
            <w:tcW w:w="593" w:type="dxa"/>
            <w:vMerge w:val="restart"/>
            <w:tcBorders>
              <w:top w:val="single" w:color="auto" w:sz="4" w:space="0"/>
              <w:left w:val="single" w:color="auto" w:sz="4" w:space="0"/>
              <w:bottom w:val="single" w:color="auto" w:sz="4" w:space="0"/>
              <w:right w:val="single" w:color="auto" w:sz="4" w:space="0"/>
            </w:tcBorders>
            <w:noWrap/>
            <w:vAlign w:val="center"/>
          </w:tcPr>
          <w:p w14:paraId="3D94B7AF">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rPr>
              <w:t>产出指标</w:t>
            </w:r>
          </w:p>
          <w:p w14:paraId="075D744B">
            <w:pPr>
              <w:widowControl/>
              <w:spacing w:line="240" w:lineRule="exact"/>
              <w:jc w:val="center"/>
              <w:textAlignment w:val="center"/>
              <w:rPr>
                <w:rFonts w:hint="eastAsia" w:ascii="宋体" w:hAnsi="宋体" w:eastAsia="宋体" w:cs="宋体"/>
                <w:color w:val="000000"/>
                <w:kern w:val="0"/>
                <w:sz w:val="22"/>
                <w:szCs w:val="28"/>
              </w:rPr>
            </w:pPr>
          </w:p>
        </w:tc>
        <w:tc>
          <w:tcPr>
            <w:tcW w:w="803" w:type="dxa"/>
            <w:tcBorders>
              <w:top w:val="single" w:color="auto" w:sz="4" w:space="0"/>
              <w:left w:val="single" w:color="auto" w:sz="4" w:space="0"/>
              <w:bottom w:val="single" w:color="auto" w:sz="4" w:space="0"/>
              <w:right w:val="single" w:color="auto" w:sz="4" w:space="0"/>
            </w:tcBorders>
            <w:noWrap/>
            <w:vAlign w:val="center"/>
          </w:tcPr>
          <w:p w14:paraId="3731105D">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时效指标</w:t>
            </w:r>
          </w:p>
        </w:tc>
        <w:tc>
          <w:tcPr>
            <w:tcW w:w="1490" w:type="dxa"/>
            <w:tcBorders>
              <w:top w:val="single" w:color="auto" w:sz="4" w:space="0"/>
              <w:left w:val="single" w:color="auto" w:sz="4" w:space="0"/>
              <w:bottom w:val="single" w:color="auto" w:sz="4" w:space="0"/>
              <w:right w:val="single" w:color="auto" w:sz="4" w:space="0"/>
            </w:tcBorders>
            <w:noWrap/>
            <w:vAlign w:val="center"/>
          </w:tcPr>
          <w:p w14:paraId="67F1D005">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发放在职职工工资及时率</w:t>
            </w:r>
          </w:p>
        </w:tc>
        <w:tc>
          <w:tcPr>
            <w:tcW w:w="4510" w:type="dxa"/>
            <w:gridSpan w:val="6"/>
            <w:tcBorders>
              <w:top w:val="single" w:color="auto" w:sz="4" w:space="0"/>
              <w:left w:val="single" w:color="auto" w:sz="4" w:space="0"/>
              <w:bottom w:val="single" w:color="auto" w:sz="4" w:space="0"/>
              <w:right w:val="single" w:color="auto" w:sz="4" w:space="0"/>
            </w:tcBorders>
            <w:noWrap/>
            <w:vAlign w:val="center"/>
          </w:tcPr>
          <w:p w14:paraId="35851949">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=100%</w:t>
            </w:r>
          </w:p>
        </w:tc>
        <w:tc>
          <w:tcPr>
            <w:tcW w:w="1648" w:type="dxa"/>
            <w:tcBorders>
              <w:top w:val="single" w:color="auto" w:sz="4" w:space="0"/>
              <w:left w:val="single" w:color="auto" w:sz="4" w:space="0"/>
              <w:bottom w:val="single" w:color="auto" w:sz="4" w:space="0"/>
              <w:right w:val="single" w:color="auto" w:sz="4" w:space="0"/>
            </w:tcBorders>
            <w:noWrap/>
            <w:vAlign w:val="center"/>
          </w:tcPr>
          <w:p w14:paraId="3C009B49">
            <w:pPr>
              <w:widowControl/>
              <w:spacing w:line="240" w:lineRule="exact"/>
              <w:jc w:val="center"/>
              <w:textAlignment w:val="center"/>
              <w:rPr>
                <w:rFonts w:hint="default" w:ascii="宋体" w:hAnsi="宋体" w:eastAsia="宋体" w:cs="宋体"/>
                <w:color w:val="000000"/>
                <w:kern w:val="0"/>
                <w:sz w:val="22"/>
                <w:szCs w:val="28"/>
                <w:lang w:val="en-US" w:eastAsia="zh-CN"/>
              </w:rPr>
            </w:pPr>
            <w:r>
              <w:rPr>
                <w:rFonts w:hint="eastAsia" w:ascii="宋体" w:hAnsi="宋体" w:eastAsia="宋体" w:cs="宋体"/>
                <w:color w:val="000000"/>
                <w:kern w:val="0"/>
                <w:sz w:val="22"/>
                <w:szCs w:val="28"/>
                <w:lang w:val="en-US" w:eastAsia="zh-CN"/>
              </w:rPr>
              <w:t>100%</w:t>
            </w:r>
          </w:p>
        </w:tc>
      </w:tr>
      <w:tr w14:paraId="764CCE8E">
        <w:tblPrEx>
          <w:tblCellMar>
            <w:top w:w="0" w:type="dxa"/>
            <w:left w:w="108" w:type="dxa"/>
            <w:bottom w:w="0" w:type="dxa"/>
            <w:right w:w="108" w:type="dxa"/>
          </w:tblCellMar>
        </w:tblPrEx>
        <w:trPr>
          <w:trHeight w:val="361" w:hRule="atLeast"/>
          <w:jc w:val="center"/>
        </w:trPr>
        <w:tc>
          <w:tcPr>
            <w:tcW w:w="331" w:type="dxa"/>
            <w:vMerge w:val="continue"/>
            <w:tcBorders>
              <w:top w:val="single" w:color="auto" w:sz="4" w:space="0"/>
              <w:left w:val="single" w:color="auto" w:sz="4" w:space="0"/>
              <w:bottom w:val="single" w:color="auto" w:sz="4" w:space="0"/>
              <w:right w:val="single" w:color="auto" w:sz="4" w:space="0"/>
            </w:tcBorders>
            <w:noWrap/>
            <w:vAlign w:val="center"/>
          </w:tcPr>
          <w:p w14:paraId="45982C7C">
            <w:pPr>
              <w:widowControl/>
              <w:spacing w:line="240" w:lineRule="exact"/>
              <w:jc w:val="center"/>
              <w:textAlignment w:val="center"/>
              <w:rPr>
                <w:rFonts w:hint="eastAsia" w:ascii="宋体" w:hAnsi="宋体" w:eastAsia="宋体" w:cs="宋体"/>
                <w:color w:val="000000"/>
                <w:kern w:val="0"/>
                <w:sz w:val="22"/>
                <w:szCs w:val="28"/>
              </w:rPr>
            </w:pPr>
          </w:p>
        </w:tc>
        <w:tc>
          <w:tcPr>
            <w:tcW w:w="593" w:type="dxa"/>
            <w:vMerge w:val="continue"/>
            <w:tcBorders>
              <w:top w:val="single" w:color="auto" w:sz="4" w:space="0"/>
              <w:left w:val="single" w:color="auto" w:sz="4" w:space="0"/>
              <w:bottom w:val="single" w:color="auto" w:sz="4" w:space="0"/>
              <w:right w:val="single" w:color="auto" w:sz="4" w:space="0"/>
            </w:tcBorders>
            <w:noWrap/>
            <w:vAlign w:val="center"/>
          </w:tcPr>
          <w:p w14:paraId="17CA4FAB">
            <w:pPr>
              <w:widowControl/>
              <w:spacing w:line="240" w:lineRule="exact"/>
              <w:jc w:val="center"/>
              <w:textAlignment w:val="center"/>
              <w:rPr>
                <w:rFonts w:hint="eastAsia" w:ascii="宋体" w:hAnsi="宋体" w:eastAsia="宋体" w:cs="宋体"/>
                <w:color w:val="000000"/>
                <w:kern w:val="0"/>
                <w:sz w:val="22"/>
                <w:szCs w:val="28"/>
              </w:rPr>
            </w:pPr>
          </w:p>
        </w:tc>
        <w:tc>
          <w:tcPr>
            <w:tcW w:w="803" w:type="dxa"/>
            <w:tcBorders>
              <w:top w:val="single" w:color="auto" w:sz="4" w:space="0"/>
              <w:left w:val="single" w:color="auto" w:sz="4" w:space="0"/>
              <w:bottom w:val="single" w:color="auto" w:sz="4" w:space="0"/>
              <w:right w:val="single" w:color="auto" w:sz="4" w:space="0"/>
            </w:tcBorders>
            <w:noWrap/>
            <w:vAlign w:val="center"/>
          </w:tcPr>
          <w:p w14:paraId="2C8710CE">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时效指标</w:t>
            </w:r>
          </w:p>
        </w:tc>
        <w:tc>
          <w:tcPr>
            <w:tcW w:w="1490" w:type="dxa"/>
            <w:tcBorders>
              <w:top w:val="single" w:color="auto" w:sz="4" w:space="0"/>
              <w:left w:val="single" w:color="auto" w:sz="4" w:space="0"/>
              <w:bottom w:val="single" w:color="auto" w:sz="4" w:space="0"/>
              <w:right w:val="single" w:color="auto" w:sz="4" w:space="0"/>
            </w:tcBorders>
            <w:noWrap/>
            <w:vAlign w:val="center"/>
          </w:tcPr>
          <w:p w14:paraId="7A5CE418">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产出指标完成时间</w:t>
            </w:r>
          </w:p>
        </w:tc>
        <w:tc>
          <w:tcPr>
            <w:tcW w:w="4510" w:type="dxa"/>
            <w:gridSpan w:val="6"/>
            <w:tcBorders>
              <w:top w:val="single" w:color="auto" w:sz="4" w:space="0"/>
              <w:left w:val="single" w:color="auto" w:sz="4" w:space="0"/>
              <w:bottom w:val="single" w:color="auto" w:sz="4" w:space="0"/>
              <w:right w:val="single" w:color="auto" w:sz="4" w:space="0"/>
            </w:tcBorders>
            <w:noWrap/>
            <w:vAlign w:val="center"/>
          </w:tcPr>
          <w:p w14:paraId="325F8BAF">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2025年12月底前完成</w:t>
            </w:r>
          </w:p>
        </w:tc>
        <w:tc>
          <w:tcPr>
            <w:tcW w:w="1648" w:type="dxa"/>
            <w:tcBorders>
              <w:top w:val="single" w:color="auto" w:sz="4" w:space="0"/>
              <w:left w:val="single" w:color="auto" w:sz="4" w:space="0"/>
              <w:bottom w:val="single" w:color="auto" w:sz="4" w:space="0"/>
              <w:right w:val="single" w:color="auto" w:sz="4" w:space="0"/>
            </w:tcBorders>
            <w:noWrap/>
            <w:vAlign w:val="center"/>
          </w:tcPr>
          <w:p w14:paraId="129F3D4D">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2025年12月底前完成</w:t>
            </w:r>
          </w:p>
        </w:tc>
      </w:tr>
      <w:tr w14:paraId="45659599">
        <w:tblPrEx>
          <w:tblCellMar>
            <w:top w:w="0" w:type="dxa"/>
            <w:left w:w="108" w:type="dxa"/>
            <w:bottom w:w="0" w:type="dxa"/>
            <w:right w:w="108" w:type="dxa"/>
          </w:tblCellMar>
        </w:tblPrEx>
        <w:trPr>
          <w:trHeight w:val="295" w:hRule="atLeast"/>
          <w:jc w:val="center"/>
        </w:trPr>
        <w:tc>
          <w:tcPr>
            <w:tcW w:w="331" w:type="dxa"/>
            <w:vMerge w:val="continue"/>
            <w:tcBorders>
              <w:top w:val="single" w:color="auto" w:sz="4" w:space="0"/>
              <w:left w:val="single" w:color="auto" w:sz="4" w:space="0"/>
              <w:bottom w:val="single" w:color="auto" w:sz="4" w:space="0"/>
              <w:right w:val="single" w:color="auto" w:sz="4" w:space="0"/>
            </w:tcBorders>
            <w:noWrap/>
            <w:vAlign w:val="center"/>
          </w:tcPr>
          <w:p w14:paraId="27A392A1">
            <w:pPr>
              <w:widowControl/>
              <w:spacing w:line="240" w:lineRule="exact"/>
              <w:jc w:val="center"/>
              <w:textAlignment w:val="center"/>
              <w:rPr>
                <w:rFonts w:hint="eastAsia" w:ascii="宋体" w:hAnsi="宋体" w:eastAsia="宋体" w:cs="宋体"/>
                <w:color w:val="000000"/>
                <w:kern w:val="0"/>
                <w:sz w:val="22"/>
                <w:szCs w:val="28"/>
              </w:rPr>
            </w:pPr>
          </w:p>
        </w:tc>
        <w:tc>
          <w:tcPr>
            <w:tcW w:w="593" w:type="dxa"/>
            <w:vMerge w:val="continue"/>
            <w:tcBorders>
              <w:top w:val="single" w:color="auto" w:sz="4" w:space="0"/>
              <w:left w:val="single" w:color="auto" w:sz="4" w:space="0"/>
              <w:bottom w:val="single" w:color="auto" w:sz="4" w:space="0"/>
              <w:right w:val="single" w:color="auto" w:sz="4" w:space="0"/>
            </w:tcBorders>
            <w:noWrap/>
            <w:vAlign w:val="center"/>
          </w:tcPr>
          <w:p w14:paraId="17C3DD28">
            <w:pPr>
              <w:widowControl/>
              <w:spacing w:line="240" w:lineRule="exact"/>
              <w:jc w:val="center"/>
              <w:textAlignment w:val="center"/>
              <w:rPr>
                <w:rFonts w:hint="eastAsia" w:ascii="宋体" w:hAnsi="宋体" w:eastAsia="宋体" w:cs="宋体"/>
                <w:color w:val="000000"/>
                <w:kern w:val="0"/>
                <w:sz w:val="22"/>
                <w:szCs w:val="28"/>
              </w:rPr>
            </w:pPr>
          </w:p>
        </w:tc>
        <w:tc>
          <w:tcPr>
            <w:tcW w:w="803" w:type="dxa"/>
            <w:tcBorders>
              <w:top w:val="single" w:color="auto" w:sz="4" w:space="0"/>
              <w:left w:val="single" w:color="auto" w:sz="4" w:space="0"/>
              <w:bottom w:val="single" w:color="auto" w:sz="4" w:space="0"/>
              <w:right w:val="single" w:color="auto" w:sz="4" w:space="0"/>
            </w:tcBorders>
            <w:noWrap/>
            <w:vAlign w:val="center"/>
          </w:tcPr>
          <w:p w14:paraId="6E75149F">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数量指标</w:t>
            </w:r>
          </w:p>
        </w:tc>
        <w:tc>
          <w:tcPr>
            <w:tcW w:w="1490" w:type="dxa"/>
            <w:tcBorders>
              <w:top w:val="single" w:color="auto" w:sz="4" w:space="0"/>
              <w:left w:val="single" w:color="auto" w:sz="4" w:space="0"/>
              <w:bottom w:val="single" w:color="auto" w:sz="4" w:space="0"/>
              <w:right w:val="single" w:color="auto" w:sz="4" w:space="0"/>
            </w:tcBorders>
            <w:noWrap/>
            <w:vAlign w:val="center"/>
          </w:tcPr>
          <w:p w14:paraId="743BDDB8">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与外单位合作项目数量</w:t>
            </w:r>
          </w:p>
        </w:tc>
        <w:tc>
          <w:tcPr>
            <w:tcW w:w="4510" w:type="dxa"/>
            <w:gridSpan w:val="6"/>
            <w:tcBorders>
              <w:top w:val="single" w:color="auto" w:sz="4" w:space="0"/>
              <w:left w:val="single" w:color="auto" w:sz="4" w:space="0"/>
              <w:bottom w:val="single" w:color="auto" w:sz="4" w:space="0"/>
              <w:right w:val="single" w:color="auto" w:sz="4" w:space="0"/>
            </w:tcBorders>
            <w:noWrap/>
            <w:vAlign w:val="center"/>
          </w:tcPr>
          <w:p w14:paraId="431F074A">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≥1个</w:t>
            </w:r>
          </w:p>
        </w:tc>
        <w:tc>
          <w:tcPr>
            <w:tcW w:w="1648" w:type="dxa"/>
            <w:tcBorders>
              <w:top w:val="single" w:color="auto" w:sz="4" w:space="0"/>
              <w:left w:val="single" w:color="auto" w:sz="4" w:space="0"/>
              <w:bottom w:val="single" w:color="auto" w:sz="4" w:space="0"/>
              <w:right w:val="single" w:color="auto" w:sz="4" w:space="0"/>
            </w:tcBorders>
            <w:noWrap/>
            <w:vAlign w:val="center"/>
          </w:tcPr>
          <w:p w14:paraId="6F929944">
            <w:pPr>
              <w:widowControl/>
              <w:spacing w:line="240" w:lineRule="exact"/>
              <w:jc w:val="center"/>
              <w:textAlignment w:val="center"/>
              <w:rPr>
                <w:rFonts w:hint="default" w:ascii="宋体" w:hAnsi="宋体" w:eastAsia="宋体" w:cs="宋体"/>
                <w:color w:val="000000"/>
                <w:kern w:val="0"/>
                <w:sz w:val="22"/>
                <w:szCs w:val="28"/>
                <w:lang w:val="en-US" w:eastAsia="zh-CN"/>
              </w:rPr>
            </w:pPr>
            <w:r>
              <w:rPr>
                <w:rFonts w:hint="eastAsia" w:ascii="宋体" w:hAnsi="宋体" w:eastAsia="宋体" w:cs="宋体"/>
                <w:color w:val="000000"/>
                <w:kern w:val="0"/>
                <w:sz w:val="22"/>
                <w:szCs w:val="28"/>
                <w:lang w:val="en-US" w:eastAsia="zh-CN"/>
              </w:rPr>
              <w:t>1个</w:t>
            </w:r>
          </w:p>
        </w:tc>
      </w:tr>
      <w:tr w14:paraId="6512CACA">
        <w:tblPrEx>
          <w:tblCellMar>
            <w:top w:w="0" w:type="dxa"/>
            <w:left w:w="108" w:type="dxa"/>
            <w:bottom w:w="0" w:type="dxa"/>
            <w:right w:w="108" w:type="dxa"/>
          </w:tblCellMar>
        </w:tblPrEx>
        <w:trPr>
          <w:trHeight w:val="320" w:hRule="atLeast"/>
          <w:jc w:val="center"/>
        </w:trPr>
        <w:tc>
          <w:tcPr>
            <w:tcW w:w="331" w:type="dxa"/>
            <w:vMerge w:val="continue"/>
            <w:tcBorders>
              <w:top w:val="single" w:color="auto" w:sz="4" w:space="0"/>
              <w:left w:val="single" w:color="auto" w:sz="4" w:space="0"/>
              <w:bottom w:val="single" w:color="auto" w:sz="4" w:space="0"/>
              <w:right w:val="single" w:color="auto" w:sz="4" w:space="0"/>
            </w:tcBorders>
            <w:noWrap/>
            <w:vAlign w:val="center"/>
          </w:tcPr>
          <w:p w14:paraId="62CD63AD">
            <w:pPr>
              <w:widowControl/>
              <w:spacing w:line="240" w:lineRule="exact"/>
              <w:jc w:val="center"/>
              <w:textAlignment w:val="center"/>
              <w:rPr>
                <w:rFonts w:hint="eastAsia" w:ascii="宋体" w:hAnsi="宋体" w:eastAsia="宋体" w:cs="宋体"/>
                <w:color w:val="000000"/>
                <w:kern w:val="0"/>
                <w:sz w:val="22"/>
                <w:szCs w:val="28"/>
              </w:rPr>
            </w:pPr>
          </w:p>
        </w:tc>
        <w:tc>
          <w:tcPr>
            <w:tcW w:w="593" w:type="dxa"/>
            <w:vMerge w:val="continue"/>
            <w:tcBorders>
              <w:top w:val="single" w:color="auto" w:sz="4" w:space="0"/>
              <w:left w:val="single" w:color="auto" w:sz="4" w:space="0"/>
              <w:bottom w:val="single" w:color="auto" w:sz="4" w:space="0"/>
              <w:right w:val="single" w:color="auto" w:sz="4" w:space="0"/>
            </w:tcBorders>
            <w:noWrap/>
            <w:vAlign w:val="center"/>
          </w:tcPr>
          <w:p w14:paraId="73D96430">
            <w:pPr>
              <w:widowControl/>
              <w:spacing w:line="240" w:lineRule="exact"/>
              <w:jc w:val="center"/>
              <w:textAlignment w:val="center"/>
              <w:rPr>
                <w:rFonts w:hint="eastAsia" w:ascii="宋体" w:hAnsi="宋体" w:eastAsia="宋体" w:cs="宋体"/>
                <w:color w:val="000000"/>
                <w:kern w:val="0"/>
                <w:sz w:val="22"/>
                <w:szCs w:val="28"/>
              </w:rPr>
            </w:pPr>
          </w:p>
        </w:tc>
        <w:tc>
          <w:tcPr>
            <w:tcW w:w="803" w:type="dxa"/>
            <w:tcBorders>
              <w:top w:val="single" w:color="auto" w:sz="4" w:space="0"/>
              <w:left w:val="single" w:color="auto" w:sz="4" w:space="0"/>
              <w:bottom w:val="single" w:color="auto" w:sz="4" w:space="0"/>
              <w:right w:val="single" w:color="auto" w:sz="4" w:space="0"/>
            </w:tcBorders>
            <w:noWrap/>
            <w:vAlign w:val="center"/>
          </w:tcPr>
          <w:p w14:paraId="761EF508">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数量指标</w:t>
            </w:r>
          </w:p>
        </w:tc>
        <w:tc>
          <w:tcPr>
            <w:tcW w:w="1490" w:type="dxa"/>
            <w:tcBorders>
              <w:top w:val="single" w:color="auto" w:sz="4" w:space="0"/>
              <w:left w:val="single" w:color="auto" w:sz="4" w:space="0"/>
              <w:bottom w:val="single" w:color="auto" w:sz="4" w:space="0"/>
              <w:right w:val="single" w:color="auto" w:sz="4" w:space="0"/>
            </w:tcBorders>
            <w:noWrap/>
            <w:vAlign w:val="center"/>
          </w:tcPr>
          <w:p w14:paraId="5F678A12">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测定牦牛数量</w:t>
            </w:r>
          </w:p>
        </w:tc>
        <w:tc>
          <w:tcPr>
            <w:tcW w:w="4510" w:type="dxa"/>
            <w:gridSpan w:val="6"/>
            <w:tcBorders>
              <w:top w:val="single" w:color="auto" w:sz="4" w:space="0"/>
              <w:left w:val="single" w:color="auto" w:sz="4" w:space="0"/>
              <w:bottom w:val="single" w:color="auto" w:sz="4" w:space="0"/>
              <w:right w:val="single" w:color="auto" w:sz="4" w:space="0"/>
            </w:tcBorders>
            <w:noWrap/>
            <w:vAlign w:val="center"/>
          </w:tcPr>
          <w:p w14:paraId="28D45CFE">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≥1000头</w:t>
            </w:r>
          </w:p>
        </w:tc>
        <w:tc>
          <w:tcPr>
            <w:tcW w:w="1648" w:type="dxa"/>
            <w:tcBorders>
              <w:top w:val="single" w:color="auto" w:sz="4" w:space="0"/>
              <w:left w:val="single" w:color="auto" w:sz="4" w:space="0"/>
              <w:bottom w:val="single" w:color="auto" w:sz="4" w:space="0"/>
              <w:right w:val="single" w:color="auto" w:sz="4" w:space="0"/>
            </w:tcBorders>
            <w:noWrap/>
            <w:vAlign w:val="center"/>
          </w:tcPr>
          <w:p w14:paraId="00609523">
            <w:pPr>
              <w:widowControl/>
              <w:spacing w:line="240" w:lineRule="exact"/>
              <w:jc w:val="center"/>
              <w:textAlignment w:val="center"/>
              <w:rPr>
                <w:rFonts w:hint="default" w:ascii="宋体" w:hAnsi="宋体" w:eastAsia="宋体" w:cs="宋体"/>
                <w:color w:val="000000"/>
                <w:kern w:val="0"/>
                <w:sz w:val="22"/>
                <w:szCs w:val="28"/>
                <w:lang w:val="en-US" w:eastAsia="zh-CN"/>
              </w:rPr>
            </w:pPr>
            <w:r>
              <w:rPr>
                <w:rFonts w:hint="eastAsia" w:ascii="宋体" w:hAnsi="宋体" w:cs="宋体"/>
                <w:color w:val="000000"/>
                <w:kern w:val="0"/>
                <w:sz w:val="22"/>
                <w:szCs w:val="28"/>
                <w:lang w:val="en-US" w:eastAsia="zh-CN"/>
              </w:rPr>
              <w:t>1035头</w:t>
            </w:r>
          </w:p>
        </w:tc>
      </w:tr>
      <w:tr w14:paraId="66E27BC4">
        <w:tblPrEx>
          <w:tblCellMar>
            <w:top w:w="0" w:type="dxa"/>
            <w:left w:w="108" w:type="dxa"/>
            <w:bottom w:w="0" w:type="dxa"/>
            <w:right w:w="108" w:type="dxa"/>
          </w:tblCellMar>
        </w:tblPrEx>
        <w:trPr>
          <w:trHeight w:val="552" w:hRule="atLeast"/>
          <w:jc w:val="center"/>
        </w:trPr>
        <w:tc>
          <w:tcPr>
            <w:tcW w:w="331" w:type="dxa"/>
            <w:vMerge w:val="continue"/>
            <w:tcBorders>
              <w:top w:val="single" w:color="auto" w:sz="4" w:space="0"/>
              <w:left w:val="single" w:color="auto" w:sz="4" w:space="0"/>
              <w:bottom w:val="single" w:color="auto" w:sz="4" w:space="0"/>
              <w:right w:val="single" w:color="auto" w:sz="4" w:space="0"/>
            </w:tcBorders>
            <w:noWrap/>
            <w:vAlign w:val="center"/>
          </w:tcPr>
          <w:p w14:paraId="37D349CF">
            <w:pPr>
              <w:widowControl/>
              <w:spacing w:line="240" w:lineRule="exact"/>
              <w:jc w:val="center"/>
              <w:textAlignment w:val="center"/>
              <w:rPr>
                <w:rFonts w:hint="eastAsia" w:ascii="宋体" w:hAnsi="宋体" w:eastAsia="宋体" w:cs="宋体"/>
                <w:color w:val="000000"/>
                <w:kern w:val="0"/>
                <w:sz w:val="22"/>
                <w:szCs w:val="28"/>
              </w:rPr>
            </w:pPr>
          </w:p>
        </w:tc>
        <w:tc>
          <w:tcPr>
            <w:tcW w:w="593" w:type="dxa"/>
            <w:vMerge w:val="continue"/>
            <w:tcBorders>
              <w:top w:val="single" w:color="auto" w:sz="4" w:space="0"/>
              <w:left w:val="single" w:color="auto" w:sz="4" w:space="0"/>
              <w:bottom w:val="single" w:color="auto" w:sz="4" w:space="0"/>
              <w:right w:val="single" w:color="auto" w:sz="4" w:space="0"/>
            </w:tcBorders>
            <w:noWrap/>
            <w:vAlign w:val="center"/>
          </w:tcPr>
          <w:p w14:paraId="4EA813E7">
            <w:pPr>
              <w:widowControl/>
              <w:spacing w:line="240" w:lineRule="exact"/>
              <w:jc w:val="center"/>
              <w:textAlignment w:val="center"/>
              <w:rPr>
                <w:rFonts w:hint="eastAsia" w:ascii="宋体" w:hAnsi="宋体" w:eastAsia="宋体" w:cs="宋体"/>
                <w:color w:val="000000"/>
                <w:kern w:val="0"/>
                <w:sz w:val="22"/>
                <w:szCs w:val="28"/>
              </w:rPr>
            </w:pPr>
          </w:p>
        </w:tc>
        <w:tc>
          <w:tcPr>
            <w:tcW w:w="803" w:type="dxa"/>
            <w:tcBorders>
              <w:top w:val="single" w:color="auto" w:sz="4" w:space="0"/>
              <w:left w:val="single" w:color="auto" w:sz="4" w:space="0"/>
              <w:bottom w:val="single" w:color="auto" w:sz="4" w:space="0"/>
              <w:right w:val="single" w:color="auto" w:sz="4" w:space="0"/>
            </w:tcBorders>
            <w:noWrap/>
            <w:vAlign w:val="center"/>
          </w:tcPr>
          <w:p w14:paraId="4D0E09F5">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数量指标</w:t>
            </w:r>
          </w:p>
        </w:tc>
        <w:tc>
          <w:tcPr>
            <w:tcW w:w="1490" w:type="dxa"/>
            <w:tcBorders>
              <w:top w:val="single" w:color="auto" w:sz="4" w:space="0"/>
              <w:left w:val="single" w:color="auto" w:sz="4" w:space="0"/>
              <w:bottom w:val="single" w:color="auto" w:sz="4" w:space="0"/>
              <w:right w:val="single" w:color="auto" w:sz="4" w:space="0"/>
            </w:tcBorders>
            <w:noWrap/>
            <w:vAlign w:val="center"/>
          </w:tcPr>
          <w:p w14:paraId="439243B6">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举行单位全体党员学习次数</w:t>
            </w:r>
          </w:p>
        </w:tc>
        <w:tc>
          <w:tcPr>
            <w:tcW w:w="4510" w:type="dxa"/>
            <w:gridSpan w:val="6"/>
            <w:tcBorders>
              <w:top w:val="single" w:color="auto" w:sz="4" w:space="0"/>
              <w:left w:val="single" w:color="auto" w:sz="4" w:space="0"/>
              <w:bottom w:val="single" w:color="auto" w:sz="4" w:space="0"/>
              <w:right w:val="single" w:color="auto" w:sz="4" w:space="0"/>
            </w:tcBorders>
            <w:noWrap/>
            <w:vAlign w:val="center"/>
          </w:tcPr>
          <w:p w14:paraId="158D0607">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≥3场</w:t>
            </w:r>
          </w:p>
        </w:tc>
        <w:tc>
          <w:tcPr>
            <w:tcW w:w="1648" w:type="dxa"/>
            <w:tcBorders>
              <w:top w:val="single" w:color="auto" w:sz="4" w:space="0"/>
              <w:left w:val="single" w:color="auto" w:sz="4" w:space="0"/>
              <w:bottom w:val="single" w:color="auto" w:sz="4" w:space="0"/>
              <w:right w:val="single" w:color="auto" w:sz="4" w:space="0"/>
            </w:tcBorders>
            <w:noWrap/>
            <w:vAlign w:val="center"/>
          </w:tcPr>
          <w:p w14:paraId="24BAE145">
            <w:pPr>
              <w:widowControl/>
              <w:spacing w:line="240" w:lineRule="exact"/>
              <w:jc w:val="center"/>
              <w:textAlignment w:val="center"/>
              <w:rPr>
                <w:rFonts w:hint="default" w:ascii="宋体" w:hAnsi="宋体" w:eastAsia="宋体" w:cs="宋体"/>
                <w:color w:val="000000"/>
                <w:kern w:val="0"/>
                <w:sz w:val="22"/>
                <w:szCs w:val="28"/>
                <w:lang w:val="en-US" w:eastAsia="zh-CN"/>
              </w:rPr>
            </w:pPr>
            <w:r>
              <w:rPr>
                <w:rFonts w:hint="eastAsia" w:ascii="宋体" w:hAnsi="宋体" w:eastAsia="宋体" w:cs="宋体"/>
                <w:color w:val="000000"/>
                <w:kern w:val="0"/>
                <w:sz w:val="22"/>
                <w:szCs w:val="28"/>
                <w:lang w:val="en-US" w:eastAsia="zh-CN"/>
              </w:rPr>
              <w:t>3场</w:t>
            </w:r>
          </w:p>
        </w:tc>
      </w:tr>
      <w:tr w14:paraId="70C24912">
        <w:tblPrEx>
          <w:tblCellMar>
            <w:top w:w="0" w:type="dxa"/>
            <w:left w:w="108" w:type="dxa"/>
            <w:bottom w:w="0" w:type="dxa"/>
            <w:right w:w="108" w:type="dxa"/>
          </w:tblCellMar>
        </w:tblPrEx>
        <w:trPr>
          <w:trHeight w:val="610" w:hRule="atLeast"/>
          <w:jc w:val="center"/>
        </w:trPr>
        <w:tc>
          <w:tcPr>
            <w:tcW w:w="331" w:type="dxa"/>
            <w:vMerge w:val="continue"/>
            <w:tcBorders>
              <w:top w:val="single" w:color="auto" w:sz="4" w:space="0"/>
              <w:left w:val="single" w:color="auto" w:sz="4" w:space="0"/>
              <w:bottom w:val="single" w:color="auto" w:sz="4" w:space="0"/>
              <w:right w:val="single" w:color="auto" w:sz="4" w:space="0"/>
            </w:tcBorders>
            <w:noWrap/>
            <w:vAlign w:val="center"/>
          </w:tcPr>
          <w:p w14:paraId="0F2DEA52">
            <w:pPr>
              <w:widowControl/>
              <w:spacing w:line="240" w:lineRule="exact"/>
              <w:jc w:val="center"/>
              <w:textAlignment w:val="center"/>
              <w:rPr>
                <w:rFonts w:hint="eastAsia" w:ascii="宋体" w:hAnsi="宋体" w:eastAsia="宋体" w:cs="宋体"/>
                <w:color w:val="000000"/>
                <w:kern w:val="0"/>
                <w:sz w:val="22"/>
                <w:szCs w:val="28"/>
              </w:rPr>
            </w:pPr>
          </w:p>
        </w:tc>
        <w:tc>
          <w:tcPr>
            <w:tcW w:w="593" w:type="dxa"/>
            <w:vMerge w:val="continue"/>
            <w:tcBorders>
              <w:top w:val="single" w:color="auto" w:sz="4" w:space="0"/>
              <w:left w:val="single" w:color="auto" w:sz="4" w:space="0"/>
              <w:bottom w:val="single" w:color="auto" w:sz="4" w:space="0"/>
              <w:right w:val="single" w:color="auto" w:sz="4" w:space="0"/>
            </w:tcBorders>
            <w:noWrap/>
            <w:vAlign w:val="center"/>
          </w:tcPr>
          <w:p w14:paraId="728BDEF9">
            <w:pPr>
              <w:widowControl/>
              <w:spacing w:line="240" w:lineRule="exact"/>
              <w:jc w:val="center"/>
              <w:textAlignment w:val="center"/>
              <w:rPr>
                <w:rFonts w:hint="eastAsia" w:ascii="宋体" w:hAnsi="宋体" w:eastAsia="宋体" w:cs="宋体"/>
                <w:color w:val="000000"/>
                <w:kern w:val="0"/>
                <w:sz w:val="22"/>
                <w:szCs w:val="28"/>
              </w:rPr>
            </w:pPr>
          </w:p>
        </w:tc>
        <w:tc>
          <w:tcPr>
            <w:tcW w:w="803" w:type="dxa"/>
            <w:tcBorders>
              <w:top w:val="single" w:color="auto" w:sz="4" w:space="0"/>
              <w:left w:val="single" w:color="auto" w:sz="4" w:space="0"/>
              <w:bottom w:val="single" w:color="auto" w:sz="4" w:space="0"/>
              <w:right w:val="single" w:color="auto" w:sz="4" w:space="0"/>
            </w:tcBorders>
            <w:noWrap/>
            <w:vAlign w:val="center"/>
          </w:tcPr>
          <w:p w14:paraId="3627E9CD">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质量指标</w:t>
            </w:r>
          </w:p>
        </w:tc>
        <w:tc>
          <w:tcPr>
            <w:tcW w:w="1490" w:type="dxa"/>
            <w:tcBorders>
              <w:top w:val="single" w:color="auto" w:sz="4" w:space="0"/>
              <w:left w:val="single" w:color="auto" w:sz="4" w:space="0"/>
              <w:bottom w:val="single" w:color="auto" w:sz="4" w:space="0"/>
              <w:right w:val="single" w:color="auto" w:sz="4" w:space="0"/>
            </w:tcBorders>
            <w:noWrap/>
            <w:vAlign w:val="center"/>
          </w:tcPr>
          <w:p w14:paraId="40919A95">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测定牦牛疫病防控免疫率</w:t>
            </w:r>
          </w:p>
        </w:tc>
        <w:tc>
          <w:tcPr>
            <w:tcW w:w="4510" w:type="dxa"/>
            <w:gridSpan w:val="6"/>
            <w:tcBorders>
              <w:top w:val="single" w:color="auto" w:sz="4" w:space="0"/>
              <w:left w:val="single" w:color="auto" w:sz="4" w:space="0"/>
              <w:bottom w:val="single" w:color="auto" w:sz="4" w:space="0"/>
              <w:right w:val="single" w:color="auto" w:sz="4" w:space="0"/>
            </w:tcBorders>
            <w:noWrap/>
            <w:vAlign w:val="center"/>
          </w:tcPr>
          <w:p w14:paraId="59DF26A7">
            <w:pPr>
              <w:widowControl/>
              <w:spacing w:line="240" w:lineRule="exact"/>
              <w:jc w:val="center"/>
              <w:textAlignment w:val="center"/>
              <w:rPr>
                <w:rFonts w:hint="eastAsia" w:ascii="宋体" w:hAnsi="宋体" w:eastAsia="宋体" w:cs="宋体"/>
                <w:color w:val="000000"/>
                <w:kern w:val="0"/>
                <w:sz w:val="22"/>
                <w:szCs w:val="28"/>
              </w:rPr>
            </w:pPr>
            <w:r>
              <w:rPr>
                <w:rFonts w:hint="eastAsia" w:ascii="宋体" w:hAnsi="宋体" w:eastAsia="宋体" w:cs="宋体"/>
                <w:color w:val="000000"/>
                <w:kern w:val="0"/>
                <w:sz w:val="22"/>
                <w:szCs w:val="28"/>
                <w:lang w:val="en-US" w:eastAsia="zh-CN"/>
              </w:rPr>
              <w:t>=100%</w:t>
            </w:r>
          </w:p>
        </w:tc>
        <w:tc>
          <w:tcPr>
            <w:tcW w:w="1648" w:type="dxa"/>
            <w:tcBorders>
              <w:top w:val="single" w:color="auto" w:sz="4" w:space="0"/>
              <w:left w:val="single" w:color="auto" w:sz="4" w:space="0"/>
              <w:bottom w:val="single" w:color="auto" w:sz="4" w:space="0"/>
              <w:right w:val="single" w:color="auto" w:sz="4" w:space="0"/>
            </w:tcBorders>
            <w:noWrap/>
            <w:vAlign w:val="center"/>
          </w:tcPr>
          <w:p w14:paraId="3E5411E4">
            <w:pPr>
              <w:widowControl/>
              <w:spacing w:line="240" w:lineRule="exact"/>
              <w:jc w:val="center"/>
              <w:textAlignment w:val="center"/>
              <w:rPr>
                <w:rFonts w:hint="default" w:ascii="宋体" w:hAnsi="宋体" w:eastAsia="宋体" w:cs="宋体"/>
                <w:color w:val="000000"/>
                <w:kern w:val="0"/>
                <w:sz w:val="22"/>
                <w:szCs w:val="28"/>
                <w:lang w:val="en-US" w:eastAsia="zh-CN"/>
              </w:rPr>
            </w:pPr>
            <w:r>
              <w:rPr>
                <w:rFonts w:hint="eastAsia" w:ascii="宋体" w:hAnsi="宋体" w:eastAsia="宋体" w:cs="宋体"/>
                <w:color w:val="000000"/>
                <w:kern w:val="0"/>
                <w:sz w:val="22"/>
                <w:szCs w:val="28"/>
                <w:lang w:val="en-US" w:eastAsia="zh-CN"/>
              </w:rPr>
              <w:t>100%</w:t>
            </w:r>
          </w:p>
        </w:tc>
      </w:tr>
      <w:tr w14:paraId="7F47B496">
        <w:tblPrEx>
          <w:tblCellMar>
            <w:top w:w="0" w:type="dxa"/>
            <w:left w:w="108" w:type="dxa"/>
            <w:bottom w:w="0" w:type="dxa"/>
            <w:right w:w="108" w:type="dxa"/>
          </w:tblCellMar>
        </w:tblPrEx>
        <w:trPr>
          <w:trHeight w:val="562" w:hRule="atLeast"/>
          <w:jc w:val="center"/>
        </w:trPr>
        <w:tc>
          <w:tcPr>
            <w:tcW w:w="331" w:type="dxa"/>
            <w:vMerge w:val="continue"/>
            <w:tcBorders>
              <w:top w:val="single" w:color="auto" w:sz="4" w:space="0"/>
              <w:left w:val="single" w:color="auto" w:sz="4" w:space="0"/>
              <w:bottom w:val="single" w:color="auto" w:sz="4" w:space="0"/>
              <w:right w:val="single" w:color="auto" w:sz="4" w:space="0"/>
            </w:tcBorders>
            <w:noWrap/>
            <w:vAlign w:val="center"/>
          </w:tcPr>
          <w:p w14:paraId="3FDA5104">
            <w:pPr>
              <w:widowControl/>
              <w:spacing w:line="240" w:lineRule="exact"/>
              <w:jc w:val="center"/>
              <w:textAlignment w:val="center"/>
              <w:rPr>
                <w:rFonts w:hint="eastAsia" w:ascii="宋体" w:hAnsi="宋体" w:eastAsia="宋体" w:cs="宋体"/>
                <w:color w:val="000000"/>
                <w:kern w:val="0"/>
                <w:sz w:val="22"/>
                <w:szCs w:val="28"/>
              </w:rPr>
            </w:pPr>
          </w:p>
        </w:tc>
        <w:tc>
          <w:tcPr>
            <w:tcW w:w="593" w:type="dxa"/>
            <w:tcBorders>
              <w:top w:val="single" w:color="auto" w:sz="4" w:space="0"/>
              <w:left w:val="single" w:color="auto" w:sz="4" w:space="0"/>
              <w:bottom w:val="single" w:color="auto" w:sz="4" w:space="0"/>
              <w:right w:val="single" w:color="auto" w:sz="4" w:space="0"/>
            </w:tcBorders>
            <w:noWrap/>
            <w:vAlign w:val="center"/>
          </w:tcPr>
          <w:p w14:paraId="457A7F76">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效益指标</w:t>
            </w:r>
          </w:p>
        </w:tc>
        <w:tc>
          <w:tcPr>
            <w:tcW w:w="803" w:type="dxa"/>
            <w:tcBorders>
              <w:top w:val="single" w:color="auto" w:sz="4" w:space="0"/>
              <w:left w:val="single" w:color="auto" w:sz="4" w:space="0"/>
              <w:bottom w:val="single" w:color="auto" w:sz="4" w:space="0"/>
              <w:right w:val="single" w:color="auto" w:sz="4" w:space="0"/>
            </w:tcBorders>
            <w:noWrap/>
            <w:vAlign w:val="center"/>
          </w:tcPr>
          <w:p w14:paraId="049B6D3F">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可持续影响指标</w:t>
            </w:r>
          </w:p>
        </w:tc>
        <w:tc>
          <w:tcPr>
            <w:tcW w:w="1490" w:type="dxa"/>
            <w:tcBorders>
              <w:top w:val="single" w:color="auto" w:sz="4" w:space="0"/>
              <w:left w:val="single" w:color="auto" w:sz="4" w:space="0"/>
              <w:bottom w:val="single" w:color="auto" w:sz="4" w:space="0"/>
              <w:right w:val="single" w:color="auto" w:sz="4" w:space="0"/>
            </w:tcBorders>
            <w:noWrap/>
            <w:vAlign w:val="center"/>
          </w:tcPr>
          <w:p w14:paraId="03F52843">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提升单位制作的牦牛冻精影响力</w:t>
            </w:r>
          </w:p>
        </w:tc>
        <w:tc>
          <w:tcPr>
            <w:tcW w:w="4510" w:type="dxa"/>
            <w:gridSpan w:val="6"/>
            <w:tcBorders>
              <w:top w:val="single" w:color="auto" w:sz="4" w:space="0"/>
              <w:left w:val="single" w:color="auto" w:sz="4" w:space="0"/>
              <w:bottom w:val="single" w:color="auto" w:sz="4" w:space="0"/>
              <w:right w:val="single" w:color="auto" w:sz="4" w:space="0"/>
            </w:tcBorders>
            <w:noWrap/>
            <w:vAlign w:val="center"/>
          </w:tcPr>
          <w:p w14:paraId="1C7D02C5">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高中低</w:t>
            </w:r>
          </w:p>
        </w:tc>
        <w:tc>
          <w:tcPr>
            <w:tcW w:w="1648" w:type="dxa"/>
            <w:tcBorders>
              <w:top w:val="single" w:color="auto" w:sz="4" w:space="0"/>
              <w:left w:val="single" w:color="auto" w:sz="4" w:space="0"/>
              <w:bottom w:val="single" w:color="auto" w:sz="4" w:space="0"/>
              <w:right w:val="single" w:color="auto" w:sz="4" w:space="0"/>
            </w:tcBorders>
            <w:noWrap/>
            <w:vAlign w:val="center"/>
          </w:tcPr>
          <w:p w14:paraId="692AC32E">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高</w:t>
            </w:r>
          </w:p>
        </w:tc>
      </w:tr>
    </w:tbl>
    <w:p w14:paraId="1B273453">
      <w:pPr>
        <w:spacing w:line="578" w:lineRule="exact"/>
        <w:jc w:val="left"/>
        <w:rPr>
          <w:rFonts w:hint="default" w:ascii="Times New Roman" w:hAnsi="Times New Roman" w:eastAsia="方正小标宋简体" w:cs="Times New Roman"/>
          <w:color w:val="000000"/>
          <w:kern w:val="0"/>
          <w:sz w:val="44"/>
          <w:szCs w:val="44"/>
          <w:lang w:val="en-US" w:eastAsia="zh-CN"/>
        </w:rPr>
      </w:pPr>
    </w:p>
    <w:p w14:paraId="31D1E0C9">
      <w:pPr>
        <w:pStyle w:val="2"/>
        <w:keepNext/>
        <w:keepLines/>
        <w:pageBreakBefore w:val="0"/>
        <w:widowControl w:val="0"/>
        <w:kinsoku/>
        <w:wordWrap/>
        <w:overflowPunct/>
        <w:topLinePunct w:val="0"/>
        <w:autoSpaceDE/>
        <w:autoSpaceDN/>
        <w:bidi w:val="0"/>
        <w:adjustRightInd/>
        <w:snapToGrid/>
        <w:spacing w:line="579" w:lineRule="auto"/>
        <w:jc w:val="center"/>
        <w:textAlignment w:val="auto"/>
        <w:rPr>
          <w:rFonts w:hint="eastAsia" w:ascii="Times New Roman" w:hAnsi="Times New Roman" w:eastAsia="方正小标宋简体" w:cs="Times New Roman"/>
          <w:color w:val="000000"/>
          <w:kern w:val="0"/>
          <w:sz w:val="44"/>
          <w:szCs w:val="44"/>
          <w:lang w:val="en-US" w:eastAsia="zh-CN"/>
        </w:rPr>
      </w:pPr>
      <w:r>
        <w:rPr>
          <w:rFonts w:hint="default" w:ascii="Times New Roman" w:hAnsi="Times New Roman" w:eastAsia="方正小标宋简体" w:cs="Times New Roman"/>
          <w:color w:val="000000"/>
          <w:kern w:val="0"/>
          <w:sz w:val="44"/>
          <w:szCs w:val="44"/>
          <w:lang w:val="en-US" w:eastAsia="zh-CN"/>
        </w:rPr>
        <w:t>附表</w:t>
      </w:r>
      <w:r>
        <w:rPr>
          <w:rFonts w:hint="eastAsia" w:ascii="Times New Roman" w:hAnsi="Times New Roman" w:eastAsia="方正小标宋简体" w:cs="Times New Roman"/>
          <w:color w:val="000000"/>
          <w:kern w:val="0"/>
          <w:sz w:val="44"/>
          <w:szCs w:val="44"/>
          <w:lang w:val="en-US" w:eastAsia="zh-CN"/>
        </w:rPr>
        <w:t>3：</w:t>
      </w:r>
      <w:bookmarkStart w:id="115" w:name="_Toc10915"/>
      <w:r>
        <w:rPr>
          <w:rFonts w:hint="eastAsia" w:ascii="Times New Roman" w:hAnsi="Times New Roman" w:eastAsia="方正小标宋简体" w:cs="Times New Roman"/>
          <w:color w:val="000000"/>
          <w:kern w:val="0"/>
          <w:sz w:val="44"/>
          <w:szCs w:val="44"/>
          <w:lang w:val="en-US" w:eastAsia="zh-CN"/>
        </w:rPr>
        <w:fldChar w:fldCharType="begin"/>
      </w:r>
      <w:r>
        <w:rPr>
          <w:rFonts w:hint="eastAsia" w:ascii="Times New Roman" w:hAnsi="Times New Roman" w:eastAsia="方正小标宋简体" w:cs="Times New Roman"/>
          <w:color w:val="000000"/>
          <w:kern w:val="0"/>
          <w:sz w:val="44"/>
          <w:szCs w:val="44"/>
          <w:lang w:val="en-US" w:eastAsia="zh-CN"/>
        </w:rPr>
        <w:instrText xml:space="preserve"> HYPERLINK "阿坝州农业科学研究院2025年度部门预算项目支出绩效自评表.xls" </w:instrText>
      </w:r>
      <w:r>
        <w:rPr>
          <w:rFonts w:hint="eastAsia" w:ascii="Times New Roman" w:hAnsi="Times New Roman" w:eastAsia="方正小标宋简体" w:cs="Times New Roman"/>
          <w:color w:val="000000"/>
          <w:kern w:val="0"/>
          <w:sz w:val="44"/>
          <w:szCs w:val="44"/>
          <w:lang w:val="en-US" w:eastAsia="zh-CN"/>
        </w:rPr>
        <w:fldChar w:fldCharType="separate"/>
      </w:r>
      <w:r>
        <w:rPr>
          <w:rStyle w:val="21"/>
          <w:rFonts w:hint="eastAsia" w:ascii="Times New Roman" w:hAnsi="Times New Roman" w:eastAsia="方正小标宋简体" w:cs="Times New Roman"/>
          <w:kern w:val="0"/>
          <w:sz w:val="44"/>
          <w:szCs w:val="44"/>
          <w:lang w:val="en-US" w:eastAsia="zh-CN"/>
        </w:rPr>
        <w:t>阿坝州农业科学研究院2025年度部门预算项目支出绩效自评表.</w:t>
      </w:r>
      <w:bookmarkStart w:id="129" w:name="_GoBack"/>
      <w:bookmarkEnd w:id="129"/>
      <w:r>
        <w:rPr>
          <w:rStyle w:val="21"/>
          <w:rFonts w:hint="eastAsia" w:ascii="Times New Roman" w:hAnsi="Times New Roman" w:eastAsia="方正小标宋简体" w:cs="Times New Roman"/>
          <w:kern w:val="0"/>
          <w:sz w:val="44"/>
          <w:szCs w:val="44"/>
          <w:lang w:val="en-US" w:eastAsia="zh-CN"/>
        </w:rPr>
        <w:t>xls</w:t>
      </w:r>
      <w:r>
        <w:rPr>
          <w:rFonts w:hint="eastAsia" w:ascii="Times New Roman" w:hAnsi="Times New Roman" w:eastAsia="方正小标宋简体" w:cs="Times New Roman"/>
          <w:color w:val="000000"/>
          <w:kern w:val="0"/>
          <w:sz w:val="44"/>
          <w:szCs w:val="44"/>
          <w:lang w:val="en-US" w:eastAsia="zh-CN"/>
        </w:rPr>
        <w:fldChar w:fldCharType="end"/>
      </w:r>
    </w:p>
    <w:p w14:paraId="35FBE7F5">
      <w:pPr>
        <w:pStyle w:val="2"/>
        <w:keepNext/>
        <w:keepLines/>
        <w:pageBreakBefore w:val="0"/>
        <w:widowControl w:val="0"/>
        <w:kinsoku/>
        <w:wordWrap/>
        <w:overflowPunct/>
        <w:topLinePunct w:val="0"/>
        <w:autoSpaceDE/>
        <w:autoSpaceDN/>
        <w:bidi w:val="0"/>
        <w:adjustRightInd/>
        <w:snapToGrid/>
        <w:spacing w:line="579" w:lineRule="auto"/>
        <w:jc w:val="center"/>
        <w:textAlignment w:val="auto"/>
        <w:rPr>
          <w:rStyle w:val="31"/>
          <w:rFonts w:hint="eastAsia" w:ascii="Times New Roman" w:hAnsi="Times New Roman" w:eastAsia="方正小标宋简体" w:cs="方正小标宋简体"/>
          <w:b w:val="0"/>
          <w:bCs w:val="0"/>
          <w:color w:val="auto"/>
          <w:highlight w:val="none"/>
        </w:rPr>
      </w:pPr>
      <w:r>
        <w:rPr>
          <w:rStyle w:val="31"/>
          <w:rFonts w:hint="eastAsia" w:ascii="Times New Roman" w:hAnsi="Times New Roman" w:eastAsia="方正小标宋简体" w:cs="方正小标宋简体"/>
          <w:b w:val="0"/>
          <w:bCs w:val="0"/>
          <w:color w:val="auto"/>
          <w:highlight w:val="none"/>
        </w:rPr>
        <w:t>第五部分 附表</w:t>
      </w:r>
      <w:bookmarkEnd w:id="78"/>
      <w:bookmarkEnd w:id="81"/>
      <w:bookmarkEnd w:id="115"/>
      <w:bookmarkStart w:id="116" w:name="_Toc15396619"/>
    </w:p>
    <w:p w14:paraId="2280EA2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116"/>
    </w:p>
    <w:p w14:paraId="40EAB37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7" w:name="_Toc15396620"/>
      <w:r>
        <w:rPr>
          <w:rFonts w:hint="eastAsia" w:ascii="Times New Roman" w:hAnsi="Times New Roman" w:eastAsia="仿宋_GB2312" w:cs="仿宋_GB2312"/>
          <w:color w:val="auto"/>
          <w:sz w:val="32"/>
          <w:szCs w:val="32"/>
          <w:highlight w:val="none"/>
        </w:rPr>
        <w:t>二、收入决算表</w:t>
      </w:r>
      <w:bookmarkEnd w:id="117"/>
    </w:p>
    <w:p w14:paraId="4B99B85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8" w:name="_Toc15396621"/>
      <w:r>
        <w:rPr>
          <w:rFonts w:hint="eastAsia" w:ascii="Times New Roman" w:hAnsi="Times New Roman" w:eastAsia="仿宋_GB2312" w:cs="仿宋_GB2312"/>
          <w:color w:val="auto"/>
          <w:sz w:val="32"/>
          <w:szCs w:val="32"/>
          <w:highlight w:val="none"/>
        </w:rPr>
        <w:t>三、支出决算表</w:t>
      </w:r>
      <w:bookmarkEnd w:id="118"/>
    </w:p>
    <w:p w14:paraId="53C29BF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9" w:name="_Toc15396622"/>
      <w:r>
        <w:rPr>
          <w:rFonts w:hint="eastAsia" w:ascii="Times New Roman" w:hAnsi="Times New Roman" w:eastAsia="仿宋_GB2312" w:cs="仿宋_GB2312"/>
          <w:color w:val="auto"/>
          <w:sz w:val="32"/>
          <w:szCs w:val="32"/>
          <w:highlight w:val="none"/>
        </w:rPr>
        <w:t>四、财政拨款收入支出决算总表</w:t>
      </w:r>
      <w:bookmarkEnd w:id="119"/>
    </w:p>
    <w:p w14:paraId="43FBDB6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0" w:name="_Toc15396623"/>
      <w:r>
        <w:rPr>
          <w:rFonts w:hint="eastAsia" w:ascii="Times New Roman" w:hAnsi="Times New Roman" w:eastAsia="仿宋_GB2312" w:cs="仿宋_GB2312"/>
          <w:color w:val="auto"/>
          <w:sz w:val="32"/>
          <w:szCs w:val="32"/>
          <w:highlight w:val="none"/>
        </w:rPr>
        <w:t>五、财政拨款支出决算明细表</w:t>
      </w:r>
      <w:bookmarkEnd w:id="120"/>
      <w:bookmarkStart w:id="121" w:name="_Toc15396624"/>
    </w:p>
    <w:p w14:paraId="763171B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121"/>
    </w:p>
    <w:p w14:paraId="6C410C1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2" w:name="_Toc15396625"/>
      <w:r>
        <w:rPr>
          <w:rFonts w:hint="eastAsia" w:ascii="Times New Roman" w:hAnsi="Times New Roman" w:eastAsia="仿宋_GB2312" w:cs="仿宋_GB2312"/>
          <w:color w:val="auto"/>
          <w:sz w:val="32"/>
          <w:szCs w:val="32"/>
          <w:highlight w:val="none"/>
        </w:rPr>
        <w:t>七、一般公共预算财政拨款支出决算明细表</w:t>
      </w:r>
      <w:bookmarkEnd w:id="122"/>
    </w:p>
    <w:p w14:paraId="4EB5286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3" w:name="_Toc15396626"/>
      <w:r>
        <w:rPr>
          <w:rFonts w:hint="eastAsia" w:ascii="Times New Roman" w:hAnsi="Times New Roman" w:eastAsia="仿宋_GB2312" w:cs="仿宋_GB2312"/>
          <w:color w:val="auto"/>
          <w:sz w:val="32"/>
          <w:szCs w:val="32"/>
          <w:highlight w:val="none"/>
        </w:rPr>
        <w:t>八、一般公共预算财政拨款基本支出决算表</w:t>
      </w:r>
      <w:bookmarkEnd w:id="123"/>
    </w:p>
    <w:p w14:paraId="2550500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4" w:name="_Toc15396627"/>
      <w:r>
        <w:rPr>
          <w:rFonts w:hint="eastAsia" w:ascii="Times New Roman" w:hAnsi="Times New Roman" w:eastAsia="仿宋_GB2312" w:cs="仿宋_GB2312"/>
          <w:color w:val="auto"/>
          <w:sz w:val="32"/>
          <w:szCs w:val="32"/>
          <w:highlight w:val="none"/>
        </w:rPr>
        <w:t>九、一般公共预算财政拨款项目支出决算表</w:t>
      </w:r>
      <w:bookmarkEnd w:id="124"/>
    </w:p>
    <w:p w14:paraId="26362D4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5" w:name="_Toc15396628"/>
      <w:r>
        <w:rPr>
          <w:rFonts w:hint="eastAsia" w:ascii="Times New Roman" w:hAnsi="Times New Roman" w:eastAsia="仿宋_GB2312" w:cs="仿宋_GB2312"/>
          <w:color w:val="auto"/>
          <w:sz w:val="32"/>
          <w:szCs w:val="32"/>
          <w:highlight w:val="none"/>
        </w:rPr>
        <w:t>十、</w:t>
      </w:r>
      <w:bookmarkEnd w:id="125"/>
      <w:r>
        <w:rPr>
          <w:rFonts w:hint="eastAsia" w:ascii="Times New Roman" w:hAnsi="Times New Roman" w:eastAsia="仿宋_GB2312" w:cs="仿宋_GB2312"/>
          <w:color w:val="auto"/>
          <w:sz w:val="32"/>
          <w:szCs w:val="32"/>
          <w:highlight w:val="none"/>
        </w:rPr>
        <w:t>政府性基金预算财政拨款收入支出决算表</w:t>
      </w:r>
    </w:p>
    <w:p w14:paraId="7AC6FD7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6" w:name="_Toc15396629"/>
      <w:r>
        <w:rPr>
          <w:rFonts w:hint="eastAsia" w:ascii="Times New Roman" w:hAnsi="Times New Roman" w:eastAsia="仿宋_GB2312" w:cs="仿宋_GB2312"/>
          <w:color w:val="auto"/>
          <w:sz w:val="32"/>
          <w:szCs w:val="32"/>
          <w:highlight w:val="none"/>
        </w:rPr>
        <w:t>十一、</w:t>
      </w:r>
      <w:bookmarkEnd w:id="126"/>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CB5AA5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7" w:name="_Toc15396630"/>
      <w:r>
        <w:rPr>
          <w:rFonts w:hint="eastAsia" w:ascii="Times New Roman" w:hAnsi="Times New Roman" w:eastAsia="仿宋_GB2312" w:cs="仿宋_GB2312"/>
          <w:color w:val="auto"/>
          <w:sz w:val="32"/>
          <w:szCs w:val="32"/>
          <w:highlight w:val="none"/>
        </w:rPr>
        <w:t>十二、</w:t>
      </w:r>
      <w:bookmarkEnd w:id="127"/>
      <w:r>
        <w:rPr>
          <w:rFonts w:hint="eastAsia" w:ascii="Times New Roman" w:hAnsi="Times New Roman" w:eastAsia="仿宋_GB2312" w:cs="仿宋_GB2312"/>
          <w:color w:val="auto"/>
          <w:sz w:val="32"/>
          <w:szCs w:val="32"/>
          <w:highlight w:val="none"/>
          <w:lang w:eastAsia="zh-CN"/>
        </w:rPr>
        <w:t>国有资本经营预算财政拨款支出决算表</w:t>
      </w:r>
    </w:p>
    <w:p w14:paraId="07B26F4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128" w:name="_Toc15396631"/>
      <w:r>
        <w:rPr>
          <w:rFonts w:hint="eastAsia" w:ascii="Times New Roman" w:hAnsi="Times New Roman" w:eastAsia="仿宋_GB2312" w:cs="仿宋_GB2312"/>
          <w:color w:val="auto"/>
          <w:sz w:val="32"/>
          <w:szCs w:val="32"/>
          <w:highlight w:val="none"/>
        </w:rPr>
        <w:t>十三、</w:t>
      </w:r>
      <w:bookmarkEnd w:id="128"/>
      <w:r>
        <w:rPr>
          <w:rFonts w:hint="eastAsia" w:ascii="Times New Roman" w:hAnsi="Times New Roman" w:eastAsia="仿宋_GB2312" w:cs="仿宋_GB2312"/>
          <w:color w:val="auto"/>
          <w:sz w:val="32"/>
          <w:szCs w:val="32"/>
          <w:highlight w:val="none"/>
          <w:lang w:eastAsia="zh-CN"/>
        </w:rPr>
        <w:t>财政拨款“三公”经费支出决算表</w:t>
      </w:r>
    </w:p>
    <w:p w14:paraId="63969D9B">
      <w:pPr>
        <w:rPr>
          <w:rFonts w:hint="eastAsia" w:ascii="Times New Roman" w:hAnsi="Times New Roman"/>
          <w:lang w:eastAsia="zh-CN"/>
        </w:rPr>
      </w:pPr>
    </w:p>
    <w:sectPr>
      <w:footerReference r:id="rId11" w:type="first"/>
      <w:headerReference r:id="rId9" w:type="default"/>
      <w:footerReference r:id="rId10"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A80D757-CD20-446E-9AFF-93989BB317F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embedRegular r:id="rId2" w:fontKey="{1B713CD2-ACAB-46CB-9D4E-F5E2234217E8}"/>
  </w:font>
  <w:font w:name="仿宋">
    <w:panose1 w:val="02010609060101010101"/>
    <w:charset w:val="86"/>
    <w:family w:val="modern"/>
    <w:pitch w:val="default"/>
    <w:sig w:usb0="800002BF" w:usb1="38CF7CFA" w:usb2="00000016" w:usb3="00000000" w:csb0="00040001" w:csb1="00000000"/>
    <w:embedRegular r:id="rId3" w:fontKey="{EA8AAFE4-C561-45EE-89E4-5BD70DEDDED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script"/>
    <w:pitch w:val="default"/>
    <w:sig w:usb0="00000001" w:usb1="08000000" w:usb2="00000000" w:usb3="00000000" w:csb0="00040000" w:csb1="00000000"/>
    <w:embedRegular r:id="rId4" w:fontKey="{409BA5D9-5A25-458D-854E-E535E90635A9}"/>
  </w:font>
  <w:font w:name="微软雅黑">
    <w:panose1 w:val="020B0503020204020204"/>
    <w:charset w:val="86"/>
    <w:family w:val="auto"/>
    <w:pitch w:val="default"/>
    <w:sig w:usb0="80000287" w:usb1="28CF3C50"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embedRegular r:id="rId5" w:fontKey="{2E07D907-4813-46E6-BCDF-1860E134E8BE}"/>
  </w:font>
  <w:font w:name="楷体">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6" w:fontKey="{66C51C02-9028-47E5-9907-E633948CF4AD}"/>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8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E4011">
    <w:pPr>
      <w:pStyle w:val="11"/>
      <w:jc w:val="center"/>
    </w:pPr>
  </w:p>
  <w:p w14:paraId="533140FE">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1EE2B">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BACC9">
    <w:pPr>
      <w:pStyle w:val="11"/>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C04A9E">
                          <w:pPr>
                            <w:pStyle w:val="11"/>
                          </w:pPr>
                          <w: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7CC04A9E">
                    <w:pPr>
                      <w:pStyle w:val="11"/>
                    </w:pPr>
                    <w: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7FEF3">
    <w:pPr>
      <w:pStyle w:val="11"/>
      <w:jc w:val="center"/>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D51796">
                          <w:pPr>
                            <w:pStyle w:val="11"/>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8D51796">
                    <w:pPr>
                      <w:pStyle w:val="11"/>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p w14:paraId="66082FB3">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DAD39">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793913">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D793913">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E14E">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E5CF6">
    <w:pPr>
      <w:pStyle w:val="12"/>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01F5A">
    <w:pPr>
      <w:pStyle w:val="12"/>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FCF1A">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E2F668"/>
    <w:multiLevelType w:val="singleLevel"/>
    <w:tmpl w:val="B2E2F668"/>
    <w:lvl w:ilvl="0" w:tentative="0">
      <w:start w:val="1"/>
      <w:numFmt w:val="chineseCounting"/>
      <w:suff w:val="nothing"/>
      <w:lvlText w:val="%1、"/>
      <w:lvlJc w:val="left"/>
      <w:pPr>
        <w:ind w:left="630"/>
      </w:pPr>
      <w:rPr>
        <w:rFonts w:hint="eastAsia"/>
      </w:rPr>
    </w:lvl>
  </w:abstractNum>
  <w:abstractNum w:abstractNumId="1">
    <w:nsid w:val="44E5ACC1"/>
    <w:multiLevelType w:val="singleLevel"/>
    <w:tmpl w:val="44E5ACC1"/>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9F5AE0"/>
    <w:rsid w:val="01A87807"/>
    <w:rsid w:val="022C6C32"/>
    <w:rsid w:val="02317B1B"/>
    <w:rsid w:val="02F30D15"/>
    <w:rsid w:val="02FEBE30"/>
    <w:rsid w:val="049743AD"/>
    <w:rsid w:val="04CD7FA9"/>
    <w:rsid w:val="061E35DE"/>
    <w:rsid w:val="06605FD1"/>
    <w:rsid w:val="066E0107"/>
    <w:rsid w:val="07996F6E"/>
    <w:rsid w:val="07DFD8BA"/>
    <w:rsid w:val="08DB07E4"/>
    <w:rsid w:val="09271825"/>
    <w:rsid w:val="092A668E"/>
    <w:rsid w:val="09867E8F"/>
    <w:rsid w:val="0A2032A3"/>
    <w:rsid w:val="0C6C4794"/>
    <w:rsid w:val="0CA8290A"/>
    <w:rsid w:val="0D35B1ED"/>
    <w:rsid w:val="0DE07E2B"/>
    <w:rsid w:val="0E72366A"/>
    <w:rsid w:val="0EE91261"/>
    <w:rsid w:val="0F98263C"/>
    <w:rsid w:val="101860EC"/>
    <w:rsid w:val="10566599"/>
    <w:rsid w:val="10B80487"/>
    <w:rsid w:val="10C055FF"/>
    <w:rsid w:val="11772AA4"/>
    <w:rsid w:val="118107EC"/>
    <w:rsid w:val="136904F4"/>
    <w:rsid w:val="13907786"/>
    <w:rsid w:val="13D50BC4"/>
    <w:rsid w:val="14022904"/>
    <w:rsid w:val="152F2A07"/>
    <w:rsid w:val="15530355"/>
    <w:rsid w:val="165E0673"/>
    <w:rsid w:val="16BB723D"/>
    <w:rsid w:val="186504BB"/>
    <w:rsid w:val="1938089F"/>
    <w:rsid w:val="19A445FC"/>
    <w:rsid w:val="1A811BC2"/>
    <w:rsid w:val="1B197773"/>
    <w:rsid w:val="1B7D550C"/>
    <w:rsid w:val="1BE8440E"/>
    <w:rsid w:val="1C302E5D"/>
    <w:rsid w:val="1D102CD1"/>
    <w:rsid w:val="1D155CEE"/>
    <w:rsid w:val="1E740ACF"/>
    <w:rsid w:val="1E884867"/>
    <w:rsid w:val="1F62156A"/>
    <w:rsid w:val="1FF35744"/>
    <w:rsid w:val="1FF6BC77"/>
    <w:rsid w:val="21962A9E"/>
    <w:rsid w:val="21AE7C77"/>
    <w:rsid w:val="221370C7"/>
    <w:rsid w:val="22BC3C41"/>
    <w:rsid w:val="23860B96"/>
    <w:rsid w:val="240371BF"/>
    <w:rsid w:val="241865C8"/>
    <w:rsid w:val="24ED0FDA"/>
    <w:rsid w:val="260F557C"/>
    <w:rsid w:val="26B07208"/>
    <w:rsid w:val="26C24B6E"/>
    <w:rsid w:val="27BC07CE"/>
    <w:rsid w:val="281408E2"/>
    <w:rsid w:val="28185E93"/>
    <w:rsid w:val="28241C19"/>
    <w:rsid w:val="29FD04D3"/>
    <w:rsid w:val="2B7D458C"/>
    <w:rsid w:val="2BFF7BC6"/>
    <w:rsid w:val="2C8A61B5"/>
    <w:rsid w:val="2D2E01CF"/>
    <w:rsid w:val="2D8B41B8"/>
    <w:rsid w:val="2DF04E50"/>
    <w:rsid w:val="2E9545B0"/>
    <w:rsid w:val="2F040D46"/>
    <w:rsid w:val="2FAE5751"/>
    <w:rsid w:val="2FB1A395"/>
    <w:rsid w:val="2FD9A7D8"/>
    <w:rsid w:val="319F7F4E"/>
    <w:rsid w:val="321B2544"/>
    <w:rsid w:val="323A2CC6"/>
    <w:rsid w:val="32965FE3"/>
    <w:rsid w:val="3304709D"/>
    <w:rsid w:val="33A56780"/>
    <w:rsid w:val="33D46110"/>
    <w:rsid w:val="34281836"/>
    <w:rsid w:val="349D6851"/>
    <w:rsid w:val="34D02FE3"/>
    <w:rsid w:val="35B05E42"/>
    <w:rsid w:val="35B7534F"/>
    <w:rsid w:val="35BA6CAF"/>
    <w:rsid w:val="364D14C1"/>
    <w:rsid w:val="36721EAF"/>
    <w:rsid w:val="36AA5135"/>
    <w:rsid w:val="36BE0DA7"/>
    <w:rsid w:val="376B6AA6"/>
    <w:rsid w:val="376D39B2"/>
    <w:rsid w:val="37E16F03"/>
    <w:rsid w:val="37F53A3B"/>
    <w:rsid w:val="38961EE3"/>
    <w:rsid w:val="389B6C89"/>
    <w:rsid w:val="38D469F0"/>
    <w:rsid w:val="39627CCD"/>
    <w:rsid w:val="397BAF1F"/>
    <w:rsid w:val="3AB79AF3"/>
    <w:rsid w:val="3B7EF35A"/>
    <w:rsid w:val="3B9FDB6C"/>
    <w:rsid w:val="3BF5BC2F"/>
    <w:rsid w:val="3CEBA265"/>
    <w:rsid w:val="3D98207C"/>
    <w:rsid w:val="3D9B0D99"/>
    <w:rsid w:val="3DD874CF"/>
    <w:rsid w:val="3DEE7CF3"/>
    <w:rsid w:val="3DF02244"/>
    <w:rsid w:val="3E493333"/>
    <w:rsid w:val="3E78745D"/>
    <w:rsid w:val="3FAD7FFA"/>
    <w:rsid w:val="3FF4CAE0"/>
    <w:rsid w:val="3FF7B227"/>
    <w:rsid w:val="40A578FA"/>
    <w:rsid w:val="40E54C45"/>
    <w:rsid w:val="419F3FE1"/>
    <w:rsid w:val="42625132"/>
    <w:rsid w:val="43A407DF"/>
    <w:rsid w:val="43C52DC5"/>
    <w:rsid w:val="44515BEA"/>
    <w:rsid w:val="449421C4"/>
    <w:rsid w:val="44DF2E05"/>
    <w:rsid w:val="44E268DA"/>
    <w:rsid w:val="453F7E5B"/>
    <w:rsid w:val="45A23D15"/>
    <w:rsid w:val="45BF0FF4"/>
    <w:rsid w:val="46380A1F"/>
    <w:rsid w:val="481C49B1"/>
    <w:rsid w:val="486A6C7A"/>
    <w:rsid w:val="49176D9B"/>
    <w:rsid w:val="4A627F82"/>
    <w:rsid w:val="4AD52123"/>
    <w:rsid w:val="4B0E749A"/>
    <w:rsid w:val="4B4F25DA"/>
    <w:rsid w:val="4BBD105D"/>
    <w:rsid w:val="4BDA0CFB"/>
    <w:rsid w:val="4BE068DB"/>
    <w:rsid w:val="4BE66A8D"/>
    <w:rsid w:val="4C670108"/>
    <w:rsid w:val="4D3C0CCC"/>
    <w:rsid w:val="4D577224"/>
    <w:rsid w:val="4DBF1CEB"/>
    <w:rsid w:val="4DEF1C9E"/>
    <w:rsid w:val="4E3C52FD"/>
    <w:rsid w:val="4E8D38D2"/>
    <w:rsid w:val="4EAB630A"/>
    <w:rsid w:val="4ECE2238"/>
    <w:rsid w:val="4F833267"/>
    <w:rsid w:val="4FE319FB"/>
    <w:rsid w:val="4FE9BD67"/>
    <w:rsid w:val="4FFB052F"/>
    <w:rsid w:val="501B7184"/>
    <w:rsid w:val="50563957"/>
    <w:rsid w:val="50E5018B"/>
    <w:rsid w:val="514234E2"/>
    <w:rsid w:val="524349D3"/>
    <w:rsid w:val="53083A92"/>
    <w:rsid w:val="537E6D0A"/>
    <w:rsid w:val="53AF27A2"/>
    <w:rsid w:val="53F74C96"/>
    <w:rsid w:val="549F79E5"/>
    <w:rsid w:val="54C16457"/>
    <w:rsid w:val="567F4C6E"/>
    <w:rsid w:val="56A1405A"/>
    <w:rsid w:val="56E47B74"/>
    <w:rsid w:val="57BD3DD4"/>
    <w:rsid w:val="58CB36FC"/>
    <w:rsid w:val="5934767C"/>
    <w:rsid w:val="59BA29B8"/>
    <w:rsid w:val="59CF7A5A"/>
    <w:rsid w:val="5AF92295"/>
    <w:rsid w:val="5BDD79E6"/>
    <w:rsid w:val="5BF561CA"/>
    <w:rsid w:val="5BFF5DFC"/>
    <w:rsid w:val="5CD71FC4"/>
    <w:rsid w:val="5CE86853"/>
    <w:rsid w:val="5D1F11B5"/>
    <w:rsid w:val="5D5E4496"/>
    <w:rsid w:val="5DAE1B18"/>
    <w:rsid w:val="5DE7D9E5"/>
    <w:rsid w:val="5E4D0852"/>
    <w:rsid w:val="5ECEC941"/>
    <w:rsid w:val="5EF41F06"/>
    <w:rsid w:val="5F493CB7"/>
    <w:rsid w:val="5FBF9FF3"/>
    <w:rsid w:val="5FCD4E2C"/>
    <w:rsid w:val="5FD15F49"/>
    <w:rsid w:val="5FEF394A"/>
    <w:rsid w:val="5FF67715"/>
    <w:rsid w:val="604D1265"/>
    <w:rsid w:val="610D7308"/>
    <w:rsid w:val="61926D27"/>
    <w:rsid w:val="620A6244"/>
    <w:rsid w:val="625B1D34"/>
    <w:rsid w:val="62BF3928"/>
    <w:rsid w:val="647F5392"/>
    <w:rsid w:val="654D7A6A"/>
    <w:rsid w:val="664B1D71"/>
    <w:rsid w:val="67AA3209"/>
    <w:rsid w:val="681C4F0D"/>
    <w:rsid w:val="68F47A32"/>
    <w:rsid w:val="68F63B7A"/>
    <w:rsid w:val="69046D0F"/>
    <w:rsid w:val="698D0931"/>
    <w:rsid w:val="6A993CED"/>
    <w:rsid w:val="6B053271"/>
    <w:rsid w:val="6BCE6674"/>
    <w:rsid w:val="6C0D6D77"/>
    <w:rsid w:val="6C4A05C8"/>
    <w:rsid w:val="6C640823"/>
    <w:rsid w:val="6C8742B8"/>
    <w:rsid w:val="6C8A170F"/>
    <w:rsid w:val="6CB52F6D"/>
    <w:rsid w:val="6CB54609"/>
    <w:rsid w:val="6DBF5E93"/>
    <w:rsid w:val="6DFF077E"/>
    <w:rsid w:val="6E7E3605"/>
    <w:rsid w:val="6E7FDCC7"/>
    <w:rsid w:val="6E985290"/>
    <w:rsid w:val="6ED6A62E"/>
    <w:rsid w:val="6EE00B15"/>
    <w:rsid w:val="6F544B20"/>
    <w:rsid w:val="6F6FB3EB"/>
    <w:rsid w:val="6F784160"/>
    <w:rsid w:val="6F8731EA"/>
    <w:rsid w:val="6F9D176F"/>
    <w:rsid w:val="6FCE6052"/>
    <w:rsid w:val="6FD57C00"/>
    <w:rsid w:val="6FEFFFD8"/>
    <w:rsid w:val="6FF5CC65"/>
    <w:rsid w:val="6FFB47EC"/>
    <w:rsid w:val="6FFF034A"/>
    <w:rsid w:val="70496804"/>
    <w:rsid w:val="704B407F"/>
    <w:rsid w:val="712A28F1"/>
    <w:rsid w:val="715C0E4B"/>
    <w:rsid w:val="72034D00"/>
    <w:rsid w:val="72233669"/>
    <w:rsid w:val="72734D90"/>
    <w:rsid w:val="7332FE48"/>
    <w:rsid w:val="73794685"/>
    <w:rsid w:val="73AB61DA"/>
    <w:rsid w:val="73AD73D5"/>
    <w:rsid w:val="73B6EB34"/>
    <w:rsid w:val="73FA497D"/>
    <w:rsid w:val="744731E5"/>
    <w:rsid w:val="74527205"/>
    <w:rsid w:val="74BBD01D"/>
    <w:rsid w:val="74ED5379"/>
    <w:rsid w:val="74FC2395"/>
    <w:rsid w:val="75BD3DD9"/>
    <w:rsid w:val="75DEEEC2"/>
    <w:rsid w:val="75FA38FB"/>
    <w:rsid w:val="76E3355F"/>
    <w:rsid w:val="76FF5125"/>
    <w:rsid w:val="776F6FFA"/>
    <w:rsid w:val="778769C8"/>
    <w:rsid w:val="77D87948"/>
    <w:rsid w:val="77DC22F5"/>
    <w:rsid w:val="79086DAD"/>
    <w:rsid w:val="79694E94"/>
    <w:rsid w:val="79974F09"/>
    <w:rsid w:val="79A7069F"/>
    <w:rsid w:val="79CD2C51"/>
    <w:rsid w:val="79D7FD79"/>
    <w:rsid w:val="79EE5BA4"/>
    <w:rsid w:val="7A0016E4"/>
    <w:rsid w:val="7A4B626B"/>
    <w:rsid w:val="7A894339"/>
    <w:rsid w:val="7AEE7323"/>
    <w:rsid w:val="7AFF7572"/>
    <w:rsid w:val="7B6C7DFB"/>
    <w:rsid w:val="7BBFBED0"/>
    <w:rsid w:val="7BC3E394"/>
    <w:rsid w:val="7BFC1466"/>
    <w:rsid w:val="7C1F3737"/>
    <w:rsid w:val="7CB71996"/>
    <w:rsid w:val="7CBFC87B"/>
    <w:rsid w:val="7CF37EEE"/>
    <w:rsid w:val="7CFB3455"/>
    <w:rsid w:val="7CFE0F48"/>
    <w:rsid w:val="7D7EC23E"/>
    <w:rsid w:val="7D916348"/>
    <w:rsid w:val="7E8ADEBF"/>
    <w:rsid w:val="7EEF11D3"/>
    <w:rsid w:val="7F0971A6"/>
    <w:rsid w:val="7F3F679B"/>
    <w:rsid w:val="7F4FC4EF"/>
    <w:rsid w:val="7F5E4D54"/>
    <w:rsid w:val="7F6E0135"/>
    <w:rsid w:val="7F954DBA"/>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5"/>
    <w:unhideWhenUsed/>
    <w:qFormat/>
    <w:uiPriority w:val="9"/>
    <w:pPr>
      <w:keepNext/>
      <w:keepLines/>
      <w:spacing w:before="260" w:after="260" w:line="416" w:lineRule="auto"/>
      <w:outlineLvl w:val="2"/>
    </w:pPr>
    <w:rPr>
      <w:b/>
      <w:bCs/>
      <w:sz w:val="32"/>
      <w:szCs w:val="32"/>
    </w:rPr>
  </w:style>
  <w:style w:type="paragraph" w:styleId="5">
    <w:name w:val="heading 4"/>
    <w:basedOn w:val="1"/>
    <w:next w:val="1"/>
    <w:unhideWhenUsed/>
    <w:qFormat/>
    <w:uiPriority w:val="9"/>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6">
    <w:name w:val="Body Text"/>
    <w:basedOn w:val="1"/>
    <w:next w:val="1"/>
    <w:link w:val="28"/>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4"/>
    <w:semiHidden/>
    <w:unhideWhenUsed/>
    <w:qFormat/>
    <w:uiPriority w:val="99"/>
    <w:rPr>
      <w:sz w:val="18"/>
      <w:szCs w:val="18"/>
    </w:rPr>
  </w:style>
  <w:style w:type="paragraph" w:styleId="11">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paragraph" w:customStyle="1" w:styleId="2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3">
    <w:name w:val="Header Char"/>
    <w:basedOn w:val="19"/>
    <w:semiHidden/>
    <w:qFormat/>
    <w:uiPriority w:val="99"/>
    <w:rPr>
      <w:rFonts w:ascii="Times New Roman" w:hAnsi="Times New Roman"/>
      <w:sz w:val="18"/>
      <w:szCs w:val="18"/>
    </w:rPr>
  </w:style>
  <w:style w:type="character" w:customStyle="1" w:styleId="24">
    <w:name w:val="页眉 Char"/>
    <w:link w:val="12"/>
    <w:semiHidden/>
    <w:qFormat/>
    <w:locked/>
    <w:uiPriority w:val="99"/>
    <w:rPr>
      <w:sz w:val="18"/>
    </w:rPr>
  </w:style>
  <w:style w:type="character" w:customStyle="1" w:styleId="25">
    <w:name w:val="Footer Char"/>
    <w:basedOn w:val="19"/>
    <w:semiHidden/>
    <w:qFormat/>
    <w:uiPriority w:val="99"/>
    <w:rPr>
      <w:rFonts w:ascii="Times New Roman" w:hAnsi="Times New Roman"/>
      <w:sz w:val="18"/>
      <w:szCs w:val="18"/>
    </w:rPr>
  </w:style>
  <w:style w:type="character" w:customStyle="1" w:styleId="26">
    <w:name w:val="页脚 Char"/>
    <w:link w:val="11"/>
    <w:qFormat/>
    <w:locked/>
    <w:uiPriority w:val="99"/>
    <w:rPr>
      <w:sz w:val="18"/>
    </w:rPr>
  </w:style>
  <w:style w:type="character" w:customStyle="1" w:styleId="27">
    <w:name w:val="Body Text Char"/>
    <w:basedOn w:val="19"/>
    <w:semiHidden/>
    <w:qFormat/>
    <w:uiPriority w:val="99"/>
    <w:rPr>
      <w:rFonts w:ascii="Times New Roman" w:hAnsi="Times New Roman"/>
      <w:szCs w:val="24"/>
    </w:rPr>
  </w:style>
  <w:style w:type="character" w:customStyle="1" w:styleId="28">
    <w:name w:val="正文文本 Char"/>
    <w:link w:val="6"/>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19"/>
    <w:link w:val="2"/>
    <w:qFormat/>
    <w:uiPriority w:val="9"/>
    <w:rPr>
      <w:rFonts w:ascii="Times New Roman" w:hAnsi="Times New Roman"/>
      <w:b/>
      <w:bCs/>
      <w:kern w:val="44"/>
      <w:sz w:val="44"/>
      <w:szCs w:val="44"/>
    </w:rPr>
  </w:style>
  <w:style w:type="character" w:customStyle="1" w:styleId="32">
    <w:name w:val="标题 2 Char"/>
    <w:basedOn w:val="19"/>
    <w:link w:val="3"/>
    <w:qFormat/>
    <w:uiPriority w:val="9"/>
    <w:rPr>
      <w:rFonts w:asciiTheme="majorHAnsi" w:hAnsiTheme="majorHAnsi" w:eastAsiaTheme="majorEastAsia" w:cstheme="majorBidi"/>
      <w:b/>
      <w:bCs/>
      <w:kern w:val="2"/>
      <w:sz w:val="32"/>
      <w:szCs w:val="32"/>
    </w:rPr>
  </w:style>
  <w:style w:type="paragraph" w:customStyle="1" w:styleId="33">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19"/>
    <w:link w:val="10"/>
    <w:semiHidden/>
    <w:qFormat/>
    <w:uiPriority w:val="99"/>
    <w:rPr>
      <w:rFonts w:ascii="Times New Roman" w:hAnsi="Times New Roman"/>
      <w:kern w:val="2"/>
      <w:sz w:val="18"/>
      <w:szCs w:val="18"/>
    </w:rPr>
  </w:style>
  <w:style w:type="character" w:customStyle="1" w:styleId="35">
    <w:name w:val="标题 3 Char"/>
    <w:basedOn w:val="19"/>
    <w:link w:val="4"/>
    <w:qFormat/>
    <w:uiPriority w:val="9"/>
    <w:rPr>
      <w:rFonts w:ascii="Times New Roman" w:hAnsi="Times New Roman"/>
      <w:b/>
      <w:bCs/>
      <w:kern w:val="2"/>
      <w:sz w:val="32"/>
      <w:szCs w:val="32"/>
    </w:rPr>
  </w:style>
  <w:style w:type="paragraph" w:customStyle="1" w:styleId="36">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2.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chart" Target="charts/chart2.xml"/><Relationship Id="rId23" Type="http://schemas.openxmlformats.org/officeDocument/2006/relationships/image" Target="media/image5.emf"/><Relationship Id="rId22" Type="http://schemas.openxmlformats.org/officeDocument/2006/relationships/oleObject" Target="embeddings/oleObject5.bin"/><Relationship Id="rId21" Type="http://schemas.openxmlformats.org/officeDocument/2006/relationships/image" Target="media/image4.emf"/><Relationship Id="rId20" Type="http://schemas.openxmlformats.org/officeDocument/2006/relationships/oleObject" Target="embeddings/oleObject4.bin"/><Relationship Id="rId2" Type="http://schemas.openxmlformats.org/officeDocument/2006/relationships/settings" Target="settings.xml"/><Relationship Id="rId19" Type="http://schemas.openxmlformats.org/officeDocument/2006/relationships/image" Target="media/image3.emf"/><Relationship Id="rId18" Type="http://schemas.openxmlformats.org/officeDocument/2006/relationships/oleObject" Target="embeddings/oleObject3.bin"/><Relationship Id="rId17" Type="http://schemas.openxmlformats.org/officeDocument/2006/relationships/chart" Target="charts/chart1.xml"/><Relationship Id="rId16" Type="http://schemas.openxmlformats.org/officeDocument/2006/relationships/image" Target="media/image2.emf"/><Relationship Id="rId15" Type="http://schemas.openxmlformats.org/officeDocument/2006/relationships/oleObject" Target="embeddings/oleObject2.bin"/><Relationship Id="rId14" Type="http://schemas.openxmlformats.org/officeDocument/2006/relationships/image" Target="media/image1.emf"/><Relationship Id="rId13" Type="http://schemas.openxmlformats.org/officeDocument/2006/relationships/oleObject" Target="embeddings/oleObject1.bin"/><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列2</c:v>
                </c:pt>
              </c:strCache>
            </c:strRef>
          </c:tx>
          <c:spPr>
            <a:scene3d>
              <a:camera prst="orthographicFront"/>
              <a:lightRig rig="threePt" dir="t"/>
            </a:scene3d>
            <a:sp3d contourW="9525"/>
          </c:spPr>
          <c:explosion val="0"/>
          <c:dPt>
            <c:idx val="0"/>
            <c:bubble3D val="0"/>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scene3d>
                <a:camera prst="orthographicFront"/>
                <a:lightRig rig="threePt" dir="t"/>
              </a:scene3d>
              <a:sp3d contourW="9525"/>
            </c:spPr>
          </c:dPt>
          <c:dPt>
            <c:idx val="1"/>
            <c:bubble3D val="0"/>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a:scene3d>
                <a:camera prst="orthographicFront"/>
                <a:lightRig rig="threePt" dir="t"/>
              </a:scene3d>
              <a:sp3d contourW="9525"/>
            </c:spPr>
          </c:dPt>
          <c:dPt>
            <c:idx val="2"/>
            <c:bubble3D val="0"/>
            <c:spPr>
              <a:gradFill>
                <a:gsLst>
                  <a:gs pos="0">
                    <a:schemeClr val="accent3">
                      <a:lumMod val="40000"/>
                      <a:lumOff val="60000"/>
                    </a:schemeClr>
                  </a:gs>
                  <a:gs pos="90000">
                    <a:schemeClr val="accent3"/>
                  </a:gs>
                </a:gsLst>
                <a:lin ang="5400000" scaled="0"/>
              </a:gradFill>
              <a:ln>
                <a:gradFill>
                  <a:gsLst>
                    <a:gs pos="0">
                      <a:schemeClr val="accent3"/>
                    </a:gs>
                    <a:gs pos="100000">
                      <a:schemeClr val="accent3">
                        <a:lumMod val="75000"/>
                      </a:schemeClr>
                    </a:gs>
                  </a:gsLst>
                  <a:lin ang="5400000" scaled="1"/>
                </a:gradFill>
              </a:ln>
              <a:effectLst/>
              <a:scene3d>
                <a:camera prst="orthographicFront"/>
                <a:lightRig rig="threePt" dir="t"/>
              </a:scene3d>
              <a:sp3d contourW="9525"/>
            </c:spPr>
          </c:dPt>
          <c:dPt>
            <c:idx val="3"/>
            <c:bubble3D val="0"/>
            <c:spPr>
              <a:gradFill>
                <a:gsLst>
                  <a:gs pos="0">
                    <a:schemeClr val="accent4">
                      <a:lumMod val="40000"/>
                      <a:lumOff val="60000"/>
                    </a:schemeClr>
                  </a:gs>
                  <a:gs pos="90000">
                    <a:schemeClr val="accent4"/>
                  </a:gs>
                </a:gsLst>
                <a:lin ang="5400000" scaled="0"/>
              </a:gradFill>
              <a:ln>
                <a:gradFill>
                  <a:gsLst>
                    <a:gs pos="0">
                      <a:schemeClr val="accent4"/>
                    </a:gs>
                    <a:gs pos="100000">
                      <a:schemeClr val="accent4">
                        <a:lumMod val="75000"/>
                      </a:schemeClr>
                    </a:gs>
                  </a:gsLst>
                  <a:lin ang="5400000" scaled="1"/>
                </a:gradFill>
              </a:ln>
              <a:effectLst/>
              <a:scene3d>
                <a:camera prst="orthographicFront"/>
                <a:lightRig rig="threePt" dir="t"/>
              </a:scene3d>
              <a:sp3d contourW="9525"/>
            </c:spPr>
          </c:dPt>
          <c:dLbls>
            <c:dLbl>
              <c:idx val="0"/>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1" i="0" u="none" strike="noStrike" kern="1200" spc="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1" i="0" u="none" strike="noStrike" kern="1200" spc="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1" i="0" u="none" strike="noStrike" kern="1200" spc="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3"/>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1" i="0" u="none" strike="noStrike" kern="1200" spc="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1" i="0" u="none" strike="noStrike" kern="1200" spc="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基本支出</c:v>
                </c:pt>
                <c:pt idx="1">
                  <c:v>项目支出</c:v>
                </c:pt>
              </c:strCache>
            </c:strRef>
          </c:cat>
          <c:val>
            <c:numRef>
              <c:f>Sheet1!$B$2:$B$5</c:f>
              <c:numCache>
                <c:formatCode>General</c:formatCode>
                <c:ptCount val="4"/>
                <c:pt idx="0">
                  <c:v>2963.43</c:v>
                </c:pt>
                <c:pt idx="1">
                  <c:v>561.32</c:v>
                </c:pt>
              </c:numCache>
            </c:numRef>
          </c:val>
        </c:ser>
        <c:dLbls>
          <c:showLegendKey val="0"/>
          <c:showVal val="1"/>
          <c:showCatName val="0"/>
          <c:showSerName val="0"/>
          <c:showPercent val="0"/>
          <c:showBubbleSize val="0"/>
        </c:dLbls>
      </c:pie3DChart>
      <c:spPr>
        <a:noFill/>
        <a:ln>
          <a:noFill/>
        </a:ln>
        <a:effectLst/>
      </c:spPr>
    </c:plotArea>
    <c:plotVisOnly val="1"/>
    <c:dispBlanksAs val="gap"/>
    <c:showDLblsOverMax val="0"/>
    <c:extLst>
      <c:ext uri="{0b15fc19-7d7d-44ad-8c2d-2c3a37ce22c3}">
        <chartProps xmlns="https://web.wps.cn/et/2018/main" chartId="{807a5faa-e625-4cc5-86c8-efd08fa93fc2}"/>
      </c:ext>
    </c:extLst>
  </c:chart>
  <c:spPr>
    <a:solidFill>
      <a:schemeClr val="bg1"/>
    </a:solidFill>
    <a:ln w="6350" cap="flat" cmpd="sng" algn="ctr">
      <a:solidFill>
        <a:schemeClr val="tx1">
          <a:lumMod val="50000"/>
          <a:lumOff val="50000"/>
          <a:alpha val="25000"/>
        </a:schemeClr>
      </a:solidFill>
      <a:round/>
    </a:ln>
    <a:effectLst/>
  </c:spPr>
  <c:txPr>
    <a:bodyPr/>
    <a:lstStyle/>
    <a:p>
      <a:pPr>
        <a:defRPr lang="zh-CN" sz="1000" b="1">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spc="0" baseline="0">
                <a:solidFill>
                  <a:sysClr val="windowText" lastClr="000000"/>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lang="en-US" altLang="zh-CN">
                <a:solidFill>
                  <a:sysClr val="windowText" lastClr="000000"/>
                </a:solidFill>
              </a:rPr>
              <a:t>2025</a:t>
            </a:r>
            <a:r>
              <a:rPr altLang="en-US">
                <a:solidFill>
                  <a:sysClr val="windowText" lastClr="000000"/>
                </a:solidFill>
              </a:rPr>
              <a:t>年度财政拨款</a:t>
            </a:r>
            <a:r>
              <a:rPr lang="en-US" altLang="zh-CN">
                <a:solidFill>
                  <a:sysClr val="windowText" lastClr="000000"/>
                </a:solidFill>
              </a:rPr>
              <a:t>“</a:t>
            </a:r>
            <a:r>
              <a:rPr altLang="en-US">
                <a:solidFill>
                  <a:sysClr val="windowText" lastClr="000000"/>
                </a:solidFill>
              </a:rPr>
              <a:t>三公</a:t>
            </a:r>
            <a:r>
              <a:rPr lang="en-US" altLang="zh-CN">
                <a:solidFill>
                  <a:sysClr val="windowText" lastClr="000000"/>
                </a:solidFill>
              </a:rPr>
              <a:t>”</a:t>
            </a:r>
            <a:r>
              <a:rPr altLang="en-US">
                <a:solidFill>
                  <a:sysClr val="windowText" lastClr="000000"/>
                </a:solidFill>
              </a:rPr>
              <a:t>经费支出结构图</a:t>
            </a:r>
            <a:endParaRPr lang="en-US" altLang="zh-CN">
              <a:solidFill>
                <a:sysClr val="windowText" lastClr="000000"/>
              </a:solidFill>
            </a:endParaRPr>
          </a:p>
        </c:rich>
      </c:tx>
      <c:layout>
        <c:manualLayout>
          <c:xMode val="edge"/>
          <c:yMode val="edge"/>
          <c:x val="0.0712265363846747"/>
          <c:y val="0.0244676030811056"/>
        </c:manualLayout>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347132939058884"/>
          <c:y val="0.174898051653829"/>
          <c:w val="0.943430187708923"/>
          <c:h val="0.77231536021749"/>
        </c:manualLayout>
      </c:layout>
      <c:pie3DChart>
        <c:varyColors val="1"/>
        <c:ser>
          <c:idx val="0"/>
          <c:order val="0"/>
          <c:tx>
            <c:strRef>
              <c:f>Sheet1!$B$1</c:f>
              <c:strCache>
                <c:ptCount val="1"/>
                <c:pt idx="0">
                  <c:v>列2</c:v>
                </c:pt>
              </c:strCache>
            </c:strRef>
          </c:tx>
          <c:spPr>
            <a:gradFill>
              <a:gsLst>
                <a:gs pos="0">
                  <a:schemeClr val="accent1">
                    <a:lumMod val="60000"/>
                    <a:lumOff val="40000"/>
                  </a:schemeClr>
                </a:gs>
                <a:gs pos="100000">
                  <a:schemeClr val="accent1">
                    <a:lumMod val="75000"/>
                  </a:schemeClr>
                </a:gs>
              </a:gsLst>
              <a:lin ang="5400000" scaled="0"/>
            </a:gradFill>
            <a:ln w="25400">
              <a:solidFill>
                <a:schemeClr val="accent1">
                  <a:lumMod val="75000"/>
                </a:schemeClr>
              </a:solidFill>
            </a:ln>
          </c:spPr>
          <c:explosion val="0"/>
          <c:dPt>
            <c:idx val="0"/>
            <c:bubble3D val="0"/>
            <c:spPr>
              <a:gradFill>
                <a:gsLst>
                  <a:gs pos="0">
                    <a:schemeClr val="accent1">
                      <a:lumMod val="60000"/>
                      <a:lumOff val="40000"/>
                    </a:schemeClr>
                  </a:gs>
                  <a:gs pos="100000">
                    <a:schemeClr val="accent1">
                      <a:lumMod val="75000"/>
                    </a:schemeClr>
                  </a:gs>
                </a:gsLst>
                <a:lin ang="5400000" scaled="0"/>
              </a:gradFill>
              <a:ln w="25400">
                <a:solidFill>
                  <a:schemeClr val="accent1">
                    <a:lumMod val="75000"/>
                  </a:schemeClr>
                </a:solidFill>
              </a:ln>
              <a:effectLst>
                <a:outerShdw blurRad="50800" dist="38100" dir="2700000" algn="tl" rotWithShape="0">
                  <a:schemeClr val="accent1">
                    <a:alpha val="40000"/>
                  </a:schemeClr>
                </a:outerShdw>
              </a:effectLst>
            </c:spPr>
          </c:dPt>
          <c:dPt>
            <c:idx val="1"/>
            <c:bubble3D val="0"/>
            <c:spPr>
              <a:gradFill>
                <a:gsLst>
                  <a:gs pos="0">
                    <a:schemeClr val="accent2">
                      <a:lumMod val="60000"/>
                      <a:lumOff val="40000"/>
                    </a:schemeClr>
                  </a:gs>
                  <a:gs pos="100000">
                    <a:schemeClr val="accent2">
                      <a:lumMod val="75000"/>
                    </a:schemeClr>
                  </a:gs>
                </a:gsLst>
                <a:lin ang="5400000" scaled="0"/>
              </a:gradFill>
              <a:ln w="25400">
                <a:solidFill>
                  <a:schemeClr val="accent2">
                    <a:lumMod val="75000"/>
                  </a:schemeClr>
                </a:solidFill>
              </a:ln>
              <a:effectLst>
                <a:outerShdw blurRad="50800" dist="38100" dir="2700000" algn="tl" rotWithShape="0">
                  <a:schemeClr val="accent2">
                    <a:alpha val="40000"/>
                  </a:schemeClr>
                </a:outerShdw>
              </a:effectLst>
            </c:spPr>
          </c:dPt>
          <c:dPt>
            <c:idx val="2"/>
            <c:bubble3D val="0"/>
            <c:spPr>
              <a:gradFill>
                <a:gsLst>
                  <a:gs pos="0">
                    <a:schemeClr val="accent3">
                      <a:lumMod val="60000"/>
                      <a:lumOff val="40000"/>
                    </a:schemeClr>
                  </a:gs>
                  <a:gs pos="100000">
                    <a:schemeClr val="accent3">
                      <a:lumMod val="75000"/>
                    </a:schemeClr>
                  </a:gs>
                </a:gsLst>
                <a:lin ang="5400000" scaled="0"/>
              </a:gradFill>
              <a:ln w="25400">
                <a:solidFill>
                  <a:schemeClr val="accent3">
                    <a:lumMod val="75000"/>
                  </a:schemeClr>
                </a:solidFill>
              </a:ln>
              <a:effectLst>
                <a:outerShdw blurRad="50800" dist="38100" dir="2700000" algn="tl" rotWithShape="0">
                  <a:schemeClr val="accent3">
                    <a:alpha val="40000"/>
                  </a:schemeClr>
                </a:outerShdw>
              </a:effectLst>
            </c:spPr>
          </c:dPt>
          <c:dPt>
            <c:idx val="3"/>
            <c:bubble3D val="0"/>
            <c:spPr>
              <a:gradFill>
                <a:gsLst>
                  <a:gs pos="0">
                    <a:schemeClr val="accent4">
                      <a:lumMod val="60000"/>
                      <a:lumOff val="40000"/>
                    </a:schemeClr>
                  </a:gs>
                  <a:gs pos="100000">
                    <a:schemeClr val="accent4">
                      <a:lumMod val="75000"/>
                    </a:schemeClr>
                  </a:gs>
                </a:gsLst>
                <a:lin ang="5400000" scaled="0"/>
              </a:gradFill>
              <a:ln w="25400">
                <a:solidFill>
                  <a:schemeClr val="accent4">
                    <a:lumMod val="75000"/>
                  </a:schemeClr>
                </a:solidFill>
              </a:ln>
              <a:effectLst>
                <a:outerShdw blurRad="50800" dist="38100" dir="2700000" algn="tl" rotWithShape="0">
                  <a:schemeClr val="accent4">
                    <a:alpha val="40000"/>
                  </a:schemeClr>
                </a:outerShdw>
              </a:effectLst>
            </c:spPr>
          </c:dPt>
          <c:dLbls>
            <c:dLbl>
              <c:idx val="0"/>
              <c:layout>
                <c:manualLayout>
                  <c:x val="0.344102105672733"/>
                  <c:y val="-0.0284732551517066"/>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77423502185652"/>
                      <c:h val="0.213638423198913"/>
                    </c:manualLayout>
                  </c15:layout>
                </c:ext>
              </c:extLst>
            </c:dLbl>
            <c:dLbl>
              <c:idx val="1"/>
              <c:layout>
                <c:manualLayout>
                  <c:x val="0.112945830288666"/>
                  <c:y val="0.0071525059879359"/>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forceAA="0">
                <a:spAutoFit/>
              </a:bodyPr>
              <a:lstStyle/>
              <a:p>
                <a:pPr>
                  <a:defRPr lang="zh-CN" sz="900" b="1" i="0" u="none" strike="noStrike" kern="1200" baseline="0">
                    <a:solidFill>
                      <a:sysClr val="windowText" lastClr="000000"/>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公务用车运行维护费支出</c:v>
                </c:pt>
                <c:pt idx="1">
                  <c:v>公务接待支出</c:v>
                </c:pt>
              </c:strCache>
            </c:strRef>
          </c:cat>
          <c:val>
            <c:numRef>
              <c:f>Sheet1!$B$2:$B$5</c:f>
              <c:numCache>
                <c:formatCode>General</c:formatCode>
                <c:ptCount val="4"/>
                <c:pt idx="0">
                  <c:v>42.36</c:v>
                </c:pt>
                <c:pt idx="1">
                  <c:v>1.19</c:v>
                </c:pt>
              </c:numCache>
            </c:numRef>
          </c:val>
        </c:ser>
        <c:dLbls>
          <c:showLegendKey val="0"/>
          <c:showVal val="1"/>
          <c:showCatName val="0"/>
          <c:showSerName val="0"/>
          <c:showPercent val="0"/>
          <c:showBubbleSize val="0"/>
        </c:dLbls>
      </c:pie3DChart>
      <c:spPr>
        <a:noFill/>
        <a:ln>
          <a:noFill/>
        </a:ln>
        <a:effectLst/>
      </c:spPr>
    </c:plotArea>
    <c:plotVisOnly val="1"/>
    <c:dispBlanksAs val="gap"/>
    <c:showDLblsOverMax val="0"/>
    <c:extLst>
      <c:ext uri="{0b15fc19-7d7d-44ad-8c2d-2c3a37ce22c3}">
        <chartProps xmlns="https://web.wps.cn/et/2018/main" chartId="{807a5faa-e625-4cc5-86c8-efd08fa93fc2}"/>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solidFill>
            <a:sysClr val="windowText" lastClr="000000"/>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9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cs:styleClr val="auto"/>
    </cs:fontRef>
    <cs:defRPr sz="1000" b="1" i="0" u="none" strike="noStrike" kern="1200" spc="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0">
      <cs:styleClr val="auto"/>
    </cs:fillRef>
    <cs:effectRef idx="0"/>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自定义 27">
    <a:dk1>
      <a:srgbClr val="000000"/>
    </a:dk1>
    <a:lt1>
      <a:srgbClr val="FFFFFF"/>
    </a:lt1>
    <a:dk2>
      <a:srgbClr val="000000"/>
    </a:dk2>
    <a:lt2>
      <a:srgbClr val="FEFFFF"/>
    </a:lt2>
    <a:accent1>
      <a:srgbClr val="3B73FF"/>
    </a:accent1>
    <a:accent2>
      <a:srgbClr val="1DDC98"/>
    </a:accent2>
    <a:accent3>
      <a:srgbClr val="FFCC3E"/>
    </a:accent3>
    <a:accent4>
      <a:srgbClr val="FF7640"/>
    </a:accent4>
    <a:accent5>
      <a:srgbClr val="FC4242"/>
    </a:accent5>
    <a:accent6>
      <a:srgbClr val="A766FF"/>
    </a:accent6>
    <a:hlink>
      <a:srgbClr val="304FFE"/>
    </a:hlink>
    <a:folHlink>
      <a:srgbClr val="492067"/>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Info spid="_x0000_s1029"/>
  </customShpExts>
</s:customData>
</file>

<file path=customXml/item2.xml><?xml version="1.0" encoding="utf-8"?>
<contractReview xmlns="http://schemas.wps.cn/vas-ai-hub/contract-review">
  <reviewItems>
    <reviewItem>
      <errorID>0dd31874-ea55-4fff-97fb-e83262ff8dd7</errorID>
      <errorWord>其他</errorWord>
      <group>L1_Word</group>
      <groupName>字词问题</groupName>
      <ability>L2_Typo</ability>
      <abilityName>字词错误</abilityName>
      <candidateList>
        <item>的其他</item>
      </candidateList>
      <explain/>
      <paraID>5F0A6067</paraID>
      <start>153</start>
      <end>155</end>
      <status>ignored</status>
      <modifiedWord/>
      <trackRevisions>false</trackRevisions>
    </reviewItem>
    <reviewItem>
      <errorID>0fa41c93-bc41-4c4d-996c-e5d026f05889</errorID>
      <errorWord>转役</errorWord>
      <group>L1_Word</group>
      <groupName>字词问题</groupName>
      <ability>L2_Typo</ability>
      <abilityName>字词错误</abilityName>
      <candidateList>
        <item>转业</item>
      </candidateList>
      <explain/>
      <paraID>2BA76316</paraID>
      <start>77</start>
      <end>79</end>
      <status>ignored</status>
      <modifiedWord/>
      <trackRevisions>false</trackRevisions>
    </reviewItem>
    <reviewItem>
      <errorID>87c998dc-adf0-4c72-86de-47a1b1a20846</errorID>
      <errorWord>：</errorWord>
      <group>L1_Punc</group>
      <groupName>标点问题</groupName>
      <ability>L2_Punc_CN</ability>
      <abilityName>标点符号问题</abilityName>
      <candidateList>
        <item>，</item>
      </candidateList>
      <explain/>
      <paraID>6286281F</paraID>
      <start>27</start>
      <end>28</end>
      <status>ignored</status>
      <modifiedWord/>
      <trackRevisions>false</trackRevisions>
    </reviewItem>
    <reviewItem>
      <errorID>541d2963-6e98-49d8-b8cc-6e2811cd810f</errorID>
      <errorWord>：</errorWord>
      <group>L1_Punc</group>
      <groupName>标点问题</groupName>
      <ability>L2_Punc_CN</ability>
      <abilityName>标点符号问题</abilityName>
      <candidateList>
        <item>，</item>
      </candidateList>
      <explain/>
      <paraID>6286281F</paraID>
      <start>97</start>
      <end>98</end>
      <status>ignored</status>
      <modifiedWord/>
      <trackRevisions>false</trackRevisions>
    </reviewItem>
    <reviewItem>
      <errorID>5792274a-ca87-47d9-9c97-71d6131a68f2</errorID>
      <errorWord>，</errorWord>
      <group>L1_Punc</group>
      <groupName>标点问题</groupName>
      <ability>L2_Punc_CN</ability>
      <abilityName>标点符号问题</abilityName>
      <candidateList>
        <item>。</item>
      </candidateList>
      <explain/>
      <paraID>320E8B53</paraID>
      <start>111</start>
      <end>112</end>
      <status>ignored</status>
      <modifiedWord/>
      <trackRevisions>false</trackRevisions>
    </reviewItem>
    <reviewItem>
      <errorID>3b35dbf7-3785-4cad-a4e2-2d07b6af446e</errorID>
      <errorWord>固定资产卡片</errorWord>
      <group>L1_Grammar</group>
      <groupName>语法问题</groupName>
      <ability>L2_Grammar</ability>
      <abilityName>语法错误</abilityName>
      <candidateList>
        <item>账目</item>
      </candidateList>
      <explain/>
      <paraID>1BBE4C65</paraID>
      <start>226</start>
      <end>232</end>
      <status>ignored</status>
      <modifiedWord/>
      <trackRevisions>false</trackRevisions>
    </reviewItem>
    <reviewItem>
      <errorID>388dee6b-8e0a-4f33-981f-7e8d8d521ab4</errorID>
      <errorWord>.</errorWord>
      <group>L1_Format</group>
      <groupName>格式问题</groupName>
      <ability>L2_HalfPunc_CN</ability>
      <abilityName>全半角问题</abilityName>
      <candidateList>
        <item>。</item>
      </candidateList>
      <explain>文本全半角错误。</explain>
      <paraID>14FA4CE0</paraID>
      <start>82</start>
      <end>83</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ed08619-a489-4df8-8ac4-152799a18dc0}">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37</Pages>
  <Words>7099</Words>
  <Characters>8114</Characters>
  <Lines>61</Lines>
  <Paragraphs>17</Paragraphs>
  <TotalTime>21</TotalTime>
  <ScaleCrop>false</ScaleCrop>
  <LinksUpToDate>false</LinksUpToDate>
  <CharactersWithSpaces>8191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一片云</cp:lastModifiedBy>
  <cp:lastPrinted>2026-08-03T09:27:00Z</cp:lastPrinted>
  <dcterms:modified xsi:type="dcterms:W3CDTF">2026-09-09T07:06:18Z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2C04FE60F44A471D837F7DB6519D3F2B_13</vt:lpwstr>
  </property>
  <property fmtid="{D5CDD505-2E9C-101B-9397-08002B2CF9AE}" pid="4" name="KSOTemplateDocerSaveRecord">
    <vt:lpwstr>eyJoZGlkIjoiY2E2MjI0OGMyMDBmOWNjZGY2NTUxZjVmMzRjZWFiNTUiLCJ1c2VySWQiOiI5NDU0MDgwNDYifQ==</vt:lpwstr>
  </property>
</Properties>
</file>