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5F757">
      <w:pPr>
        <w:pStyle w:val="5"/>
        <w:ind w:firstLine="880" w:firstLineChars="200"/>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7193"/>
      <w:bookmarkStart w:id="2" w:name="_Toc15377425"/>
      <w:bookmarkStart w:id="3" w:name="_Toc15396597"/>
      <w:bookmarkStart w:id="4" w:name="_Toc15306267"/>
      <w:bookmarkStart w:id="5" w:name="_Toc15378441"/>
    </w:p>
    <w:p w14:paraId="70A8F35A">
      <w:pPr>
        <w:pStyle w:val="5"/>
        <w:ind w:firstLine="880" w:firstLineChars="200"/>
        <w:jc w:val="both"/>
        <w:rPr>
          <w:rFonts w:hint="eastAsia" w:ascii="Times New Roman" w:hAnsi="Times New Roman" w:eastAsia="方正小标宋简体" w:cs="Times New Roman"/>
          <w:color w:val="auto"/>
          <w:kern w:val="2"/>
          <w:sz w:val="44"/>
          <w:szCs w:val="44"/>
          <w:highlight w:val="none"/>
          <w:lang w:val="en-US" w:eastAsia="zh-CN" w:bidi="ar-SA"/>
        </w:rPr>
      </w:pPr>
    </w:p>
    <w:p w14:paraId="17680E79">
      <w:pPr>
        <w:pStyle w:val="5"/>
        <w:ind w:firstLine="880" w:firstLineChars="200"/>
        <w:jc w:val="both"/>
        <w:rPr>
          <w:rFonts w:hint="eastAsia" w:ascii="Times New Roman" w:hAnsi="Times New Roman" w:eastAsia="方正小标宋简体" w:cs="Times New Roman"/>
          <w:color w:val="auto"/>
          <w:kern w:val="2"/>
          <w:sz w:val="44"/>
          <w:szCs w:val="44"/>
          <w:highlight w:val="none"/>
          <w:lang w:val="en-US" w:eastAsia="zh-CN" w:bidi="ar-SA"/>
        </w:rPr>
      </w:pPr>
    </w:p>
    <w:p w14:paraId="63EFD767">
      <w:pPr>
        <w:pStyle w:val="5"/>
        <w:ind w:firstLine="880" w:firstLineChars="200"/>
        <w:jc w:val="center"/>
        <w:rPr>
          <w:rFonts w:hint="default" w:ascii="Times New Roman" w:hAnsi="Times New Roman"/>
          <w:lang w:val="en-US"/>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阿坝州藏医院</w:t>
      </w:r>
      <w:r>
        <w:rPr>
          <w:rFonts w:hint="eastAsia" w:ascii="Times New Roman" w:hAnsi="Times New Roman" w:eastAsia="方正小标宋简体" w:cs="Times New Roman"/>
          <w:color w:val="auto"/>
          <w:kern w:val="2"/>
          <w:sz w:val="44"/>
          <w:szCs w:val="44"/>
          <w:highlight w:val="none"/>
          <w:lang w:val="en-US" w:eastAsia="zh-CN" w:bidi="ar-SA"/>
        </w:rPr>
        <w:t>决</w:t>
      </w:r>
      <w:r>
        <w:rPr>
          <w:rFonts w:hint="eastAsia" w:ascii="Times New Roman" w:eastAsia="方正小标宋简体" w:cs="Times New Roman"/>
          <w:color w:val="auto"/>
          <w:kern w:val="2"/>
          <w:sz w:val="44"/>
          <w:szCs w:val="44"/>
          <w:highlight w:val="none"/>
          <w:lang w:val="en-US" w:eastAsia="zh-CN" w:bidi="ar-SA"/>
        </w:rPr>
        <w:t>算</w:t>
      </w:r>
    </w:p>
    <w:bookmarkEnd w:id="0"/>
    <w:bookmarkEnd w:id="1"/>
    <w:bookmarkEnd w:id="2"/>
    <w:bookmarkEnd w:id="3"/>
    <w:bookmarkEnd w:id="4"/>
    <w:bookmarkEnd w:id="5"/>
    <w:p w14:paraId="0409C499">
      <w:pPr>
        <w:widowControl/>
        <w:jc w:val="both"/>
        <w:rPr>
          <w:rFonts w:hint="eastAsia" w:ascii="Times New Roman" w:hAnsi="Times New Roman" w:eastAsia="黑体"/>
          <w:color w:val="auto"/>
          <w:sz w:val="48"/>
          <w:szCs w:val="48"/>
          <w:highlight w:val="none"/>
        </w:rPr>
      </w:pPr>
    </w:p>
    <w:p w14:paraId="68A6B81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BE7BEB9">
      <w:pPr>
        <w:widowControl/>
        <w:jc w:val="center"/>
        <w:rPr>
          <w:rFonts w:ascii="Times New Roman" w:hAnsi="Times New Roman" w:eastAsia="黑体" w:cstheme="minorBidi"/>
          <w:color w:val="auto"/>
          <w:sz w:val="28"/>
          <w:szCs w:val="28"/>
          <w:highlight w:val="none"/>
        </w:rPr>
      </w:pPr>
    </w:p>
    <w:p w14:paraId="42F6622A">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w:t>
      </w:r>
      <w:r>
        <w:rPr>
          <w:rFonts w:hint="eastAsia" w:ascii="Times New Roman" w:hAnsi="Times New Roman" w:eastAsia="仿宋_GB2312" w:cs="仿宋_GB2312"/>
          <w:color w:val="auto"/>
          <w:sz w:val="32"/>
          <w:szCs w:val="32"/>
          <w:highlight w:val="none"/>
          <w:lang w:val="en-US" w:eastAsia="zh-CN"/>
        </w:rPr>
        <w:t>2026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22675867">
      <w:pPr>
        <w:rPr>
          <w:rFonts w:ascii="Times New Roman" w:hAnsi="Times New Roman"/>
          <w:color w:val="auto"/>
          <w:highlight w:val="none"/>
        </w:rPr>
      </w:pPr>
    </w:p>
    <w:p w14:paraId="08FB7BC4">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28CFDD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70674F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2B55E4E">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3DD60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FAC632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A3C9AD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434649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35703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7F9CC6B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EF62F3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77FF7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C23833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BF4FB5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9E69FA4">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32015F1">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26E65DC">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977C1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332D30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574E70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0AB4D0F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CD3B0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EB912E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59A4E1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6D8D4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46E53D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28DA80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FD8BB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DA1B4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91E30B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C31A9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16EDA0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16C85935">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1ECF57A0">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4E89DF57">
      <w:pPr>
        <w:pStyle w:val="14"/>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主要职能。</w:t>
      </w:r>
    </w:p>
    <w:p w14:paraId="170AEC3E">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 xml:space="preserve"> 阿坝州藏医院成立于1991年，是一所集医疗、教学、科研、制剂、康复“五位一体”的二级甲等民族医院。宗旨：以藏医藏药为主，为人民身体健康提供藏医医疗、预防、保健、康复等医疗卫生服务。主要业务范围：1、设有藏医内科（胃病专科、心脑血管专科、肝胆专科、老年病科）、妇科、儿科、外治科、药浴科、五官科等临床科室，以满足广大农牧民的藏医医疗服务需求；2、医院藏药中心制剂室可以生产丸、散、胶囊剂型的藏药制剂186个品种，能满足本院及州内医疗单位的藏药制剂用药，是全州的藏药加工生产和藏药新药开发科研基地；3、医院承担成都中医药大学和阿坝卫校藏医学生临床实习任务，承担州、县、乡、村藏医在职人员的培训任务。</w:t>
      </w:r>
    </w:p>
    <w:p w14:paraId="6903AD8C">
      <w:pPr>
        <w:ind w:firstLine="640" w:firstLineChars="200"/>
        <w:rPr>
          <w:rFonts w:hint="eastAsia" w:ascii="仿宋_GB2312" w:hAnsi="仿宋" w:eastAsia="仿宋_GB2312"/>
          <w:sz w:val="32"/>
          <w:szCs w:val="32"/>
          <w:lang w:val="en-US" w:eastAsia="zh-CN"/>
        </w:rPr>
      </w:pPr>
      <w:r>
        <w:rPr>
          <w:rFonts w:hint="eastAsia" w:eastAsia="仿宋_GB2312" w:cs="仿宋_GB2312"/>
          <w:color w:val="auto"/>
          <w:sz w:val="32"/>
          <w:szCs w:val="32"/>
          <w:highlight w:val="none"/>
          <w:lang w:val="en-US" w:eastAsia="zh-CN"/>
        </w:rPr>
        <w:t xml:space="preserve">   </w:t>
      </w:r>
      <w:r>
        <w:rPr>
          <w:rFonts w:hint="eastAsia" w:ascii="仿宋_GB2312" w:hAnsi="仿宋" w:eastAsia="仿宋_GB2312"/>
          <w:sz w:val="32"/>
          <w:szCs w:val="32"/>
          <w:lang w:val="en-US" w:eastAsia="zh-CN"/>
        </w:rPr>
        <w:t>2025年，在州委、州政府的坚强领导下，</w:t>
      </w:r>
      <w:r>
        <w:rPr>
          <w:rFonts w:ascii="仿宋" w:hAnsi="仿宋" w:eastAsia="仿宋"/>
          <w:sz w:val="32"/>
          <w:szCs w:val="40"/>
        </w:rPr>
        <w:t>始终坚持以习近平新时代中国特色社会主义思想为指导</w:t>
      </w:r>
      <w:r>
        <w:rPr>
          <w:rFonts w:hint="eastAsia" w:ascii="仿宋" w:hAnsi="仿宋" w:eastAsia="仿宋"/>
          <w:sz w:val="32"/>
          <w:szCs w:val="40"/>
          <w:lang w:eastAsia="zh-CN"/>
        </w:rPr>
        <w:t>，</w:t>
      </w:r>
      <w:r>
        <w:rPr>
          <w:rFonts w:hint="eastAsia" w:ascii="仿宋_GB2312" w:hAnsi="仿宋" w:eastAsia="仿宋_GB2312"/>
          <w:sz w:val="32"/>
          <w:szCs w:val="32"/>
          <w:lang w:val="en-US" w:eastAsia="zh-CN"/>
        </w:rPr>
        <w:t>深入贯彻党的二十大和二十届历次全会精神、省委十二届七次八次全会精神、州委十二届六次全会精神，紧紧围绕新时代党的建设总要求，以铸牢中华民族共同体意识为主线，全面加强党的领导，扎实推进各项党建工作。2025年医院紧密围绕“健康阿坝”建设目标，以铸牢中华民族共同体意识为主线，以提升医疗服务质量为核心，以传承创新驱动发展，各项工作稳步推进，取得良好成效。</w:t>
      </w:r>
    </w:p>
    <w:p w14:paraId="6AF2F49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方正黑体_GBK" w:hAnsi="方正黑体_GBK" w:eastAsia="方正黑体_GBK" w:cs="方正黑体_GBK"/>
          <w:b w:val="0"/>
          <w:bCs/>
          <w:sz w:val="32"/>
          <w:szCs w:val="40"/>
          <w:lang w:val="en-US" w:eastAsia="zh-CN"/>
        </w:rPr>
      </w:pPr>
      <w:r>
        <w:rPr>
          <w:rFonts w:hint="eastAsia" w:ascii="Times New Roman" w:hAnsi="Times New Roman" w:eastAsia="黑体"/>
          <w:color w:val="auto"/>
          <w:sz w:val="32"/>
          <w:szCs w:val="32"/>
          <w:highlight w:val="none"/>
          <w:lang w:val="en-US" w:eastAsia="zh-CN"/>
        </w:rPr>
        <w:t>一、强化政治引领，把稳高质量发展“方向盘”</w:t>
      </w:r>
    </w:p>
    <w:p w14:paraId="236425ED">
      <w:pPr>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医院始终坚持把党的政治建设摆在首位，确保医院改革发展始终沿着正确方向前进。</w:t>
      </w:r>
    </w:p>
    <w:p w14:paraId="3D92633A">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eastAsia" w:ascii="仿宋_GB2312" w:hAnsi="仿宋" w:eastAsia="仿宋_GB2312"/>
          <w:sz w:val="32"/>
          <w:szCs w:val="32"/>
          <w:lang w:val="en-US" w:eastAsia="zh-CN"/>
        </w:rPr>
      </w:pPr>
      <w:r>
        <w:rPr>
          <w:rFonts w:hint="eastAsia" w:ascii="楷体_GB2312" w:hAnsi="仿宋" w:eastAsia="楷体_GB2312"/>
          <w:b/>
          <w:sz w:val="32"/>
          <w:szCs w:val="32"/>
          <w:lang w:val="en-US" w:eastAsia="zh-CN"/>
        </w:rPr>
        <w:t>（一）筑牢思想根基，强化理论武装。</w:t>
      </w:r>
      <w:r>
        <w:rPr>
          <w:rFonts w:hint="eastAsia" w:ascii="仿宋_GB2312" w:hAnsi="仿宋" w:eastAsia="仿宋_GB2312"/>
          <w:sz w:val="32"/>
          <w:szCs w:val="32"/>
          <w:lang w:val="en-US" w:eastAsia="zh-CN"/>
        </w:rPr>
        <w:t>严格执行党委会“第一议题”制度，全年召开党委会、集中学习会专题学习党的创新理论、重要指示批示精神及卫生健康工作方针等会议40次。围绕党的二十大精神、新时代党的治藏方略等主题，组织开展党委理论学习中心组学习，专题研讨4次，</w:t>
      </w:r>
      <w:r>
        <w:rPr>
          <w:rFonts w:hint="default" w:ascii="仿宋_GB2312" w:hAnsi="仿宋" w:eastAsia="仿宋_GB2312"/>
          <w:sz w:val="32"/>
          <w:szCs w:val="32"/>
          <w:lang w:val="en-US" w:eastAsia="zh-CN"/>
        </w:rPr>
        <w:t>举办读书班1期</w:t>
      </w:r>
      <w:r>
        <w:rPr>
          <w:rFonts w:hint="eastAsia" w:ascii="仿宋_GB2312" w:hAnsi="仿宋" w:eastAsia="仿宋_GB2312"/>
          <w:sz w:val="32"/>
          <w:szCs w:val="32"/>
          <w:lang w:val="en-US" w:eastAsia="zh-CN"/>
        </w:rPr>
        <w:t>，党委书记讲党课2次，</w:t>
      </w:r>
      <w:r>
        <w:rPr>
          <w:rFonts w:hint="default" w:ascii="仿宋_GB2312" w:hAnsi="仿宋" w:eastAsia="仿宋_GB2312"/>
          <w:sz w:val="32"/>
          <w:szCs w:val="32"/>
          <w:lang w:val="zh-TW" w:eastAsia="zh-CN"/>
        </w:rPr>
        <w:t>为全体党员发放《习近平关于加强党的作风建设论述摘编》书籍32本</w:t>
      </w:r>
      <w:r>
        <w:rPr>
          <w:rFonts w:hint="eastAsia" w:ascii="仿宋_GB2312" w:hAnsi="仿宋" w:eastAsia="仿宋_GB2312"/>
          <w:sz w:val="32"/>
          <w:szCs w:val="32"/>
          <w:lang w:val="zh-TW" w:eastAsia="zh-CN"/>
        </w:rPr>
        <w:t>，</w:t>
      </w:r>
      <w:r>
        <w:rPr>
          <w:rFonts w:hint="eastAsia" w:ascii="仿宋_GB2312" w:hAnsi="仿宋" w:eastAsia="仿宋_GB2312"/>
          <w:sz w:val="32"/>
          <w:szCs w:val="32"/>
          <w:lang w:val="en-US" w:eastAsia="zh-CN"/>
        </w:rPr>
        <w:t>引导全院党员干部深刻领悟“两个确立”的决定性意义，不断提高政治判断力、政治领悟力、政治执行力。</w:t>
      </w:r>
    </w:p>
    <w:p w14:paraId="62380EAA">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eastAsia" w:ascii="仿宋_GB2312" w:hAnsi="仿宋" w:eastAsia="仿宋_GB2312"/>
          <w:sz w:val="32"/>
          <w:szCs w:val="32"/>
          <w:lang w:val="en-US" w:eastAsia="zh-CN"/>
        </w:rPr>
      </w:pPr>
      <w:r>
        <w:rPr>
          <w:rFonts w:hint="eastAsia" w:ascii="楷体_GB2312" w:hAnsi="仿宋" w:eastAsia="楷体_GB2312"/>
          <w:b/>
          <w:sz w:val="32"/>
          <w:szCs w:val="32"/>
          <w:lang w:val="en-US" w:eastAsia="zh-CN"/>
        </w:rPr>
        <w:t>（二）守好意识形态，把牢舆论阵地。</w:t>
      </w:r>
      <w:r>
        <w:rPr>
          <w:rFonts w:hint="eastAsia" w:ascii="仿宋_GB2312" w:hAnsi="仿宋" w:eastAsia="仿宋_GB2312"/>
          <w:sz w:val="32"/>
          <w:szCs w:val="32"/>
          <w:lang w:val="en-US" w:eastAsia="zh-CN"/>
        </w:rPr>
        <w:t>严格落实意识形态工作责任制，党委定期分析研判意识形态领域风险，召开研判会4次。加强对医院官网、微信公众号、宣传栏等各类阵地的管理，严格执行信息发布“三审三校”制度，确保内容安全、导向正确。密切关注网络舆情，及时处置苗头性问题，全年未发生重大负面舆情事件。大力弘扬“敬佑生命、救死扶伤、甘于奉献、大爱无疆”的职业精神和社会主义核心价值观，营造了积极向上、风清气正的医院文化氛围。</w:t>
      </w:r>
    </w:p>
    <w:p w14:paraId="120947A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val="en-US" w:eastAsia="zh-CN"/>
        </w:rPr>
      </w:pPr>
      <w:r>
        <w:rPr>
          <w:rFonts w:hint="eastAsia" w:ascii="Times New Roman" w:hAnsi="Times New Roman" w:eastAsia="黑体"/>
          <w:color w:val="auto"/>
          <w:sz w:val="32"/>
          <w:szCs w:val="32"/>
          <w:highlight w:val="none"/>
          <w:lang w:val="en-US" w:eastAsia="zh-CN"/>
        </w:rPr>
        <w:t>二、夯实组织基础，筑牢坚强有力“战斗堡垒”</w:t>
      </w:r>
    </w:p>
    <w:p w14:paraId="19CC65D3">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牢固树立大抓基层的鲜明导向，着力将党支部建设成为引领发展的坚强战斗核心。</w:t>
      </w:r>
    </w:p>
    <w:p w14:paraId="2A1FC83E">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eastAsia" w:ascii="仿宋_GB2312" w:hAnsi="仿宋" w:eastAsia="仿宋_GB2312"/>
          <w:sz w:val="32"/>
          <w:szCs w:val="32"/>
          <w:lang w:val="en-US" w:eastAsia="zh-CN"/>
        </w:rPr>
      </w:pPr>
      <w:r>
        <w:rPr>
          <w:rFonts w:hint="eastAsia" w:ascii="楷体_GB2312" w:hAnsi="仿宋" w:eastAsia="楷体_GB2312"/>
          <w:b/>
          <w:sz w:val="32"/>
          <w:szCs w:val="32"/>
          <w:lang w:val="en-US" w:eastAsia="zh-CN"/>
        </w:rPr>
        <w:t>（一）优化组织设置，建强支部班子。</w:t>
      </w:r>
      <w:r>
        <w:rPr>
          <w:rFonts w:hint="eastAsia" w:ascii="仿宋_GB2312" w:hAnsi="仿宋" w:eastAsia="仿宋_GB2312"/>
          <w:sz w:val="32"/>
          <w:szCs w:val="32"/>
          <w:lang w:val="en-US" w:eastAsia="zh-CN"/>
        </w:rPr>
        <w:t>按照“支部建在科室上”的原则，科学优化党支部设置，确保党的组织和工作全覆盖。大力实施党支部书记“双带头人”培育工程，选拔政治素质高、业务能力强、群众威信好的科室负责人或业务骨干担任党支部书记，有效提升了党支部在科室管理、业务发展中的话语权和引领力。</w:t>
      </w:r>
    </w:p>
    <w:p w14:paraId="197EB137">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eastAsia" w:ascii="仿宋_GB2312" w:hAnsi="仿宋" w:eastAsia="仿宋_GB2312"/>
          <w:sz w:val="32"/>
          <w:szCs w:val="32"/>
          <w:lang w:val="en-US" w:eastAsia="zh-CN"/>
        </w:rPr>
      </w:pPr>
      <w:r>
        <w:rPr>
          <w:rFonts w:hint="eastAsia" w:ascii="楷体_GB2312" w:hAnsi="仿宋" w:eastAsia="楷体_GB2312"/>
          <w:b/>
          <w:sz w:val="32"/>
          <w:szCs w:val="32"/>
          <w:lang w:val="en-US" w:eastAsia="zh-CN"/>
        </w:rPr>
        <w:t>（二）规范组织生活，激发队伍活力。</w:t>
      </w:r>
      <w:r>
        <w:rPr>
          <w:rFonts w:hint="eastAsia" w:ascii="仿宋_GB2312" w:hAnsi="仿宋" w:eastAsia="仿宋_GB2312"/>
          <w:sz w:val="32"/>
          <w:szCs w:val="32"/>
          <w:lang w:val="en-US" w:eastAsia="zh-CN"/>
        </w:rPr>
        <w:t>深入推进党支部标准化规范化建设，严格落实“三会一课”、组织生活会、民主评议党员、主题党日等基本制度，提升组织生活质量。召开支委会、党员大会30次，主题党日活动24次，组织生活会2次。</w:t>
      </w:r>
      <w:r>
        <w:rPr>
          <w:rFonts w:hint="eastAsia" w:ascii="仿宋_GB2312" w:hAnsi="仿宋" w:eastAsia="仿宋_GB2312"/>
          <w:sz w:val="32"/>
          <w:szCs w:val="32"/>
          <w:lang w:val="zh-TW" w:eastAsia="zh-CN"/>
        </w:rPr>
        <w:t>组织</w:t>
      </w:r>
      <w:r>
        <w:rPr>
          <w:rFonts w:hint="default" w:ascii="仿宋_GB2312" w:hAnsi="仿宋" w:eastAsia="仿宋_GB2312"/>
          <w:sz w:val="32"/>
          <w:szCs w:val="32"/>
          <w:lang w:val="zh-TW" w:eastAsia="zh-CN"/>
        </w:rPr>
        <w:t>开展科级及以下干部学习贯彻党的二十届三中全会精神专题培训</w:t>
      </w:r>
      <w:r>
        <w:rPr>
          <w:rFonts w:hint="eastAsia" w:ascii="仿宋_GB2312" w:hAnsi="仿宋" w:eastAsia="仿宋_GB2312"/>
          <w:sz w:val="32"/>
          <w:szCs w:val="32"/>
          <w:lang w:val="zh-TW" w:eastAsia="zh-CN"/>
        </w:rPr>
        <w:t>，引导党员深刻领会新时代要求，将学习成果转化为服务患者、改进工作的实际行动</w:t>
      </w:r>
      <w:r>
        <w:rPr>
          <w:rFonts w:hint="default" w:ascii="仿宋_GB2312" w:hAnsi="仿宋" w:eastAsia="仿宋_GB2312"/>
          <w:sz w:val="32"/>
          <w:szCs w:val="32"/>
          <w:lang w:val="en-US" w:eastAsia="zh-CN"/>
        </w:rPr>
        <w:t>。</w:t>
      </w:r>
      <w:r>
        <w:rPr>
          <w:rFonts w:hint="eastAsia" w:ascii="仿宋_GB2312" w:hAnsi="仿宋" w:eastAsia="仿宋_GB2312"/>
          <w:sz w:val="32"/>
          <w:szCs w:val="32"/>
          <w:lang w:val="en-US" w:eastAsia="zh-CN"/>
        </w:rPr>
        <w:t>严把党员发展“入口关”，注重在医疗一线、青年骨干和高知群体中发展党员，全年发展预备党员1名、入党积极分子2人、提交入党申请书1人，为党组织注入新鲜血液。</w:t>
      </w:r>
    </w:p>
    <w:p w14:paraId="61D1D47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val="en-US" w:eastAsia="zh-CN"/>
        </w:rPr>
      </w:pPr>
      <w:r>
        <w:rPr>
          <w:rFonts w:hint="eastAsia" w:ascii="Times New Roman" w:hAnsi="Times New Roman" w:eastAsia="黑体"/>
          <w:color w:val="auto"/>
          <w:sz w:val="32"/>
          <w:szCs w:val="32"/>
          <w:highlight w:val="none"/>
          <w:lang w:val="en-US" w:eastAsia="zh-CN"/>
        </w:rPr>
        <w:t>三、深化党建业务融合，点燃服务为民“红色引擎”</w:t>
      </w:r>
    </w:p>
    <w:p w14:paraId="04C8A309">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医院党委始终坚持“围绕发展抓党建，抓好党建促发展”，推动党建工作深度融入医院中心工作和为民服务实践。</w:t>
      </w:r>
    </w:p>
    <w:p w14:paraId="119A9F7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default" w:ascii="仿宋_GB2312" w:hAnsi="仿宋" w:eastAsia="仿宋_GB2312"/>
          <w:sz w:val="32"/>
          <w:szCs w:val="32"/>
          <w:lang w:val="en-US" w:eastAsia="zh-CN"/>
        </w:rPr>
      </w:pPr>
      <w:r>
        <w:rPr>
          <w:rFonts w:hint="eastAsia" w:ascii="楷体_GB2312" w:hAnsi="仿宋" w:eastAsia="楷体_GB2312"/>
          <w:b/>
          <w:sz w:val="32"/>
          <w:szCs w:val="32"/>
          <w:lang w:val="en-US" w:eastAsia="zh-CN"/>
        </w:rPr>
        <w:t>（一）服务大局，在重大任务中彰显担当。</w:t>
      </w:r>
      <w:r>
        <w:rPr>
          <w:rFonts w:hint="eastAsia" w:ascii="方正仿宋_GBK" w:hAnsi="方正仿宋_GBK" w:eastAsia="方正仿宋_GBK" w:cs="方正仿宋_GBK"/>
          <w:b w:val="0"/>
          <w:bCs/>
          <w:sz w:val="32"/>
          <w:szCs w:val="40"/>
          <w:lang w:val="en-US" w:eastAsia="zh-CN"/>
        </w:rPr>
        <w:t>在</w:t>
      </w:r>
      <w:r>
        <w:rPr>
          <w:rFonts w:hint="eastAsia" w:ascii="仿宋_GB2312" w:hAnsi="仿宋" w:eastAsia="仿宋_GB2312"/>
          <w:sz w:val="32"/>
          <w:szCs w:val="32"/>
          <w:lang w:val="en-US" w:eastAsia="zh-CN"/>
        </w:rPr>
        <w:t>保障重大活动医疗安全等急难险重任务面前，组建“党员先锋队”，设立“党员示范岗”，引导广大党员冲锋在前、勇挑重担，充分发挥了先锋模范作用。</w:t>
      </w:r>
      <w:r>
        <w:rPr>
          <w:rFonts w:hint="default" w:ascii="仿宋_GB2312" w:hAnsi="仿宋" w:eastAsia="仿宋_GB2312"/>
          <w:sz w:val="32"/>
          <w:szCs w:val="32"/>
          <w:lang w:val="en-US" w:eastAsia="zh-CN"/>
        </w:rPr>
        <w:t>联合州纪委监委开展“健康护航·关爱同行”义诊进机关活动，组织开展“庆七一，送健康”、中医药文化进校园、“e路银龄”等活动。</w:t>
      </w:r>
      <w:r>
        <w:rPr>
          <w:rFonts w:hint="eastAsia" w:ascii="仿宋_GB2312" w:hAnsi="仿宋" w:eastAsia="仿宋_GB2312"/>
          <w:sz w:val="32"/>
          <w:szCs w:val="32"/>
          <w:lang w:val="en-US" w:eastAsia="zh-CN"/>
        </w:rPr>
        <w:t>组织开展</w:t>
      </w:r>
      <w:r>
        <w:rPr>
          <w:rFonts w:hint="default" w:ascii="仿宋_GB2312" w:hAnsi="仿宋" w:eastAsia="仿宋_GB2312"/>
          <w:sz w:val="32"/>
          <w:szCs w:val="32"/>
          <w:lang w:val="en-US" w:eastAsia="zh-CN"/>
        </w:rPr>
        <w:t>医术比拼共提升・以赛促学励精兵——阿坝州藏医院开展创伤后失血性休克、心跳骤停急救比赛</w:t>
      </w:r>
      <w:r>
        <w:rPr>
          <w:rFonts w:hint="eastAsia" w:ascii="仿宋_GB2312" w:hAnsi="仿宋" w:eastAsia="仿宋_GB2312"/>
          <w:sz w:val="32"/>
          <w:szCs w:val="32"/>
          <w:lang w:val="en-US" w:eastAsia="zh-CN"/>
        </w:rPr>
        <w:t>，</w:t>
      </w:r>
      <w:r>
        <w:rPr>
          <w:rFonts w:hint="default" w:ascii="仿宋_GB2312" w:hAnsi="仿宋" w:eastAsia="仿宋_GB2312"/>
          <w:sz w:val="32"/>
          <w:szCs w:val="32"/>
          <w:lang w:val="en-US" w:eastAsia="zh-CN"/>
        </w:rPr>
        <w:t>以模范行动引领带动全院职工，切实将党员的先进性转化为推动医院“提质增效”的强大动能与实际成效。</w:t>
      </w:r>
      <w:r>
        <w:rPr>
          <w:rFonts w:hint="eastAsia" w:ascii="仿宋_GB2312" w:hAnsi="仿宋" w:eastAsia="仿宋_GB2312"/>
          <w:sz w:val="32"/>
          <w:szCs w:val="32"/>
          <w:lang w:val="en-US" w:eastAsia="zh-CN"/>
        </w:rPr>
        <w:t>打造羌医名医工作室。在微信公众号宣传羌医药世家、第六代羌医羌药及羌文化传承人，主任医师杨福寿来院坐诊。</w:t>
      </w:r>
    </w:p>
    <w:p w14:paraId="4D5371F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 w:eastAsia="仿宋_GB2312"/>
          <w:sz w:val="32"/>
          <w:szCs w:val="32"/>
          <w:lang w:val="en-US" w:eastAsia="zh-CN"/>
        </w:rPr>
      </w:pPr>
      <w:r>
        <w:rPr>
          <w:rFonts w:hint="eastAsia" w:ascii="楷体_GB2312" w:hAnsi="仿宋" w:eastAsia="楷体_GB2312"/>
          <w:b/>
          <w:bCs w:val="0"/>
          <w:sz w:val="32"/>
          <w:szCs w:val="32"/>
          <w:lang w:val="en-US" w:eastAsia="zh-CN"/>
        </w:rPr>
        <w:t>（二）赋能业务，在提升质量中融合共进。</w:t>
      </w:r>
      <w:r>
        <w:rPr>
          <w:rFonts w:hint="eastAsia" w:ascii="方正仿宋_GBK" w:hAnsi="方正仿宋_GBK" w:eastAsia="方正仿宋_GBK" w:cs="方正仿宋_GBK"/>
          <w:b w:val="0"/>
          <w:bCs/>
          <w:sz w:val="32"/>
          <w:szCs w:val="40"/>
          <w:lang w:val="en-US" w:eastAsia="zh-CN"/>
        </w:rPr>
        <w:t>积</w:t>
      </w:r>
      <w:r>
        <w:rPr>
          <w:rFonts w:hint="eastAsia" w:ascii="仿宋_GB2312" w:hAnsi="仿宋" w:eastAsia="仿宋_GB2312"/>
          <w:sz w:val="32"/>
          <w:szCs w:val="32"/>
          <w:lang w:val="en-US" w:eastAsia="zh-CN"/>
        </w:rPr>
        <w:t>极探索“党建+医疗服务”新模式，开展“党建查房”，将支部会议开到临床一线，现场协调解决医疗服务和科室发展的难题。推动党建与学科建设、人才培养深度融合，深入实施“双培养”工程，努力把业务骨干培养成党员，把党员培养成业务骨干或管理干部。完成2025年度阿坝考点中藏医“执业医师实践技能考核”“中医医术确有专长人员医师资格考核”“传统医学师承和确有专长人员临床实践技能考核”工作。</w:t>
      </w:r>
      <w:r>
        <w:rPr>
          <w:rFonts w:hint="default" w:ascii="仿宋_GB2312" w:hAnsi="仿宋" w:eastAsia="仿宋_GB2312"/>
          <w:sz w:val="32"/>
          <w:szCs w:val="32"/>
          <w:lang w:val="en-US" w:eastAsia="zh-CN"/>
        </w:rPr>
        <w:t>3项科研项目分别获省中医药管理局、省科技厅、州社科联立项。9项继教项目入选省中医药管理局2025年度省级项目。完成仁青“佐塔”研制教学培训，研制仁青“佐塔”64.4公斤，价值483万元。今年，</w:t>
      </w:r>
      <w:r>
        <w:rPr>
          <w:rFonts w:hint="eastAsia" w:ascii="仿宋_GB2312" w:hAnsi="仿宋" w:eastAsia="仿宋_GB2312"/>
          <w:sz w:val="32"/>
          <w:szCs w:val="32"/>
          <w:lang w:val="en-US" w:eastAsia="zh-CN"/>
        </w:rPr>
        <w:t>1人入选四川省名中医，2人分别获阿坝州优秀菁英人才、阿坝州优秀骨干人才荣誉称号，建立州政协医卫界别委员工作室。</w:t>
      </w:r>
    </w:p>
    <w:p w14:paraId="3884A61E">
      <w:pPr>
        <w:ind w:firstLine="643" w:firstLineChars="200"/>
        <w:rPr>
          <w:rFonts w:hint="default" w:ascii="仿宋_GB2312" w:hAnsi="仿宋" w:eastAsia="仿宋_GB2312"/>
          <w:sz w:val="32"/>
          <w:szCs w:val="32"/>
          <w:lang w:val="en-US" w:eastAsia="zh-CN"/>
        </w:rPr>
      </w:pPr>
      <w:r>
        <w:rPr>
          <w:rFonts w:hint="eastAsia" w:ascii="楷体_GB2312" w:hAnsi="仿宋" w:eastAsia="楷体_GB2312"/>
          <w:b/>
          <w:bCs w:val="0"/>
          <w:sz w:val="32"/>
          <w:szCs w:val="32"/>
          <w:lang w:val="en-US" w:eastAsia="zh-CN"/>
        </w:rPr>
        <w:t>（三）心系群众，在惠民服务中践行初心。</w:t>
      </w:r>
      <w:r>
        <w:rPr>
          <w:rFonts w:hint="eastAsia" w:ascii="仿宋_GB2312" w:hAnsi="仿宋" w:eastAsia="仿宋_GB2312"/>
          <w:sz w:val="32"/>
          <w:szCs w:val="32"/>
          <w:lang w:val="en-US" w:eastAsia="zh-CN"/>
        </w:rPr>
        <w:t>坚持把解决群众“看病难、看病贵”问题作为党建工作的出发点和落脚点。定期组织党员骨干医疗队，深入红原县、壤塘县、金川县开展托底性帮扶、“爱心爸妈”助学结对关爱服务、“石榴籽”健康义诊保障行动、社区“双报到”等群众工作20次，免费发放药品16万余元，让群众在家门口享受到优质的藏医药服务和医保政策咨询。为托底性帮扶乡镇色地镇未就业大学生提供2个就业岗位、助学奖学金2万元、党建“共建联建”经费1万元、免费送医送药价值4万元，为红原县第二中学教学点赠送藏药品价值1万元。医院阳光天使团队连续三年为州残疾康复中心儿童庆祝“六一”，给与残疾儿童物质与精神双重慰藉。</w:t>
      </w:r>
      <w:r>
        <w:rPr>
          <w:rFonts w:hint="default" w:ascii="仿宋_GB2312" w:hAnsi="仿宋" w:eastAsia="仿宋_GB2312"/>
          <w:sz w:val="32"/>
          <w:szCs w:val="32"/>
          <w:lang w:val="en-US" w:eastAsia="zh-CN"/>
        </w:rPr>
        <w:t>积极响应“送卫生下乡”号召，全年组织义诊巡诊活动1</w:t>
      </w:r>
      <w:r>
        <w:rPr>
          <w:rFonts w:hint="eastAsia" w:ascii="仿宋_GB2312" w:hAnsi="仿宋" w:eastAsia="仿宋_GB2312"/>
          <w:sz w:val="32"/>
          <w:szCs w:val="32"/>
          <w:lang w:val="en-US" w:eastAsia="zh-CN"/>
        </w:rPr>
        <w:t>1</w:t>
      </w:r>
      <w:r>
        <w:rPr>
          <w:rFonts w:hint="default" w:ascii="仿宋_GB2312" w:hAnsi="仿宋" w:eastAsia="仿宋_GB2312"/>
          <w:sz w:val="32"/>
          <w:szCs w:val="32"/>
          <w:lang w:val="en-US" w:eastAsia="zh-CN"/>
        </w:rPr>
        <w:t>场，覆盖阿坝县、小金县等6个县（市），累计服务26天，派出医务人员50余人次。累计服务群众近4000</w:t>
      </w:r>
      <w:r>
        <w:rPr>
          <w:rFonts w:hint="eastAsia" w:ascii="仿宋_GB2312" w:hAnsi="仿宋" w:eastAsia="仿宋_GB2312"/>
          <w:sz w:val="32"/>
          <w:szCs w:val="32"/>
          <w:lang w:val="en-US" w:eastAsia="zh-CN"/>
        </w:rPr>
        <w:t>余</w:t>
      </w:r>
      <w:r>
        <w:rPr>
          <w:rFonts w:hint="default" w:ascii="仿宋_GB2312" w:hAnsi="仿宋" w:eastAsia="仿宋_GB2312"/>
          <w:sz w:val="32"/>
          <w:szCs w:val="32"/>
          <w:lang w:val="en-US" w:eastAsia="zh-CN"/>
        </w:rPr>
        <w:t>人次，开具处方约3400张，发放药品价值约1</w:t>
      </w:r>
      <w:r>
        <w:rPr>
          <w:rFonts w:hint="eastAsia" w:ascii="仿宋_GB2312" w:hAnsi="仿宋" w:eastAsia="仿宋_GB2312"/>
          <w:sz w:val="32"/>
          <w:szCs w:val="32"/>
          <w:lang w:val="en-US" w:eastAsia="zh-CN"/>
        </w:rPr>
        <w:t>4</w:t>
      </w:r>
      <w:r>
        <w:rPr>
          <w:rFonts w:hint="default" w:ascii="仿宋_GB2312" w:hAnsi="仿宋" w:eastAsia="仿宋_GB2312"/>
          <w:sz w:val="32"/>
          <w:szCs w:val="32"/>
          <w:lang w:val="en-US" w:eastAsia="zh-CN"/>
        </w:rPr>
        <w:t>.5万元，其中“百千万”行活动单场服务近千人次，有效缓解了偏远地区群众就医难题。</w:t>
      </w:r>
    </w:p>
    <w:p w14:paraId="0F7FB90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rPr>
      </w:pPr>
      <w:bookmarkStart w:id="8" w:name="_Toc15396601"/>
      <w:bookmarkStart w:id="9" w:name="_Toc15377200"/>
      <w:r>
        <w:rPr>
          <w:rFonts w:hint="eastAsia" w:ascii="Times New Roman" w:hAnsi="Times New Roman" w:eastAsia="仿宋_GB2312" w:cs="仿宋_GB2312"/>
          <w:b/>
          <w:bCs/>
          <w:color w:val="auto"/>
          <w:sz w:val="32"/>
          <w:szCs w:val="32"/>
          <w:highlight w:val="none"/>
        </w:rPr>
        <w:t>二、机构设置</w:t>
      </w:r>
      <w:bookmarkEnd w:id="8"/>
      <w:bookmarkEnd w:id="9"/>
    </w:p>
    <w:p w14:paraId="1B8EFF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阿坝藏族羌族自治州藏医院（阿坝藏族羌族自治州藏医药研究所）下属二级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311DD62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纳入阿坝藏族羌族自治州藏医院（阿坝藏族羌族自治州藏医药研究所）</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w:t>
      </w:r>
      <w:r>
        <w:rPr>
          <w:rFonts w:hint="eastAsia" w:eastAsia="仿宋_GB2312" w:cs="仿宋_GB2312"/>
          <w:color w:val="auto"/>
          <w:sz w:val="32"/>
          <w:szCs w:val="32"/>
          <w:highlight w:val="none"/>
          <w:lang w:val="en-US" w:eastAsia="zh-CN"/>
        </w:rPr>
        <w:t>0个。</w:t>
      </w:r>
    </w:p>
    <w:p w14:paraId="6EEAA98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3CAA3C8">
      <w:pPr>
        <w:pStyle w:val="2"/>
        <w:jc w:val="center"/>
        <w:rPr>
          <w:rFonts w:ascii="Times New Roman" w:hAnsi="Times New Roman"/>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0"/>
      <w:bookmarkEnd w:id="11"/>
    </w:p>
    <w:p w14:paraId="5079339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5316F97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lang w:val="en-US" w:eastAsia="zh-CN"/>
        </w:rPr>
        <w:t>97.27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13.77</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上升0.4</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是2025年度项目增加。</w:t>
      </w:r>
    </w:p>
    <w:p w14:paraId="59F7AF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仿宋" w:hAnsi="仿宋" w:eastAsia="仿宋" w:cs="Times New Roman"/>
          <w:kern w:val="2"/>
          <w:sz w:val="32"/>
          <w:szCs w:val="32"/>
        </w:rPr>
        <w:pict>
          <v:shape id="Object 5" o:spid="_x0000_s1027" o:spt="75" type="#_x0000_t75" style="position:absolute;left:0pt;margin-left:8.25pt;margin-top:6.75pt;height:219.2pt;width:353.3pt;z-index:251659264;mso-width-relative:page;mso-height-relative:page;" o:ole="t" filled="f" o:preferrelative="t" stroked="f" coordsize="21600,21600">
            <v:path/>
            <v:fill on="f" focussize="0,0"/>
            <v:stroke on="f"/>
            <v:imagedata r:id="rId9" o:title=""/>
            <o:lock v:ext="edit" aspectratio="f"/>
          </v:shape>
          <o:OLEObject Type="Embed" ProgID="Excel.Chart.8" ShapeID="Object 5" DrawAspect="Content" ObjectID="_1468075725" r:id="rId8">
            <o:LockedField>false</o:LockedField>
          </o:OLEObject>
        </w:pict>
      </w:r>
    </w:p>
    <w:p w14:paraId="32B0AD6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E9B26B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BEAFB7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179772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00AB94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34A40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17ECB7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326302F0">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p>
    <w:p w14:paraId="17441A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0DCAA5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7D3ADEF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lang w:val="en-US" w:eastAsia="zh-CN"/>
        </w:rPr>
        <w:t>97.27</w:t>
      </w:r>
      <w:r>
        <w:rPr>
          <w:rFonts w:hint="eastAsia" w:ascii="仿宋_GB2312" w:hAnsi="仿宋_GB2312" w:eastAsia="仿宋_GB2312" w:cs="仿宋_GB2312"/>
          <w:sz w:val="32"/>
          <w:szCs w:val="32"/>
        </w:rPr>
        <w:t>万元，其中：一般公共预算财政拨款收入34</w:t>
      </w:r>
      <w:r>
        <w:rPr>
          <w:rFonts w:hint="eastAsia" w:ascii="仿宋_GB2312" w:hAnsi="仿宋_GB2312" w:eastAsia="仿宋_GB2312" w:cs="仿宋_GB2312"/>
          <w:sz w:val="32"/>
          <w:szCs w:val="32"/>
          <w:lang w:val="en-US" w:eastAsia="zh-CN"/>
        </w:rPr>
        <w:t>97.27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 w:hAnsi="仿宋" w:eastAsia="仿宋" w:cs="Times New Roman"/>
          <w:kern w:val="2"/>
          <w:sz w:val="32"/>
          <w:szCs w:val="32"/>
        </w:rPr>
        <w:pict>
          <v:shape id="Object 6" o:spid="_x0000_s1028" o:spt="75" type="#_x0000_t75" style="position:absolute;left:0pt;margin-left:58.5pt;margin-top:33.1pt;height:193.2pt;width:294.8pt;z-index:251660288;mso-width-relative:page;mso-height-relative:page;" o:ole="t" filled="f" o:preferrelative="t" stroked="f" coordsize="21600,21600">
            <v:path/>
            <v:fill on="f" focussize="0,0"/>
            <v:stroke on="f"/>
            <v:imagedata r:id="rId11" o:title=""/>
            <o:lock v:ext="edit" aspectratio="f"/>
          </v:shape>
          <o:OLEObject Type="Embed" ProgID="Excel.Chart.8" ShapeID="Object 6" DrawAspect="Content" ObjectID="_1468075726" r:id="rId10">
            <o:LockedField>false</o:LockedField>
          </o:OLEObject>
        </w:pic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7131990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14:paraId="3AD912D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14:paraId="14FE5E5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14:paraId="424897C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14:paraId="49CC91B3">
      <w:pPr>
        <w:rPr>
          <w:rFonts w:hint="eastAsia" w:ascii="Times New Roman" w:hAnsi="Times New Roman" w:eastAsia="仿宋_GB2312" w:cs="仿宋_GB2312"/>
          <w:color w:val="auto"/>
          <w:sz w:val="32"/>
          <w:szCs w:val="32"/>
          <w:highlight w:val="none"/>
          <w:lang w:eastAsia="zh-CN"/>
        </w:rPr>
      </w:pPr>
    </w:p>
    <w:p w14:paraId="70879B19">
      <w:pPr>
        <w:ind w:firstLine="1280" w:firstLineChars="4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22B216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44463CD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 w:hAnsi="仿宋" w:eastAsia="仿宋" w:cs="Times New Roman"/>
          <w:kern w:val="2"/>
          <w:sz w:val="32"/>
          <w:szCs w:val="32"/>
        </w:rPr>
        <w:pict>
          <v:shape id="Object 8" o:spid="_x0000_s1029" o:spt="75" type="#_x0000_t75" style="position:absolute;left:0pt;margin-left:60.5pt;margin-top:119.65pt;height:186.05pt;width:286.5pt;z-index:-251655168;mso-width-relative:page;mso-height-relative:page;" o:ole="t" filled="f" o:preferrelative="t" stroked="f" coordsize="21600,21600">
            <v:path/>
            <v:fill on="f" focussize="0,0"/>
            <v:stroke on="f"/>
            <v:imagedata r:id="rId13" o:title=""/>
            <o:lock v:ext="edit" aspectratio="t"/>
          </v:shape>
          <o:OLEObject Type="Embed" ProgID="Excel.Chart.8" ShapeID="Object 8" DrawAspect="Content" ObjectID="_1468075727" r:id="rId12">
            <o:LockedField>false</o:LockedField>
          </o:OLEObject>
        </w:pic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497.27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390.46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96.95</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val="en-US" w:eastAsia="zh-CN"/>
        </w:rPr>
        <w:t>106.81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3.05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29F250FD">
      <w:pPr>
        <w:ind w:firstLine="800" w:firstLineChars="250"/>
        <w:rPr>
          <w:rFonts w:hint="eastAsia" w:ascii="Times New Roman" w:hAnsi="Times New Roman" w:eastAsia="仿宋_GB2312" w:cs="仿宋_GB2312"/>
          <w:color w:val="auto"/>
          <w:sz w:val="32"/>
          <w:szCs w:val="32"/>
          <w:highlight w:val="none"/>
          <w:lang w:eastAsia="zh-CN"/>
        </w:rPr>
      </w:pPr>
    </w:p>
    <w:p w14:paraId="214FC27B">
      <w:pPr>
        <w:ind w:firstLine="800" w:firstLineChars="250"/>
        <w:rPr>
          <w:rFonts w:hint="eastAsia" w:ascii="Times New Roman" w:hAnsi="Times New Roman" w:eastAsia="仿宋_GB2312" w:cs="仿宋_GB2312"/>
          <w:color w:val="auto"/>
          <w:sz w:val="32"/>
          <w:szCs w:val="32"/>
          <w:highlight w:val="none"/>
          <w:lang w:eastAsia="zh-CN"/>
        </w:rPr>
      </w:pPr>
    </w:p>
    <w:p w14:paraId="45DDB315">
      <w:pPr>
        <w:ind w:firstLine="800" w:firstLineChars="250"/>
        <w:rPr>
          <w:rFonts w:hint="eastAsia" w:ascii="Times New Roman" w:hAnsi="Times New Roman" w:eastAsia="仿宋_GB2312" w:cs="仿宋_GB2312"/>
          <w:color w:val="auto"/>
          <w:sz w:val="32"/>
          <w:szCs w:val="32"/>
          <w:highlight w:val="none"/>
          <w:lang w:eastAsia="zh-CN"/>
        </w:rPr>
      </w:pPr>
    </w:p>
    <w:p w14:paraId="790E2421">
      <w:pPr>
        <w:ind w:firstLine="800" w:firstLineChars="250"/>
        <w:rPr>
          <w:rFonts w:hint="eastAsia" w:ascii="Times New Roman" w:hAnsi="Times New Roman" w:eastAsia="仿宋_GB2312" w:cs="仿宋_GB2312"/>
          <w:color w:val="auto"/>
          <w:sz w:val="32"/>
          <w:szCs w:val="32"/>
          <w:highlight w:val="none"/>
          <w:lang w:eastAsia="zh-CN"/>
        </w:rPr>
      </w:pPr>
    </w:p>
    <w:p w14:paraId="19A882E7">
      <w:pPr>
        <w:ind w:firstLine="960" w:firstLineChars="300"/>
        <w:rPr>
          <w:rFonts w:hint="eastAsia" w:ascii="Times New Roman" w:hAnsi="Times New Roman" w:eastAsia="黑体"/>
          <w:color w:val="auto"/>
          <w:sz w:val="32"/>
          <w:szCs w:val="32"/>
          <w:highlight w:val="none"/>
        </w:rPr>
      </w:pPr>
      <w:r>
        <w:rPr>
          <w:rFonts w:hint="eastAsia" w:ascii="Times New Roman" w:hAnsi="Times New Roman" w:eastAsia="仿宋_GB2312" w:cs="仿宋_GB2312"/>
          <w:color w:val="auto"/>
          <w:sz w:val="32"/>
          <w:szCs w:val="32"/>
          <w:highlight w:val="none"/>
          <w:lang w:eastAsia="zh-CN"/>
        </w:rPr>
        <w:t>（图3：支出决算结构图）（饼状图）</w:t>
      </w:r>
      <w:bookmarkStart w:id="18" w:name="_Toc15377208"/>
      <w:bookmarkStart w:id="19" w:name="_Toc15396606"/>
    </w:p>
    <w:p w14:paraId="68ADA729">
      <w:pPr>
        <w:spacing w:line="600" w:lineRule="exact"/>
        <w:ind w:firstLine="640" w:firstLineChars="200"/>
        <w:outlineLvl w:val="1"/>
        <w:rPr>
          <w:rFonts w:hint="eastAsia" w:ascii="Times New Roman" w:hAnsi="Times New Roman" w:eastAsia="黑体"/>
          <w:color w:val="auto"/>
          <w:sz w:val="32"/>
          <w:szCs w:val="32"/>
          <w:highlight w:val="none"/>
        </w:rPr>
      </w:pPr>
    </w:p>
    <w:p w14:paraId="2ACC073A">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27658A2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3497.27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w:t>
      </w:r>
      <w:r>
        <w:rPr>
          <w:rFonts w:hint="eastAsia" w:eastAsia="仿宋_GB2312" w:cs="仿宋_GB2312"/>
          <w:color w:val="auto"/>
          <w:kern w:val="2"/>
          <w:sz w:val="32"/>
          <w:szCs w:val="32"/>
          <w:highlight w:val="none"/>
          <w:lang w:val="en-US" w:eastAsia="zh-CN" w:bidi="ar-SA"/>
        </w:rPr>
        <w:t>增加了13.77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val="en-US" w:eastAsia="zh-CN"/>
        </w:rPr>
        <w:t>上升0.4</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2025年度项目增加。</w:t>
      </w:r>
    </w:p>
    <w:p w14:paraId="190611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kern w:val="2"/>
          <w:sz w:val="32"/>
          <w:szCs w:val="32"/>
        </w:rPr>
        <w:pict>
          <v:shape id="Object 11" o:spid="_x0000_s1030" o:spt="75" type="#_x0000_t75" style="position:absolute;left:0pt;margin-left:17.5pt;margin-top:16.65pt;height:184.05pt;width:345.75pt;z-index:251662336;mso-width-relative:page;mso-height-relative:page;" o:ole="t" filled="f" o:preferrelative="t" stroked="f" coordsize="21600,21600">
            <v:path/>
            <v:fill on="f" focussize="0,0"/>
            <v:stroke on="f"/>
            <v:imagedata r:id="rId15" o:title=""/>
            <o:lock v:ext="edit" aspectratio="f"/>
          </v:shape>
          <o:OLEObject Type="Embed" ProgID="Excel.Chart.8" ShapeID="Object 11" DrawAspect="Content" ObjectID="_1468075728" r:id="rId14">
            <o:LockedField>false</o:LockedField>
          </o:OLEObject>
        </w:pict>
      </w:r>
    </w:p>
    <w:p w14:paraId="06E17C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0974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5B2B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6E2C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850B2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F0A8A92">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BDB14DC">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5B035FA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69A802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cs="Times New Roman"/>
          <w:kern w:val="2"/>
          <w:sz w:val="32"/>
          <w:szCs w:val="32"/>
        </w:rPr>
        <w:pict>
          <v:shape id="Object 12" o:spid="_x0000_s1031" o:spt="75" type="#_x0000_t75" style="position:absolute;left:0pt;margin-left:37.95pt;margin-top:111.45pt;height:201.9pt;width:337.8pt;z-index:251663360;mso-width-relative:page;mso-height-relative:page;" o:ole="t" filled="f" o:preferrelative="t" stroked="f" coordsize="21600,21600">
            <v:path/>
            <v:fill on="f" focussize="0,0"/>
            <v:stroke on="f"/>
            <v:imagedata r:id="rId17" o:title=""/>
            <o:lock v:ext="edit" aspectratio="t"/>
          </v:shape>
          <o:OLEObject Type="Embed" ProgID="Excel.Chart.8" ShapeID="Object 12" DrawAspect="Content" ObjectID="_1468075729" r:id="rId16">
            <o:LockedField>false</o:LockedField>
          </o:OLEObject>
        </w:pict>
      </w:r>
      <w:r>
        <w:rPr>
          <w:rFonts w:hint="eastAsia" w:ascii="仿宋_GB2312" w:hAnsi="仿宋_GB2312" w:eastAsia="仿宋_GB2312" w:cs="仿宋_GB2312"/>
          <w:color w:val="auto"/>
          <w:kern w:val="2"/>
          <w:sz w:val="32"/>
          <w:szCs w:val="32"/>
          <w:highlight w:val="none"/>
          <w:lang w:val="en-US" w:eastAsia="zh-CN" w:bidi="ar-SA"/>
        </w:rPr>
        <w:t>2025年度一般公共预算财政拨款支出3497.27万元，占本年支出合计的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%。与2024年度相比，一般公共预算财政拨款支出增加了13.77万元，</w:t>
      </w:r>
      <w:r>
        <w:rPr>
          <w:rFonts w:hint="eastAsia" w:eastAsia="仿宋_GB2312" w:cs="仿宋_GB2312"/>
          <w:color w:val="auto"/>
          <w:sz w:val="32"/>
          <w:szCs w:val="32"/>
          <w:highlight w:val="none"/>
          <w:lang w:val="en-US" w:eastAsia="zh-CN"/>
        </w:rPr>
        <w:t>上升0.4</w:t>
      </w:r>
      <w:r>
        <w:rPr>
          <w:rFonts w:hint="eastAsia" w:ascii="Times New Roman" w:hAnsi="Times New Roman" w:eastAsia="仿宋_GB2312" w:cs="仿宋_GB2312"/>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。主要变动原因是2025年项目支出增加。</w:t>
      </w:r>
    </w:p>
    <w:p w14:paraId="12F0145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17B522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24D93A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6F7468E">
      <w:pPr>
        <w:spacing w:line="600" w:lineRule="exact"/>
        <w:ind w:firstLine="640"/>
        <w:rPr>
          <w:rFonts w:hint="default" w:ascii="仿宋_GB2312" w:hAnsi="仿宋_GB2312" w:eastAsia="仿宋_GB2312" w:cs="仿宋_GB2312"/>
          <w:color w:val="auto"/>
          <w:kern w:val="2"/>
          <w:sz w:val="32"/>
          <w:szCs w:val="32"/>
          <w:highlight w:val="none"/>
          <w:lang w:val="en-US" w:eastAsia="zh-CN" w:bidi="ar-SA"/>
        </w:rPr>
      </w:pPr>
    </w:p>
    <w:p w14:paraId="28C5E8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9AED8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C0BE4EB">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（柱状图）</w:t>
      </w:r>
    </w:p>
    <w:p w14:paraId="2E08CB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295ACC8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 w:hAnsi="仿宋" w:eastAsia="仿宋" w:cs="Times New Roman"/>
          <w:kern w:val="2"/>
          <w:sz w:val="32"/>
          <w:szCs w:val="32"/>
        </w:rPr>
        <w:pict>
          <v:shape id="Object 13" o:spid="_x0000_s1032" o:spt="75" type="#_x0000_t75" style="position:absolute;left:0pt;margin-left:-1.2pt;margin-top:248.8pt;height:239.35pt;width:383.5pt;mso-wrap-distance-bottom:41pt;mso-wrap-distance-left:171.7pt;mso-wrap-distance-right:17.95pt;mso-wrap-distance-top:27.8pt;z-index:251664384;mso-width-relative:page;mso-height-relative:page;" o:ole="t" filled="f" o:preferrelative="t" stroked="f" coordsize="21600,21600">
            <v:path/>
            <v:fill on="f" focussize="0,0"/>
            <v:stroke on="f"/>
            <v:imagedata r:id="rId19" o:title=""/>
            <o:lock v:ext="edit" aspectratio="t"/>
            <w10:wrap type="square" side="right"/>
          </v:shape>
          <o:OLEObject Type="Embed" ProgID="Excel.Chart.8" ShapeID="Object 13" DrawAspect="Content" ObjectID="_1468075730" r:id="rId18">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3497.27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8.85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0.26</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299.34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8.56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3014.39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86.19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174.69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4.99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8940406">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1E5DE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8B865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lang w:val="en-US" w:eastAsia="zh-CN"/>
        </w:rPr>
        <w:t>97.27万元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1EC3598">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426C88C">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2.教育（类）（款）（项）: 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DEBDD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w:t>
      </w:r>
      <w:r>
        <w:rPr>
          <w:rFonts w:hint="eastAsia" w:eastAsia="仿宋_GB2312" w:cs="仿宋_GB2312"/>
          <w:color w:val="auto"/>
          <w:kern w:val="2"/>
          <w:sz w:val="32"/>
          <w:szCs w:val="32"/>
          <w:highlight w:val="none"/>
          <w:lang w:val="en-US" w:eastAsia="zh-CN" w:bidi="ar-SA"/>
        </w:rPr>
        <w:t>206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8.85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FF1791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E53322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299.34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E2355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3014.39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8E787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B1DAA22">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51A5DE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3390.46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5ED9E6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382.1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1008.37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B1057E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E40A87F">
      <w:pPr>
        <w:spacing w:line="600" w:lineRule="exact"/>
        <w:ind w:firstLine="640"/>
        <w:outlineLvl w:val="1"/>
        <w:rPr>
          <w:rStyle w:val="30"/>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3B3D393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14:paraId="3AB73875">
      <w:pPr>
        <w:spacing w:line="600" w:lineRule="exact"/>
        <w:ind w:firstLine="640"/>
        <w:rPr>
          <w:rFonts w:hint="default"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77.66</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完成预算95.19%，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较上年度增加</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58.04</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万元，增长</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295</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%。决算数小于预算数的主要原因是</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为例行勤俭节约制度，压减了部分支出。</w:t>
      </w:r>
    </w:p>
    <w:p w14:paraId="7BEB70A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43EC0E8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14:paraId="36EFBEC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万元，占0%；公务用车购置及运行维护费支出决算77.28万元，占99.51%；公务接待费支出决算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kern w:val="2"/>
          <w:sz w:val="32"/>
          <w:szCs w:val="32"/>
          <w:highlight w:val="none"/>
          <w:lang w:val="en-US" w:eastAsia="zh-CN" w:bidi="ar-SA"/>
        </w:rPr>
        <w:t>万元，占0.49%。具体情况如下：</w:t>
      </w:r>
    </w:p>
    <w:p w14:paraId="4553C34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FF27C3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38F9252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ascii="仿宋" w:eastAsia="仿宋"/>
          <w:sz w:val="32"/>
          <w:szCs w:val="32"/>
        </w:rPr>
        <w:pict>
          <v:shape id="对象 2" o:spid="_x0000_s1033" o:spt="75" type="#_x0000_t75" style="position:absolute;left:0pt;margin-left:60.55pt;margin-top:-61.15pt;height:155.55pt;width:298.7pt;z-index:251665408;mso-width-relative:page;mso-height-relative:page;" o:ole="t" filled="f" o:preferrelative="t" stroked="f" coordsize="21600,21600" o:gfxdata="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">
            <v:path/>
            <v:fill on="f" focussize="0,0"/>
            <v:stroke on="f"/>
            <v:imagedata r:id="rId21" o:title=""/>
            <o:lock v:ext="edit" aspectratio="t"/>
          </v:shape>
          <o:OLEObject Type="Embed" ProgID="Excel.Sheet.8" ShapeID="对象 2" DrawAspect="Content" ObjectID="_1468075731" r:id="rId20">
            <o:LockedField>false</o:LockedField>
          </o:OLEObject>
        </w:pict>
      </w:r>
    </w:p>
    <w:p w14:paraId="57F415E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027E4A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F5359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3DC846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p>
    <w:p w14:paraId="4CDA8E1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77.28</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94</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增加57.66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增长293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2025年度新购一辆公务用车。</w:t>
      </w:r>
    </w:p>
    <w:p w14:paraId="4F8722F3">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出52.98</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color w:val="auto"/>
          <w:kern w:val="2"/>
          <w:sz w:val="32"/>
          <w:szCs w:val="32"/>
          <w:highlight w:val="none"/>
          <w:lang w:val="en-US" w:eastAsia="zh-CN" w:bidi="ar-SA"/>
        </w:rPr>
        <w:t>单位共有公务用车5辆，其中：轿车0辆、越野车2辆、载客汽车0辆、特种专业技术用车3辆。</w:t>
      </w:r>
    </w:p>
    <w:p w14:paraId="02FA499A">
      <w:pPr>
        <w:spacing w:line="600" w:lineRule="exact"/>
        <w:ind w:firstLine="64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出24.3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rPr>
        <w:t>主要用于</w:t>
      </w:r>
      <w:r>
        <w:rPr>
          <w:rFonts w:hint="eastAsia" w:ascii="仿宋_GB2312" w:eastAsia="仿宋_GB2312"/>
          <w:sz w:val="32"/>
          <w:szCs w:val="32"/>
          <w:lang w:eastAsia="zh-CN"/>
        </w:rPr>
        <w:t>公务用车和特种专业技术用车义诊巡诊</w:t>
      </w:r>
      <w:r>
        <w:rPr>
          <w:rFonts w:hint="eastAsia" w:ascii="仿宋_GB2312" w:eastAsia="仿宋_GB2312"/>
          <w:sz w:val="32"/>
          <w:szCs w:val="32"/>
        </w:rPr>
        <w:t>等所需的公务用车</w:t>
      </w:r>
      <w:r>
        <w:rPr>
          <w:rFonts w:hint="eastAsia" w:ascii="仿宋_GB2312" w:eastAsia="仿宋_GB2312"/>
          <w:sz w:val="32"/>
          <w:szCs w:val="32"/>
          <w:lang w:eastAsia="zh-CN"/>
        </w:rPr>
        <w:t>和特种专业技术用车</w:t>
      </w:r>
      <w:r>
        <w:rPr>
          <w:rFonts w:hint="eastAsia" w:ascii="仿宋_GB2312" w:eastAsia="仿宋_GB2312"/>
          <w:sz w:val="32"/>
          <w:szCs w:val="32"/>
        </w:rPr>
        <w:t>燃料费、维修费、过路过桥费、保险费等支出。</w:t>
      </w:r>
    </w:p>
    <w:p w14:paraId="16AC77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0.38万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减少0.42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下降52.5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为例行勤俭节约制度，压减了部分支出。</w:t>
      </w:r>
      <w:r>
        <w:rPr>
          <w:rFonts w:hint="eastAsia" w:ascii="Times New Roman" w:hAnsi="Times New Roman" w:eastAsia="仿宋_GB2312" w:cs="仿宋_GB2312"/>
          <w:color w:val="auto"/>
          <w:kern w:val="2"/>
          <w:sz w:val="32"/>
          <w:szCs w:val="32"/>
          <w:highlight w:val="none"/>
          <w:lang w:val="en-US" w:eastAsia="zh-CN" w:bidi="ar-SA"/>
        </w:rPr>
        <w:t>其中：</w:t>
      </w:r>
    </w:p>
    <w:p w14:paraId="5C11D9FA">
      <w:pPr>
        <w:widowControl/>
        <w:spacing w:line="448" w:lineRule="atLeast"/>
        <w:rPr>
          <w:rFonts w:hint="eastAsia"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eastAsia="仿宋_GB2312" w:cs="仿宋_GB2312"/>
          <w:color w:val="auto"/>
          <w:kern w:val="2"/>
          <w:sz w:val="32"/>
          <w:szCs w:val="32"/>
          <w:highlight w:val="none"/>
          <w:lang w:val="en-US" w:eastAsia="zh-CN" w:bidi="ar-SA"/>
        </w:rPr>
        <w:t>我院</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国内公务接待3批次，18人次（不包括陪同人员），共计支出0.38万</w:t>
      </w:r>
      <w:r>
        <w:rPr>
          <w:rFonts w:hint="eastAsia" w:ascii="Times New Roman" w:hAnsi="Times New Roman" w:eastAsia="仿宋_GB2312" w:cs="仿宋_GB2312"/>
          <w:color w:val="auto"/>
          <w:kern w:val="2"/>
          <w:sz w:val="32"/>
          <w:szCs w:val="32"/>
          <w:highlight w:val="none"/>
          <w:lang w:val="en-US" w:eastAsia="zh-CN" w:bidi="ar-SA"/>
        </w:rPr>
        <w:t>元，具体内容包括：</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接若尔盖藏医院一行来我院交流学习，支出金额0.06万元，接待甘孜州藏医院一行来我院考察交流，支出金额0.07万元，接待西南民大一行研发院内制剂工作，支出金额0.25万元。</w:t>
      </w:r>
    </w:p>
    <w:p w14:paraId="5DDEF4A5">
      <w:pPr>
        <w:widowControl/>
        <w:spacing w:line="448" w:lineRule="atLeast"/>
        <w:ind w:firstLine="640" w:firstLineChars="200"/>
        <w:rPr>
          <w:rFonts w:hint="eastAsia" w:ascii="仿宋_GB2312" w:eastAsia="仿宋_GB2312"/>
          <w:color w:val="333333"/>
          <w:sz w:val="32"/>
          <w:szCs w:val="32"/>
        </w:rPr>
      </w:pPr>
      <w:r>
        <w:rPr>
          <w:rFonts w:hint="eastAsia" w:eastAsia="仿宋_GB2312" w:cs="仿宋_GB2312"/>
          <w:color w:val="auto"/>
          <w:kern w:val="2"/>
          <w:sz w:val="32"/>
          <w:szCs w:val="32"/>
          <w:highlight w:val="none"/>
          <w:lang w:val="en-US" w:eastAsia="zh-CN" w:bidi="ar-SA"/>
        </w:rPr>
        <w:t>2025</w:t>
      </w:r>
      <w:r>
        <w:rPr>
          <w:rFonts w:hint="eastAsia" w:cs="宋体" w:asciiTheme="majorEastAsia" w:hAnsiTheme="majorEastAsia" w:eastAsiaTheme="majorEastAsia"/>
          <w:color w:val="000000"/>
          <w:spacing w:val="-2"/>
          <w:kern w:val="0"/>
          <w:sz w:val="28"/>
          <w:szCs w:val="28"/>
        </w:rPr>
        <w:t>年</w:t>
      </w:r>
      <w:r>
        <w:rPr>
          <w:rFonts w:hint="eastAsia" w:ascii="仿宋_GB2312" w:eastAsia="仿宋_GB2312"/>
          <w:color w:val="333333"/>
          <w:sz w:val="32"/>
          <w:szCs w:val="32"/>
        </w:rPr>
        <w:t>“三公”经费财政拨款支出决算中，因公出国（境）费支出决算0元；公务用车购置及运行维护费支出决算</w:t>
      </w:r>
      <w:r>
        <w:rPr>
          <w:rFonts w:hint="eastAsia" w:ascii="仿宋_GB2312" w:eastAsia="仿宋_GB2312"/>
          <w:color w:val="333333"/>
          <w:sz w:val="32"/>
          <w:szCs w:val="32"/>
          <w:lang w:val="en-US" w:eastAsia="zh-CN"/>
        </w:rPr>
        <w:t>77.28</w:t>
      </w:r>
      <w:r>
        <w:rPr>
          <w:rFonts w:hint="eastAsia" w:ascii="仿宋_GB2312" w:eastAsia="仿宋_GB2312"/>
          <w:color w:val="333333"/>
          <w:sz w:val="32"/>
          <w:szCs w:val="32"/>
        </w:rPr>
        <w:t>万元，公务接待费支出决算0.</w:t>
      </w: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8万元，公务接待批次</w:t>
      </w: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次，接待人数共计</w:t>
      </w:r>
      <w:r>
        <w:rPr>
          <w:rFonts w:hint="eastAsia" w:ascii="仿宋_GB2312" w:eastAsia="仿宋_GB2312"/>
          <w:color w:val="333333"/>
          <w:sz w:val="32"/>
          <w:szCs w:val="32"/>
          <w:lang w:val="en-US" w:eastAsia="zh-CN"/>
        </w:rPr>
        <w:t>1</w:t>
      </w:r>
      <w:r>
        <w:rPr>
          <w:rFonts w:hint="eastAsia" w:ascii="仿宋_GB2312" w:eastAsia="仿宋_GB2312"/>
          <w:color w:val="333333"/>
          <w:sz w:val="32"/>
          <w:szCs w:val="32"/>
        </w:rPr>
        <w:t>8人。</w:t>
      </w:r>
    </w:p>
    <w:p w14:paraId="023E03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34" w:name="_Toc15396610"/>
      <w:bookmarkStart w:id="35" w:name="_Toc15377218"/>
    </w:p>
    <w:p w14:paraId="6F95D850">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2AD41F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p>
    <w:p w14:paraId="53879C1C">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615FB5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p>
    <w:p w14:paraId="5E53901C">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96612"/>
      <w:bookmarkStart w:id="3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622F6FF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4BD91A9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阿坝藏族羌族自治州藏医院（阿坝藏族羌族自治州藏医药研究所）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w:t>
      </w:r>
      <w:r>
        <w:rPr>
          <w:rFonts w:hint="eastAsia" w:ascii="仿宋_GB2312" w:eastAsia="仿宋_GB2312"/>
          <w:sz w:val="32"/>
          <w:szCs w:val="32"/>
          <w:lang w:eastAsia="zh-CN"/>
        </w:rPr>
        <w:t>本单位不涉及机关运行经费。</w:t>
      </w:r>
    </w:p>
    <w:p w14:paraId="07FC6DB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48E083C7">
      <w:pPr>
        <w:spacing w:line="60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阿坝藏族羌族自治州藏医院（阿坝藏族羌族自治州藏医药研究所）</w:t>
      </w:r>
      <w:r>
        <w:rPr>
          <w:rFonts w:hint="eastAsia" w:ascii="仿宋_GB2312" w:hAnsi="仿宋_GB2312" w:eastAsia="仿宋_GB2312" w:cs="仿宋_GB2312"/>
          <w:sz w:val="32"/>
          <w:szCs w:val="32"/>
          <w:lang w:val="en-US" w:eastAsia="zh-CN"/>
        </w:rPr>
        <w:t>政府采购支出总额344.51万元，其中：政府采购货物支出73.16万元、政府采购工程支出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万元、政府采购服务支出271.35万元。主要用于我院物业管理服务费及第三方劳务派遣人员工资发放（包含护士、保安、保洁、伙食团等人员工资）。授予中小企业合同金额344.51万元，占政府采购支出总额的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lang w:val="en-US" w:eastAsia="zh-CN"/>
        </w:rPr>
        <w:t>%，其中：授予小微企业合同金额344.51万元，占政府采购支出总额的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lang w:val="en-US" w:eastAsia="zh-CN"/>
        </w:rPr>
        <w:t>%。</w:t>
      </w:r>
    </w:p>
    <w:p w14:paraId="49DA5E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AEBF2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阿坝藏族羌族自治州藏医院（阿坝藏族羌族自治州藏医药研究所）</w:t>
      </w:r>
      <w:r>
        <w:rPr>
          <w:rFonts w:hint="eastAsia" w:ascii="仿宋_GB2312" w:hAnsi="仿宋_GB2312" w:eastAsia="仿宋_GB2312" w:cs="仿宋_GB2312"/>
          <w:color w:val="auto"/>
          <w:kern w:val="2"/>
          <w:sz w:val="32"/>
          <w:szCs w:val="32"/>
          <w:highlight w:val="none"/>
          <w:lang w:val="en-US" w:eastAsia="zh-CN" w:bidi="ar-SA"/>
        </w:rPr>
        <w:t>共有车</w:t>
      </w:r>
      <w:r>
        <w:rPr>
          <w:rFonts w:hint="eastAsia" w:ascii="仿宋_GB2312" w:hAnsi="仿宋_GB2312" w:eastAsia="仿宋_GB2312" w:cs="仿宋_GB2312"/>
          <w:sz w:val="32"/>
          <w:szCs w:val="32"/>
          <w:lang w:val="en-US" w:eastAsia="zh-CN"/>
        </w:rPr>
        <w:t>辆5辆</w:t>
      </w:r>
      <w:r>
        <w:rPr>
          <w:rFonts w:hint="eastAsia" w:ascii="仿宋_GB2312" w:hAnsi="仿宋_GB2312" w:eastAsia="仿宋_GB2312" w:cs="仿宋_GB2312"/>
          <w:color w:val="auto"/>
          <w:kern w:val="2"/>
          <w:sz w:val="32"/>
          <w:szCs w:val="32"/>
          <w:highlight w:val="none"/>
          <w:lang w:val="en-US" w:eastAsia="zh-CN" w:bidi="ar-SA"/>
        </w:rPr>
        <w:t>，其中：主要负责人用车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sz w:val="32"/>
          <w:szCs w:val="32"/>
          <w:lang w:eastAsia="zh-CN"/>
        </w:rPr>
        <w:t>下乡义诊巡诊</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734D0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DA18191">
      <w:pPr>
        <w:widowControl w:val="0"/>
        <w:suppressAutoHyphens/>
        <w:spacing w:line="600" w:lineRule="exact"/>
        <w:ind w:firstLine="640" w:firstLineChars="200"/>
        <w:jc w:val="both"/>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本单位在2025年度预算编制阶段，医疗制剂等特种设备和电梯消防维修保养检测和信息系统运行维护费、医疗垃圾处理费灭菌费、药品、卫生材料、物业管理费、《阿坝藏医药》出版、等10个项目开展了预算事前绩效评估，对10个项目编制了绩效目标，预算执行过程中，选取10个项目开展绩效监控，组织对10个项目开展了绩效自评。绩效自评表见附件（第四部分）。</w:t>
      </w:r>
    </w:p>
    <w:p w14:paraId="160AACDE">
      <w:pPr>
        <w:pStyle w:val="12"/>
        <w:rPr>
          <w:rFonts w:hint="eastAsia" w:ascii="Times New Roman" w:hAnsi="Times New Roman" w:eastAsia="仿宋_GB2312" w:cs="仿宋_GB2312"/>
          <w:color w:val="auto"/>
          <w:kern w:val="2"/>
          <w:sz w:val="32"/>
          <w:szCs w:val="32"/>
          <w:highlight w:val="none"/>
          <w:lang w:val="en-US" w:eastAsia="zh-CN" w:bidi="ar-SA"/>
        </w:rPr>
      </w:pPr>
    </w:p>
    <w:p w14:paraId="1E104439">
      <w:pPr>
        <w:pStyle w:val="13"/>
        <w:rPr>
          <w:rFonts w:hint="eastAsia" w:ascii="Times New Roman" w:hAnsi="Times New Roman" w:eastAsia="仿宋_GB2312" w:cs="仿宋_GB2312"/>
          <w:color w:val="auto"/>
          <w:kern w:val="2"/>
          <w:sz w:val="32"/>
          <w:szCs w:val="32"/>
          <w:highlight w:val="none"/>
          <w:lang w:val="en-US" w:eastAsia="zh-CN" w:bidi="ar-SA"/>
        </w:rPr>
      </w:pPr>
    </w:p>
    <w:p w14:paraId="3D419ACE">
      <w:pPr>
        <w:pStyle w:val="13"/>
        <w:rPr>
          <w:rFonts w:hint="eastAsia" w:ascii="Times New Roman" w:hAnsi="Times New Roman" w:eastAsia="仿宋_GB2312" w:cs="仿宋_GB2312"/>
          <w:color w:val="auto"/>
          <w:kern w:val="2"/>
          <w:sz w:val="32"/>
          <w:szCs w:val="32"/>
          <w:highlight w:val="none"/>
          <w:lang w:val="en-US" w:eastAsia="zh-CN" w:bidi="ar-SA"/>
        </w:rPr>
      </w:pPr>
    </w:p>
    <w:p w14:paraId="50E372D6">
      <w:pPr>
        <w:pStyle w:val="13"/>
        <w:rPr>
          <w:rFonts w:hint="eastAsia" w:ascii="Times New Roman" w:hAnsi="Times New Roman" w:eastAsia="仿宋_GB2312" w:cs="仿宋_GB2312"/>
          <w:color w:val="auto"/>
          <w:kern w:val="2"/>
          <w:sz w:val="32"/>
          <w:szCs w:val="32"/>
          <w:highlight w:val="none"/>
          <w:lang w:val="en-US" w:eastAsia="zh-CN" w:bidi="ar-SA"/>
        </w:rPr>
      </w:pPr>
    </w:p>
    <w:p w14:paraId="6732A5FF">
      <w:pPr>
        <w:pStyle w:val="13"/>
        <w:rPr>
          <w:rFonts w:hint="eastAsia" w:ascii="Times New Roman" w:hAnsi="Times New Roman" w:eastAsia="仿宋_GB2312" w:cs="仿宋_GB2312"/>
          <w:color w:val="auto"/>
          <w:kern w:val="2"/>
          <w:sz w:val="32"/>
          <w:szCs w:val="32"/>
          <w:highlight w:val="none"/>
          <w:lang w:val="en-US" w:eastAsia="zh-CN" w:bidi="ar-SA"/>
        </w:rPr>
      </w:pPr>
    </w:p>
    <w:p w14:paraId="1A8CA165">
      <w:pPr>
        <w:pStyle w:val="13"/>
        <w:rPr>
          <w:rFonts w:hint="eastAsia" w:ascii="Times New Roman" w:hAnsi="Times New Roman" w:eastAsia="仿宋_GB2312" w:cs="仿宋_GB2312"/>
          <w:color w:val="auto"/>
          <w:kern w:val="2"/>
          <w:sz w:val="32"/>
          <w:szCs w:val="32"/>
          <w:highlight w:val="none"/>
          <w:lang w:val="en-US" w:eastAsia="zh-CN" w:bidi="ar-SA"/>
        </w:rPr>
      </w:pPr>
    </w:p>
    <w:p w14:paraId="5F89656C">
      <w:pPr>
        <w:pStyle w:val="13"/>
        <w:rPr>
          <w:rFonts w:hint="eastAsia" w:ascii="Times New Roman" w:hAnsi="Times New Roman" w:eastAsia="仿宋_GB2312" w:cs="仿宋_GB2312"/>
          <w:color w:val="auto"/>
          <w:kern w:val="2"/>
          <w:sz w:val="32"/>
          <w:szCs w:val="32"/>
          <w:highlight w:val="none"/>
          <w:lang w:val="en-US" w:eastAsia="zh-CN" w:bidi="ar-SA"/>
        </w:rPr>
      </w:pPr>
    </w:p>
    <w:p w14:paraId="0FA09189">
      <w:pPr>
        <w:pStyle w:val="13"/>
        <w:rPr>
          <w:rFonts w:hint="eastAsia" w:ascii="Times New Roman" w:hAnsi="Times New Roman" w:eastAsia="仿宋_GB2312" w:cs="仿宋_GB2312"/>
          <w:color w:val="auto"/>
          <w:kern w:val="2"/>
          <w:sz w:val="32"/>
          <w:szCs w:val="32"/>
          <w:highlight w:val="none"/>
          <w:lang w:val="en-US" w:eastAsia="zh-CN" w:bidi="ar-SA"/>
        </w:rPr>
      </w:pPr>
    </w:p>
    <w:p w14:paraId="5CF2654C">
      <w:pPr>
        <w:pStyle w:val="13"/>
        <w:rPr>
          <w:rFonts w:hint="eastAsia" w:ascii="Times New Roman" w:hAnsi="Times New Roman" w:eastAsia="仿宋_GB2312" w:cs="仿宋_GB2312"/>
          <w:color w:val="auto"/>
          <w:kern w:val="2"/>
          <w:sz w:val="32"/>
          <w:szCs w:val="32"/>
          <w:highlight w:val="none"/>
          <w:lang w:val="en-US" w:eastAsia="zh-CN" w:bidi="ar-SA"/>
        </w:rPr>
      </w:pPr>
    </w:p>
    <w:p w14:paraId="3DBADDFB">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12DF55D">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DB7185A">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6FDA90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B61369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p>
    <w:p w14:paraId="51E1A8E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7F334B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1E7BB3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F532B1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AFD3860">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0929999">
      <w:pPr>
        <w:spacing w:line="600" w:lineRule="exact"/>
        <w:jc w:val="left"/>
        <w:rPr>
          <w:rFonts w:ascii="Times New Roman" w:hAnsi="Times New Roman"/>
          <w:b/>
          <w:color w:val="auto"/>
          <w:sz w:val="44"/>
          <w:szCs w:val="44"/>
          <w:highlight w:val="none"/>
        </w:rPr>
      </w:pPr>
    </w:p>
    <w:p w14:paraId="1ABECE01">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73BBD8AD">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w:t>
      </w:r>
      <w:r>
        <w:rPr>
          <w:rFonts w:hint="eastAsia" w:ascii="仿宋_GB2312" w:eastAsia="仿宋_GB2312"/>
          <w:color w:val="auto"/>
          <w:sz w:val="32"/>
          <w:szCs w:val="32"/>
          <w:lang w:eastAsia="zh-CN"/>
        </w:rPr>
        <w:t>医疗收入、制剂收入</w:t>
      </w:r>
      <w:r>
        <w:rPr>
          <w:rFonts w:hint="eastAsia" w:ascii="仿宋_GB2312" w:eastAsia="仿宋_GB2312"/>
          <w:color w:val="auto"/>
          <w:sz w:val="32"/>
          <w:szCs w:val="32"/>
        </w:rPr>
        <w:t>等。</w:t>
      </w:r>
    </w:p>
    <w:p w14:paraId="3DF2BD41">
      <w:pPr>
        <w:pStyle w:val="27"/>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4FA9A4E1">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r>
        <w:rPr>
          <w:rFonts w:ascii="仿宋_GB2312" w:eastAsia="仿宋_GB2312"/>
          <w:color w:val="auto"/>
          <w:sz w:val="32"/>
          <w:szCs w:val="32"/>
        </w:rPr>
        <w:t xml:space="preserve"> </w:t>
      </w:r>
    </w:p>
    <w:p w14:paraId="553383DA">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25DBEF62">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7543A16B">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4DFF1BAE">
      <w:pPr>
        <w:pStyle w:val="27"/>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596CFDD0">
      <w:pPr>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ascii="仿宋_GB2312" w:eastAsia="仿宋_GB2312"/>
          <w:sz w:val="32"/>
          <w:szCs w:val="32"/>
        </w:rPr>
        <w:t>.</w:t>
      </w:r>
      <w:r>
        <w:rPr>
          <w:rFonts w:hint="eastAsia" w:ascii="仿宋_GB2312" w:eastAsia="仿宋_GB2312"/>
          <w:sz w:val="32"/>
          <w:szCs w:val="32"/>
        </w:rPr>
        <w:t>科学技术</w:t>
      </w:r>
      <w:r>
        <w:rPr>
          <w:rFonts w:hint="eastAsia" w:ascii="仿宋_GB2312" w:eastAsia="仿宋_GB2312"/>
          <w:sz w:val="32"/>
          <w:szCs w:val="32"/>
          <w:lang w:val="en-US" w:eastAsia="zh-CN"/>
        </w:rPr>
        <w:t>2109999</w:t>
      </w:r>
      <w:r>
        <w:rPr>
          <w:rFonts w:hint="eastAsia" w:ascii="仿宋_GB2312" w:eastAsia="仿宋_GB2312"/>
          <w:sz w:val="32"/>
          <w:szCs w:val="32"/>
        </w:rPr>
        <w:t>：指</w:t>
      </w:r>
      <w:r>
        <w:rPr>
          <w:rFonts w:hint="eastAsia" w:ascii="仿宋_GB2312" w:eastAsia="仿宋_GB2312"/>
          <w:color w:val="000000"/>
          <w:sz w:val="32"/>
          <w:szCs w:val="32"/>
        </w:rPr>
        <w:t>科学技术方面的支出</w:t>
      </w:r>
      <w:r>
        <w:rPr>
          <w:rFonts w:hint="eastAsia" w:ascii="仿宋_GB2312" w:eastAsia="仿宋_GB2312"/>
          <w:sz w:val="32"/>
          <w:szCs w:val="32"/>
        </w:rPr>
        <w:t>。</w:t>
      </w:r>
    </w:p>
    <w:p w14:paraId="1D42E235">
      <w:pPr>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社会保障和就业</w:t>
      </w:r>
      <w:r>
        <w:rPr>
          <w:rFonts w:hint="eastAsia" w:ascii="仿宋_GB2312" w:eastAsia="仿宋_GB2312"/>
          <w:sz w:val="32"/>
          <w:szCs w:val="32"/>
          <w:lang w:val="en-US" w:eastAsia="zh-CN"/>
        </w:rPr>
        <w:t>20805</w:t>
      </w:r>
      <w:r>
        <w:rPr>
          <w:rFonts w:hint="eastAsia" w:ascii="仿宋_GB2312" w:eastAsia="仿宋_GB2312"/>
          <w:sz w:val="32"/>
          <w:szCs w:val="32"/>
        </w:rPr>
        <w:t>：指</w:t>
      </w:r>
      <w:r>
        <w:rPr>
          <w:rFonts w:hint="eastAsia" w:ascii="仿宋_GB2312" w:eastAsia="仿宋_GB2312"/>
          <w:color w:val="000000"/>
          <w:sz w:val="32"/>
          <w:szCs w:val="32"/>
        </w:rPr>
        <w:t>政府在社会保障与就业方面的支出</w:t>
      </w:r>
      <w:r>
        <w:rPr>
          <w:rFonts w:hint="eastAsia" w:ascii="仿宋_GB2312" w:eastAsia="仿宋_GB2312"/>
          <w:sz w:val="32"/>
          <w:szCs w:val="32"/>
        </w:rPr>
        <w:t>。</w:t>
      </w:r>
    </w:p>
    <w:p w14:paraId="2C3BA8FA">
      <w:pPr>
        <w:ind w:firstLine="640" w:firstLineChars="200"/>
        <w:rPr>
          <w:rFonts w:ascii="仿宋_GB2312" w:eastAsia="仿宋_GB2312"/>
          <w:sz w:val="32"/>
          <w:szCs w:val="32"/>
        </w:rPr>
      </w:pPr>
      <w:r>
        <w:rPr>
          <w:rFonts w:hint="eastAsia" w:ascii="仿宋_GB2312" w:eastAsia="仿宋_GB2312"/>
          <w:sz w:val="32"/>
          <w:szCs w:val="32"/>
          <w:lang w:val="en-US" w:eastAsia="zh-CN"/>
        </w:rPr>
        <w:t>11</w:t>
      </w:r>
      <w:r>
        <w:rPr>
          <w:rFonts w:ascii="仿宋_GB2312" w:eastAsia="仿宋_GB2312"/>
          <w:sz w:val="32"/>
          <w:szCs w:val="32"/>
        </w:rPr>
        <w:t>.</w:t>
      </w:r>
      <w:r>
        <w:rPr>
          <w:rFonts w:hint="eastAsia" w:ascii="仿宋_GB2312" w:eastAsia="仿宋_GB2312"/>
          <w:sz w:val="32"/>
          <w:szCs w:val="32"/>
        </w:rPr>
        <w:t>住房保障</w:t>
      </w:r>
      <w:r>
        <w:rPr>
          <w:rFonts w:hint="eastAsia" w:ascii="仿宋_GB2312" w:eastAsia="仿宋_GB2312"/>
          <w:sz w:val="32"/>
          <w:szCs w:val="32"/>
          <w:lang w:val="en-US" w:eastAsia="zh-CN"/>
        </w:rPr>
        <w:t>2210201</w:t>
      </w:r>
      <w:r>
        <w:rPr>
          <w:rFonts w:hint="eastAsia" w:ascii="仿宋_GB2312" w:eastAsia="仿宋_GB2312"/>
          <w:sz w:val="32"/>
          <w:szCs w:val="32"/>
        </w:rPr>
        <w:t>：指</w:t>
      </w:r>
      <w:r>
        <w:rPr>
          <w:rFonts w:hint="eastAsia" w:ascii="仿宋_GB2312" w:eastAsia="仿宋_GB2312"/>
          <w:color w:val="000000"/>
          <w:sz w:val="32"/>
          <w:szCs w:val="32"/>
        </w:rPr>
        <w:t>政府用于住房方面的支出</w:t>
      </w:r>
      <w:r>
        <w:rPr>
          <w:rFonts w:hint="eastAsia" w:ascii="仿宋_GB2312" w:eastAsia="仿宋_GB2312"/>
          <w:sz w:val="32"/>
          <w:szCs w:val="32"/>
        </w:rPr>
        <w:t>。</w:t>
      </w:r>
    </w:p>
    <w:p w14:paraId="232D4E5B">
      <w:pPr>
        <w:ind w:firstLine="640" w:firstLineChars="200"/>
        <w:rPr>
          <w:rFonts w:ascii="仿宋_GB2312" w:eastAsia="仿宋_GB2312"/>
          <w:sz w:val="32"/>
          <w:szCs w:val="32"/>
        </w:rPr>
      </w:pPr>
      <w:r>
        <w:rPr>
          <w:rFonts w:hint="eastAsia" w:ascii="仿宋_GB2312" w:eastAsia="仿宋_GB2312"/>
          <w:sz w:val="32"/>
          <w:szCs w:val="32"/>
          <w:lang w:val="en-US" w:eastAsia="zh-CN"/>
        </w:rPr>
        <w:t>12</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59CA6CFF">
      <w:pPr>
        <w:ind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4353862B">
      <w:pPr>
        <w:ind w:firstLine="640" w:firstLineChars="200"/>
        <w:rPr>
          <w:rFonts w:ascii="仿宋_GB2312" w:eastAsia="仿宋_GB2312"/>
          <w:sz w:val="32"/>
          <w:szCs w:val="32"/>
        </w:rPr>
      </w:pPr>
      <w:r>
        <w:rPr>
          <w:rFonts w:hint="eastAsia" w:ascii="仿宋_GB2312" w:eastAsia="仿宋_GB2312"/>
          <w:sz w:val="32"/>
          <w:szCs w:val="32"/>
          <w:lang w:val="en-US" w:eastAsia="zh-CN"/>
        </w:rPr>
        <w:t>14</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0B027AF5">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15</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5D1A234">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16</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A78368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3DD6FE4E">
      <w:pPr>
        <w:numPr>
          <w:ilvl w:val="0"/>
          <w:numId w:val="4"/>
        </w:numPr>
        <w:spacing w:line="600" w:lineRule="exact"/>
        <w:jc w:val="center"/>
        <w:rPr>
          <w:rFonts w:hint="eastAsia" w:ascii="Times New Roman" w:hAnsi="Times New Roman" w:eastAsia="黑体"/>
          <w:color w:val="auto"/>
          <w:sz w:val="44"/>
          <w:szCs w:val="44"/>
          <w:highlight w:val="none"/>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 xml:space="preserve"> 附件</w:t>
      </w:r>
      <w:bookmarkEnd w:id="46"/>
    </w:p>
    <w:p w14:paraId="0F4304A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eastAsia="zh-CN"/>
        </w:rPr>
      </w:pPr>
    </w:p>
    <w:p w14:paraId="64772BA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阿坝州藏医院</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BE8F216">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default" w:ascii="楷体_GB2312" w:hAnsi="仿宋" w:eastAsia="楷体_GB2312"/>
          <w:b/>
          <w:sz w:val="32"/>
          <w:szCs w:val="32"/>
          <w:lang w:val="en-US" w:eastAsia="zh-CN"/>
        </w:rPr>
      </w:pPr>
      <w:r>
        <w:rPr>
          <w:rFonts w:hint="eastAsia" w:ascii="楷体_GB2312" w:hAnsi="仿宋" w:eastAsia="楷体_GB2312"/>
          <w:b/>
          <w:sz w:val="32"/>
          <w:szCs w:val="32"/>
          <w:lang w:val="zh-CN" w:eastAsia="zh-CN"/>
        </w:rPr>
        <w:t>一、</w:t>
      </w:r>
      <w:r>
        <w:rPr>
          <w:rFonts w:hint="default" w:ascii="楷体_GB2312" w:hAnsi="仿宋" w:eastAsia="楷体_GB2312"/>
          <w:b/>
          <w:sz w:val="32"/>
          <w:szCs w:val="32"/>
          <w:lang w:val="zh-CN" w:eastAsia="zh-CN"/>
        </w:rPr>
        <w:t>部门（单位）基本情况</w:t>
      </w:r>
    </w:p>
    <w:p w14:paraId="01140E60">
      <w:pPr>
        <w:widowControl/>
        <w:shd w:val="clear" w:color="auto" w:fill="FFFFFF"/>
        <w:spacing w:line="560" w:lineRule="exact"/>
        <w:ind w:firstLine="643" w:firstLineChars="200"/>
        <w:jc w:val="left"/>
        <w:rPr>
          <w:rFonts w:hint="eastAsia" w:ascii="仿宋_GB2312" w:hAnsi="宋体" w:eastAsia="仿宋_GB2312"/>
          <w:sz w:val="32"/>
          <w:szCs w:val="32"/>
        </w:rPr>
      </w:pPr>
      <w:r>
        <w:rPr>
          <w:rFonts w:hint="eastAsia" w:ascii="楷体_GB2312" w:hAnsi="楷体_GB2312" w:eastAsia="楷体_GB2312" w:cs="楷体_GB2312"/>
          <w:b/>
          <w:bCs/>
          <w:color w:val="000000"/>
          <w:kern w:val="0"/>
          <w:sz w:val="32"/>
          <w:szCs w:val="32"/>
          <w:highlight w:val="none"/>
          <w:shd w:val="clear" w:color="auto" w:fill="FFFFFF"/>
          <w:lang w:val="zh-CN"/>
        </w:rPr>
        <w:t>（</w:t>
      </w:r>
      <w:r>
        <w:rPr>
          <w:rFonts w:hint="eastAsia" w:ascii="楷体_GB2312" w:hAnsi="楷体_GB2312" w:eastAsia="楷体_GB2312" w:cs="楷体_GB2312"/>
          <w:b/>
          <w:color w:val="auto"/>
          <w:sz w:val="32"/>
          <w:szCs w:val="32"/>
          <w:highlight w:val="none"/>
          <w:lang w:val="zh-CN"/>
        </w:rPr>
        <w:t>一）机构组成。</w:t>
      </w:r>
      <w:r>
        <w:rPr>
          <w:rFonts w:hint="eastAsia" w:ascii="Times New Roman" w:hAnsi="Times New Roman" w:eastAsia="楷体_GB2312" w:cs="楷体_GB2312"/>
          <w:b/>
          <w:color w:val="auto"/>
          <w:sz w:val="32"/>
          <w:szCs w:val="32"/>
          <w:highlight w:val="none"/>
        </w:rPr>
        <w:t xml:space="preserve"> </w:t>
      </w:r>
    </w:p>
    <w:p w14:paraId="32590E97">
      <w:pPr>
        <w:widowControl/>
        <w:shd w:val="clear" w:color="auto" w:fill="FFFFFF"/>
        <w:spacing w:line="560" w:lineRule="exact"/>
        <w:ind w:firstLine="640" w:firstLineChars="200"/>
        <w:jc w:val="left"/>
        <w:rPr>
          <w:rFonts w:hint="eastAsia" w:ascii="仿宋_GB2312" w:eastAsia="仿宋_GB2312" w:cs="宋体"/>
          <w:color w:val="000000"/>
          <w:kern w:val="0"/>
          <w:sz w:val="32"/>
          <w:szCs w:val="32"/>
        </w:rPr>
      </w:pPr>
      <w:r>
        <w:rPr>
          <w:rFonts w:hint="eastAsia" w:ascii="仿宋_GB2312" w:hAnsi="宋体" w:eastAsia="仿宋_GB2312"/>
          <w:sz w:val="32"/>
          <w:szCs w:val="32"/>
        </w:rPr>
        <w:t>阿坝州藏医院藏医药研究所成立于1991年6月，实行两块牌子一套人马，合署办公。公益一类事业单位，属阿坝州财政局一级预算单位，执行政府会计制度。</w:t>
      </w:r>
      <w:r>
        <w:rPr>
          <w:rFonts w:hint="eastAsia" w:ascii="仿宋_GB2312" w:eastAsia="仿宋_GB2312" w:cs="宋体"/>
          <w:color w:val="000000"/>
          <w:spacing w:val="4"/>
          <w:kern w:val="0"/>
          <w:sz w:val="32"/>
          <w:szCs w:val="32"/>
        </w:rPr>
        <w:t>内设机构：办公室、医务科、财务科、药剂科、住院部、门诊部共计6个科室。</w:t>
      </w:r>
    </w:p>
    <w:p w14:paraId="00DDEE0C">
      <w:pPr>
        <w:widowControl/>
        <w:shd w:val="clear" w:color="auto" w:fill="FFFFFF"/>
        <w:spacing w:line="560" w:lineRule="exact"/>
        <w:ind w:firstLine="643" w:firstLineChars="200"/>
        <w:jc w:val="left"/>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rPr>
        <w:t>（</w:t>
      </w:r>
      <w:r>
        <w:rPr>
          <w:rFonts w:hint="eastAsia" w:ascii="楷体_GB2312" w:hAnsi="楷体_GB2312" w:eastAsia="楷体_GB2312" w:cs="楷体_GB2312"/>
          <w:b/>
          <w:bCs/>
          <w:color w:val="000000"/>
          <w:kern w:val="0"/>
          <w:sz w:val="32"/>
          <w:szCs w:val="32"/>
          <w:highlight w:val="none"/>
          <w:shd w:val="clear" w:color="auto" w:fill="FFFFFF"/>
          <w:lang w:val="en-US" w:eastAsia="zh-CN"/>
        </w:rPr>
        <w:t>二</w:t>
      </w:r>
      <w:r>
        <w:rPr>
          <w:rFonts w:hint="eastAsia" w:ascii="楷体_GB2312" w:hAnsi="楷体_GB2312" w:eastAsia="楷体_GB2312" w:cs="楷体_GB2312"/>
          <w:b/>
          <w:bCs/>
          <w:color w:val="000000"/>
          <w:kern w:val="0"/>
          <w:sz w:val="32"/>
          <w:szCs w:val="32"/>
          <w:highlight w:val="none"/>
          <w:shd w:val="clear" w:color="auto" w:fill="FFFFFF"/>
          <w:lang w:val="zh-CN"/>
        </w:rPr>
        <w:t>）机构职能。</w:t>
      </w:r>
    </w:p>
    <w:p w14:paraId="5116BA14">
      <w:pPr>
        <w:pStyle w:val="36"/>
        <w:snapToGrid w:val="0"/>
        <w:spacing w:before="0" w:line="560" w:lineRule="exact"/>
        <w:ind w:firstLine="640" w:firstLineChars="200"/>
        <w:contextualSpacing/>
        <w:jc w:val="left"/>
        <w:rPr>
          <w:rFonts w:hint="default" w:eastAsia="楷体_GB2312" w:cs="Times New Roman"/>
          <w:b/>
          <w:bCs/>
          <w:color w:val="000000"/>
          <w:kern w:val="0"/>
          <w:szCs w:val="32"/>
          <w:highlight w:val="none"/>
          <w:shd w:val="clear" w:color="auto" w:fill="FFFFFF"/>
          <w:lang w:val="zh-CN"/>
        </w:rPr>
      </w:pPr>
      <w:r>
        <w:rPr>
          <w:kern w:val="2"/>
          <w:sz w:val="32"/>
          <w:szCs w:val="32"/>
        </w:rPr>
        <w:t>阿坝州藏医院成立于1991年，是一所集医疗、教学、科研、制剂、康复“五位一体”的二级甲等民族医院。宗旨：以藏医藏药为主，为人民身体健康提供藏医医疗、预防、保健、康复等医疗卫生服务。主要业务范围：1、设有藏医内科（胃病专科、心脑血管专科、肝胆专科、老年病科）、妇科、儿科、外治科、药浴科、五官科等临床科室，以满足广大农牧民的藏医医疗服务需求；2、医院藏药中心制剂室可以生产丸、散、胶囊剂型的藏药制剂18</w:t>
      </w:r>
      <w:r>
        <w:rPr>
          <w:rFonts w:hint="eastAsia"/>
          <w:kern w:val="2"/>
          <w:sz w:val="32"/>
          <w:szCs w:val="32"/>
        </w:rPr>
        <w:t>8</w:t>
      </w:r>
      <w:r>
        <w:rPr>
          <w:kern w:val="2"/>
          <w:sz w:val="32"/>
          <w:szCs w:val="32"/>
        </w:rPr>
        <w:t>个品种，能满足本院及州内医疗单位的藏药制剂用药，是全州的藏药加工生产和藏药新药开发科研基地；3、医院承担成都中医药大学和阿坝卫校藏医学生临床实习任务，承担州、县、乡、村藏医在职人员的培训任务。</w:t>
      </w:r>
    </w:p>
    <w:p w14:paraId="6808AE2B">
      <w:pPr>
        <w:widowControl/>
        <w:shd w:val="clear" w:color="auto" w:fill="FFFFFF"/>
        <w:spacing w:line="560" w:lineRule="exact"/>
        <w:ind w:firstLine="643" w:firstLineChars="200"/>
        <w:jc w:val="left"/>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rPr>
        <w:t>（</w:t>
      </w:r>
      <w:r>
        <w:rPr>
          <w:rFonts w:hint="eastAsia" w:ascii="楷体_GB2312" w:hAnsi="楷体_GB2312" w:eastAsia="楷体_GB2312" w:cs="楷体_GB2312"/>
          <w:b/>
          <w:bCs/>
          <w:color w:val="000000"/>
          <w:kern w:val="0"/>
          <w:sz w:val="32"/>
          <w:szCs w:val="32"/>
          <w:highlight w:val="none"/>
          <w:shd w:val="clear" w:color="auto" w:fill="FFFFFF"/>
          <w:lang w:val="en-US" w:eastAsia="zh-CN"/>
        </w:rPr>
        <w:t>三</w:t>
      </w:r>
      <w:r>
        <w:rPr>
          <w:rFonts w:hint="eastAsia" w:ascii="楷体_GB2312" w:hAnsi="楷体_GB2312" w:eastAsia="楷体_GB2312" w:cs="楷体_GB2312"/>
          <w:b/>
          <w:bCs/>
          <w:color w:val="000000"/>
          <w:kern w:val="0"/>
          <w:sz w:val="32"/>
          <w:szCs w:val="32"/>
          <w:highlight w:val="none"/>
          <w:shd w:val="clear" w:color="auto" w:fill="FFFFFF"/>
          <w:lang w:val="zh-CN"/>
        </w:rPr>
        <w:t>）</w:t>
      </w:r>
      <w:r>
        <w:rPr>
          <w:rFonts w:hint="default" w:ascii="楷体_GB2312" w:hAnsi="楷体_GB2312" w:eastAsia="楷体_GB2312" w:cs="楷体_GB2312"/>
          <w:b/>
          <w:bCs/>
          <w:color w:val="000000"/>
          <w:kern w:val="0"/>
          <w:sz w:val="32"/>
          <w:szCs w:val="32"/>
          <w:highlight w:val="none"/>
          <w:shd w:val="clear" w:color="auto" w:fill="FFFFFF"/>
          <w:lang w:val="zh-CN"/>
        </w:rPr>
        <w:t>人员概况</w:t>
      </w:r>
      <w:r>
        <w:rPr>
          <w:rFonts w:hint="eastAsia" w:ascii="楷体_GB2312" w:hAnsi="楷体_GB2312" w:eastAsia="楷体_GB2312" w:cs="楷体_GB2312"/>
          <w:b/>
          <w:bCs/>
          <w:color w:val="000000"/>
          <w:kern w:val="0"/>
          <w:sz w:val="32"/>
          <w:szCs w:val="32"/>
          <w:highlight w:val="none"/>
          <w:shd w:val="clear" w:color="auto" w:fill="FFFFFF"/>
          <w:lang w:val="zh-CN"/>
        </w:rPr>
        <w:t>。</w:t>
      </w:r>
    </w:p>
    <w:p w14:paraId="6C362C32">
      <w:pPr>
        <w:widowControl/>
        <w:spacing w:line="448" w:lineRule="atLeast"/>
        <w:ind w:firstLine="472"/>
        <w:rPr>
          <w:rFonts w:hint="default" w:eastAsia="楷体_GB2312" w:cs="Times New Roman"/>
          <w:b/>
          <w:bCs/>
          <w:color w:val="000000"/>
          <w:kern w:val="0"/>
          <w:szCs w:val="32"/>
          <w:highlight w:val="none"/>
          <w:shd w:val="clear" w:color="auto" w:fill="FFFFFF"/>
          <w:lang w:val="zh-CN"/>
        </w:rPr>
      </w:pPr>
      <w:r>
        <w:rPr>
          <w:rFonts w:hint="eastAsia" w:ascii="仿宋_GB2312" w:hAnsi="宋体" w:eastAsia="仿宋_GB2312" w:cs="宋体"/>
          <w:sz w:val="32"/>
          <w:szCs w:val="32"/>
        </w:rPr>
        <w:t>阿州编发〔2011〕62号</w:t>
      </w:r>
      <w:r>
        <w:rPr>
          <w:rFonts w:hint="eastAsia" w:ascii="仿宋_GB2312" w:hAnsi="宋体" w:eastAsia="仿宋_GB2312"/>
          <w:sz w:val="32"/>
          <w:szCs w:val="32"/>
        </w:rPr>
        <w:t>核定</w:t>
      </w:r>
      <w:r>
        <w:rPr>
          <w:rFonts w:hint="eastAsia" w:ascii="仿宋_GB2312" w:hAnsi="宋体" w:eastAsia="仿宋_GB2312" w:cs="宋体"/>
          <w:sz w:val="32"/>
          <w:szCs w:val="32"/>
        </w:rPr>
        <w:t>单位事业编制数90人，</w:t>
      </w:r>
      <w:r>
        <w:rPr>
          <w:rFonts w:hint="eastAsia" w:ascii="仿宋_GB2312" w:hAnsi="宋体" w:cs="宋体"/>
          <w:sz w:val="32"/>
          <w:szCs w:val="32"/>
          <w:lang w:eastAsia="zh-CN"/>
        </w:rPr>
        <w:t>年末实</w:t>
      </w:r>
      <w:r>
        <w:rPr>
          <w:rFonts w:hint="eastAsia" w:ascii="仿宋_GB2312" w:hAnsi="宋体" w:eastAsia="仿宋_GB2312" w:cs="宋体"/>
          <w:sz w:val="32"/>
          <w:szCs w:val="32"/>
        </w:rPr>
        <w:t>有人数</w:t>
      </w:r>
      <w:r>
        <w:rPr>
          <w:rFonts w:hint="eastAsia" w:ascii="仿宋_GB2312" w:hAnsi="宋体" w:cs="宋体"/>
          <w:sz w:val="32"/>
          <w:szCs w:val="32"/>
          <w:lang w:val="en-US" w:eastAsia="zh-CN"/>
        </w:rPr>
        <w:t>81</w:t>
      </w:r>
      <w:r>
        <w:rPr>
          <w:rFonts w:hint="eastAsia" w:ascii="仿宋_GB2312" w:hAnsi="宋体" w:eastAsia="仿宋_GB2312" w:cs="宋体"/>
          <w:sz w:val="32"/>
          <w:szCs w:val="32"/>
        </w:rPr>
        <w:t>人，退休人数</w:t>
      </w:r>
      <w:r>
        <w:rPr>
          <w:rFonts w:hint="eastAsia" w:ascii="仿宋_GB2312" w:hAnsi="宋体" w:cs="宋体"/>
          <w:sz w:val="32"/>
          <w:szCs w:val="32"/>
          <w:lang w:val="en-US" w:eastAsia="zh-CN"/>
        </w:rPr>
        <w:t>30</w:t>
      </w:r>
      <w:r>
        <w:rPr>
          <w:rFonts w:hint="eastAsia" w:ascii="仿宋_GB2312" w:hAnsi="宋体" w:eastAsia="仿宋_GB2312" w:cs="宋体"/>
          <w:sz w:val="32"/>
          <w:szCs w:val="32"/>
        </w:rPr>
        <w:t>人。</w:t>
      </w:r>
    </w:p>
    <w:p w14:paraId="365C2C6A">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default" w:ascii="楷体_GB2312" w:hAnsi="仿宋" w:eastAsia="楷体_GB2312"/>
          <w:b/>
          <w:sz w:val="32"/>
          <w:szCs w:val="32"/>
          <w:lang w:val="zh-CN" w:eastAsia="zh-CN"/>
        </w:rPr>
      </w:pPr>
      <w:r>
        <w:rPr>
          <w:rFonts w:hint="default" w:ascii="楷体_GB2312" w:hAnsi="仿宋" w:eastAsia="楷体_GB2312"/>
          <w:b/>
          <w:sz w:val="32"/>
          <w:szCs w:val="32"/>
          <w:lang w:val="zh-CN" w:eastAsia="zh-CN"/>
        </w:rPr>
        <w:t>二、部门资金收支情况</w:t>
      </w:r>
    </w:p>
    <w:p w14:paraId="34A6B97A">
      <w:pPr>
        <w:widowControl/>
        <w:shd w:val="clear" w:color="auto" w:fill="FFFFFF"/>
        <w:spacing w:line="560" w:lineRule="exact"/>
        <w:ind w:firstLine="643" w:firstLineChars="200"/>
        <w:jc w:val="left"/>
        <w:rPr>
          <w:rFonts w:hint="default" w:ascii="楷体_GB2312" w:hAnsi="楷体_GB2312" w:eastAsia="楷体_GB2312" w:cs="楷体_GB2312"/>
          <w:b/>
          <w:bCs/>
          <w:color w:val="000000"/>
          <w:kern w:val="0"/>
          <w:sz w:val="32"/>
          <w:szCs w:val="32"/>
          <w:highlight w:val="none"/>
          <w:shd w:val="clear" w:color="auto" w:fill="FFFFFF"/>
          <w:lang w:val="zh-CN"/>
        </w:rPr>
      </w:pPr>
      <w:r>
        <w:rPr>
          <w:rFonts w:hint="default" w:ascii="楷体_GB2312" w:hAnsi="楷体_GB2312" w:eastAsia="楷体_GB2312" w:cs="楷体_GB2312"/>
          <w:b/>
          <w:bCs/>
          <w:color w:val="000000"/>
          <w:kern w:val="0"/>
          <w:sz w:val="32"/>
          <w:szCs w:val="32"/>
          <w:highlight w:val="none"/>
          <w:shd w:val="clear" w:color="auto" w:fill="FFFFFF"/>
          <w:lang w:val="zh-CN" w:eastAsia="zh-CN"/>
        </w:rPr>
        <w:t>（一）</w:t>
      </w:r>
      <w:r>
        <w:rPr>
          <w:rFonts w:hint="eastAsia" w:ascii="楷体_GB2312" w:hAnsi="楷体_GB2312" w:eastAsia="楷体_GB2312" w:cs="楷体_GB2312"/>
          <w:b/>
          <w:bCs/>
          <w:color w:val="000000"/>
          <w:kern w:val="0"/>
          <w:sz w:val="32"/>
          <w:szCs w:val="32"/>
          <w:highlight w:val="none"/>
          <w:shd w:val="clear" w:color="auto" w:fill="FFFFFF"/>
          <w:lang w:val="zh-CN" w:eastAsia="zh-CN"/>
        </w:rPr>
        <w:t>收入情况</w:t>
      </w:r>
      <w:r>
        <w:rPr>
          <w:rFonts w:hint="default" w:ascii="楷体_GB2312" w:hAnsi="楷体_GB2312" w:eastAsia="楷体_GB2312" w:cs="楷体_GB2312"/>
          <w:b/>
          <w:bCs/>
          <w:color w:val="000000"/>
          <w:kern w:val="0"/>
          <w:sz w:val="32"/>
          <w:szCs w:val="32"/>
          <w:highlight w:val="none"/>
          <w:shd w:val="clear" w:color="auto" w:fill="FFFFFF"/>
          <w:lang w:val="zh-CN" w:eastAsia="zh-CN"/>
        </w:rPr>
        <w:t>。</w:t>
      </w:r>
    </w:p>
    <w:p w14:paraId="2D9DB031">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院（所）2025年财政拨款收入3497.27万元。其中机关事业单位基本养老保险缴费支出185.41万元，其他行政事业单位养老支出22.60万元，机关事业单位职业年金缴费支出91.33万元，中医（民族）医院2839.45万元，，其他卫生健康支出74.87万元，行政事业单位医疗100.07万元，其他科学技术支出8.85万元，住房公积金174.69万元。财政拨款收入较上年</w:t>
      </w:r>
      <w:r>
        <w:rPr>
          <w:rFonts w:hint="eastAsia" w:ascii="仿宋_GB2312" w:hAnsi="Calibri" w:cs="Times New Roman"/>
          <w:kern w:val="2"/>
          <w:sz w:val="32"/>
          <w:szCs w:val="32"/>
          <w:lang w:val="en-US" w:eastAsia="zh-CN" w:bidi="ar-SA"/>
        </w:rPr>
        <w:t>增加13.77</w:t>
      </w:r>
      <w:r>
        <w:rPr>
          <w:rFonts w:hint="eastAsia" w:ascii="仿宋_GB2312" w:hAnsi="Calibri" w:eastAsia="仿宋_GB2312" w:cs="Times New Roman"/>
          <w:kern w:val="2"/>
          <w:sz w:val="32"/>
          <w:szCs w:val="32"/>
          <w:lang w:val="en-US" w:eastAsia="zh-CN" w:bidi="ar-SA"/>
        </w:rPr>
        <w:t>万元。</w:t>
      </w:r>
    </w:p>
    <w:p w14:paraId="1E6292F4">
      <w:pPr>
        <w:widowControl/>
        <w:shd w:val="clear" w:color="auto" w:fill="FFFFFF"/>
        <w:spacing w:line="560" w:lineRule="exact"/>
        <w:ind w:firstLine="643" w:firstLineChars="200"/>
        <w:jc w:val="left"/>
        <w:rPr>
          <w:rFonts w:hint="default" w:ascii="楷体_GB2312" w:hAnsi="楷体_GB2312" w:eastAsia="楷体_GB2312" w:cs="楷体_GB2312"/>
          <w:b/>
          <w:bCs/>
          <w:color w:val="000000"/>
          <w:kern w:val="0"/>
          <w:sz w:val="32"/>
          <w:szCs w:val="32"/>
          <w:highlight w:val="none"/>
          <w:shd w:val="clear" w:color="auto" w:fill="FFFFFF"/>
          <w:lang w:val="zh-CN" w:eastAsia="zh-CN"/>
        </w:rPr>
      </w:pPr>
      <w:r>
        <w:rPr>
          <w:rFonts w:hint="eastAsia" w:ascii="楷体_GB2312" w:hAnsi="楷体_GB2312" w:eastAsia="楷体_GB2312" w:cs="楷体_GB2312"/>
          <w:b/>
          <w:bCs/>
          <w:color w:val="000000"/>
          <w:kern w:val="0"/>
          <w:sz w:val="32"/>
          <w:szCs w:val="32"/>
          <w:highlight w:val="none"/>
          <w:shd w:val="clear" w:color="auto" w:fill="FFFFFF"/>
          <w:lang w:val="zh-CN" w:eastAsia="zh-CN"/>
        </w:rPr>
        <w:t>（</w:t>
      </w:r>
      <w:r>
        <w:rPr>
          <w:rFonts w:hint="eastAsia" w:ascii="楷体_GB2312" w:hAnsi="楷体_GB2312" w:eastAsia="楷体_GB2312" w:cs="楷体_GB2312"/>
          <w:b/>
          <w:bCs/>
          <w:color w:val="000000"/>
          <w:kern w:val="0"/>
          <w:sz w:val="32"/>
          <w:szCs w:val="32"/>
          <w:highlight w:val="none"/>
          <w:shd w:val="clear" w:color="auto" w:fill="FFFFFF"/>
          <w:lang w:val="en-US" w:eastAsia="zh-CN"/>
        </w:rPr>
        <w:t>二</w:t>
      </w:r>
      <w:r>
        <w:rPr>
          <w:rFonts w:hint="eastAsia" w:ascii="楷体_GB2312" w:hAnsi="楷体_GB2312" w:eastAsia="楷体_GB2312" w:cs="楷体_GB2312"/>
          <w:b/>
          <w:bCs/>
          <w:color w:val="000000"/>
          <w:kern w:val="0"/>
          <w:sz w:val="32"/>
          <w:szCs w:val="32"/>
          <w:highlight w:val="none"/>
          <w:shd w:val="clear" w:color="auto" w:fill="FFFFFF"/>
          <w:lang w:val="zh-CN" w:eastAsia="zh-CN"/>
        </w:rPr>
        <w:t>）支出情况</w:t>
      </w:r>
      <w:r>
        <w:rPr>
          <w:rFonts w:hint="default" w:ascii="楷体_GB2312" w:hAnsi="楷体_GB2312" w:eastAsia="楷体_GB2312" w:cs="楷体_GB2312"/>
          <w:b/>
          <w:bCs/>
          <w:color w:val="000000"/>
          <w:kern w:val="0"/>
          <w:sz w:val="32"/>
          <w:szCs w:val="32"/>
          <w:highlight w:val="none"/>
          <w:shd w:val="clear" w:color="auto" w:fill="FFFFFF"/>
          <w:lang w:val="zh-CN" w:eastAsia="zh-CN"/>
        </w:rPr>
        <w:t>。</w:t>
      </w:r>
    </w:p>
    <w:p w14:paraId="431D2A42">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院（所）2025年财政拨款支出为3497.27万元，其中：基本支出中人员经费支出为2382.10万元，公用经费支出为1008.37万元，项目支出为106.81万元。</w:t>
      </w:r>
    </w:p>
    <w:p w14:paraId="757256F9">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 xml:space="preserve">1.社会保障和就业支出299.34万元:其中：机关事业单位基本养老保险缴费支出185.41万元；机关事业单位职业年金缴费支出91.33万元；其他行政事业单位养老支出22.59万元。 </w:t>
      </w:r>
    </w:p>
    <w:p w14:paraId="385DFE7F">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2.卫生健康支出3014.39万元，其中：公立医院支出2894.26万元，其他公立医院支出50.09万元；中医(民族）医院2839.45万元，综合医院4.72万元，行政事业单位医疗100.07万元，中医药事务支出19.47万元。</w:t>
      </w:r>
    </w:p>
    <w:p w14:paraId="4D144DDD">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3.住房保障支出174.69万元，其中：职工住房公积金支出174.69万元。</w:t>
      </w:r>
    </w:p>
    <w:p w14:paraId="0B38D953">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default"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4.科学技术支出8.85万元，其中：其他科学技术支出8.85万元。</w:t>
      </w:r>
    </w:p>
    <w:p w14:paraId="125DDEFD">
      <w:pPr>
        <w:widowControl/>
        <w:shd w:val="clear" w:color="auto" w:fill="FFFFFF"/>
        <w:spacing w:line="560" w:lineRule="exact"/>
        <w:ind w:firstLine="643" w:firstLineChars="200"/>
        <w:jc w:val="left"/>
        <w:rPr>
          <w:rFonts w:hint="eastAsia" w:ascii="楷体_GB2312" w:hAnsi="楷体_GB2312" w:eastAsia="楷体_GB2312" w:cs="楷体_GB2312"/>
          <w:b/>
          <w:bCs/>
          <w:color w:val="000000"/>
          <w:kern w:val="0"/>
          <w:sz w:val="32"/>
          <w:szCs w:val="32"/>
          <w:highlight w:val="none"/>
          <w:shd w:val="clear" w:color="auto" w:fill="FFFFFF"/>
          <w:lang w:val="en-US" w:eastAsia="zh-CN"/>
        </w:rPr>
      </w:pPr>
      <w:r>
        <w:rPr>
          <w:rFonts w:hint="default" w:ascii="楷体_GB2312" w:hAnsi="楷体_GB2312" w:eastAsia="楷体_GB2312" w:cs="楷体_GB2312"/>
          <w:b/>
          <w:bCs/>
          <w:color w:val="000000"/>
          <w:kern w:val="0"/>
          <w:sz w:val="32"/>
          <w:szCs w:val="32"/>
          <w:highlight w:val="none"/>
          <w:shd w:val="clear" w:color="auto" w:fill="FFFFFF"/>
          <w:lang w:val="zh-CN" w:eastAsia="zh-CN"/>
        </w:rPr>
        <w:t>（</w:t>
      </w:r>
      <w:r>
        <w:rPr>
          <w:rFonts w:hint="eastAsia" w:ascii="楷体_GB2312" w:hAnsi="楷体_GB2312" w:eastAsia="楷体_GB2312" w:cs="楷体_GB2312"/>
          <w:b/>
          <w:bCs/>
          <w:color w:val="000000"/>
          <w:kern w:val="0"/>
          <w:sz w:val="32"/>
          <w:szCs w:val="32"/>
          <w:highlight w:val="none"/>
          <w:shd w:val="clear" w:color="auto" w:fill="FFFFFF"/>
          <w:lang w:val="zh-CN" w:eastAsia="zh-CN"/>
        </w:rPr>
        <w:t>三</w:t>
      </w:r>
      <w:r>
        <w:rPr>
          <w:rFonts w:hint="default" w:ascii="楷体_GB2312" w:hAnsi="楷体_GB2312" w:eastAsia="楷体_GB2312" w:cs="楷体_GB2312"/>
          <w:b/>
          <w:bCs/>
          <w:color w:val="000000"/>
          <w:kern w:val="0"/>
          <w:sz w:val="32"/>
          <w:szCs w:val="32"/>
          <w:highlight w:val="none"/>
          <w:shd w:val="clear" w:color="auto" w:fill="FFFFFF"/>
          <w:lang w:val="zh-CN" w:eastAsia="zh-CN"/>
        </w:rPr>
        <w:t>）</w:t>
      </w:r>
      <w:r>
        <w:rPr>
          <w:rFonts w:hint="default" w:ascii="楷体_GB2312" w:hAnsi="楷体_GB2312" w:eastAsia="楷体_GB2312" w:cs="楷体_GB2312"/>
          <w:b/>
          <w:bCs/>
          <w:color w:val="000000"/>
          <w:kern w:val="0"/>
          <w:sz w:val="32"/>
          <w:szCs w:val="32"/>
          <w:highlight w:val="none"/>
          <w:shd w:val="clear" w:color="auto" w:fill="FFFFFF"/>
          <w:lang w:val="en-US" w:eastAsia="zh-CN"/>
        </w:rPr>
        <w:t>结余分配和结转结余情况</w:t>
      </w:r>
      <w:r>
        <w:rPr>
          <w:rFonts w:hint="eastAsia" w:ascii="楷体_GB2312" w:hAnsi="楷体_GB2312" w:eastAsia="楷体_GB2312" w:cs="楷体_GB2312"/>
          <w:b/>
          <w:bCs/>
          <w:color w:val="000000"/>
          <w:kern w:val="0"/>
          <w:sz w:val="32"/>
          <w:szCs w:val="32"/>
          <w:highlight w:val="none"/>
          <w:shd w:val="clear" w:color="auto" w:fill="FFFFFF"/>
          <w:lang w:val="en-US" w:eastAsia="zh-CN"/>
        </w:rPr>
        <w:t>。</w:t>
      </w:r>
    </w:p>
    <w:p w14:paraId="12479A21">
      <w:pPr>
        <w:widowControl/>
        <w:spacing w:line="576" w:lineRule="exact"/>
        <w:ind w:firstLine="960" w:firstLineChars="300"/>
        <w:rPr>
          <w:rFonts w:hint="default" w:ascii="Times New Roman" w:hAnsi="Times New Roman" w:eastAsia="楷体_GB2312" w:cs="Times New Roman"/>
          <w:b/>
          <w:szCs w:val="32"/>
          <w:lang w:val="zh-CN" w:eastAsia="zh-CN"/>
        </w:rPr>
      </w:pPr>
      <w:r>
        <w:rPr>
          <w:rFonts w:hint="eastAsia" w:ascii="仿宋_GB2312" w:hAnsi="Calibri" w:eastAsia="仿宋_GB2312" w:cs="Times New Roman"/>
          <w:kern w:val="2"/>
          <w:sz w:val="32"/>
          <w:szCs w:val="32"/>
          <w:lang w:val="en-US" w:eastAsia="zh-CN" w:bidi="ar-SA"/>
        </w:rPr>
        <w:t>202</w:t>
      </w:r>
      <w:r>
        <w:rPr>
          <w:rFonts w:hint="eastAsia" w:ascii="仿宋_GB2312" w:hAnsi="Calibri" w:cs="Times New Roman"/>
          <w:kern w:val="2"/>
          <w:sz w:val="32"/>
          <w:szCs w:val="32"/>
          <w:lang w:val="en-US" w:eastAsia="zh-CN" w:bidi="ar-SA"/>
        </w:rPr>
        <w:t>5</w:t>
      </w:r>
      <w:r>
        <w:rPr>
          <w:rFonts w:hint="eastAsia" w:ascii="仿宋_GB2312" w:hAnsi="Calibri" w:eastAsia="仿宋_GB2312" w:cs="Times New Roman"/>
          <w:kern w:val="2"/>
          <w:sz w:val="32"/>
          <w:szCs w:val="32"/>
          <w:lang w:val="en-US" w:eastAsia="zh-CN" w:bidi="ar-SA"/>
        </w:rPr>
        <w:t>年无项目经费结转。</w:t>
      </w:r>
    </w:p>
    <w:p w14:paraId="076C9AF9">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default" w:ascii="楷体_GB2312" w:hAnsi="仿宋" w:eastAsia="楷体_GB2312"/>
          <w:b/>
          <w:sz w:val="32"/>
          <w:szCs w:val="32"/>
          <w:lang w:val="zh-CN" w:eastAsia="zh-CN"/>
        </w:rPr>
      </w:pPr>
      <w:r>
        <w:rPr>
          <w:rFonts w:hint="default" w:ascii="楷体_GB2312" w:hAnsi="仿宋" w:eastAsia="楷体_GB2312"/>
          <w:b/>
          <w:sz w:val="32"/>
          <w:szCs w:val="32"/>
          <w:lang w:val="zh-CN" w:eastAsia="zh-CN"/>
        </w:rPr>
        <w:t>三、部门预算绩效分析</w:t>
      </w:r>
    </w:p>
    <w:p w14:paraId="2C9561F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Calibri" w:eastAsia="仿宋_GB2312" w:cs="Times New Roman"/>
          <w:kern w:val="2"/>
          <w:sz w:val="32"/>
          <w:szCs w:val="32"/>
          <w:lang w:val="zh-CN" w:eastAsia="zh-CN" w:bidi="ar-SA"/>
        </w:rPr>
      </w:pPr>
      <w:r>
        <w:rPr>
          <w:rFonts w:hint="default" w:ascii="楷体_GB2312" w:hAnsi="楷体_GB2312" w:eastAsia="楷体_GB2312" w:cs="楷体_GB2312"/>
          <w:b/>
          <w:bCs/>
          <w:color w:val="000000"/>
          <w:kern w:val="0"/>
          <w:sz w:val="32"/>
          <w:szCs w:val="32"/>
          <w:highlight w:val="none"/>
          <w:shd w:val="clear" w:color="auto" w:fill="FFFFFF"/>
          <w:lang w:val="zh-CN" w:eastAsia="zh-CN"/>
        </w:rPr>
        <w:t>（一）</w:t>
      </w:r>
      <w:r>
        <w:rPr>
          <w:rFonts w:hint="eastAsia" w:ascii="楷体_GB2312" w:hAnsi="楷体_GB2312" w:eastAsia="楷体_GB2312" w:cs="楷体_GB2312"/>
          <w:b/>
          <w:bCs/>
          <w:color w:val="000000"/>
          <w:kern w:val="0"/>
          <w:sz w:val="32"/>
          <w:szCs w:val="32"/>
          <w:highlight w:val="none"/>
          <w:shd w:val="clear" w:color="auto" w:fill="FFFFFF"/>
          <w:lang w:val="zh-CN" w:eastAsia="zh-CN"/>
        </w:rPr>
        <w:t>部门预算</w:t>
      </w:r>
      <w:r>
        <w:rPr>
          <w:rFonts w:hint="default" w:ascii="楷体_GB2312" w:hAnsi="楷体_GB2312" w:eastAsia="楷体_GB2312" w:cs="楷体_GB2312"/>
          <w:b/>
          <w:bCs/>
          <w:color w:val="000000"/>
          <w:kern w:val="0"/>
          <w:sz w:val="32"/>
          <w:szCs w:val="32"/>
          <w:highlight w:val="none"/>
          <w:shd w:val="clear" w:color="auto" w:fill="FFFFFF"/>
          <w:lang w:val="zh-CN" w:eastAsia="zh-CN"/>
        </w:rPr>
        <w:t>总体绩效分析。</w:t>
      </w:r>
      <w:r>
        <w:rPr>
          <w:rFonts w:hint="default" w:ascii="仿宋_GB2312" w:hAnsi="Calibri" w:eastAsia="仿宋_GB2312" w:cs="Times New Roman"/>
          <w:kern w:val="2"/>
          <w:sz w:val="32"/>
          <w:szCs w:val="32"/>
          <w:lang w:val="zh-CN" w:eastAsia="zh-CN" w:bidi="ar-SA"/>
        </w:rPr>
        <w:t>根据部门预算绩效评价指标体系“总体绩效”涉及</w:t>
      </w:r>
      <w:r>
        <w:rPr>
          <w:rFonts w:hint="eastAsia" w:ascii="仿宋_GB2312" w:hAnsi="Calibri" w:eastAsia="仿宋_GB2312" w:cs="Times New Roman"/>
          <w:kern w:val="2"/>
          <w:sz w:val="32"/>
          <w:szCs w:val="32"/>
          <w:lang w:val="zh-CN" w:eastAsia="zh-CN" w:bidi="ar-SA"/>
        </w:rPr>
        <w:t>二、三级</w:t>
      </w:r>
      <w:r>
        <w:rPr>
          <w:rFonts w:hint="default" w:ascii="仿宋_GB2312" w:hAnsi="Calibri" w:eastAsia="仿宋_GB2312" w:cs="Times New Roman"/>
          <w:kern w:val="2"/>
          <w:sz w:val="32"/>
          <w:szCs w:val="32"/>
          <w:lang w:val="zh-CN" w:eastAsia="zh-CN" w:bidi="ar-SA"/>
        </w:rPr>
        <w:t>指标进行</w:t>
      </w:r>
      <w:r>
        <w:rPr>
          <w:rFonts w:hint="eastAsia" w:ascii="仿宋_GB2312" w:hAnsi="Calibri" w:eastAsia="仿宋_GB2312" w:cs="Times New Roman"/>
          <w:kern w:val="2"/>
          <w:sz w:val="32"/>
          <w:szCs w:val="32"/>
          <w:lang w:val="zh-CN" w:eastAsia="zh-CN" w:bidi="ar-SA"/>
        </w:rPr>
        <w:t>逐项</w:t>
      </w:r>
      <w:r>
        <w:rPr>
          <w:rFonts w:hint="default" w:ascii="仿宋_GB2312" w:hAnsi="Calibri" w:eastAsia="仿宋_GB2312" w:cs="Times New Roman"/>
          <w:kern w:val="2"/>
          <w:sz w:val="32"/>
          <w:szCs w:val="32"/>
          <w:lang w:val="zh-CN" w:eastAsia="zh-CN" w:bidi="ar-SA"/>
        </w:rPr>
        <w:t>绩效分析</w:t>
      </w:r>
      <w:r>
        <w:rPr>
          <w:rFonts w:hint="eastAsia" w:ascii="仿宋_GB2312" w:hAnsi="Calibri" w:eastAsia="仿宋_GB2312" w:cs="Times New Roman"/>
          <w:kern w:val="2"/>
          <w:sz w:val="32"/>
          <w:szCs w:val="32"/>
          <w:lang w:val="zh-CN" w:eastAsia="zh-CN" w:bidi="ar-SA"/>
        </w:rPr>
        <w:t>并评分</w:t>
      </w:r>
      <w:r>
        <w:rPr>
          <w:rFonts w:hint="default" w:ascii="仿宋_GB2312" w:hAnsi="Calibri" w:eastAsia="仿宋_GB2312" w:cs="Times New Roman"/>
          <w:kern w:val="2"/>
          <w:sz w:val="32"/>
          <w:szCs w:val="32"/>
          <w:lang w:val="zh-CN" w:eastAsia="zh-CN" w:bidi="ar-SA"/>
        </w:rPr>
        <w:t>，依次包括履职效能、预算管理、财务管理、资产管理、采购管理等情况。</w:t>
      </w:r>
    </w:p>
    <w:p w14:paraId="567A4806">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zh-CN" w:eastAsia="zh-CN" w:bidi="ar-SA"/>
        </w:rPr>
      </w:pPr>
      <w:r>
        <w:rPr>
          <w:rFonts w:hint="eastAsia" w:ascii="仿宋_GB2312" w:hAnsi="Calibri" w:eastAsia="仿宋_GB2312" w:cs="Times New Roman"/>
          <w:kern w:val="2"/>
          <w:sz w:val="32"/>
          <w:szCs w:val="32"/>
          <w:lang w:val="en-US" w:eastAsia="zh-CN" w:bidi="ar-SA"/>
        </w:rPr>
        <w:t>1.</w:t>
      </w:r>
      <w:r>
        <w:rPr>
          <w:rFonts w:hint="eastAsia" w:ascii="仿宋_GB2312" w:hAnsi="Calibri" w:eastAsia="仿宋_GB2312" w:cs="Times New Roman"/>
          <w:kern w:val="2"/>
          <w:sz w:val="32"/>
          <w:szCs w:val="32"/>
          <w:lang w:val="zh-CN" w:eastAsia="zh-CN" w:bidi="ar-SA"/>
        </w:rPr>
        <w:t>履职效能。</w:t>
      </w:r>
    </w:p>
    <w:p w14:paraId="24B518A6">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2025年，在州委、州政府的坚强领导下，</w:t>
      </w:r>
      <w:r>
        <w:rPr>
          <w:rFonts w:hint="eastAsia" w:ascii="仿宋_GB2312" w:hAnsi="Calibri" w:eastAsia="仿宋_GB2312" w:cs="Times New Roman"/>
          <w:kern w:val="2"/>
          <w:sz w:val="32"/>
          <w:szCs w:val="32"/>
          <w:lang w:val="zh-CN" w:eastAsia="zh-CN" w:bidi="ar-SA"/>
        </w:rPr>
        <w:t>始终坚持以习近平新时代中国特色社会主义思想为指导，</w:t>
      </w:r>
      <w:r>
        <w:rPr>
          <w:rFonts w:hint="eastAsia" w:ascii="仿宋_GB2312" w:hAnsi="Calibri" w:eastAsia="仿宋_GB2312" w:cs="Times New Roman"/>
          <w:kern w:val="2"/>
          <w:sz w:val="32"/>
          <w:szCs w:val="32"/>
          <w:lang w:val="en-US" w:eastAsia="zh-CN" w:bidi="ar-SA"/>
        </w:rPr>
        <w:t>深入贯彻党的二十大和二十届历次全会精神、省委十二届七次八次全会精神、州委十二届六次全会精神，紧紧围绕新时代党的建设总要求，以铸牢中华民族共同体意识为主线，全面加强党的领导，扎实推进各项党建工作。2025年医院紧密围绕“健康阿坝”建设目标，以铸牢中华民族共同体意识为主线，以提升医疗服务质量为核心，以传承创新驱动发展，各项工作稳步推进，取得良好成效。</w:t>
      </w:r>
    </w:p>
    <w:p w14:paraId="55C534F1">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积极探索“党建+医疗服务”新模式，开展“党建查房”，将支部会议开到临床一线，现场协调解决医疗服务和科室发展的难题。推动党建与学科建设、人才培养深度融合，深入实施“双培养”工程，努力把业务骨干培养成党员，把党员培养成业务骨干或管理干部。完成2025年度阿坝考点中藏医“执业医师实践技能考核”“中医医术确有专长人员医师资格考核”“传统医学师承和确有专长人员临床实践技能考核”工作。</w:t>
      </w:r>
      <w:r>
        <w:rPr>
          <w:rFonts w:hint="default" w:ascii="仿宋_GB2312" w:hAnsi="Calibri" w:eastAsia="仿宋_GB2312" w:cs="Times New Roman"/>
          <w:kern w:val="2"/>
          <w:sz w:val="32"/>
          <w:szCs w:val="32"/>
          <w:lang w:val="en-US" w:eastAsia="zh-CN" w:bidi="ar-SA"/>
        </w:rPr>
        <w:t>3项科研项目分别获省中医药管理局、省科技厅、州社科联立项。9项继教项目入选省中医药管理局2025年度省级项目。完成仁青“佐塔”研制教学培训，研制仁青“佐塔”64.4公斤，价值483万元。今年，</w:t>
      </w:r>
      <w:r>
        <w:rPr>
          <w:rFonts w:hint="eastAsia" w:ascii="仿宋_GB2312" w:hAnsi="Calibri" w:eastAsia="仿宋_GB2312" w:cs="Times New Roman"/>
          <w:kern w:val="2"/>
          <w:sz w:val="32"/>
          <w:szCs w:val="32"/>
          <w:lang w:val="en-US" w:eastAsia="zh-CN" w:bidi="ar-SA"/>
        </w:rPr>
        <w:t>1人入选四川省名中医，2人分别获阿坝州优秀菁英人才、阿坝州优秀骨干人才荣誉称号，建立州政协医卫界别委员工作室。</w:t>
      </w:r>
    </w:p>
    <w:p w14:paraId="40D87CD5">
      <w:pPr>
        <w:keepNext w:val="0"/>
        <w:keepLines w:val="0"/>
        <w:pageBreakBefore w:val="0"/>
        <w:widowControl/>
        <w:kinsoku/>
        <w:wordWrap/>
        <w:overflowPunct/>
        <w:topLinePunct w:val="0"/>
        <w:autoSpaceDE/>
        <w:autoSpaceDN/>
        <w:bidi w:val="0"/>
        <w:adjustRightInd/>
        <w:snapToGrid/>
        <w:spacing w:line="360" w:lineRule="auto"/>
        <w:ind w:firstLine="790" w:firstLineChars="247"/>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坚持把解决群众“看病难、看病贵”问题作为党建工作的出发点和落脚点。定期组织党员骨干医疗队，深入红原县、壤塘县、金川县开展托底性帮扶、“爱心爸妈”助学结对关爱服务、“石榴籽”健康义诊保障行动、社区“双报到”等群众工作20次，免费发放药品16万余元，让群众在家门口享受到优质的藏医药服务和医保政策咨询。为托底性帮扶乡镇色地镇未就业大学生提供2个就业岗位、助学奖学金2万元、党建“共建联建”经费1万元、免费送医送药价值4万元，为红原县第二中学教学点赠送藏药品价值1万元。医院阳光天使团队连续三年为州残疾康复中心儿童庆祝“六一”，给与残疾儿童物质与精神双重慰藉。</w:t>
      </w:r>
      <w:r>
        <w:rPr>
          <w:rFonts w:hint="default" w:ascii="仿宋_GB2312" w:hAnsi="Calibri" w:eastAsia="仿宋_GB2312" w:cs="Times New Roman"/>
          <w:kern w:val="2"/>
          <w:sz w:val="32"/>
          <w:szCs w:val="32"/>
          <w:lang w:val="en-US" w:eastAsia="zh-CN" w:bidi="ar-SA"/>
        </w:rPr>
        <w:t>积极响应“送卫生下乡”号召，全年组织义诊巡诊活动1</w:t>
      </w:r>
      <w:r>
        <w:rPr>
          <w:rFonts w:hint="eastAsia" w:ascii="仿宋_GB2312" w:hAnsi="Calibri" w:eastAsia="仿宋_GB2312" w:cs="Times New Roman"/>
          <w:kern w:val="2"/>
          <w:sz w:val="32"/>
          <w:szCs w:val="32"/>
          <w:lang w:val="en-US" w:eastAsia="zh-CN" w:bidi="ar-SA"/>
        </w:rPr>
        <w:t>1</w:t>
      </w:r>
      <w:r>
        <w:rPr>
          <w:rFonts w:hint="default" w:ascii="仿宋_GB2312" w:hAnsi="Calibri" w:eastAsia="仿宋_GB2312" w:cs="Times New Roman"/>
          <w:kern w:val="2"/>
          <w:sz w:val="32"/>
          <w:szCs w:val="32"/>
          <w:lang w:val="en-US" w:eastAsia="zh-CN" w:bidi="ar-SA"/>
        </w:rPr>
        <w:t>场，覆盖阿坝县、小金县等6个县（市），累计服务26天，派出医务人员50余人次。累计服务群众近4000</w:t>
      </w:r>
      <w:r>
        <w:rPr>
          <w:rFonts w:hint="eastAsia" w:ascii="仿宋_GB2312" w:hAnsi="Calibri" w:eastAsia="仿宋_GB2312" w:cs="Times New Roman"/>
          <w:kern w:val="2"/>
          <w:sz w:val="32"/>
          <w:szCs w:val="32"/>
          <w:lang w:val="en-US" w:eastAsia="zh-CN" w:bidi="ar-SA"/>
        </w:rPr>
        <w:t>余</w:t>
      </w:r>
      <w:r>
        <w:rPr>
          <w:rFonts w:hint="default" w:ascii="仿宋_GB2312" w:hAnsi="Calibri" w:eastAsia="仿宋_GB2312" w:cs="Times New Roman"/>
          <w:kern w:val="2"/>
          <w:sz w:val="32"/>
          <w:szCs w:val="32"/>
          <w:lang w:val="en-US" w:eastAsia="zh-CN" w:bidi="ar-SA"/>
        </w:rPr>
        <w:t>人次，开具处方约3400张，发放药品价值约1</w:t>
      </w:r>
      <w:r>
        <w:rPr>
          <w:rFonts w:hint="eastAsia" w:ascii="仿宋_GB2312" w:hAnsi="Calibri" w:eastAsia="仿宋_GB2312" w:cs="Times New Roman"/>
          <w:kern w:val="2"/>
          <w:sz w:val="32"/>
          <w:szCs w:val="32"/>
          <w:lang w:val="en-US" w:eastAsia="zh-CN" w:bidi="ar-SA"/>
        </w:rPr>
        <w:t>4</w:t>
      </w:r>
      <w:r>
        <w:rPr>
          <w:rFonts w:hint="default" w:ascii="仿宋_GB2312" w:hAnsi="Calibri" w:eastAsia="仿宋_GB2312" w:cs="Times New Roman"/>
          <w:kern w:val="2"/>
          <w:sz w:val="32"/>
          <w:szCs w:val="32"/>
          <w:lang w:val="en-US" w:eastAsia="zh-CN" w:bidi="ar-SA"/>
        </w:rPr>
        <w:t>.5万元，其中“百千万”行活动单场服务近千人次，有效缓解了偏远地区群众就医难题。</w:t>
      </w:r>
    </w:p>
    <w:p w14:paraId="7125A0B7">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zh-CN" w:eastAsia="zh-CN" w:bidi="ar-SA"/>
        </w:rPr>
      </w:pPr>
      <w:r>
        <w:rPr>
          <w:rFonts w:hint="eastAsia" w:ascii="仿宋_GB2312" w:hAnsi="Calibri" w:eastAsia="仿宋_GB2312" w:cs="Times New Roman"/>
          <w:kern w:val="2"/>
          <w:sz w:val="32"/>
          <w:szCs w:val="32"/>
          <w:lang w:val="en-US" w:eastAsia="zh-CN" w:bidi="ar-SA"/>
        </w:rPr>
        <w:t>2.</w:t>
      </w:r>
      <w:r>
        <w:rPr>
          <w:rFonts w:hint="default" w:ascii="仿宋_GB2312" w:hAnsi="Calibri" w:eastAsia="仿宋_GB2312" w:cs="Times New Roman"/>
          <w:kern w:val="2"/>
          <w:sz w:val="32"/>
          <w:szCs w:val="32"/>
          <w:lang w:val="zh-CN" w:eastAsia="zh-CN" w:bidi="ar-SA"/>
        </w:rPr>
        <w:t>预算管理</w:t>
      </w:r>
      <w:r>
        <w:rPr>
          <w:rFonts w:hint="eastAsia" w:ascii="仿宋_GB2312" w:hAnsi="Calibri" w:eastAsia="仿宋_GB2312" w:cs="Times New Roman"/>
          <w:kern w:val="2"/>
          <w:sz w:val="32"/>
          <w:szCs w:val="32"/>
          <w:lang w:val="zh-CN" w:eastAsia="zh-CN" w:bidi="ar-SA"/>
        </w:rPr>
        <w:t>。</w:t>
      </w:r>
    </w:p>
    <w:p w14:paraId="5C7D10AC">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default" w:ascii="仿宋_GB2312" w:hAnsi="Calibri" w:eastAsia="仿宋_GB2312" w:cs="Times New Roman"/>
          <w:kern w:val="2"/>
          <w:sz w:val="32"/>
          <w:szCs w:val="32"/>
          <w:lang w:val="zh-CN" w:eastAsia="zh-CN" w:bidi="ar-SA"/>
        </w:rPr>
      </w:pPr>
      <w:r>
        <w:rPr>
          <w:rFonts w:hint="eastAsia" w:ascii="仿宋_GB2312" w:hAnsi="Calibri" w:eastAsia="仿宋_GB2312" w:cs="Times New Roman"/>
          <w:kern w:val="2"/>
          <w:sz w:val="32"/>
          <w:szCs w:val="32"/>
          <w:lang w:val="zh-CN" w:eastAsia="zh-CN" w:bidi="ar-SA"/>
        </w:rPr>
        <w:t>单位组织财务人员进行预算的编制，在预算编制及预算执行过程中严格考核每项工作经费的使用效果和效率。在发挥预算目标作用的同时，不断完善事前计划、事中控制、事后总结反馈的财务管理体系。建立预算执行责任制，将年度预算支出责任逐一分解落实到具体执行科室和责任人，形成领导重视、各科室联动共同促进预算执行的良好格局。科学准确编制预算，加强预算管理，以项目完成数量为核心，强化预算执行力度，提高资金使用效率。</w:t>
      </w:r>
    </w:p>
    <w:p w14:paraId="6104F96C">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zh-CN" w:eastAsia="zh-CN" w:bidi="ar-SA"/>
        </w:rPr>
      </w:pPr>
      <w:r>
        <w:rPr>
          <w:rFonts w:hint="eastAsia" w:ascii="仿宋_GB2312" w:hAnsi="Calibri" w:eastAsia="仿宋_GB2312" w:cs="Times New Roman"/>
          <w:kern w:val="2"/>
          <w:sz w:val="32"/>
          <w:szCs w:val="32"/>
          <w:lang w:val="en-US" w:eastAsia="zh-CN" w:bidi="ar-SA"/>
        </w:rPr>
        <w:t>3.</w:t>
      </w:r>
      <w:r>
        <w:rPr>
          <w:rFonts w:hint="default" w:ascii="仿宋_GB2312" w:hAnsi="Calibri" w:eastAsia="仿宋_GB2312" w:cs="Times New Roman"/>
          <w:kern w:val="2"/>
          <w:sz w:val="32"/>
          <w:szCs w:val="32"/>
          <w:lang w:val="zh-CN" w:eastAsia="zh-CN" w:bidi="ar-SA"/>
        </w:rPr>
        <w:t>财务管理</w:t>
      </w:r>
      <w:r>
        <w:rPr>
          <w:rFonts w:hint="eastAsia" w:ascii="仿宋_GB2312" w:hAnsi="Calibri" w:eastAsia="仿宋_GB2312" w:cs="Times New Roman"/>
          <w:kern w:val="2"/>
          <w:sz w:val="32"/>
          <w:szCs w:val="32"/>
          <w:lang w:val="zh-CN" w:eastAsia="zh-CN" w:bidi="ar-SA"/>
        </w:rPr>
        <w:t>。</w:t>
      </w:r>
    </w:p>
    <w:p w14:paraId="632968A7">
      <w:pPr>
        <w:spacing w:line="560" w:lineRule="exact"/>
        <w:ind w:firstLine="640" w:firstLineChars="200"/>
        <w:rPr>
          <w:rFonts w:hint="eastAsia" w:ascii="楷体_GB2312" w:hAnsi="楷体_GB2312" w:eastAsia="楷体_GB2312" w:cs="楷体_GB2312"/>
          <w:color w:val="000000"/>
          <w:kern w:val="0"/>
          <w:szCs w:val="32"/>
          <w:highlight w:val="none"/>
          <w:shd w:val="clear" w:color="auto" w:fill="FFFFFF"/>
          <w:lang w:val="zh-CN"/>
        </w:rPr>
      </w:pPr>
      <w:r>
        <w:rPr>
          <w:rFonts w:hint="eastAsia" w:ascii="仿宋_GB2312" w:eastAsia="仿宋_GB2312" w:cs="宋体"/>
          <w:sz w:val="32"/>
          <w:szCs w:val="32"/>
        </w:rPr>
        <w:t>账户管理及货币资金管理方面：按规范开户银行选择程序，采取竞争性方式或集体决策方式选择开户银行，单位全面清理账户开设情况，单位所有账户</w:t>
      </w:r>
      <w:r>
        <w:rPr>
          <w:rFonts w:hint="eastAsia" w:ascii="仿宋_GB2312" w:eastAsia="仿宋_GB2312" w:cs="宋体"/>
          <w:sz w:val="32"/>
          <w:szCs w:val="32"/>
          <w:lang w:eastAsia="zh-CN"/>
        </w:rPr>
        <w:t>（基本户、工会账户、党费专户）</w:t>
      </w:r>
      <w:r>
        <w:rPr>
          <w:rFonts w:hint="eastAsia" w:ascii="仿宋_GB2312" w:eastAsia="仿宋_GB2312" w:cs="宋体"/>
          <w:sz w:val="32"/>
          <w:szCs w:val="32"/>
        </w:rPr>
        <w:t>的实有资金进行如实全面反映，严格按照批准的核算范围使用账户，账户之间不存在无正当理由相互划转资金情况，单位账户管理合法合规并在收支管理制度对账户管理进行了规范，经核实单位货币资金账实相符</w:t>
      </w:r>
      <w:r>
        <w:rPr>
          <w:rFonts w:hint="eastAsia" w:ascii="仿宋_GB2312" w:eastAsia="仿宋_GB2312" w:cs="宋体"/>
          <w:sz w:val="32"/>
          <w:szCs w:val="32"/>
          <w:lang w:eastAsia="zh-CN"/>
        </w:rPr>
        <w:t>，无私设“小金库”和滥发钱物的情况。</w:t>
      </w:r>
    </w:p>
    <w:p w14:paraId="15FA3A8D">
      <w:pPr>
        <w:keepNext w:val="0"/>
        <w:keepLines w:val="0"/>
        <w:pageBreakBefore w:val="0"/>
        <w:widowControl/>
        <w:kinsoku/>
        <w:wordWrap/>
        <w:overflowPunct/>
        <w:topLinePunct w:val="0"/>
        <w:autoSpaceDE/>
        <w:autoSpaceDN/>
        <w:bidi w:val="0"/>
        <w:adjustRightInd/>
        <w:snapToGrid/>
        <w:spacing w:line="360" w:lineRule="auto"/>
        <w:ind w:firstLine="471"/>
        <w:textAlignment w:val="auto"/>
        <w:rPr>
          <w:rFonts w:hint="eastAsia" w:ascii="仿宋_GB2312" w:hAnsi="Calibri" w:eastAsia="仿宋_GB2312" w:cs="Times New Roman"/>
          <w:kern w:val="2"/>
          <w:sz w:val="32"/>
          <w:szCs w:val="32"/>
          <w:lang w:val="zh-CN" w:eastAsia="zh-CN" w:bidi="ar-SA"/>
        </w:rPr>
      </w:pPr>
      <w:r>
        <w:rPr>
          <w:rFonts w:hint="eastAsia" w:ascii="仿宋_GB2312" w:hAnsi="Calibri" w:eastAsia="仿宋_GB2312" w:cs="Times New Roman"/>
          <w:kern w:val="2"/>
          <w:sz w:val="32"/>
          <w:szCs w:val="32"/>
          <w:lang w:val="en-US" w:eastAsia="zh-CN" w:bidi="ar-SA"/>
        </w:rPr>
        <w:t>4.</w:t>
      </w:r>
      <w:r>
        <w:rPr>
          <w:rFonts w:hint="default" w:ascii="仿宋_GB2312" w:hAnsi="Calibri" w:eastAsia="仿宋_GB2312" w:cs="Times New Roman"/>
          <w:kern w:val="2"/>
          <w:sz w:val="32"/>
          <w:szCs w:val="32"/>
          <w:lang w:val="zh-CN" w:eastAsia="zh-CN" w:bidi="ar-SA"/>
        </w:rPr>
        <w:t>资产管理</w:t>
      </w:r>
      <w:r>
        <w:rPr>
          <w:rFonts w:hint="eastAsia" w:ascii="仿宋_GB2312" w:hAnsi="Calibri" w:eastAsia="仿宋_GB2312" w:cs="Times New Roman"/>
          <w:kern w:val="2"/>
          <w:sz w:val="32"/>
          <w:szCs w:val="32"/>
          <w:lang w:val="zh-CN" w:eastAsia="zh-CN" w:bidi="ar-SA"/>
        </w:rPr>
        <w:t>。</w:t>
      </w:r>
    </w:p>
    <w:p w14:paraId="0858CA14">
      <w:pPr>
        <w:spacing w:line="560" w:lineRule="exact"/>
        <w:ind w:firstLine="640" w:firstLineChars="200"/>
        <w:rPr>
          <w:rFonts w:hint="default" w:ascii="楷体_GB2312" w:hAnsi="楷体_GB2312" w:eastAsia="楷体_GB2312" w:cs="楷体_GB2312"/>
          <w:color w:val="000000"/>
          <w:kern w:val="0"/>
          <w:szCs w:val="32"/>
          <w:highlight w:val="none"/>
          <w:shd w:val="clear" w:color="auto" w:fill="FFFFFF"/>
          <w:lang w:val="en-US" w:eastAsia="zh-CN"/>
        </w:rPr>
      </w:pPr>
      <w:r>
        <w:rPr>
          <w:rFonts w:hint="eastAsia" w:ascii="仿宋_GB2312" w:eastAsia="仿宋_GB2312" w:cs="宋体"/>
          <w:sz w:val="32"/>
          <w:szCs w:val="32"/>
        </w:rPr>
        <w:t>单位制定了资产管理制度，明确资产配置、使用、处置等程序和审核审批权限，编制部门预算同步编制新增资产配置预算，国有资产交付使用后及时准确入账，在建工程及时转为固定资产，明确资产使用和保管责任人、落实资产使用人在资产管理中的责任，国有资产折旧的计提符合相关会计规范，单位定期清理盘点资产、确保账实相符，行政事业性国有资产纳入四川省行政事业单位资产管理信息系统动态管理，行政事业单位资产处置按规定报批，处置收益及时足额上缴财政。</w:t>
      </w:r>
    </w:p>
    <w:p w14:paraId="4BAD158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楷体_GB2312" w:hAnsi="楷体_GB2312" w:eastAsia="楷体_GB2312" w:cs="楷体_GB2312"/>
          <w:b/>
          <w:bCs/>
          <w:color w:val="000000"/>
          <w:kern w:val="0"/>
          <w:sz w:val="32"/>
          <w:szCs w:val="32"/>
          <w:highlight w:val="none"/>
          <w:shd w:val="clear" w:color="auto" w:fill="FFFFFF"/>
          <w:lang w:val="en-US" w:eastAsia="zh-CN"/>
        </w:rPr>
      </w:pPr>
      <w:r>
        <w:rPr>
          <w:rFonts w:hint="default" w:ascii="楷体_GB2312" w:hAnsi="楷体_GB2312" w:eastAsia="楷体_GB2312" w:cs="楷体_GB2312"/>
          <w:b/>
          <w:bCs/>
          <w:color w:val="000000"/>
          <w:kern w:val="0"/>
          <w:sz w:val="32"/>
          <w:szCs w:val="32"/>
          <w:highlight w:val="none"/>
          <w:shd w:val="clear" w:color="auto" w:fill="FFFFFF"/>
          <w:lang w:val="zh-CN" w:eastAsia="zh-CN"/>
        </w:rPr>
        <w:t>（二）部门预算项目绩效分析。</w:t>
      </w:r>
    </w:p>
    <w:p w14:paraId="5FF59715">
      <w:pPr>
        <w:spacing w:line="560" w:lineRule="exact"/>
        <w:ind w:firstLine="640" w:firstLineChars="200"/>
        <w:rPr>
          <w:rFonts w:hint="default" w:ascii="仿宋_GB2312" w:eastAsia="仿宋_GB2312" w:cs="宋体"/>
          <w:sz w:val="32"/>
          <w:szCs w:val="32"/>
          <w:lang w:val="zh-CN" w:eastAsia="zh-CN"/>
        </w:rPr>
      </w:pPr>
      <w:r>
        <w:rPr>
          <w:rFonts w:hint="default" w:ascii="仿宋_GB2312" w:eastAsia="仿宋_GB2312" w:cs="宋体"/>
          <w:sz w:val="32"/>
          <w:szCs w:val="32"/>
          <w:lang w:val="en-US" w:eastAsia="zh-CN"/>
        </w:rPr>
        <w:t>常年项目绩效分析。</w:t>
      </w:r>
      <w:r>
        <w:rPr>
          <w:rFonts w:hint="default" w:ascii="仿宋_GB2312" w:eastAsia="仿宋_GB2312" w:cs="宋体"/>
          <w:sz w:val="32"/>
          <w:szCs w:val="32"/>
          <w:lang w:val="zh-CN" w:eastAsia="zh-CN"/>
        </w:rPr>
        <w:t>该类项目总数</w:t>
      </w:r>
      <w:r>
        <w:rPr>
          <w:rFonts w:hint="eastAsia" w:ascii="仿宋_GB2312" w:eastAsia="仿宋_GB2312" w:cs="宋体"/>
          <w:sz w:val="32"/>
          <w:szCs w:val="32"/>
          <w:lang w:val="en-US" w:eastAsia="zh-CN"/>
        </w:rPr>
        <w:t>16</w:t>
      </w:r>
      <w:r>
        <w:rPr>
          <w:rFonts w:hint="default" w:ascii="仿宋_GB2312" w:eastAsia="仿宋_GB2312" w:cs="宋体"/>
          <w:sz w:val="32"/>
          <w:szCs w:val="32"/>
          <w:lang w:val="zh-CN" w:eastAsia="zh-CN"/>
        </w:rPr>
        <w:t>个，涉及预算总金额</w:t>
      </w:r>
      <w:r>
        <w:rPr>
          <w:rFonts w:hint="eastAsia" w:ascii="仿宋_GB2312" w:eastAsia="仿宋_GB2312" w:cs="宋体"/>
          <w:sz w:val="32"/>
          <w:szCs w:val="32"/>
          <w:lang w:val="en-US" w:eastAsia="zh-CN"/>
        </w:rPr>
        <w:t>1026.13</w:t>
      </w:r>
      <w:r>
        <w:rPr>
          <w:rFonts w:hint="default" w:ascii="仿宋_GB2312" w:eastAsia="仿宋_GB2312" w:cs="宋体"/>
          <w:sz w:val="32"/>
          <w:szCs w:val="32"/>
          <w:lang w:val="zh-CN" w:eastAsia="zh-CN"/>
        </w:rPr>
        <w:t>万元，</w:t>
      </w:r>
      <w:r>
        <w:rPr>
          <w:rFonts w:hint="default" w:ascii="仿宋_GB2312" w:eastAsia="仿宋_GB2312" w:cs="宋体"/>
          <w:sz w:val="32"/>
          <w:szCs w:val="32"/>
          <w:lang w:val="zh-CN"/>
        </w:rPr>
        <w:t>1</w:t>
      </w:r>
      <w:r>
        <w:rPr>
          <w:rFonts w:hint="eastAsia" w:ascii="仿宋_GB2312" w:eastAsia="仿宋_GB2312" w:cs="宋体"/>
          <w:sz w:val="32"/>
          <w:szCs w:val="32"/>
          <w:lang w:val="zh-CN" w:eastAsia="zh-CN"/>
        </w:rPr>
        <w:t>—</w:t>
      </w:r>
      <w:r>
        <w:rPr>
          <w:rFonts w:hint="default" w:ascii="仿宋_GB2312" w:eastAsia="仿宋_GB2312" w:cs="宋体"/>
          <w:sz w:val="32"/>
          <w:szCs w:val="32"/>
          <w:lang w:val="zh-CN"/>
        </w:rPr>
        <w:t>1</w:t>
      </w:r>
      <w:r>
        <w:rPr>
          <w:rFonts w:hint="default" w:ascii="仿宋_GB2312" w:eastAsia="仿宋_GB2312" w:cs="宋体"/>
          <w:sz w:val="32"/>
          <w:szCs w:val="32"/>
          <w:lang w:val="en-US" w:eastAsia="zh-CN"/>
        </w:rPr>
        <w:t>2</w:t>
      </w:r>
      <w:r>
        <w:rPr>
          <w:rFonts w:hint="default" w:ascii="仿宋_GB2312" w:eastAsia="仿宋_GB2312" w:cs="宋体"/>
          <w:sz w:val="32"/>
          <w:szCs w:val="32"/>
          <w:lang w:val="zh-CN"/>
        </w:rPr>
        <w:t>月预算执行总体进度为</w:t>
      </w:r>
      <w:r>
        <w:rPr>
          <w:rFonts w:hint="eastAsia" w:ascii="仿宋_GB2312" w:eastAsia="仿宋_GB2312" w:cs="宋体"/>
          <w:sz w:val="32"/>
          <w:szCs w:val="32"/>
          <w:lang w:val="en-US" w:eastAsia="zh-CN"/>
        </w:rPr>
        <w:t>97</w:t>
      </w:r>
      <w:r>
        <w:rPr>
          <w:rFonts w:hint="default" w:ascii="仿宋_GB2312" w:eastAsia="仿宋_GB2312" w:cs="宋体"/>
          <w:sz w:val="32"/>
          <w:szCs w:val="32"/>
          <w:lang w:val="zh-CN"/>
        </w:rPr>
        <w:t>%，其中：</w:t>
      </w:r>
      <w:r>
        <w:rPr>
          <w:rFonts w:hint="default" w:ascii="仿宋_GB2312" w:eastAsia="仿宋_GB2312" w:cs="宋体"/>
          <w:sz w:val="32"/>
          <w:szCs w:val="32"/>
          <w:lang w:val="zh-CN" w:eastAsia="zh-CN"/>
        </w:rPr>
        <w:t>预算结余率大于</w:t>
      </w:r>
      <w:r>
        <w:rPr>
          <w:rFonts w:hint="default" w:ascii="仿宋_GB2312" w:eastAsia="仿宋_GB2312" w:cs="宋体"/>
          <w:sz w:val="32"/>
          <w:szCs w:val="32"/>
          <w:lang w:val="en-US" w:eastAsia="zh-CN"/>
        </w:rPr>
        <w:t>10%</w:t>
      </w:r>
      <w:r>
        <w:rPr>
          <w:rFonts w:hint="default" w:ascii="仿宋_GB2312" w:eastAsia="仿宋_GB2312" w:cs="宋体"/>
          <w:sz w:val="32"/>
          <w:szCs w:val="32"/>
          <w:lang w:val="zh-CN" w:eastAsia="zh-CN"/>
        </w:rPr>
        <w:t>的项目共计</w:t>
      </w:r>
      <w:r>
        <w:rPr>
          <w:rFonts w:hint="eastAsia" w:ascii="仿宋_GB2312" w:eastAsia="仿宋_GB2312" w:cs="宋体"/>
          <w:sz w:val="32"/>
          <w:szCs w:val="32"/>
          <w:lang w:val="en-US" w:eastAsia="zh-CN"/>
        </w:rPr>
        <w:t>0</w:t>
      </w:r>
      <w:r>
        <w:rPr>
          <w:rFonts w:hint="default" w:ascii="仿宋_GB2312" w:eastAsia="仿宋_GB2312" w:cs="宋体"/>
          <w:sz w:val="32"/>
          <w:szCs w:val="32"/>
          <w:lang w:val="zh-CN" w:eastAsia="zh-CN"/>
        </w:rPr>
        <w:t>个。</w:t>
      </w:r>
    </w:p>
    <w:p w14:paraId="4B2161DB">
      <w:pPr>
        <w:spacing w:line="560" w:lineRule="exact"/>
        <w:ind w:firstLine="640" w:firstLineChars="200"/>
        <w:rPr>
          <w:rFonts w:hint="default" w:ascii="仿宋_GB2312" w:eastAsia="仿宋_GB2312" w:cs="宋体"/>
          <w:sz w:val="32"/>
          <w:szCs w:val="32"/>
          <w:lang w:val="zh-CN" w:eastAsia="zh-CN"/>
        </w:rPr>
      </w:pPr>
      <w:r>
        <w:rPr>
          <w:rFonts w:hint="default" w:ascii="仿宋_GB2312" w:eastAsia="仿宋_GB2312" w:cs="宋体"/>
          <w:sz w:val="32"/>
          <w:szCs w:val="32"/>
          <w:lang w:val="en-US" w:eastAsia="zh-CN"/>
        </w:rPr>
        <w:t>阶段</w:t>
      </w:r>
      <w:r>
        <w:rPr>
          <w:rFonts w:hint="eastAsia" w:ascii="仿宋_GB2312" w:eastAsia="仿宋_GB2312" w:cs="宋体"/>
          <w:sz w:val="32"/>
          <w:szCs w:val="32"/>
          <w:lang w:val="en-US" w:eastAsia="zh-CN"/>
        </w:rPr>
        <w:t>（</w:t>
      </w:r>
      <w:r>
        <w:rPr>
          <w:rFonts w:hint="default" w:ascii="仿宋_GB2312" w:eastAsia="仿宋_GB2312" w:cs="宋体"/>
          <w:sz w:val="32"/>
          <w:szCs w:val="32"/>
          <w:lang w:val="en-US" w:eastAsia="zh-CN"/>
        </w:rPr>
        <w:t>一次性</w:t>
      </w:r>
      <w:r>
        <w:rPr>
          <w:rFonts w:hint="eastAsia" w:ascii="仿宋_GB2312" w:eastAsia="仿宋_GB2312" w:cs="宋体"/>
          <w:sz w:val="32"/>
          <w:szCs w:val="32"/>
          <w:lang w:val="en-US" w:eastAsia="zh-CN"/>
        </w:rPr>
        <w:t>）</w:t>
      </w:r>
      <w:r>
        <w:rPr>
          <w:rFonts w:hint="default" w:ascii="仿宋_GB2312" w:eastAsia="仿宋_GB2312" w:cs="宋体"/>
          <w:sz w:val="32"/>
          <w:szCs w:val="32"/>
          <w:lang w:val="en-US" w:eastAsia="zh-CN"/>
        </w:rPr>
        <w:t>项目绩效分析。</w:t>
      </w:r>
      <w:r>
        <w:rPr>
          <w:rFonts w:hint="default" w:ascii="仿宋_GB2312" w:eastAsia="仿宋_GB2312" w:cs="宋体"/>
          <w:sz w:val="32"/>
          <w:szCs w:val="32"/>
          <w:lang w:val="zh-CN" w:eastAsia="zh-CN"/>
        </w:rPr>
        <w:t>该类项目总数</w:t>
      </w:r>
      <w:r>
        <w:rPr>
          <w:rFonts w:hint="eastAsia" w:ascii="仿宋_GB2312" w:eastAsia="仿宋_GB2312" w:cs="宋体"/>
          <w:sz w:val="32"/>
          <w:szCs w:val="32"/>
          <w:lang w:val="en-US" w:eastAsia="zh-CN"/>
        </w:rPr>
        <w:t>10</w:t>
      </w:r>
      <w:r>
        <w:rPr>
          <w:rFonts w:hint="default" w:ascii="仿宋_GB2312" w:eastAsia="仿宋_GB2312" w:cs="宋体"/>
          <w:sz w:val="32"/>
          <w:szCs w:val="32"/>
          <w:lang w:val="zh-CN" w:eastAsia="zh-CN"/>
        </w:rPr>
        <w:t>个，涉及预算总金额</w:t>
      </w:r>
      <w:r>
        <w:rPr>
          <w:rFonts w:hint="eastAsia" w:ascii="仿宋_GB2312" w:eastAsia="仿宋_GB2312" w:cs="宋体"/>
          <w:sz w:val="32"/>
          <w:szCs w:val="32"/>
          <w:lang w:val="en-US" w:eastAsia="zh-CN"/>
        </w:rPr>
        <w:t>205.06</w:t>
      </w:r>
      <w:r>
        <w:rPr>
          <w:rFonts w:hint="default" w:ascii="仿宋_GB2312" w:eastAsia="仿宋_GB2312" w:cs="宋体"/>
          <w:sz w:val="32"/>
          <w:szCs w:val="32"/>
          <w:lang w:val="zh-CN" w:eastAsia="zh-CN"/>
        </w:rPr>
        <w:t>万元，</w:t>
      </w:r>
      <w:r>
        <w:rPr>
          <w:rFonts w:hint="default" w:ascii="仿宋_GB2312" w:eastAsia="仿宋_GB2312" w:cs="宋体"/>
          <w:sz w:val="32"/>
          <w:szCs w:val="32"/>
          <w:lang w:val="zh-CN"/>
        </w:rPr>
        <w:t>1</w:t>
      </w:r>
      <w:r>
        <w:rPr>
          <w:rFonts w:hint="eastAsia" w:ascii="仿宋_GB2312" w:eastAsia="仿宋_GB2312" w:cs="宋体"/>
          <w:sz w:val="32"/>
          <w:szCs w:val="32"/>
          <w:lang w:val="zh-CN" w:eastAsia="zh-CN"/>
        </w:rPr>
        <w:t>—</w:t>
      </w:r>
      <w:r>
        <w:rPr>
          <w:rFonts w:hint="default" w:ascii="仿宋_GB2312" w:eastAsia="仿宋_GB2312" w:cs="宋体"/>
          <w:sz w:val="32"/>
          <w:szCs w:val="32"/>
          <w:lang w:val="zh-CN"/>
        </w:rPr>
        <w:t>1</w:t>
      </w:r>
      <w:r>
        <w:rPr>
          <w:rFonts w:hint="default" w:ascii="仿宋_GB2312" w:eastAsia="仿宋_GB2312" w:cs="宋体"/>
          <w:sz w:val="32"/>
          <w:szCs w:val="32"/>
          <w:lang w:val="en-US" w:eastAsia="zh-CN"/>
        </w:rPr>
        <w:t>2</w:t>
      </w:r>
      <w:r>
        <w:rPr>
          <w:rFonts w:hint="default" w:ascii="仿宋_GB2312" w:eastAsia="仿宋_GB2312" w:cs="宋体"/>
          <w:sz w:val="32"/>
          <w:szCs w:val="32"/>
          <w:lang w:val="zh-CN"/>
        </w:rPr>
        <w:t>月预算执行总体进度为</w:t>
      </w:r>
      <w:r>
        <w:rPr>
          <w:rFonts w:hint="eastAsia" w:ascii="仿宋_GB2312" w:eastAsia="仿宋_GB2312" w:cs="宋体"/>
          <w:sz w:val="32"/>
          <w:szCs w:val="32"/>
          <w:lang w:val="en-US" w:eastAsia="zh-CN"/>
        </w:rPr>
        <w:t>92</w:t>
      </w:r>
      <w:r>
        <w:rPr>
          <w:rFonts w:hint="default" w:ascii="仿宋_GB2312" w:eastAsia="仿宋_GB2312" w:cs="宋体"/>
          <w:sz w:val="32"/>
          <w:szCs w:val="32"/>
          <w:lang w:val="en-US" w:eastAsia="zh-CN"/>
        </w:rPr>
        <w:t xml:space="preserve"> </w:t>
      </w:r>
      <w:r>
        <w:rPr>
          <w:rFonts w:hint="default" w:ascii="仿宋_GB2312" w:eastAsia="仿宋_GB2312" w:cs="宋体"/>
          <w:sz w:val="32"/>
          <w:szCs w:val="32"/>
          <w:lang w:val="zh-CN"/>
        </w:rPr>
        <w:t>%，其中：</w:t>
      </w:r>
      <w:r>
        <w:rPr>
          <w:rFonts w:hint="default" w:ascii="仿宋_GB2312" w:eastAsia="仿宋_GB2312" w:cs="宋体"/>
          <w:sz w:val="32"/>
          <w:szCs w:val="32"/>
          <w:lang w:val="zh-CN" w:eastAsia="zh-CN"/>
        </w:rPr>
        <w:t>预算结余率大于</w:t>
      </w:r>
      <w:r>
        <w:rPr>
          <w:rFonts w:hint="default" w:ascii="仿宋_GB2312" w:eastAsia="仿宋_GB2312" w:cs="宋体"/>
          <w:sz w:val="32"/>
          <w:szCs w:val="32"/>
          <w:lang w:val="en-US" w:eastAsia="zh-CN"/>
        </w:rPr>
        <w:t>10%</w:t>
      </w:r>
      <w:r>
        <w:rPr>
          <w:rFonts w:hint="default" w:ascii="仿宋_GB2312" w:eastAsia="仿宋_GB2312" w:cs="宋体"/>
          <w:sz w:val="32"/>
          <w:szCs w:val="32"/>
          <w:lang w:val="zh-CN" w:eastAsia="zh-CN"/>
        </w:rPr>
        <w:t>的项目共计</w:t>
      </w:r>
      <w:r>
        <w:rPr>
          <w:rFonts w:hint="eastAsia" w:ascii="仿宋_GB2312" w:eastAsia="仿宋_GB2312" w:cs="宋体"/>
          <w:sz w:val="32"/>
          <w:szCs w:val="32"/>
          <w:lang w:val="en-US" w:eastAsia="zh-CN"/>
        </w:rPr>
        <w:t>2</w:t>
      </w:r>
      <w:r>
        <w:rPr>
          <w:rFonts w:hint="default" w:ascii="仿宋_GB2312" w:eastAsia="仿宋_GB2312" w:cs="宋体"/>
          <w:sz w:val="32"/>
          <w:szCs w:val="32"/>
          <w:lang w:val="zh-CN" w:eastAsia="zh-CN"/>
        </w:rPr>
        <w:t>个。</w:t>
      </w:r>
    </w:p>
    <w:p w14:paraId="53F1691D">
      <w:pPr>
        <w:spacing w:line="560" w:lineRule="exact"/>
        <w:ind w:firstLine="640" w:firstLineChars="200"/>
        <w:rPr>
          <w:rFonts w:hint="eastAsia" w:ascii="仿宋_GB2312" w:eastAsia="仿宋_GB2312" w:cs="宋体"/>
          <w:sz w:val="32"/>
          <w:szCs w:val="32"/>
          <w:lang w:val="zh-CN"/>
        </w:rPr>
      </w:pPr>
      <w:r>
        <w:rPr>
          <w:rFonts w:hint="default" w:ascii="仿宋_GB2312" w:eastAsia="仿宋_GB2312" w:cs="宋体"/>
          <w:sz w:val="32"/>
          <w:szCs w:val="32"/>
          <w:lang w:val="zh-CN"/>
        </w:rPr>
        <w:t>绩效结果应用情况</w:t>
      </w:r>
      <w:r>
        <w:rPr>
          <w:rFonts w:hint="eastAsia" w:ascii="仿宋_GB2312" w:eastAsia="仿宋_GB2312" w:cs="宋体"/>
          <w:sz w:val="32"/>
          <w:szCs w:val="32"/>
          <w:lang w:val="zh-CN"/>
        </w:rPr>
        <w:t>。</w:t>
      </w:r>
    </w:p>
    <w:p w14:paraId="2D56DBFF">
      <w:pPr>
        <w:spacing w:line="560" w:lineRule="exact"/>
        <w:ind w:firstLine="640" w:firstLineChars="200"/>
        <w:rPr>
          <w:rFonts w:hint="eastAsia" w:ascii="仿宋_GB2312" w:eastAsia="仿宋_GB2312" w:cs="宋体"/>
          <w:sz w:val="32"/>
          <w:szCs w:val="32"/>
          <w:lang w:val="zh-CN"/>
        </w:rPr>
      </w:pPr>
      <w:r>
        <w:rPr>
          <w:rFonts w:hint="eastAsia" w:ascii="仿宋_GB2312" w:eastAsia="仿宋_GB2312" w:cs="宋体"/>
          <w:sz w:val="32"/>
          <w:szCs w:val="32"/>
          <w:lang w:val="zh-CN"/>
        </w:rPr>
        <w:t>信息公开方面：我单位严格按照相关文件规定对预决算，绩效评价情况在上级部门门户网站及相关网站进行了公开。部门预算公开内容包括一般公共预算、财政拨款收支预算、政府性基金收支预算；同级财政部门批复的部门预算报表及相关说明全部公开；本部门“三公经费"财政拨款预算总额和分项数额等全部公开。公开的所有数据、文字内容等全部真实。</w:t>
      </w:r>
    </w:p>
    <w:p w14:paraId="1FD767DE">
      <w:pPr>
        <w:spacing w:line="560" w:lineRule="exact"/>
        <w:ind w:firstLine="640" w:firstLineChars="200"/>
        <w:rPr>
          <w:rFonts w:hint="default" w:ascii="仿宋_GB2312" w:eastAsia="仿宋_GB2312" w:cs="宋体"/>
          <w:sz w:val="32"/>
          <w:szCs w:val="32"/>
          <w:lang w:val="zh-CN"/>
        </w:rPr>
      </w:pPr>
      <w:r>
        <w:rPr>
          <w:rFonts w:hint="eastAsia" w:ascii="仿宋_GB2312" w:eastAsia="仿宋_GB2312" w:cs="宋体"/>
          <w:sz w:val="32"/>
          <w:szCs w:val="32"/>
          <w:lang w:val="zh-CN"/>
        </w:rPr>
        <w:t>整改反馈方面：一是严格按照州委巡察组巡查结果加强医疗业务收支管理，努力增收节支，减少费用支出，提高医院资金营运能力。二是做好一年一度的预决算工作。实施阳光采购，将采购资金的预算、采购方式的申请、采购资金的支付及账务处理、资产的登记等过程透明化，促进廉政建设，并提升资金使用效益。三是完善内部稽查、审计制度和各项财务管理制度。规范了审批权限和程序，明确财务责任执行单位所有费用支出必须由经办人签字、财务人员审核、领导审批的流程。四是严格控制各项非医疗性支出。强化财务管理、监督力度，有效规范单位各项经济事项的决策、执行和考核评价，促进单位决策的民主性和科学性、内部控制的有效性和合理性。</w:t>
      </w:r>
    </w:p>
    <w:p w14:paraId="51DEEA0C">
      <w:pPr>
        <w:spacing w:line="560" w:lineRule="exact"/>
        <w:ind w:firstLine="640" w:firstLineChars="200"/>
        <w:rPr>
          <w:rFonts w:hint="default" w:ascii="仿宋_GB2312" w:eastAsia="仿宋_GB2312" w:cs="宋体"/>
          <w:sz w:val="32"/>
          <w:szCs w:val="32"/>
        </w:rPr>
      </w:pPr>
      <w:r>
        <w:rPr>
          <w:rFonts w:hint="default" w:ascii="仿宋_GB2312" w:eastAsia="仿宋_GB2312" w:cs="宋体"/>
          <w:sz w:val="32"/>
          <w:szCs w:val="32"/>
          <w:lang w:eastAsia="zh-CN"/>
        </w:rPr>
        <w:t>四、</w:t>
      </w:r>
      <w:r>
        <w:rPr>
          <w:rFonts w:hint="default" w:ascii="仿宋_GB2312" w:eastAsia="仿宋_GB2312" w:cs="宋体"/>
          <w:sz w:val="32"/>
          <w:szCs w:val="32"/>
        </w:rPr>
        <w:t>评价结论及建议</w:t>
      </w:r>
    </w:p>
    <w:p w14:paraId="5CA12AEA">
      <w:pPr>
        <w:spacing w:line="560" w:lineRule="exact"/>
        <w:ind w:firstLine="640" w:firstLineChars="200"/>
        <w:rPr>
          <w:rFonts w:hint="default" w:ascii="仿宋_GB2312" w:eastAsia="仿宋_GB2312" w:cs="宋体"/>
          <w:sz w:val="32"/>
          <w:szCs w:val="32"/>
          <w:lang w:val="zh-CN"/>
        </w:rPr>
      </w:pPr>
      <w:r>
        <w:rPr>
          <w:rFonts w:hint="default" w:ascii="仿宋_GB2312" w:eastAsia="仿宋_GB2312" w:cs="宋体"/>
          <w:sz w:val="32"/>
          <w:szCs w:val="32"/>
          <w:lang w:val="zh-CN"/>
        </w:rPr>
        <w:t>（一）评价结论。</w:t>
      </w:r>
    </w:p>
    <w:p w14:paraId="0254658D">
      <w:pPr>
        <w:spacing w:line="560" w:lineRule="exact"/>
        <w:ind w:firstLine="640" w:firstLineChars="200"/>
        <w:rPr>
          <w:rFonts w:hint="default" w:ascii="仿宋_GB2312" w:eastAsia="仿宋_GB2312" w:cs="宋体"/>
          <w:sz w:val="32"/>
          <w:szCs w:val="32"/>
          <w:lang w:val="en-US" w:eastAsia="zh-CN"/>
        </w:rPr>
      </w:pPr>
      <w:r>
        <w:rPr>
          <w:rFonts w:hint="eastAsia" w:ascii="仿宋_GB2312" w:eastAsia="仿宋_GB2312" w:cs="宋体"/>
          <w:sz w:val="32"/>
          <w:szCs w:val="32"/>
          <w:lang w:val="zh-CN"/>
        </w:rPr>
        <w:t>202</w:t>
      </w:r>
      <w:r>
        <w:rPr>
          <w:rFonts w:hint="eastAsia" w:ascii="仿宋_GB2312" w:eastAsia="仿宋_GB2312" w:cs="宋体"/>
          <w:sz w:val="32"/>
          <w:szCs w:val="32"/>
          <w:lang w:val="en-US" w:eastAsia="zh-CN"/>
        </w:rPr>
        <w:t>5</w:t>
      </w:r>
      <w:r>
        <w:rPr>
          <w:rFonts w:hint="eastAsia" w:ascii="仿宋_GB2312" w:eastAsia="仿宋_GB2312" w:cs="宋体"/>
          <w:sz w:val="32"/>
          <w:szCs w:val="32"/>
          <w:lang w:val="zh-CN"/>
        </w:rPr>
        <w:t>年按时完成预决算编制。在执行过程中有计划进行资金申报使用，完善资金管理及内部控制制度，确保资金安全。保障了单位各项业务工作的进行。经过自评得分</w:t>
      </w:r>
      <w:r>
        <w:rPr>
          <w:rFonts w:hint="eastAsia" w:ascii="仿宋_GB2312" w:eastAsia="仿宋_GB2312" w:cs="宋体"/>
          <w:sz w:val="32"/>
          <w:szCs w:val="32"/>
          <w:lang w:val="en-US" w:eastAsia="zh-CN"/>
        </w:rPr>
        <w:t>89分。</w:t>
      </w:r>
    </w:p>
    <w:p w14:paraId="67B50582">
      <w:pPr>
        <w:spacing w:line="560" w:lineRule="exact"/>
        <w:ind w:firstLine="640" w:firstLineChars="200"/>
        <w:rPr>
          <w:rFonts w:hint="default" w:ascii="仿宋_GB2312" w:eastAsia="仿宋_GB2312" w:cs="宋体"/>
          <w:sz w:val="32"/>
          <w:szCs w:val="32"/>
          <w:lang w:val="zh-CN"/>
        </w:rPr>
      </w:pPr>
      <w:r>
        <w:rPr>
          <w:rFonts w:hint="default" w:ascii="仿宋_GB2312" w:eastAsia="仿宋_GB2312" w:cs="宋体"/>
          <w:sz w:val="32"/>
          <w:szCs w:val="32"/>
          <w:lang w:val="zh-CN"/>
        </w:rPr>
        <w:t>存在问题</w:t>
      </w:r>
      <w:r>
        <w:rPr>
          <w:rFonts w:hint="eastAsia" w:ascii="仿宋_GB2312" w:eastAsia="仿宋_GB2312" w:cs="宋体"/>
          <w:sz w:val="32"/>
          <w:szCs w:val="32"/>
          <w:lang w:val="zh-CN"/>
        </w:rPr>
        <w:t>：</w:t>
      </w:r>
    </w:p>
    <w:p w14:paraId="358DEFA8">
      <w:pPr>
        <w:spacing w:line="560" w:lineRule="exact"/>
        <w:ind w:firstLine="640" w:firstLineChars="200"/>
        <w:rPr>
          <w:rFonts w:hint="eastAsia" w:ascii="仿宋_GB2312" w:eastAsia="仿宋_GB2312" w:cs="宋体"/>
          <w:sz w:val="32"/>
          <w:szCs w:val="32"/>
          <w:lang w:val="zh-CN"/>
        </w:rPr>
      </w:pPr>
      <w:r>
        <w:rPr>
          <w:rFonts w:hint="eastAsia" w:ascii="仿宋_GB2312" w:eastAsia="仿宋_GB2312" w:cs="宋体"/>
          <w:sz w:val="32"/>
          <w:szCs w:val="32"/>
          <w:lang w:val="zh-CN"/>
        </w:rPr>
        <w:t>从资金来源、资金性质结转和结余情况，特别是项目经费结转和结余情况来看，部门预算项目执行及资金支付进度偏慢。部门预算调整次数较多，调整频率偏高。</w:t>
      </w:r>
    </w:p>
    <w:p w14:paraId="77E7F98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17AEF675">
      <w:pPr>
        <w:pStyle w:val="15"/>
        <w:shd w:val="clear" w:color="auto" w:fill="FFFFFF"/>
        <w:spacing w:before="0" w:beforeAutospacing="0" w:after="0" w:afterAutospacing="0" w:line="560" w:lineRule="exact"/>
        <w:ind w:firstLine="720"/>
        <w:rPr>
          <w:rFonts w:hint="eastAsia" w:ascii="Times New Roman" w:hAnsi="Times New Roman" w:eastAsia="仿宋_GB2312" w:cs="Times New Roman"/>
          <w:color w:val="000000"/>
          <w:kern w:val="0"/>
          <w:sz w:val="32"/>
          <w:szCs w:val="32"/>
          <w:highlight w:val="none"/>
          <w:shd w:val="clear" w:color="auto" w:fill="FFFFFF"/>
          <w:lang w:val="zh-CN" w:eastAsia="zh-CN" w:bidi="ar-SA"/>
        </w:rPr>
      </w:pPr>
      <w:r>
        <w:rPr>
          <w:rFonts w:hint="eastAsia" w:ascii="Times New Roman" w:hAnsi="Times New Roman" w:eastAsia="仿宋_GB2312" w:cs="Times New Roman"/>
          <w:color w:val="000000"/>
          <w:kern w:val="0"/>
          <w:sz w:val="32"/>
          <w:szCs w:val="32"/>
          <w:highlight w:val="none"/>
          <w:shd w:val="clear" w:color="auto" w:fill="FFFFFF"/>
          <w:lang w:val="zh-CN" w:eastAsia="zh-CN" w:bidi="ar-SA"/>
        </w:rPr>
        <w:t>1、精准编制预算。严格按照政策标准，优化支出结构，提高预算编制的科学化精细化水平。</w:t>
      </w:r>
    </w:p>
    <w:p w14:paraId="3B3FB7D8">
      <w:pPr>
        <w:snapToGrid w:val="0"/>
        <w:spacing w:line="560" w:lineRule="exact"/>
        <w:ind w:firstLine="640" w:firstLineChars="200"/>
        <w:rPr>
          <w:rFonts w:hint="eastAsia" w:ascii="Times New Roman" w:hAnsi="Times New Roman" w:eastAsia="仿宋_GB2312" w:cs="Times New Roman"/>
          <w:color w:val="000000"/>
          <w:kern w:val="0"/>
          <w:sz w:val="32"/>
          <w:szCs w:val="32"/>
          <w:highlight w:val="none"/>
          <w:shd w:val="clear" w:color="auto" w:fill="FFFFFF"/>
          <w:lang w:val="zh-CN" w:eastAsia="zh-CN" w:bidi="ar-SA"/>
        </w:rPr>
      </w:pPr>
      <w:r>
        <w:rPr>
          <w:rFonts w:hint="eastAsia" w:ascii="Times New Roman" w:hAnsi="Times New Roman" w:eastAsia="仿宋_GB2312" w:cs="Times New Roman"/>
          <w:color w:val="000000"/>
          <w:kern w:val="0"/>
          <w:sz w:val="32"/>
          <w:szCs w:val="32"/>
          <w:highlight w:val="none"/>
          <w:shd w:val="clear" w:color="auto" w:fill="FFFFFF"/>
          <w:lang w:val="zh-CN" w:eastAsia="zh-CN" w:bidi="ar-SA"/>
        </w:rPr>
        <w:t>2、完善项目执行责任制。针对结余结转资金较多和预算执行进度偏慢等问题，单位将加强和规范项目管理，充分发挥财政资金使用效益，提高预算支付进度，按照工作重点，结合经费预算情况，建立项目执行责任制，将项目支出责任逐一分解落实到具体执行科室和责任人，形成领导重视、各科室联动共同促进项目执行的良好格局。针对资金支付进度偏慢的问题，单位及时催办相关科室及责任人要求加快项目的实施进度。</w:t>
      </w:r>
    </w:p>
    <w:p w14:paraId="6BC42A6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p>
    <w:p w14:paraId="03CB2165">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14:paraId="7BF7AA7D">
      <w:pPr>
        <w:keepNext w:val="0"/>
        <w:keepLines w:val="0"/>
        <w:pageBreakBefore w:val="0"/>
        <w:kinsoku/>
        <w:wordWrap/>
        <w:overflowPunct/>
        <w:topLinePunct w:val="0"/>
        <w:autoSpaceDE/>
        <w:autoSpaceDN/>
        <w:bidi w:val="0"/>
        <w:spacing w:line="578" w:lineRule="exact"/>
        <w:ind w:firstLine="600" w:firstLineChars="200"/>
        <w:jc w:val="both"/>
        <w:textAlignment w:val="auto"/>
        <w:rPr>
          <w:rFonts w:hint="eastAsia" w:ascii="Times New Roman" w:hAnsi="Times New Roman" w:cs="Times New Roman"/>
          <w:strike w:val="0"/>
          <w:sz w:val="32"/>
          <w:szCs w:val="32"/>
          <w:u w:val="none"/>
          <w:lang w:val="en-US" w:eastAsia="zh-CN" w:bidi="ar"/>
        </w:rPr>
      </w:pPr>
      <w:r>
        <w:rPr>
          <w:rFonts w:hint="default" w:ascii="Times New Roman" w:hAnsi="Times New Roman" w:cs="Times New Roman"/>
          <w:color w:val="000000"/>
          <w:kern w:val="0"/>
          <w:sz w:val="30"/>
          <w:szCs w:val="30"/>
          <w:highlight w:val="none"/>
          <w:shd w:val="clear" w:color="auto" w:fill="FFFFFF"/>
          <w:lang w:val="en-US" w:eastAsia="zh-CN"/>
        </w:rPr>
        <w:t>附表</w:t>
      </w:r>
      <w:r>
        <w:rPr>
          <w:rFonts w:hint="default" w:ascii="Times New Roman" w:hAnsi="Times New Roman" w:cs="Times New Roman"/>
          <w:color w:val="000000"/>
          <w:kern w:val="0"/>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1.部门</w:t>
      </w:r>
      <w:r>
        <w:rPr>
          <w:rFonts w:hint="eastAsia" w:ascii="Times New Roman" w:hAnsi="Times New Roman" w:cs="Times New Roman"/>
          <w:strike w:val="0"/>
          <w:sz w:val="32"/>
          <w:szCs w:val="32"/>
          <w:u w:val="none"/>
          <w:lang w:val="en-US" w:eastAsia="zh-CN" w:bidi="ar"/>
        </w:rPr>
        <w:t>预算绩效自评打分表</w:t>
      </w:r>
    </w:p>
    <w:p w14:paraId="4A7A8CF7">
      <w:pPr>
        <w:keepNext w:val="0"/>
        <w:keepLines w:val="0"/>
        <w:pageBreakBefore w:val="0"/>
        <w:widowControl/>
        <w:kinsoku/>
        <w:wordWrap/>
        <w:overflowPunct/>
        <w:topLinePunct w:val="0"/>
        <w:autoSpaceDE/>
        <w:autoSpaceDN/>
        <w:bidi w:val="0"/>
        <w:adjustRightInd/>
        <w:snapToGrid/>
        <w:spacing w:line="360" w:lineRule="auto"/>
        <w:ind w:firstLine="1353" w:firstLineChars="423"/>
        <w:jc w:val="both"/>
        <w:textAlignment w:val="auto"/>
        <w:rPr>
          <w:rFonts w:hint="default"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2.</w:t>
      </w:r>
      <w:r>
        <w:rPr>
          <w:rFonts w:hint="default" w:ascii="仿宋_GB2312" w:hAnsi="Calibri" w:eastAsia="仿宋_GB2312" w:cs="Times New Roman"/>
          <w:kern w:val="2"/>
          <w:sz w:val="32"/>
          <w:szCs w:val="32"/>
          <w:lang w:val="en-US" w:eastAsia="zh-CN" w:bidi="ar-SA"/>
        </w:rPr>
        <w:t>部门整体绩效目标完成情况自评表</w:t>
      </w:r>
    </w:p>
    <w:p w14:paraId="05F056F5">
      <w:pPr>
        <w:keepNext w:val="0"/>
        <w:keepLines w:val="0"/>
        <w:pageBreakBefore w:val="0"/>
        <w:kinsoku/>
        <w:wordWrap/>
        <w:overflowPunct/>
        <w:topLinePunct w:val="0"/>
        <w:autoSpaceDE/>
        <w:autoSpaceDN/>
        <w:bidi w:val="0"/>
        <w:spacing w:line="578" w:lineRule="exact"/>
        <w:ind w:firstLine="1600" w:firstLineChars="500"/>
        <w:jc w:val="both"/>
        <w:textAlignment w:val="auto"/>
        <w:rPr>
          <w:rFonts w:hint="default" w:ascii="Times New Roman" w:hAnsi="Times New Roman" w:eastAsia="仿宋_GB2312" w:cs="Times New Roman"/>
          <w:strike w:val="0"/>
          <w:sz w:val="32"/>
          <w:szCs w:val="32"/>
          <w:u w:val="none"/>
          <w:lang w:eastAsia="zh-CN" w:bidi="ar"/>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3.</w:t>
      </w:r>
      <w:r>
        <w:rPr>
          <w:rFonts w:hint="default" w:ascii="Times New Roman" w:hAnsi="Times New Roman" w:eastAsia="仿宋_GB2312" w:cs="Times New Roman"/>
          <w:color w:val="000000"/>
          <w:kern w:val="0"/>
          <w:sz w:val="32"/>
          <w:szCs w:val="32"/>
          <w:highlight w:val="none"/>
          <w:shd w:val="clear" w:color="auto" w:fill="FFFFFF"/>
          <w:lang w:val="en-US" w:eastAsia="zh-CN" w:bidi="ar-SA"/>
        </w:rPr>
        <w:t>部门</w:t>
      </w:r>
      <w:r>
        <w:rPr>
          <w:rFonts w:hint="default" w:ascii="Times New Roman" w:hAnsi="Times New Roman" w:eastAsia="仿宋_GB2312" w:cs="Times New Roman"/>
          <w:strike w:val="0"/>
          <w:sz w:val="32"/>
          <w:szCs w:val="32"/>
          <w:u w:val="none"/>
          <w:lang w:bidi="ar"/>
        </w:rPr>
        <w:t>预算项目支出绩效</w:t>
      </w:r>
      <w:r>
        <w:rPr>
          <w:rFonts w:hint="default" w:ascii="Times New Roman" w:hAnsi="Times New Roman" w:eastAsia="仿宋_GB2312" w:cs="Times New Roman"/>
          <w:strike w:val="0"/>
          <w:sz w:val="32"/>
          <w:szCs w:val="32"/>
          <w:u w:val="none"/>
          <w:lang w:eastAsia="zh-CN" w:bidi="ar"/>
        </w:rPr>
        <w:t>评价</w:t>
      </w:r>
      <w:r>
        <w:rPr>
          <w:rFonts w:hint="default" w:ascii="Times New Roman" w:hAnsi="Times New Roman" w:eastAsia="仿宋_GB2312" w:cs="Times New Roman"/>
          <w:strike w:val="0"/>
          <w:sz w:val="32"/>
          <w:szCs w:val="32"/>
          <w:u w:val="none"/>
          <w:lang w:bidi="ar"/>
        </w:rPr>
        <w:t>表</w:t>
      </w:r>
      <w:r>
        <w:rPr>
          <w:rFonts w:hint="default" w:ascii="Times New Roman" w:hAnsi="Times New Roman" w:eastAsia="仿宋_GB2312" w:cs="Times New Roman"/>
          <w:strike w:val="0"/>
          <w:sz w:val="32"/>
          <w:szCs w:val="32"/>
          <w:u w:val="none"/>
          <w:lang w:eastAsia="zh-CN" w:bidi="ar"/>
        </w:rPr>
        <w:t>（202</w:t>
      </w:r>
      <w:r>
        <w:rPr>
          <w:rFonts w:hint="eastAsia" w:cs="Times New Roman"/>
          <w:strike w:val="0"/>
          <w:sz w:val="32"/>
          <w:szCs w:val="32"/>
          <w:u w:val="none"/>
          <w:lang w:val="en-US" w:eastAsia="zh-CN" w:bidi="ar"/>
        </w:rPr>
        <w:t>5</w:t>
      </w:r>
      <w:r>
        <w:rPr>
          <w:rFonts w:hint="default" w:ascii="Times New Roman" w:hAnsi="Times New Roman" w:eastAsia="仿宋_GB2312" w:cs="Times New Roman"/>
          <w:strike w:val="0"/>
          <w:sz w:val="32"/>
          <w:szCs w:val="32"/>
          <w:u w:val="none"/>
          <w:lang w:eastAsia="zh-CN" w:bidi="ar"/>
        </w:rPr>
        <w:t>年度）</w:t>
      </w:r>
    </w:p>
    <w:p w14:paraId="1856410A">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0BB5868F">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31869381">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20052854">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7628DA64">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30010F7A">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2EFB17BE">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黑体" w:hAnsi="黑体" w:eastAsia="黑体" w:cs="黑体"/>
          <w:kern w:val="2"/>
          <w:sz w:val="32"/>
          <w:szCs w:val="24"/>
          <w:highlight w:val="none"/>
          <w:lang w:val="en-US" w:eastAsia="zh-CN" w:bidi="ar-SA"/>
        </w:rPr>
      </w:pPr>
    </w:p>
    <w:p w14:paraId="524164CF">
      <w:pPr>
        <w:keepNext w:val="0"/>
        <w:keepLines w:val="0"/>
        <w:pageBreakBefore w:val="0"/>
        <w:kinsoku/>
        <w:wordWrap/>
        <w:overflowPunct/>
        <w:topLinePunct w:val="0"/>
        <w:autoSpaceDE/>
        <w:autoSpaceDN/>
        <w:bidi w:val="0"/>
        <w:spacing w:line="578" w:lineRule="exact"/>
        <w:textAlignment w:val="auto"/>
        <w:rPr>
          <w:rFonts w:hint="eastAsia" w:ascii="黑体" w:hAnsi="黑体" w:eastAsia="黑体" w:cs="黑体"/>
          <w:kern w:val="2"/>
          <w:sz w:val="32"/>
          <w:szCs w:val="24"/>
          <w:highlight w:val="none"/>
          <w:lang w:val="en-US" w:eastAsia="zh-CN" w:bidi="ar-SA"/>
        </w:rPr>
      </w:pPr>
    </w:p>
    <w:p w14:paraId="505B082C">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6CA1C59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6"/>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4"/>
        <w:gridCol w:w="1462"/>
        <w:gridCol w:w="1665"/>
        <w:gridCol w:w="720"/>
        <w:gridCol w:w="4734"/>
        <w:gridCol w:w="756"/>
        <w:gridCol w:w="478"/>
      </w:tblGrid>
      <w:tr w14:paraId="08B12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noWrap w:val="0"/>
            <w:vAlign w:val="center"/>
          </w:tcPr>
          <w:p w14:paraId="3C2FFD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F6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noWrap w:val="0"/>
            <w:vAlign w:val="center"/>
          </w:tcPr>
          <w:p w14:paraId="1FF84C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3F0258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79666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noWrap w:val="0"/>
            <w:vAlign w:val="center"/>
          </w:tcPr>
          <w:p w14:paraId="580B8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64B44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F5D12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D16B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83110">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noWrap w:val="0"/>
            <w:vAlign w:val="center"/>
          </w:tcPr>
          <w:p w14:paraId="6332AADB">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noWrap w:val="0"/>
            <w:vAlign w:val="center"/>
          </w:tcPr>
          <w:p w14:paraId="02D5FBC2">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19CF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FE7F2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6CBA20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F7B27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履职效果</w:t>
            </w:r>
          </w:p>
        </w:tc>
        <w:tc>
          <w:tcPr>
            <w:tcW w:w="720" w:type="dxa"/>
            <w:tcBorders>
              <w:top w:val="nil"/>
              <w:left w:val="single" w:color="000000" w:sz="4" w:space="0"/>
              <w:bottom w:val="single" w:color="000000" w:sz="4" w:space="0"/>
              <w:right w:val="single" w:color="000000" w:sz="4" w:space="0"/>
            </w:tcBorders>
            <w:noWrap w:val="0"/>
            <w:vAlign w:val="center"/>
          </w:tcPr>
          <w:p w14:paraId="1C945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AF57B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97EE7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80689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4CD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DB0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E9C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9CA6E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F537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B1835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12DEB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89AA3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F57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D92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43F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36FBC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4F66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EE7A0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6249E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0E511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07A9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12C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9EE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C5DF7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AF38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07C15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97F60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71C4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D49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4BF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6FA2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6DFA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6022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F1E45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5F2CC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38318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BC0A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389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8544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3E243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4DB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54FE7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EB5CE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48898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D95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66C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1BD74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137B3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4B01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89C5C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9CCF0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C9FAB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9A1C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8EF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27C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F07C6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BC4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D222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EAB87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358BC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BF9E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D51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91E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FBEA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57D1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EE7B7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54110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91E2E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9D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70B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123CA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09BD4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B2CC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94EA9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44863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D0B7C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4430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1FC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7DA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55273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D995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BFDAA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50F20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1B4AC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85B5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4C4A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57A2DB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805D5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6811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919A8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0F8CA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87E1F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119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F49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297C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0BA6D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93BE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0A12B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D0D08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08473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8C1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E28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2DF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F9CE5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2F6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27E95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0FE67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1CD11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9A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A7E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noWrap w:val="0"/>
            <w:vAlign w:val="center"/>
          </w:tcPr>
          <w:p w14:paraId="7183B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9EA40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BB5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45C36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0C566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32944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785A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012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5495FC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91DCA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FF0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E4611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D5BBA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02A7D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3BEC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2B1F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624BAA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870D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55DB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1C44E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5B593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DBFDD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0A9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1383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noWrap w:val="0"/>
            <w:vAlign w:val="center"/>
          </w:tcPr>
          <w:p w14:paraId="132202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74BE9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819F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1C641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B548D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C43A6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B782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E44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17455F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noWrap w:val="0"/>
            <w:vAlign w:val="center"/>
          </w:tcPr>
          <w:p w14:paraId="684E73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05E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CF159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8C1C9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DB2F3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93C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443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6556B4E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243A7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B4BE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15161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5B413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C7E6D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C5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184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7C3C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329E8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733DB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30CB9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2DCB6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F953C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94BA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95F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8E8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24E90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80AE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00641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7F618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398D3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18FB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34C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246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D90C2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761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1C6BA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A059A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2066B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F34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noWrap w:val="0"/>
            <w:vAlign w:val="center"/>
          </w:tcPr>
          <w:p w14:paraId="3469A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noWrap w:val="0"/>
            <w:vAlign w:val="center"/>
          </w:tcPr>
          <w:p w14:paraId="323D95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70E8F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CA98F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F182C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EE022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6FA3DAD3">
      <w:pPr>
        <w:keepNext w:val="0"/>
        <w:keepLines w:val="0"/>
        <w:pageBreakBefore w:val="0"/>
        <w:kinsoku/>
        <w:wordWrap/>
        <w:overflowPunct/>
        <w:topLinePunct w:val="0"/>
        <w:autoSpaceDE/>
        <w:autoSpaceDN/>
        <w:bidi w:val="0"/>
        <w:spacing w:line="578" w:lineRule="exact"/>
        <w:textAlignment w:val="auto"/>
        <w:rPr>
          <w:rFonts w:hint="eastAsia" w:ascii="黑体" w:hAnsi="黑体" w:eastAsia="黑体" w:cs="黑体"/>
          <w:kern w:val="2"/>
          <w:sz w:val="32"/>
          <w:szCs w:val="24"/>
          <w:highlight w:val="none"/>
          <w:lang w:val="en-US" w:eastAsia="zh-CN" w:bidi="ar-SA"/>
        </w:rPr>
      </w:pPr>
    </w:p>
    <w:p w14:paraId="56189236">
      <w:pPr>
        <w:keepNext w:val="0"/>
        <w:keepLines w:val="0"/>
        <w:pageBreakBefore w:val="0"/>
        <w:kinsoku/>
        <w:wordWrap/>
        <w:overflowPunct/>
        <w:topLinePunct w:val="0"/>
        <w:autoSpaceDE/>
        <w:autoSpaceDN/>
        <w:bidi w:val="0"/>
        <w:spacing w:line="578" w:lineRule="exact"/>
        <w:textAlignment w:val="auto"/>
        <w:rPr>
          <w:rFonts w:hint="eastAsia" w:ascii="黑体" w:hAnsi="黑体" w:eastAsia="黑体" w:cs="黑体"/>
          <w:kern w:val="2"/>
          <w:sz w:val="32"/>
          <w:szCs w:val="24"/>
          <w:highlight w:val="none"/>
          <w:lang w:val="en-US" w:eastAsia="zh-CN" w:bidi="ar-SA"/>
        </w:rPr>
      </w:pPr>
    </w:p>
    <w:p w14:paraId="383704C9">
      <w:pPr>
        <w:keepNext w:val="0"/>
        <w:keepLines w:val="0"/>
        <w:pageBreakBefore w:val="0"/>
        <w:kinsoku/>
        <w:wordWrap/>
        <w:overflowPunct/>
        <w:topLinePunct w:val="0"/>
        <w:autoSpaceDE/>
        <w:autoSpaceDN/>
        <w:bidi w:val="0"/>
        <w:spacing w:line="578" w:lineRule="exact"/>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附表2</w:t>
      </w:r>
    </w:p>
    <w:tbl>
      <w:tblPr>
        <w:tblStyle w:val="16"/>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1C8F5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05F04AF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部门整体绩效目标完成情况自评表</w:t>
            </w:r>
          </w:p>
        </w:tc>
      </w:tr>
      <w:tr w14:paraId="0B3D4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2E9179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eastAsia" w:eastAsia="宋体"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5611D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44A284A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4C7C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D07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FC9D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阿坝州藏医院</w:t>
            </w:r>
          </w:p>
        </w:tc>
      </w:tr>
      <w:tr w14:paraId="66AF5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805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AB6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773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4B5D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7EB8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3C0A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6F6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3497.27</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D2A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3497.27</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B10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0</w:t>
            </w:r>
          </w:p>
        </w:tc>
      </w:tr>
      <w:tr w14:paraId="0E126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93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4C1649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AB629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医疗服务总人次28522人，事业收入1079万元。</w:t>
            </w:r>
          </w:p>
        </w:tc>
      </w:tr>
      <w:tr w14:paraId="2F34E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9087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33BD96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865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2923E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775C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46AB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DB0A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服务总人次</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60E94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23043人次</w:t>
            </w:r>
          </w:p>
        </w:tc>
      </w:tr>
      <w:tr w14:paraId="48E19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E9B3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9CEB1">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事业收入</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4E082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957.42万元</w:t>
            </w:r>
          </w:p>
        </w:tc>
      </w:tr>
      <w:tr w14:paraId="34B3B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B1F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55801D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EB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8A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01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A8A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14:paraId="5C132C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D2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29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2809EE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53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198AFE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54229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9C1D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91D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63E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CE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服务人次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9703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A2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30000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53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6FA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20</w:t>
            </w:r>
            <w:r>
              <w:rPr>
                <w:rFonts w:hint="default" w:ascii="Times New Roman" w:hAnsi="Times New Roman" w:eastAsia="宋体" w:cs="Times New Roman"/>
                <w:i w:val="0"/>
                <w:color w:val="000000"/>
                <w:kern w:val="0"/>
                <w:sz w:val="24"/>
                <w:szCs w:val="24"/>
                <w:u w:val="none"/>
                <w:lang w:val="en-US" w:eastAsia="zh-CN" w:bidi="ar"/>
              </w:rPr>
              <w:t>%</w:t>
            </w:r>
          </w:p>
        </w:tc>
        <w:tc>
          <w:tcPr>
            <w:tcW w:w="1113" w:type="dxa"/>
            <w:tcBorders>
              <w:left w:val="single" w:color="000000" w:sz="4" w:space="0"/>
              <w:bottom w:val="single" w:color="000000" w:sz="4" w:space="0"/>
              <w:right w:val="single" w:color="000000" w:sz="4" w:space="0"/>
            </w:tcBorders>
            <w:shd w:val="clear" w:color="auto" w:fill="auto"/>
            <w:vAlign w:val="center"/>
          </w:tcPr>
          <w:p w14:paraId="5C495FD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23043</w:t>
            </w:r>
          </w:p>
        </w:tc>
      </w:tr>
      <w:tr w14:paraId="4B746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E281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401D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6A6E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592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DD7D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835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7F3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E4A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679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14:paraId="0EB5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056F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D939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4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EFA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5DD0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BC7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B5A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3FA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979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14:paraId="557CD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9FDE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E363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8E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2B7F">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执行周期</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2944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33FE">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411B">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07B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3E6C">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r>
      <w:tr w14:paraId="2C99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F7E2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1CD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180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707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97AB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6CB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EC3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785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591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14:paraId="6F7BB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AB65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3C0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43D7B0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0D29B4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EC40">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中医药服务能力</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582BE">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E7AE">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更加优质高效</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F1F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EEC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694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14:paraId="611E6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8BB4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1D5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7914C54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20F0">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84CB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125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E93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BCE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641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14:paraId="2AE41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B99F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9801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26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2AE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F1C0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7A7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A9F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C08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092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14:paraId="62E52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88C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68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88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36A8">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服务对象满意度</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4EF0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475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400E">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D8C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2AB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92</w:t>
            </w:r>
          </w:p>
        </w:tc>
      </w:tr>
    </w:tbl>
    <w:p w14:paraId="5F258DFB">
      <w:pPr>
        <w:pStyle w:val="13"/>
        <w:ind w:left="0" w:leftChars="0" w:firstLine="0" w:firstLineChars="0"/>
        <w:rPr>
          <w:rFonts w:hint="default" w:ascii="Times New Roman" w:hAnsi="Times New Roman" w:eastAsia="黑体" w:cs="Times New Roman"/>
          <w:sz w:val="24"/>
          <w:szCs w:val="24"/>
          <w:highlight w:val="none"/>
          <w:lang w:val="en-US" w:eastAsia="zh-CN"/>
        </w:rPr>
      </w:pPr>
    </w:p>
    <w:p w14:paraId="1D72DF67">
      <w:pPr>
        <w:pStyle w:val="13"/>
        <w:ind w:left="0" w:leftChars="0" w:firstLine="0" w:firstLineChars="0"/>
        <w:rPr>
          <w:rFonts w:hint="default" w:ascii="Times New Roman" w:hAnsi="Times New Roman" w:eastAsia="黑体" w:cs="Times New Roman"/>
          <w:sz w:val="24"/>
          <w:szCs w:val="24"/>
          <w:highlight w:val="none"/>
          <w:lang w:val="en-US" w:eastAsia="zh-CN"/>
        </w:rPr>
      </w:pPr>
    </w:p>
    <w:p w14:paraId="1E01F153">
      <w:pPr>
        <w:numPr>
          <w:ilvl w:val="0"/>
          <w:numId w:val="0"/>
        </w:numPr>
        <w:spacing w:line="600" w:lineRule="exact"/>
        <w:jc w:val="both"/>
        <w:rPr>
          <w:rFonts w:hint="eastAsia" w:ascii="Times New Roman" w:hAnsi="Times New Roman" w:eastAsia="黑体"/>
          <w:color w:val="auto"/>
          <w:sz w:val="44"/>
          <w:szCs w:val="44"/>
          <w:highlight w:val="none"/>
          <w:lang w:eastAsia="zh-CN"/>
        </w:rPr>
      </w:pPr>
    </w:p>
    <w:tbl>
      <w:tblPr>
        <w:tblpPr w:leftFromText="180" w:rightFromText="180" w:vertAnchor="text" w:horzAnchor="page" w:tblpXSpec="center" w:tblpY="641"/>
        <w:tblOverlap w:val="neve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76"/>
        <w:gridCol w:w="861"/>
        <w:gridCol w:w="1101"/>
        <w:gridCol w:w="1070"/>
        <w:gridCol w:w="396"/>
        <w:gridCol w:w="936"/>
        <w:gridCol w:w="396"/>
        <w:gridCol w:w="967"/>
        <w:gridCol w:w="486"/>
        <w:gridCol w:w="486"/>
        <w:gridCol w:w="1247"/>
      </w:tblGrid>
      <w:tr w14:paraId="6196C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19D5A80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47" w:name="_Toc15396618"/>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918A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53E583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145ED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51320022T000000344903-奖励医务人员额度</w:t>
            </w:r>
          </w:p>
        </w:tc>
      </w:tr>
      <w:tr w14:paraId="4B565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56AB30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A695B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0CF940D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1FF45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45B3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B122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0BC11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A9EA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0E9D94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E31E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07411B">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6C1CB6B">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B5DB0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通过奖励医务人员 调动积极性，使服务人次达到30000人次促进事业收入增长，提高服务质量。使职工满意度达到90%。</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03DB8C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已完成服务人次，医务人员积极性有效提升，服务质量与满意度均达标，年度目标全面完成。</w:t>
            </w:r>
          </w:p>
        </w:tc>
      </w:tr>
      <w:tr w14:paraId="6502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930314">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F164B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7421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按预算足额拨付奖励资金，规范执行资金审批流程，同步开展服务质量督导与满意度调查，确保资金使用与业务目标匹配，未发生资金调整或违规使用情况。</w:t>
            </w:r>
          </w:p>
        </w:tc>
      </w:tr>
      <w:tr w14:paraId="063B3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7918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5A19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0CC4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0FAF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44A0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A93B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72A3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F4AA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D574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113A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A27D2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2282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6098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27D3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2B7D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5CB9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C465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50A4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121C68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6C1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BD3DC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F269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01EC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8752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2A93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1C94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CE2C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2443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5D7F93">
            <w:pPr>
              <w:rPr>
                <w:rFonts w:hint="eastAsia" w:ascii="黑体" w:hAnsi="黑体" w:eastAsia="黑体" w:cs="黑体"/>
                <w:i/>
                <w:iCs/>
                <w:color w:val="000000"/>
                <w:sz w:val="18"/>
                <w:szCs w:val="18"/>
                <w:u w:val="none"/>
              </w:rPr>
            </w:pPr>
          </w:p>
        </w:tc>
      </w:tr>
      <w:tr w14:paraId="47D0E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C4F005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DCF9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607C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40C5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7458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C7D7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33E8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9035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A0ACDA">
            <w:pPr>
              <w:rPr>
                <w:rFonts w:hint="eastAsia" w:ascii="黑体" w:hAnsi="黑体" w:eastAsia="黑体" w:cs="黑体"/>
                <w:i/>
                <w:iCs/>
                <w:color w:val="000000"/>
                <w:sz w:val="18"/>
                <w:szCs w:val="18"/>
                <w:u w:val="none"/>
              </w:rPr>
            </w:pPr>
          </w:p>
        </w:tc>
      </w:tr>
      <w:tr w14:paraId="320A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EF9325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8363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40FA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677E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7ABA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4778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FAD1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9149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5DDCC5A">
            <w:pPr>
              <w:rPr>
                <w:rFonts w:hint="eastAsia" w:ascii="黑体" w:hAnsi="黑体" w:eastAsia="黑体" w:cs="黑体"/>
                <w:i/>
                <w:iCs/>
                <w:color w:val="000000"/>
                <w:sz w:val="18"/>
                <w:szCs w:val="18"/>
                <w:u w:val="none"/>
              </w:rPr>
            </w:pPr>
          </w:p>
        </w:tc>
      </w:tr>
      <w:tr w14:paraId="2149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780648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D3F7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04C9DC6">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95A7E50">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B59F6D0">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D6E782F">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B6AB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BEE3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622E8BD">
            <w:pPr>
              <w:rPr>
                <w:rFonts w:hint="eastAsia" w:ascii="黑体" w:hAnsi="黑体" w:eastAsia="黑体" w:cs="黑体"/>
                <w:i/>
                <w:iCs/>
                <w:color w:val="000000"/>
                <w:sz w:val="18"/>
                <w:szCs w:val="18"/>
                <w:u w:val="none"/>
              </w:rPr>
            </w:pPr>
          </w:p>
        </w:tc>
      </w:tr>
      <w:tr w14:paraId="2F360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B0FF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EFE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DFEE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468D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7632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E634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B760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1067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E12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5FDF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708E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A34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1B3B0E">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542A2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F3A0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D3F3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服务人次</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108E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3644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869E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D88E2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30000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4D5A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F283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CA5158E">
            <w:pPr>
              <w:jc w:val="center"/>
              <w:rPr>
                <w:rFonts w:hint="eastAsia" w:ascii="微软雅黑" w:hAnsi="微软雅黑" w:eastAsia="微软雅黑" w:cs="微软雅黑"/>
                <w:i/>
                <w:iCs/>
                <w:color w:val="000000"/>
                <w:sz w:val="16"/>
                <w:szCs w:val="16"/>
                <w:u w:val="none"/>
              </w:rPr>
            </w:pPr>
          </w:p>
        </w:tc>
      </w:tr>
      <w:tr w14:paraId="1D222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AF27C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58ABC9B">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24F7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1F19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藏医药服务质量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4FAD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EF72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持续提升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BB66F27">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CD5174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持续提升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2452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nil"/>
              <w:left w:val="nil"/>
              <w:bottom w:val="nil"/>
              <w:right w:val="nil"/>
            </w:tcBorders>
            <w:shd w:val="clear"/>
            <w:noWrap/>
            <w:vAlign w:val="center"/>
          </w:tcPr>
          <w:p w14:paraId="54D53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EFC5628">
            <w:pPr>
              <w:jc w:val="center"/>
              <w:rPr>
                <w:rFonts w:hint="eastAsia" w:ascii="微软雅黑" w:hAnsi="微软雅黑" w:eastAsia="微软雅黑" w:cs="微软雅黑"/>
                <w:i/>
                <w:iCs/>
                <w:color w:val="000000"/>
                <w:sz w:val="16"/>
                <w:szCs w:val="16"/>
                <w:u w:val="none"/>
              </w:rPr>
            </w:pPr>
          </w:p>
        </w:tc>
      </w:tr>
      <w:tr w14:paraId="210C5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FD4EA5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301CF6">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F60299E">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EE1A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项目执行率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43E5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8CE1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1035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60D1A6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44FF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DEBC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84C10F7">
            <w:pPr>
              <w:jc w:val="center"/>
              <w:rPr>
                <w:rFonts w:hint="eastAsia" w:ascii="微软雅黑" w:hAnsi="微软雅黑" w:eastAsia="微软雅黑" w:cs="微软雅黑"/>
                <w:i/>
                <w:iCs/>
                <w:color w:val="000000"/>
                <w:sz w:val="16"/>
                <w:szCs w:val="16"/>
                <w:u w:val="none"/>
              </w:rPr>
            </w:pPr>
          </w:p>
        </w:tc>
      </w:tr>
      <w:tr w14:paraId="72DA1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4D6AC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8C1957">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4879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7DEC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奖金发放及时率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DC39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B461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F579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3CADB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3375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A02D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B553F6D">
            <w:pPr>
              <w:jc w:val="center"/>
              <w:rPr>
                <w:rFonts w:hint="eastAsia" w:ascii="微软雅黑" w:hAnsi="微软雅黑" w:eastAsia="微软雅黑" w:cs="微软雅黑"/>
                <w:i/>
                <w:iCs/>
                <w:color w:val="000000"/>
                <w:sz w:val="16"/>
                <w:szCs w:val="16"/>
                <w:u w:val="none"/>
              </w:rPr>
            </w:pPr>
          </w:p>
        </w:tc>
      </w:tr>
      <w:tr w14:paraId="3B882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926E0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F1E4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2C88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A2D5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事业收入增长率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4BEC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745F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F687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6B74A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EB3A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D5BC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7F347AE">
            <w:pPr>
              <w:jc w:val="center"/>
              <w:rPr>
                <w:rFonts w:hint="eastAsia" w:ascii="微软雅黑" w:hAnsi="微软雅黑" w:eastAsia="微软雅黑" w:cs="微软雅黑"/>
                <w:i/>
                <w:iCs/>
                <w:color w:val="000000"/>
                <w:sz w:val="16"/>
                <w:szCs w:val="16"/>
                <w:u w:val="none"/>
              </w:rPr>
            </w:pPr>
          </w:p>
        </w:tc>
      </w:tr>
      <w:tr w14:paraId="05BA3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9C94C0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DCD2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3F39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3371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31C3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544B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8450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C2D29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2857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44B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B9AA846">
            <w:pPr>
              <w:jc w:val="center"/>
              <w:rPr>
                <w:rFonts w:hint="eastAsia" w:ascii="微软雅黑" w:hAnsi="微软雅黑" w:eastAsia="微软雅黑" w:cs="微软雅黑"/>
                <w:i/>
                <w:iCs/>
                <w:color w:val="000000"/>
                <w:sz w:val="16"/>
                <w:szCs w:val="16"/>
                <w:u w:val="none"/>
              </w:rPr>
            </w:pPr>
          </w:p>
        </w:tc>
      </w:tr>
      <w:tr w14:paraId="6B8C0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C971D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EA86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A99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44C6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人均补助标准</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7A6E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B60E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61C1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705CD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2</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7ECC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B17C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3EDA579">
            <w:pPr>
              <w:jc w:val="center"/>
              <w:rPr>
                <w:rFonts w:hint="eastAsia" w:ascii="微软雅黑" w:hAnsi="微软雅黑" w:eastAsia="微软雅黑" w:cs="微软雅黑"/>
                <w:i/>
                <w:iCs/>
                <w:color w:val="000000"/>
                <w:sz w:val="16"/>
                <w:szCs w:val="16"/>
                <w:u w:val="none"/>
              </w:rPr>
            </w:pPr>
          </w:p>
        </w:tc>
      </w:tr>
      <w:tr w14:paraId="23EE4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4F49C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3949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A8D544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FC80114">
            <w:pPr>
              <w:rPr>
                <w:rFonts w:hint="eastAsia" w:ascii="宋体" w:hAnsi="宋体" w:eastAsia="宋体" w:cs="宋体"/>
                <w:i w:val="0"/>
                <w:iCs w:val="0"/>
                <w:color w:val="000000"/>
                <w:sz w:val="18"/>
                <w:szCs w:val="18"/>
                <w:u w:val="none"/>
              </w:rPr>
            </w:pPr>
          </w:p>
        </w:tc>
      </w:tr>
      <w:tr w14:paraId="2D4CE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591F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0B292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通过奖励医务人员，有效调动了工作积极性，服务人次超额完成目标，藏医药服务质量持续提升，事业收入实现稳步增长，服务对象满意度达92%，全面达成年度绩效目标，充分发挥了财政资金的激励与保障作用</w:t>
            </w:r>
          </w:p>
        </w:tc>
      </w:tr>
      <w:tr w14:paraId="0DD74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5334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5074B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奖励分配的精细化程度有待提升，部分科室间分配差异未充分体现工作量差异。</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绩效激励与长期业务发展的联动机制不够完善，对科研、教学等长远目标的引导不足。</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服务人次统计口径需进一步优化，以更精准反映藏医药服务的实际覆盖范围。</w:t>
            </w:r>
          </w:p>
        </w:tc>
      </w:tr>
      <w:tr w14:paraId="6CEE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54B8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AF0C3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优化奖励分配方案，建立以工作量、服务质量、患者满意度为核心的综合考核体系，确保分配公平合理。</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完善长效激励机制，将科研成果、教学贡献等纳入奖励范围，引导医务人员兼顾短期服务与长期发展。</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规范服务人次统计标准，强化数据溯源与校验，提升绩效数据的准确性与可比性。</w:t>
            </w:r>
          </w:p>
        </w:tc>
      </w:tr>
      <w:tr w14:paraId="193A8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452485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3CFCB4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A830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3912000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CB38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26ED13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3DCC7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51320022T000000345992-《阿坝藏药》出版及科研课题经费</w:t>
            </w:r>
          </w:p>
        </w:tc>
      </w:tr>
      <w:tr w14:paraId="52779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90C0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F3445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473DF6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73762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34D66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56012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61A210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6C67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198BCB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D8E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F935050">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C2BDB5">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521CD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通过出版《阿坝藏药》和开展科研，推广藏医药文化提升藏医药影响力。</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2C1FF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29B55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690006">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56E6A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6F5462F">
            <w:pPr>
              <w:rPr>
                <w:rFonts w:hint="eastAsia" w:ascii="宋体" w:hAnsi="宋体" w:eastAsia="宋体" w:cs="宋体"/>
                <w:i w:val="0"/>
                <w:iCs w:val="0"/>
                <w:color w:val="000000"/>
                <w:sz w:val="18"/>
                <w:szCs w:val="18"/>
                <w:u w:val="none"/>
              </w:rPr>
            </w:pPr>
          </w:p>
        </w:tc>
      </w:tr>
      <w:tr w14:paraId="67D4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29F5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A998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D0DB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A602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D91D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09DE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6218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2B1C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1DCD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E25C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807B58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A1E7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3FFC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8AC9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7.22</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32F7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7.22</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52FA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5B19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5CA7612">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F53498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38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58895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7EA3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9CF4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75E6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7.22</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85EC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7.22</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F321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4A9C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5FDA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7D75888">
            <w:pPr>
              <w:rPr>
                <w:rFonts w:hint="eastAsia" w:ascii="黑体" w:hAnsi="黑体" w:eastAsia="黑体" w:cs="黑体"/>
                <w:i/>
                <w:iCs/>
                <w:color w:val="000000"/>
                <w:sz w:val="18"/>
                <w:szCs w:val="18"/>
                <w:u w:val="none"/>
              </w:rPr>
            </w:pPr>
          </w:p>
        </w:tc>
      </w:tr>
      <w:tr w14:paraId="0585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0CE65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0E48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85A3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7D74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BB74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189D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6899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00B5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700EE38">
            <w:pPr>
              <w:rPr>
                <w:rFonts w:hint="eastAsia" w:ascii="黑体" w:hAnsi="黑体" w:eastAsia="黑体" w:cs="黑体"/>
                <w:i/>
                <w:iCs/>
                <w:color w:val="000000"/>
                <w:sz w:val="18"/>
                <w:szCs w:val="18"/>
                <w:u w:val="none"/>
              </w:rPr>
            </w:pPr>
          </w:p>
        </w:tc>
      </w:tr>
      <w:tr w14:paraId="45FB6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CB66EB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34E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4055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E16E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AAD0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C7F9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A20C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599B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2C9FBD">
            <w:pPr>
              <w:rPr>
                <w:rFonts w:hint="eastAsia" w:ascii="黑体" w:hAnsi="黑体" w:eastAsia="黑体" w:cs="黑体"/>
                <w:i/>
                <w:iCs/>
                <w:color w:val="000000"/>
                <w:sz w:val="18"/>
                <w:szCs w:val="18"/>
                <w:u w:val="none"/>
              </w:rPr>
            </w:pPr>
          </w:p>
        </w:tc>
      </w:tr>
      <w:tr w14:paraId="709D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F14F2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B229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39F6C1A">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CAAA1D5">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5F284B9">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CA2F484">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C0C7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8A2E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C58C08">
            <w:pPr>
              <w:rPr>
                <w:rFonts w:hint="eastAsia" w:ascii="黑体" w:hAnsi="黑体" w:eastAsia="黑体" w:cs="黑体"/>
                <w:i/>
                <w:iCs/>
                <w:color w:val="000000"/>
                <w:sz w:val="18"/>
                <w:szCs w:val="18"/>
                <w:u w:val="none"/>
              </w:rPr>
            </w:pPr>
          </w:p>
        </w:tc>
      </w:tr>
      <w:tr w14:paraId="298A4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8ECF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1102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FCB2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56F2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188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2328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4D07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DE3E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B6D4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C0D0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F245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95FF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CBECABF">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C65A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8108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60D1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科研课题完成数量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C9E2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6976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EB2F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73B390C">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FE8E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1BB8B6D">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91E594D">
            <w:pPr>
              <w:jc w:val="center"/>
              <w:rPr>
                <w:rFonts w:hint="eastAsia" w:ascii="微软雅黑" w:hAnsi="微软雅黑" w:eastAsia="微软雅黑" w:cs="微软雅黑"/>
                <w:i/>
                <w:iCs/>
                <w:color w:val="000000"/>
                <w:sz w:val="16"/>
                <w:szCs w:val="16"/>
                <w:u w:val="none"/>
              </w:rPr>
            </w:pPr>
          </w:p>
        </w:tc>
      </w:tr>
      <w:tr w14:paraId="32419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CFA09C">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6499B4">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C054FC">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355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完成数量本</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0CB7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8C01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1FC2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998D4F4">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05AA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F1F1EE">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E582F12">
            <w:pPr>
              <w:jc w:val="center"/>
              <w:rPr>
                <w:rFonts w:hint="eastAsia" w:ascii="微软雅黑" w:hAnsi="微软雅黑" w:eastAsia="微软雅黑" w:cs="微软雅黑"/>
                <w:i/>
                <w:iCs/>
                <w:color w:val="000000"/>
                <w:sz w:val="16"/>
                <w:szCs w:val="16"/>
                <w:u w:val="none"/>
              </w:rPr>
            </w:pPr>
          </w:p>
        </w:tc>
      </w:tr>
      <w:tr w14:paraId="7C44E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70CC9E">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367EFA">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0CC6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540F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出版物验收合格率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7872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F456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3A51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5768DD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F80F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F2FD203">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0A66483">
            <w:pPr>
              <w:jc w:val="center"/>
              <w:rPr>
                <w:rFonts w:hint="eastAsia" w:ascii="微软雅黑" w:hAnsi="微软雅黑" w:eastAsia="微软雅黑" w:cs="微软雅黑"/>
                <w:i/>
                <w:iCs/>
                <w:color w:val="000000"/>
                <w:sz w:val="16"/>
                <w:szCs w:val="16"/>
                <w:u w:val="none"/>
              </w:rPr>
            </w:pPr>
          </w:p>
        </w:tc>
      </w:tr>
      <w:tr w14:paraId="7345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27E3C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03651FD">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28B8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F608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完成年度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927F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584C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A924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87706A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64C7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BC9D267">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795CC36">
            <w:pPr>
              <w:jc w:val="center"/>
              <w:rPr>
                <w:rFonts w:hint="eastAsia" w:ascii="微软雅黑" w:hAnsi="微软雅黑" w:eastAsia="微软雅黑" w:cs="微软雅黑"/>
                <w:i/>
                <w:iCs/>
                <w:color w:val="000000"/>
                <w:sz w:val="16"/>
                <w:szCs w:val="16"/>
                <w:u w:val="none"/>
              </w:rPr>
            </w:pPr>
          </w:p>
        </w:tc>
      </w:tr>
      <w:tr w14:paraId="71B3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08D3A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B790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620C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0F0A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引导同行业人数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26B4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76EF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3AF0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4065A08">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A50E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F2184B2">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313C788">
            <w:pPr>
              <w:jc w:val="center"/>
              <w:rPr>
                <w:rFonts w:hint="eastAsia" w:ascii="微软雅黑" w:hAnsi="微软雅黑" w:eastAsia="微软雅黑" w:cs="微软雅黑"/>
                <w:i/>
                <w:iCs/>
                <w:color w:val="000000"/>
                <w:sz w:val="16"/>
                <w:szCs w:val="16"/>
                <w:u w:val="none"/>
              </w:rPr>
            </w:pPr>
          </w:p>
        </w:tc>
      </w:tr>
      <w:tr w14:paraId="16CB0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FE3594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FAEB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C5D5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169A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71C4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114D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53FC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B5713E0">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D8F5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E1E8AF2">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9BED816">
            <w:pPr>
              <w:jc w:val="center"/>
              <w:rPr>
                <w:rFonts w:hint="eastAsia" w:ascii="微软雅黑" w:hAnsi="微软雅黑" w:eastAsia="微软雅黑" w:cs="微软雅黑"/>
                <w:i/>
                <w:iCs/>
                <w:color w:val="000000"/>
                <w:sz w:val="16"/>
                <w:szCs w:val="16"/>
                <w:u w:val="none"/>
              </w:rPr>
            </w:pPr>
          </w:p>
        </w:tc>
      </w:tr>
      <w:tr w14:paraId="3C6C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6F2ABB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652B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F399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7F44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项目预算控制率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3F8C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0050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D8CD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2AB2D73">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A6DF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5C9C015">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5DEB303">
            <w:pPr>
              <w:jc w:val="center"/>
              <w:rPr>
                <w:rFonts w:hint="eastAsia" w:ascii="微软雅黑" w:hAnsi="微软雅黑" w:eastAsia="微软雅黑" w:cs="微软雅黑"/>
                <w:i/>
                <w:iCs/>
                <w:color w:val="000000"/>
                <w:sz w:val="16"/>
                <w:szCs w:val="16"/>
                <w:u w:val="none"/>
              </w:rPr>
            </w:pPr>
          </w:p>
        </w:tc>
      </w:tr>
      <w:tr w14:paraId="7984E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5F827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15F2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A371AF1">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4729645">
            <w:pPr>
              <w:rPr>
                <w:rFonts w:hint="eastAsia" w:ascii="宋体" w:hAnsi="宋体" w:eastAsia="宋体" w:cs="宋体"/>
                <w:i w:val="0"/>
                <w:iCs w:val="0"/>
                <w:color w:val="000000"/>
                <w:sz w:val="18"/>
                <w:szCs w:val="18"/>
                <w:u w:val="none"/>
              </w:rPr>
            </w:pPr>
          </w:p>
        </w:tc>
      </w:tr>
      <w:tr w14:paraId="67FE9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4EF8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26055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2F6C6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C455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A955EE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5AC5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1788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E0EF8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59A0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746C18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25B66C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1C5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4768D0A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44274689">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580EE5C5">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471D8445">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3CA4C35E">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3550431D">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7DCCA62A">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2BB9F984">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3557A487">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614D11DA">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594CDA46">
            <w:pPr>
              <w:rPr>
                <w:rFonts w:hint="eastAsia" w:ascii="宋体" w:hAnsi="宋体" w:eastAsia="宋体" w:cs="宋体"/>
                <w:i w:val="0"/>
                <w:iCs w:val="0"/>
                <w:color w:val="000000"/>
                <w:sz w:val="18"/>
                <w:szCs w:val="18"/>
                <w:u w:val="none"/>
              </w:rPr>
            </w:pPr>
          </w:p>
        </w:tc>
      </w:tr>
      <w:tr w14:paraId="504A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683A954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64C0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13C59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20BE20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51320022T000000346234-责任意外险和在职提升学历</w:t>
            </w:r>
          </w:p>
        </w:tc>
      </w:tr>
      <w:tr w14:paraId="50CC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C4402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0C320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48633E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7BF6D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0F98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5650A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D5F96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0A1F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21A017C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36D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A4B3BF">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ACEC23">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7E0FD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通过提供责任意外险保障医务人员执业安全，通过支持学历提升提高医疗服务水平和服务质量。</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CC4D2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通过为医务人员购买责任意外险，有效保障了执业安全；支持在职人员学历提升，促进了医疗服务水平与服务质量的稳步提升，年度目标基本达成。</w:t>
            </w:r>
          </w:p>
        </w:tc>
      </w:tr>
      <w:tr w14:paraId="6EF02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4A51B71">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36F46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DA970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本项目主要包含两部分：一是为全院医务人员购买责任意外保险，二是鼓励在职医护人员提升学历层次。项目严格按照预算执行，资金专款专用，顺利完成了保险投保及学历提升资助发放工作。</w:t>
            </w:r>
          </w:p>
        </w:tc>
      </w:tr>
      <w:tr w14:paraId="1E2D3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7F54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808F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E9E7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98F2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6F39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D474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FD05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EED5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9F93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D1F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62199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0A73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119A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3FF0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5.54</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8FF1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5.54</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D458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A9BC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8943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603EA7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A1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F44E7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8523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0AFF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E8FF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5.54</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7528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5.54</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103A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2972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157D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7913158">
            <w:pPr>
              <w:rPr>
                <w:rFonts w:hint="eastAsia" w:ascii="黑体" w:hAnsi="黑体" w:eastAsia="黑体" w:cs="黑体"/>
                <w:i/>
                <w:iCs/>
                <w:color w:val="000000"/>
                <w:sz w:val="18"/>
                <w:szCs w:val="18"/>
                <w:u w:val="none"/>
              </w:rPr>
            </w:pPr>
          </w:p>
        </w:tc>
      </w:tr>
      <w:tr w14:paraId="2DCE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3A5BC1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0786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F329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4623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F826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9AB5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94D3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1E33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2030B3">
            <w:pPr>
              <w:rPr>
                <w:rFonts w:hint="eastAsia" w:ascii="黑体" w:hAnsi="黑体" w:eastAsia="黑体" w:cs="黑体"/>
                <w:i/>
                <w:iCs/>
                <w:color w:val="000000"/>
                <w:sz w:val="18"/>
                <w:szCs w:val="18"/>
                <w:u w:val="none"/>
              </w:rPr>
            </w:pPr>
          </w:p>
        </w:tc>
      </w:tr>
      <w:tr w14:paraId="1460D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AAB35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D8AE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03C7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07A4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A815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02FD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4EC6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5CF4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7127F4">
            <w:pPr>
              <w:rPr>
                <w:rFonts w:hint="eastAsia" w:ascii="黑体" w:hAnsi="黑体" w:eastAsia="黑体" w:cs="黑体"/>
                <w:i/>
                <w:iCs/>
                <w:color w:val="000000"/>
                <w:sz w:val="18"/>
                <w:szCs w:val="18"/>
                <w:u w:val="none"/>
              </w:rPr>
            </w:pPr>
          </w:p>
        </w:tc>
      </w:tr>
      <w:tr w14:paraId="6204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BB7CB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455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BE64C6D">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A446AD3">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11C7A53">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CA92FB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B0B2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146D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A8B751">
            <w:pPr>
              <w:rPr>
                <w:rFonts w:hint="eastAsia" w:ascii="黑体" w:hAnsi="黑体" w:eastAsia="黑体" w:cs="黑体"/>
                <w:i/>
                <w:iCs/>
                <w:color w:val="000000"/>
                <w:sz w:val="18"/>
                <w:szCs w:val="18"/>
                <w:u w:val="none"/>
              </w:rPr>
            </w:pPr>
          </w:p>
        </w:tc>
      </w:tr>
      <w:tr w14:paraId="6CD29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2A57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34B1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FCE1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B90E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A14F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8E2F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88FB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1897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31D9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FCFD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EBBD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7172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460B60">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1F98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5281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E6C7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保险人才数量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0F5F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180B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FE1F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2D7B32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120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C0CC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AFFF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C87FD91">
            <w:pPr>
              <w:jc w:val="center"/>
              <w:rPr>
                <w:rFonts w:hint="eastAsia" w:ascii="微软雅黑" w:hAnsi="微软雅黑" w:eastAsia="微软雅黑" w:cs="微软雅黑"/>
                <w:i/>
                <w:iCs/>
                <w:color w:val="000000"/>
                <w:sz w:val="16"/>
                <w:szCs w:val="16"/>
                <w:u w:val="none"/>
              </w:rPr>
            </w:pPr>
          </w:p>
        </w:tc>
      </w:tr>
      <w:tr w14:paraId="11AF9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DB060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EEA293">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8F7CAB">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31BF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保险覆盖率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8A81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78F8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2169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B471F5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F966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717F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8DBCDAB">
            <w:pPr>
              <w:jc w:val="center"/>
              <w:rPr>
                <w:rFonts w:hint="eastAsia" w:ascii="微软雅黑" w:hAnsi="微软雅黑" w:eastAsia="微软雅黑" w:cs="微软雅黑"/>
                <w:i/>
                <w:iCs/>
                <w:color w:val="000000"/>
                <w:sz w:val="16"/>
                <w:szCs w:val="16"/>
                <w:u w:val="none"/>
              </w:rPr>
            </w:pPr>
          </w:p>
        </w:tc>
      </w:tr>
      <w:tr w14:paraId="4A9A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5FF0A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CBC278">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3A0A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B3A2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培训考核合格率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4794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5AE5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AE9D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794A2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17DF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0FDF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04906CA">
            <w:pPr>
              <w:jc w:val="center"/>
              <w:rPr>
                <w:rFonts w:hint="eastAsia" w:ascii="微软雅黑" w:hAnsi="微软雅黑" w:eastAsia="微软雅黑" w:cs="微软雅黑"/>
                <w:i/>
                <w:iCs/>
                <w:color w:val="000000"/>
                <w:sz w:val="16"/>
                <w:szCs w:val="16"/>
                <w:u w:val="none"/>
              </w:rPr>
            </w:pPr>
          </w:p>
        </w:tc>
      </w:tr>
      <w:tr w14:paraId="459BD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EF48D6">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A22BF3">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7F3C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E45D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项目执行周期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001E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0D60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3E12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DADC39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24DF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A56E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EF7AA24">
            <w:pPr>
              <w:jc w:val="center"/>
              <w:rPr>
                <w:rFonts w:hint="eastAsia" w:ascii="微软雅黑" w:hAnsi="微软雅黑" w:eastAsia="微软雅黑" w:cs="微软雅黑"/>
                <w:i/>
                <w:iCs/>
                <w:color w:val="000000"/>
                <w:sz w:val="16"/>
                <w:szCs w:val="16"/>
                <w:u w:val="none"/>
              </w:rPr>
            </w:pPr>
          </w:p>
        </w:tc>
      </w:tr>
      <w:tr w14:paraId="63E2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74EF6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C006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1C5F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A175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藏药服务能力</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4B2E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FA0E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服务质量优良</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2B5B4BB">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EB6CBE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服务质量优良</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B427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1BD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AD2547C">
            <w:pPr>
              <w:jc w:val="center"/>
              <w:rPr>
                <w:rFonts w:hint="eastAsia" w:ascii="微软雅黑" w:hAnsi="微软雅黑" w:eastAsia="微软雅黑" w:cs="微软雅黑"/>
                <w:i/>
                <w:iCs/>
                <w:color w:val="000000"/>
                <w:sz w:val="16"/>
                <w:szCs w:val="16"/>
                <w:u w:val="none"/>
              </w:rPr>
            </w:pPr>
          </w:p>
        </w:tc>
      </w:tr>
      <w:tr w14:paraId="5D74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593E5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6EEC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0602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16AE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DC49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3F80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4ECE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32F74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3AF2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C8A0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1BEFBB8">
            <w:pPr>
              <w:jc w:val="center"/>
              <w:rPr>
                <w:rFonts w:hint="eastAsia" w:ascii="微软雅黑" w:hAnsi="微软雅黑" w:eastAsia="微软雅黑" w:cs="微软雅黑"/>
                <w:i/>
                <w:iCs/>
                <w:color w:val="000000"/>
                <w:sz w:val="16"/>
                <w:szCs w:val="16"/>
                <w:u w:val="none"/>
              </w:rPr>
            </w:pPr>
          </w:p>
        </w:tc>
      </w:tr>
      <w:tr w14:paraId="5F4D1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08663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1BEB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F604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A680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人均保险费用</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B1B6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7957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C136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元/人年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41A59A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1200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9BD8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9837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94BA098">
            <w:pPr>
              <w:jc w:val="center"/>
              <w:rPr>
                <w:rFonts w:hint="eastAsia" w:ascii="微软雅黑" w:hAnsi="微软雅黑" w:eastAsia="微软雅黑" w:cs="微软雅黑"/>
                <w:i/>
                <w:iCs/>
                <w:color w:val="000000"/>
                <w:sz w:val="16"/>
                <w:szCs w:val="16"/>
                <w:u w:val="none"/>
              </w:rPr>
            </w:pPr>
          </w:p>
        </w:tc>
      </w:tr>
      <w:tr w14:paraId="54050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54CD3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8FD6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F15D1A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AB298EE">
            <w:pPr>
              <w:rPr>
                <w:rFonts w:hint="eastAsia" w:ascii="宋体" w:hAnsi="宋体" w:eastAsia="宋体" w:cs="宋体"/>
                <w:i w:val="0"/>
                <w:iCs w:val="0"/>
                <w:color w:val="000000"/>
                <w:sz w:val="18"/>
                <w:szCs w:val="18"/>
                <w:u w:val="none"/>
              </w:rPr>
            </w:pPr>
          </w:p>
        </w:tc>
      </w:tr>
      <w:tr w14:paraId="4A25F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AC8C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FFB08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通过实施责任意外险，有效降低了医务人员执业风险；学历提升计划激发了职工学习热情，藏药服务能力得到强化，职工满意度较高。</w:t>
            </w:r>
          </w:p>
        </w:tc>
      </w:tr>
      <w:tr w14:paraId="6324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ABA9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09888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预算调整幅度较大，年初预算与实际执行存在偏差，反映出预算编制的精准性有待提升。</w:t>
            </w:r>
          </w:p>
        </w:tc>
      </w:tr>
      <w:tr w14:paraId="7AA8F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6CA9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061A1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优化预算编制流程，加强测算，提高预算编制的科学性与精准度，减少预算调整频次。</w:t>
            </w:r>
          </w:p>
        </w:tc>
      </w:tr>
      <w:tr w14:paraId="2386B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476449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C2E00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D56A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2A12225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54FD4BD3">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684BB33D">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5492FF86">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450CD475">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4719960F">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540D4765">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5092A9BE">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0974A2D1">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651BEFCC">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6901E3A1">
            <w:pPr>
              <w:rPr>
                <w:rFonts w:hint="eastAsia" w:ascii="宋体" w:hAnsi="宋体" w:eastAsia="宋体" w:cs="宋体"/>
                <w:i w:val="0"/>
                <w:iCs w:val="0"/>
                <w:color w:val="000000"/>
                <w:sz w:val="18"/>
                <w:szCs w:val="18"/>
                <w:u w:val="none"/>
              </w:rPr>
            </w:pPr>
          </w:p>
        </w:tc>
      </w:tr>
      <w:tr w14:paraId="06815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9B8E69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90C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901E9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111CD7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51320022T000000348534-车辆大修</w:t>
            </w:r>
          </w:p>
        </w:tc>
      </w:tr>
      <w:tr w14:paraId="46A11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3BBDB9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34587F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010F6A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6B28C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49354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2D5A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9C51D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3852E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898154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A89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406841">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7EAD43">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BE58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车辆达到安全行驶条件，提高医疗服务保障能力。</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56869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已完成车辆的全面大修，车辆均达到安全行驶标准，有效保障了医疗急救、物资配送等医疗服务工作的顺利开展，年度目标全面达成。</w:t>
            </w:r>
          </w:p>
        </w:tc>
      </w:tr>
      <w:tr w14:paraId="6C0B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09D7B9">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A62FC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B0FBD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本项目对车辆开展系统性大修，涵盖发动机检修、制动系统升级、底盘维护及安全部件更换等内容。</w:t>
            </w:r>
          </w:p>
        </w:tc>
      </w:tr>
      <w:tr w14:paraId="57CCD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8837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D124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4660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E819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38DA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B381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758F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7C62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9FEA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E3CD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302D3F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DF73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6CF7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8B22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2594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7.89</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2F55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98.63%</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F4AA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3736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5E8588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538B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DAD05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C307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C311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13DF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9132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7.89</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BC78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98.63%</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2927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E487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9DD7D6">
            <w:pPr>
              <w:rPr>
                <w:rFonts w:hint="eastAsia" w:ascii="黑体" w:hAnsi="黑体" w:eastAsia="黑体" w:cs="黑体"/>
                <w:i/>
                <w:iCs/>
                <w:color w:val="000000"/>
                <w:sz w:val="18"/>
                <w:szCs w:val="18"/>
                <w:u w:val="none"/>
              </w:rPr>
            </w:pPr>
          </w:p>
        </w:tc>
      </w:tr>
      <w:tr w14:paraId="7D55C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C02FC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E231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AB8E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CACC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9B26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01D3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3FC7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24C7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25FDD0">
            <w:pPr>
              <w:rPr>
                <w:rFonts w:hint="eastAsia" w:ascii="黑体" w:hAnsi="黑体" w:eastAsia="黑体" w:cs="黑体"/>
                <w:i/>
                <w:iCs/>
                <w:color w:val="000000"/>
                <w:sz w:val="18"/>
                <w:szCs w:val="18"/>
                <w:u w:val="none"/>
              </w:rPr>
            </w:pPr>
          </w:p>
        </w:tc>
      </w:tr>
      <w:tr w14:paraId="48D00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D7C5E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E304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9365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88D0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730F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B4DD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A99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AC4E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D7C3CE">
            <w:pPr>
              <w:rPr>
                <w:rFonts w:hint="eastAsia" w:ascii="黑体" w:hAnsi="黑体" w:eastAsia="黑体" w:cs="黑体"/>
                <w:i/>
                <w:iCs/>
                <w:color w:val="000000"/>
                <w:sz w:val="18"/>
                <w:szCs w:val="18"/>
                <w:u w:val="none"/>
              </w:rPr>
            </w:pPr>
          </w:p>
        </w:tc>
      </w:tr>
      <w:tr w14:paraId="51D6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31458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2646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36E1AC1">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171D356">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C8CC778">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927F1A8">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2B81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3BBF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FA6CD2">
            <w:pPr>
              <w:rPr>
                <w:rFonts w:hint="eastAsia" w:ascii="黑体" w:hAnsi="黑体" w:eastAsia="黑体" w:cs="黑体"/>
                <w:i/>
                <w:iCs/>
                <w:color w:val="000000"/>
                <w:sz w:val="18"/>
                <w:szCs w:val="18"/>
                <w:u w:val="none"/>
              </w:rPr>
            </w:pPr>
          </w:p>
        </w:tc>
      </w:tr>
      <w:tr w14:paraId="5C8C8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7411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92FA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CF25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95E2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0BC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A7AB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F7F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C077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FD51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A95B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D478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18A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59AD2F">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3F8E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FC1B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9FAC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维修车辆数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C4BB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A54E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AF5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辆</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4E40B8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2</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2623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A1F1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E988244">
            <w:pPr>
              <w:jc w:val="center"/>
              <w:rPr>
                <w:rFonts w:hint="eastAsia" w:ascii="微软雅黑" w:hAnsi="微软雅黑" w:eastAsia="微软雅黑" w:cs="微软雅黑"/>
                <w:i/>
                <w:iCs/>
                <w:color w:val="000000"/>
                <w:sz w:val="16"/>
                <w:szCs w:val="16"/>
                <w:u w:val="none"/>
              </w:rPr>
            </w:pPr>
          </w:p>
        </w:tc>
      </w:tr>
      <w:tr w14:paraId="27A8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3567120">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81DA587">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1B5DE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FDD1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车辆行驶安全率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554F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E318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3D51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5D321D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C9B4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EEFE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285C906">
            <w:pPr>
              <w:jc w:val="center"/>
              <w:rPr>
                <w:rFonts w:hint="eastAsia" w:ascii="微软雅黑" w:hAnsi="微软雅黑" w:eastAsia="微软雅黑" w:cs="微软雅黑"/>
                <w:i/>
                <w:iCs/>
                <w:color w:val="000000"/>
                <w:sz w:val="16"/>
                <w:szCs w:val="16"/>
                <w:u w:val="none"/>
              </w:rPr>
            </w:pPr>
          </w:p>
        </w:tc>
      </w:tr>
      <w:tr w14:paraId="66D04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B75EC6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4836D7">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4BEE84">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D16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项目执行合格率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2D88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E30E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268A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6AF6F2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53B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9E7A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939CBE8">
            <w:pPr>
              <w:jc w:val="center"/>
              <w:rPr>
                <w:rFonts w:hint="eastAsia" w:ascii="微软雅黑" w:hAnsi="微软雅黑" w:eastAsia="微软雅黑" w:cs="微软雅黑"/>
                <w:i/>
                <w:iCs/>
                <w:color w:val="000000"/>
                <w:sz w:val="16"/>
                <w:szCs w:val="16"/>
                <w:u w:val="none"/>
              </w:rPr>
            </w:pPr>
          </w:p>
        </w:tc>
      </w:tr>
      <w:tr w14:paraId="43716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F6E43E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5D2CB0A">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1249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A8DB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项目执行周期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53E2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2AA1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7BE7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DF81A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BA32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A6D3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BD8D66D">
            <w:pPr>
              <w:jc w:val="center"/>
              <w:rPr>
                <w:rFonts w:hint="eastAsia" w:ascii="微软雅黑" w:hAnsi="微软雅黑" w:eastAsia="微软雅黑" w:cs="微软雅黑"/>
                <w:i/>
                <w:iCs/>
                <w:color w:val="000000"/>
                <w:sz w:val="16"/>
                <w:szCs w:val="16"/>
                <w:u w:val="none"/>
              </w:rPr>
            </w:pPr>
          </w:p>
        </w:tc>
      </w:tr>
      <w:tr w14:paraId="06E59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D9BA8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F795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1445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A32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环境保护率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25AE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2284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4F69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9C7B0D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A44A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1690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F4F444A">
            <w:pPr>
              <w:jc w:val="center"/>
              <w:rPr>
                <w:rFonts w:hint="eastAsia" w:ascii="微软雅黑" w:hAnsi="微软雅黑" w:eastAsia="微软雅黑" w:cs="微软雅黑"/>
                <w:i/>
                <w:iCs/>
                <w:color w:val="000000"/>
                <w:sz w:val="16"/>
                <w:szCs w:val="16"/>
                <w:u w:val="none"/>
              </w:rPr>
            </w:pPr>
          </w:p>
        </w:tc>
      </w:tr>
      <w:tr w14:paraId="1AE05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70BE8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A084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9137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953A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B325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BD6F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FD4B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9F398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FDDB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7092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1E40EB1">
            <w:pPr>
              <w:jc w:val="center"/>
              <w:rPr>
                <w:rFonts w:hint="eastAsia" w:ascii="微软雅黑" w:hAnsi="微软雅黑" w:eastAsia="微软雅黑" w:cs="微软雅黑"/>
                <w:i/>
                <w:iCs/>
                <w:color w:val="000000"/>
                <w:sz w:val="16"/>
                <w:szCs w:val="16"/>
                <w:u w:val="none"/>
              </w:rPr>
            </w:pPr>
          </w:p>
        </w:tc>
      </w:tr>
      <w:tr w14:paraId="4687C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34EFD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39DA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DC61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34A1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EEA0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D514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A095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7D8A0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AC2C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F569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E62A19F">
            <w:pPr>
              <w:jc w:val="center"/>
              <w:rPr>
                <w:rFonts w:hint="eastAsia" w:ascii="微软雅黑" w:hAnsi="微软雅黑" w:eastAsia="微软雅黑" w:cs="微软雅黑"/>
                <w:i/>
                <w:iCs/>
                <w:color w:val="000000"/>
                <w:sz w:val="16"/>
                <w:szCs w:val="16"/>
                <w:u w:val="none"/>
              </w:rPr>
            </w:pPr>
          </w:p>
        </w:tc>
      </w:tr>
      <w:tr w14:paraId="3B27A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4FE51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D8B8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90FA62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419DE13">
            <w:pPr>
              <w:rPr>
                <w:rFonts w:hint="eastAsia" w:ascii="宋体" w:hAnsi="宋体" w:eastAsia="宋体" w:cs="宋体"/>
                <w:i w:val="0"/>
                <w:iCs w:val="0"/>
                <w:color w:val="000000"/>
                <w:sz w:val="18"/>
                <w:szCs w:val="18"/>
                <w:u w:val="none"/>
              </w:rPr>
            </w:pPr>
          </w:p>
        </w:tc>
      </w:tr>
      <w:tr w14:paraId="236F8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A7E6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3D17A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通过车辆大修，彻底消除了车辆安全隐患，提升了车辆运行稳定性与使用寿命，有力保障了医院医疗服务、应急救援等工作的高效开展。</w:t>
            </w:r>
          </w:p>
        </w:tc>
      </w:tr>
      <w:tr w14:paraId="57B3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F664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F0C75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预算编制与实际执行存在微小偏差，虽实现成本节约，但反映出预算精细化测算仍有提升空间。</w:t>
            </w:r>
          </w:p>
        </w:tc>
      </w:tr>
      <w:tr w14:paraId="0D4B8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06A5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5BD8A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进一步优化预算编制方法，结合历史维修数据与市场价格，提升预算测算精准度。</w:t>
            </w:r>
          </w:p>
        </w:tc>
      </w:tr>
      <w:tr w14:paraId="45045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14D8B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1B30D0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E14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E219A32">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3FFA8B41">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147263AD">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105DF33F">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4ABB16DB">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305BFDD9">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1473425">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2D8A80E7">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1BE1A6D1">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03FB0BB3">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C14780B">
            <w:pPr>
              <w:rPr>
                <w:rFonts w:hint="eastAsia" w:ascii="宋体" w:hAnsi="宋体" w:eastAsia="宋体" w:cs="宋体"/>
                <w:i w:val="0"/>
                <w:iCs w:val="0"/>
                <w:color w:val="000000"/>
                <w:sz w:val="18"/>
                <w:szCs w:val="18"/>
                <w:u w:val="none"/>
              </w:rPr>
            </w:pPr>
          </w:p>
        </w:tc>
      </w:tr>
      <w:tr w14:paraId="134B2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0DAECFF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71CB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7C90F2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935E0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51320023T000007904804-医疗废弃物处置费和藏药灭菌费</w:t>
            </w:r>
          </w:p>
        </w:tc>
      </w:tr>
      <w:tr w14:paraId="0C077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FC34A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65A7E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22B0CD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20D11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3BE26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D3CB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4EF59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C8BF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5CE1E7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EDCA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20AA87">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DF529D">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CEF29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完成医疗废弃物规范处置和10000公斤藏药灭菌工作。通过规范处置医疗废弃物和藏药品灭菌保障医疗安全，降低环境污染和保障患者用药安全。</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0F05F1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已完成医疗废弃物规范处置藏药灭菌工作，有效保障了医疗安全，降低了环境污染风险，患者用药安全得到全面保障，年度目标圆满达成。</w:t>
            </w:r>
          </w:p>
        </w:tc>
      </w:tr>
      <w:tr w14:paraId="3E7C5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5E3506">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07B28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BC069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本项目涵盖医疗废弃物合规转运处置与藏药辐照灭菌两大核心内容。严格按照医疗废物管理条例及药品生产质量管理规范执行，建立全流程台账，确保处置与灭菌环节可追溯，全过程符合环保与药监要求。</w:t>
            </w:r>
          </w:p>
        </w:tc>
      </w:tr>
      <w:tr w14:paraId="0A4C4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8365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E49B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2CA6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5B07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2BCB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E5EA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89C2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9A6E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F45E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559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A599D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D59B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9860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E9F6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16.53</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CA40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16.53</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265D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8B9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DF24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93DE3B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5ED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1B59D1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7B63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113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8F2B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16.53</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4115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16.53</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728D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F3E7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ADA9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300D9B">
            <w:pPr>
              <w:rPr>
                <w:rFonts w:hint="eastAsia" w:ascii="黑体" w:hAnsi="黑体" w:eastAsia="黑体" w:cs="黑体"/>
                <w:i/>
                <w:iCs/>
                <w:color w:val="000000"/>
                <w:sz w:val="18"/>
                <w:szCs w:val="18"/>
                <w:u w:val="none"/>
              </w:rPr>
            </w:pPr>
          </w:p>
        </w:tc>
      </w:tr>
      <w:tr w14:paraId="28912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E5B1E8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1647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C58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3ECA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7745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17E8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FF7A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3616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F271D5">
            <w:pPr>
              <w:rPr>
                <w:rFonts w:hint="eastAsia" w:ascii="黑体" w:hAnsi="黑体" w:eastAsia="黑体" w:cs="黑体"/>
                <w:i/>
                <w:iCs/>
                <w:color w:val="000000"/>
                <w:sz w:val="18"/>
                <w:szCs w:val="18"/>
                <w:u w:val="none"/>
              </w:rPr>
            </w:pPr>
          </w:p>
        </w:tc>
      </w:tr>
      <w:tr w14:paraId="5998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3AD704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DE44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0A39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D49F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3FC4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8812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766A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FBC3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6BB3B4">
            <w:pPr>
              <w:rPr>
                <w:rFonts w:hint="eastAsia" w:ascii="黑体" w:hAnsi="黑体" w:eastAsia="黑体" w:cs="黑体"/>
                <w:i/>
                <w:iCs/>
                <w:color w:val="000000"/>
                <w:sz w:val="18"/>
                <w:szCs w:val="18"/>
                <w:u w:val="none"/>
              </w:rPr>
            </w:pPr>
          </w:p>
        </w:tc>
      </w:tr>
      <w:tr w14:paraId="524D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B8CF48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DEC9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3B5D3C2">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B1E4A1C">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6EADE83">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DEC1F7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0C43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8972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14ABB5">
            <w:pPr>
              <w:rPr>
                <w:rFonts w:hint="eastAsia" w:ascii="黑体" w:hAnsi="黑体" w:eastAsia="黑体" w:cs="黑体"/>
                <w:i/>
                <w:iCs/>
                <w:color w:val="000000"/>
                <w:sz w:val="18"/>
                <w:szCs w:val="18"/>
                <w:u w:val="none"/>
              </w:rPr>
            </w:pPr>
          </w:p>
        </w:tc>
      </w:tr>
      <w:tr w14:paraId="2C7D1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10AB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4CA7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F255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CC85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EFF5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0F6B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612C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B619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2D7F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279F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CF70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4089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972006">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5114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82DF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1468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灭菌数量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57DA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2E3E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B262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公斤</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3AEB41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2C8D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308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0CBD451">
            <w:pPr>
              <w:jc w:val="center"/>
              <w:rPr>
                <w:rFonts w:hint="eastAsia" w:ascii="微软雅黑" w:hAnsi="微软雅黑" w:eastAsia="微软雅黑" w:cs="微软雅黑"/>
                <w:i/>
                <w:iCs/>
                <w:color w:val="000000"/>
                <w:sz w:val="16"/>
                <w:szCs w:val="16"/>
                <w:u w:val="none"/>
              </w:rPr>
            </w:pPr>
          </w:p>
        </w:tc>
      </w:tr>
      <w:tr w14:paraId="51A20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715686">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59C9553">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87CC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5B4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灭菌药品合格率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D3F0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349A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0C02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94C1C6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99</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8281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1FE2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53B1B02">
            <w:pPr>
              <w:jc w:val="center"/>
              <w:rPr>
                <w:rFonts w:hint="eastAsia" w:ascii="微软雅黑" w:hAnsi="微软雅黑" w:eastAsia="微软雅黑" w:cs="微软雅黑"/>
                <w:i/>
                <w:iCs/>
                <w:color w:val="000000"/>
                <w:sz w:val="16"/>
                <w:szCs w:val="16"/>
                <w:u w:val="none"/>
              </w:rPr>
            </w:pPr>
          </w:p>
        </w:tc>
      </w:tr>
      <w:tr w14:paraId="4FBB8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B952BD8">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4218BA">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EC8A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6D51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执行周期时间</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CF58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ECCA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742A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072A4A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0191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FADD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613010F">
            <w:pPr>
              <w:jc w:val="center"/>
              <w:rPr>
                <w:rFonts w:hint="eastAsia" w:ascii="微软雅黑" w:hAnsi="微软雅黑" w:eastAsia="微软雅黑" w:cs="微软雅黑"/>
                <w:i/>
                <w:iCs/>
                <w:color w:val="000000"/>
                <w:sz w:val="16"/>
                <w:szCs w:val="16"/>
                <w:u w:val="none"/>
              </w:rPr>
            </w:pPr>
          </w:p>
        </w:tc>
      </w:tr>
      <w:tr w14:paraId="0384D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4A393F">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7D865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EB7B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E7DD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医疗安全保障率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6170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D6DA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CFC5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C18B63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EFB1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1217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4716C9F">
            <w:pPr>
              <w:jc w:val="center"/>
              <w:rPr>
                <w:rFonts w:hint="eastAsia" w:ascii="微软雅黑" w:hAnsi="微软雅黑" w:eastAsia="微软雅黑" w:cs="微软雅黑"/>
                <w:i/>
                <w:iCs/>
                <w:color w:val="000000"/>
                <w:sz w:val="16"/>
                <w:szCs w:val="16"/>
                <w:u w:val="none"/>
              </w:rPr>
            </w:pPr>
          </w:p>
        </w:tc>
      </w:tr>
      <w:tr w14:paraId="3586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A34AAE">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983E8F8">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4673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75CC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环境保护率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1A0B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2E55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F797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7186EE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7AF5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E818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1DF8DE2">
            <w:pPr>
              <w:jc w:val="center"/>
              <w:rPr>
                <w:rFonts w:hint="eastAsia" w:ascii="微软雅黑" w:hAnsi="微软雅黑" w:eastAsia="微软雅黑" w:cs="微软雅黑"/>
                <w:i/>
                <w:iCs/>
                <w:color w:val="000000"/>
                <w:sz w:val="16"/>
                <w:szCs w:val="16"/>
                <w:u w:val="none"/>
              </w:rPr>
            </w:pPr>
          </w:p>
        </w:tc>
      </w:tr>
      <w:tr w14:paraId="6A30B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5AEE7B">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3CC9C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097FE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C5E5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用药医生满意度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5C78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9C00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4F4F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8E957C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E1E3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8C0A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3785952">
            <w:pPr>
              <w:jc w:val="center"/>
              <w:rPr>
                <w:rFonts w:hint="eastAsia" w:ascii="微软雅黑" w:hAnsi="微软雅黑" w:eastAsia="微软雅黑" w:cs="微软雅黑"/>
                <w:i/>
                <w:iCs/>
                <w:color w:val="000000"/>
                <w:sz w:val="16"/>
                <w:szCs w:val="16"/>
                <w:u w:val="none"/>
              </w:rPr>
            </w:pPr>
          </w:p>
        </w:tc>
      </w:tr>
      <w:tr w14:paraId="7689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A85BD8E">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150E5C">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65194E">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D87E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1FCE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682E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B5A3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99B394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1A7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4BDB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8CFFBB6">
            <w:pPr>
              <w:jc w:val="center"/>
              <w:rPr>
                <w:rFonts w:hint="eastAsia" w:ascii="微软雅黑" w:hAnsi="微软雅黑" w:eastAsia="微软雅黑" w:cs="微软雅黑"/>
                <w:i/>
                <w:iCs/>
                <w:color w:val="000000"/>
                <w:sz w:val="16"/>
                <w:szCs w:val="16"/>
                <w:u w:val="none"/>
              </w:rPr>
            </w:pPr>
          </w:p>
        </w:tc>
      </w:tr>
      <w:tr w14:paraId="63A24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95232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C4E9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57B2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E2E4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医废处理成本节约率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04BD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6059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FFFD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A84D5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60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3B6B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CCCB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5F0CD61">
            <w:pPr>
              <w:jc w:val="center"/>
              <w:rPr>
                <w:rFonts w:hint="eastAsia" w:ascii="微软雅黑" w:hAnsi="微软雅黑" w:eastAsia="微软雅黑" w:cs="微软雅黑"/>
                <w:i/>
                <w:iCs/>
                <w:color w:val="000000"/>
                <w:sz w:val="16"/>
                <w:szCs w:val="16"/>
                <w:u w:val="none"/>
              </w:rPr>
            </w:pPr>
          </w:p>
        </w:tc>
      </w:tr>
      <w:tr w14:paraId="00BF3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48DB9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87A2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15E56B8">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720B06A">
            <w:pPr>
              <w:rPr>
                <w:rFonts w:hint="eastAsia" w:ascii="宋体" w:hAnsi="宋体" w:eastAsia="宋体" w:cs="宋体"/>
                <w:i w:val="0"/>
                <w:iCs w:val="0"/>
                <w:color w:val="000000"/>
                <w:sz w:val="18"/>
                <w:szCs w:val="18"/>
                <w:u w:val="none"/>
              </w:rPr>
            </w:pPr>
          </w:p>
        </w:tc>
      </w:tr>
      <w:tr w14:paraId="7D71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E111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1FBA1B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通过规范处置医疗废弃物，有效防范了院内感染与环境风险；超额完成藏药灭菌任务，保障了藏药品质与临床用药安全，同时实现了较高的成本节约率，医护与患者满意度良好，项目综合效益显著。</w:t>
            </w:r>
          </w:p>
        </w:tc>
      </w:tr>
      <w:tr w14:paraId="24A3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FFAD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DCB7B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预算调整幅度较大，年初预算与实际执行偏差明显，反映出预算编制对业务量的预判不够精准。</w:t>
            </w:r>
          </w:p>
        </w:tc>
      </w:tr>
      <w:tr w14:paraId="0CE82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EB82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A70EA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优化预算编制流程，结合历史业务数据与年度诊疗计划，科学测算医废处置量与藏药产量，提升预算编制精准度，减少大幅调整。持续强化医疗废弃物分类管理。</w:t>
            </w:r>
          </w:p>
        </w:tc>
      </w:tr>
      <w:tr w14:paraId="04675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34F217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2FE5E9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C606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639E012">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40C15759">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26B6E094">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24C66A51">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396F8A41">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5E00AFE0">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34BBF049">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02EE3574">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1532CD90">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55A2DD70">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39E11366">
            <w:pPr>
              <w:rPr>
                <w:rFonts w:hint="eastAsia" w:ascii="宋体" w:hAnsi="宋体" w:eastAsia="宋体" w:cs="宋体"/>
                <w:i w:val="0"/>
                <w:iCs w:val="0"/>
                <w:color w:val="000000"/>
                <w:sz w:val="18"/>
                <w:szCs w:val="18"/>
                <w:u w:val="none"/>
              </w:rPr>
            </w:pPr>
          </w:p>
        </w:tc>
      </w:tr>
      <w:tr w14:paraId="748CC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54447FB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1AB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D9B65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60585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51320023T000007905089-病区和制剂中心水电费</w:t>
            </w:r>
          </w:p>
        </w:tc>
      </w:tr>
      <w:tr w14:paraId="789FE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CBBC0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902AD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46B9E9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5D817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0A06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38AAA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6216D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BFBD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712E49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353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483A20">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53F054">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A352B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保障医院年度用电10000千瓦以上，服务患者50000人次以上，满足医院日常运行需求。</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D974D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全年用电超10000千瓦时，服务患者超50000人次，稳定保障了病区及制剂中心水电供应，满足医院日常运行需求，年度目标全面达成。</w:t>
            </w:r>
          </w:p>
        </w:tc>
      </w:tr>
      <w:tr w14:paraId="6984C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6E88092">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BB1CC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5284EC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本项目用于保障病区和制剂中心日常水电供应，涵盖电费、水费缴纳。严格按照预算执行。实施节能管控，确保医疗区域24小时稳定供能。</w:t>
            </w:r>
          </w:p>
        </w:tc>
      </w:tr>
      <w:tr w14:paraId="0C66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B446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923E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8A92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4D3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0365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77C7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57E3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6D16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CA95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F721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9F5A02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4582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B5EB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5930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38.60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F52A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38.60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5111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DDC3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C5D4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833C80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654C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BCF4B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89B5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D2B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4746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38.60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12B4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38.60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7AA9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0918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54A7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59EC10A">
            <w:pPr>
              <w:rPr>
                <w:rFonts w:hint="eastAsia" w:ascii="黑体" w:hAnsi="黑体" w:eastAsia="黑体" w:cs="黑体"/>
                <w:i/>
                <w:iCs/>
                <w:color w:val="000000"/>
                <w:sz w:val="18"/>
                <w:szCs w:val="18"/>
                <w:u w:val="none"/>
              </w:rPr>
            </w:pPr>
          </w:p>
        </w:tc>
      </w:tr>
      <w:tr w14:paraId="71FBF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C29BE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8711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5209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DA88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9B23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F266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A285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27C7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9F307D">
            <w:pPr>
              <w:rPr>
                <w:rFonts w:hint="eastAsia" w:ascii="黑体" w:hAnsi="黑体" w:eastAsia="黑体" w:cs="黑体"/>
                <w:i/>
                <w:iCs/>
                <w:color w:val="000000"/>
                <w:sz w:val="18"/>
                <w:szCs w:val="18"/>
                <w:u w:val="none"/>
              </w:rPr>
            </w:pPr>
          </w:p>
        </w:tc>
      </w:tr>
      <w:tr w14:paraId="4CAC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B2D5AD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34FE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13DC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560E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2156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CEF0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0A01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65C1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41F204">
            <w:pPr>
              <w:rPr>
                <w:rFonts w:hint="eastAsia" w:ascii="黑体" w:hAnsi="黑体" w:eastAsia="黑体" w:cs="黑体"/>
                <w:i/>
                <w:iCs/>
                <w:color w:val="000000"/>
                <w:sz w:val="18"/>
                <w:szCs w:val="18"/>
                <w:u w:val="none"/>
              </w:rPr>
            </w:pPr>
          </w:p>
        </w:tc>
      </w:tr>
      <w:tr w14:paraId="69E8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5FF54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DC04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649A9F2">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1F6254C">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881044C">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2EAF11D">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A8F8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901D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B45CAD">
            <w:pPr>
              <w:rPr>
                <w:rFonts w:hint="eastAsia" w:ascii="黑体" w:hAnsi="黑体" w:eastAsia="黑体" w:cs="黑体"/>
                <w:i/>
                <w:iCs/>
                <w:color w:val="000000"/>
                <w:sz w:val="18"/>
                <w:szCs w:val="18"/>
                <w:u w:val="none"/>
              </w:rPr>
            </w:pPr>
          </w:p>
        </w:tc>
      </w:tr>
      <w:tr w14:paraId="46A9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E1D4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236B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AA0B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D82C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B176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F2EA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FDCF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05BC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D981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A3B4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6815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39D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4B7E8D">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BB6F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3F65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F8DC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用电度数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C8AA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DA97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910D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千瓦时</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8010BA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47B8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7FE3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17A1B21">
            <w:pPr>
              <w:jc w:val="center"/>
              <w:rPr>
                <w:rFonts w:hint="eastAsia" w:ascii="微软雅黑" w:hAnsi="微软雅黑" w:eastAsia="微软雅黑" w:cs="微软雅黑"/>
                <w:i/>
                <w:iCs/>
                <w:color w:val="000000"/>
                <w:sz w:val="16"/>
                <w:szCs w:val="16"/>
                <w:u w:val="none"/>
              </w:rPr>
            </w:pPr>
          </w:p>
        </w:tc>
      </w:tr>
      <w:tr w14:paraId="1C45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58AD11">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939420">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C554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F60F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供电保障率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ED0E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14EE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CB36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BF4406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99</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6B50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9540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07FFC7E">
            <w:pPr>
              <w:jc w:val="center"/>
              <w:rPr>
                <w:rFonts w:hint="eastAsia" w:ascii="微软雅黑" w:hAnsi="微软雅黑" w:eastAsia="微软雅黑" w:cs="微软雅黑"/>
                <w:i/>
                <w:iCs/>
                <w:color w:val="000000"/>
                <w:sz w:val="16"/>
                <w:szCs w:val="16"/>
                <w:u w:val="none"/>
              </w:rPr>
            </w:pPr>
          </w:p>
        </w:tc>
      </w:tr>
      <w:tr w14:paraId="1127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24011C9">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2EA221">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FEDF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4405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完成年度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1954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6374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1F20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C7EF12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2025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EB25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D7BD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196B769">
            <w:pPr>
              <w:jc w:val="center"/>
              <w:rPr>
                <w:rFonts w:hint="eastAsia" w:ascii="微软雅黑" w:hAnsi="微软雅黑" w:eastAsia="微软雅黑" w:cs="微软雅黑"/>
                <w:i/>
                <w:iCs/>
                <w:color w:val="000000"/>
                <w:sz w:val="16"/>
                <w:szCs w:val="16"/>
                <w:u w:val="none"/>
              </w:rPr>
            </w:pPr>
          </w:p>
        </w:tc>
      </w:tr>
      <w:tr w14:paraId="1F078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FB5CCD">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5DA6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E448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B248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服务人次</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B91E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7FD3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C094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0C4F1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50000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D7E7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EFB7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966EEF0">
            <w:pPr>
              <w:jc w:val="center"/>
              <w:rPr>
                <w:rFonts w:hint="eastAsia" w:ascii="微软雅黑" w:hAnsi="微软雅黑" w:eastAsia="微软雅黑" w:cs="微软雅黑"/>
                <w:i/>
                <w:iCs/>
                <w:color w:val="000000"/>
                <w:sz w:val="16"/>
                <w:szCs w:val="16"/>
                <w:u w:val="none"/>
              </w:rPr>
            </w:pPr>
          </w:p>
        </w:tc>
      </w:tr>
      <w:tr w14:paraId="3B27C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51D4D12">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2BE2C0">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E45D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284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满足医院日常运行需求</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2CEC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2236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长期保障</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37DBC86">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28035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长期保障</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E9A3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AF98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999FEE7">
            <w:pPr>
              <w:jc w:val="center"/>
              <w:rPr>
                <w:rFonts w:hint="eastAsia" w:ascii="微软雅黑" w:hAnsi="微软雅黑" w:eastAsia="微软雅黑" w:cs="微软雅黑"/>
                <w:i/>
                <w:iCs/>
                <w:color w:val="000000"/>
                <w:sz w:val="16"/>
                <w:szCs w:val="16"/>
                <w:u w:val="none"/>
              </w:rPr>
            </w:pPr>
          </w:p>
        </w:tc>
      </w:tr>
      <w:tr w14:paraId="1908D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D98B8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2992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2726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8A84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6B62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529E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4FE7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CACE5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85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9265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C212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AD69F3F">
            <w:pPr>
              <w:jc w:val="center"/>
              <w:rPr>
                <w:rFonts w:hint="eastAsia" w:ascii="微软雅黑" w:hAnsi="微软雅黑" w:eastAsia="微软雅黑" w:cs="微软雅黑"/>
                <w:i/>
                <w:iCs/>
                <w:color w:val="000000"/>
                <w:sz w:val="16"/>
                <w:szCs w:val="16"/>
                <w:u w:val="none"/>
              </w:rPr>
            </w:pPr>
          </w:p>
        </w:tc>
      </w:tr>
      <w:tr w14:paraId="0D2A1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BB7C50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A56A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EEF2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0FF5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水电费预算执行率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54F8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927B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D84D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8B9B7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6052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6118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0C150B4">
            <w:pPr>
              <w:jc w:val="center"/>
              <w:rPr>
                <w:rFonts w:hint="eastAsia" w:ascii="微软雅黑" w:hAnsi="微软雅黑" w:eastAsia="微软雅黑" w:cs="微软雅黑"/>
                <w:i/>
                <w:iCs/>
                <w:color w:val="000000"/>
                <w:sz w:val="16"/>
                <w:szCs w:val="16"/>
                <w:u w:val="none"/>
              </w:rPr>
            </w:pPr>
          </w:p>
        </w:tc>
      </w:tr>
      <w:tr w14:paraId="3227A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1A566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09EB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E7BFA8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F417786">
            <w:pPr>
              <w:rPr>
                <w:rFonts w:hint="eastAsia" w:ascii="宋体" w:hAnsi="宋体" w:eastAsia="宋体" w:cs="宋体"/>
                <w:i w:val="0"/>
                <w:iCs w:val="0"/>
                <w:color w:val="000000"/>
                <w:sz w:val="18"/>
                <w:szCs w:val="18"/>
                <w:u w:val="none"/>
              </w:rPr>
            </w:pPr>
          </w:p>
        </w:tc>
      </w:tr>
      <w:tr w14:paraId="64C2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1755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1E70FA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通过稳定的水电供应保障，为临床诊疗、制剂生产等工作提供了坚实支撑，服务患者人次超额完成，患者满意度较高，同时严格执行预算，实现了资金高效利用，项目综合效益良好。</w:t>
            </w:r>
          </w:p>
        </w:tc>
      </w:tr>
      <w:tr w14:paraId="6C696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10A1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8E084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节能管控仍有提升空间，部分区域存在水电浪费现象，未充分挖掘成本节约潜力。</w:t>
            </w:r>
          </w:p>
        </w:tc>
      </w:tr>
      <w:tr w14:paraId="0C00A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9CF7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1B00D1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加强节能宣传与培训，提升医护人员节能意识，形成全员参与的节能管理氛围，进一步降低运行成本。</w:t>
            </w:r>
          </w:p>
        </w:tc>
      </w:tr>
      <w:tr w14:paraId="6BC3C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FC21A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3F9B72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435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72996B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1BB0072B">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70799235">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6E77AC5A">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204661EE">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6162904E">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685E66E8">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3B3BBAC4">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67925CB0">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7D417446">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7FD5D9C">
            <w:pPr>
              <w:rPr>
                <w:rFonts w:hint="eastAsia" w:ascii="宋体" w:hAnsi="宋体" w:eastAsia="宋体" w:cs="宋体"/>
                <w:i w:val="0"/>
                <w:iCs w:val="0"/>
                <w:color w:val="000000"/>
                <w:sz w:val="18"/>
                <w:szCs w:val="18"/>
                <w:u w:val="none"/>
              </w:rPr>
            </w:pPr>
          </w:p>
        </w:tc>
      </w:tr>
      <w:tr w14:paraId="1024B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5F52CC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1E9D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322846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FDA53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51320023T000007959617-药品（西药藏药）</w:t>
            </w:r>
          </w:p>
        </w:tc>
      </w:tr>
      <w:tr w14:paraId="7097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7C1E8E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55235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4498D45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08136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1834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52EE3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130465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5FA7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1C4493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579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944637">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C5D2FA">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F19A4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保障医院药品供应，年服务患者5万人次以上，实现事业收入1000万元以上。</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5100B4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全年保障了西药、藏药稳定供应，服务患者超5万人次，实现事业收入超1000万元，圆满完成年度目标，有效保障了临床诊疗需求。</w:t>
            </w:r>
          </w:p>
        </w:tc>
      </w:tr>
      <w:tr w14:paraId="62619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21FDDB4">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BA234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8F5C6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本项目涵盖西药与藏药的采购、储备、配送及质量管理等全流程，严格执行药品集中采购与医保政策，建立药品质量追溯体系，确保临床用药安全、及时、足量。</w:t>
            </w:r>
          </w:p>
        </w:tc>
      </w:tr>
      <w:tr w14:paraId="31AC6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0639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C58B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BB61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1F16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B1FD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E922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C60C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2F4B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44DD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6DCA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4F4359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5A83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83A3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F161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162.95</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E55E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155.72</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93A6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95.56%</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A241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7C4A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FD348C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8DB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BD5575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79C1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91FE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96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162.95</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1206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155.72</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577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95.56%</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DF86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88BC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5E4C69A">
            <w:pPr>
              <w:rPr>
                <w:rFonts w:hint="eastAsia" w:ascii="黑体" w:hAnsi="黑体" w:eastAsia="黑体" w:cs="黑体"/>
                <w:i/>
                <w:iCs/>
                <w:color w:val="000000"/>
                <w:sz w:val="18"/>
                <w:szCs w:val="18"/>
                <w:u w:val="none"/>
              </w:rPr>
            </w:pPr>
          </w:p>
        </w:tc>
      </w:tr>
      <w:tr w14:paraId="31EF9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8E800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05C6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A303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C6A5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0097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F79C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1110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BEC7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1A563A">
            <w:pPr>
              <w:rPr>
                <w:rFonts w:hint="eastAsia" w:ascii="黑体" w:hAnsi="黑体" w:eastAsia="黑体" w:cs="黑体"/>
                <w:i/>
                <w:iCs/>
                <w:color w:val="000000"/>
                <w:sz w:val="18"/>
                <w:szCs w:val="18"/>
                <w:u w:val="none"/>
              </w:rPr>
            </w:pPr>
          </w:p>
        </w:tc>
      </w:tr>
      <w:tr w14:paraId="3E525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E80AED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25D1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0655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AD58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B6DD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CC39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3DDA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191E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569857">
            <w:pPr>
              <w:rPr>
                <w:rFonts w:hint="eastAsia" w:ascii="黑体" w:hAnsi="黑体" w:eastAsia="黑体" w:cs="黑体"/>
                <w:i/>
                <w:iCs/>
                <w:color w:val="000000"/>
                <w:sz w:val="18"/>
                <w:szCs w:val="18"/>
                <w:u w:val="none"/>
              </w:rPr>
            </w:pPr>
          </w:p>
        </w:tc>
      </w:tr>
      <w:tr w14:paraId="3215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6B5F7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B6EC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FF7165E">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0D13D17">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8A1BED7">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BA9070">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4859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D74C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B00008">
            <w:pPr>
              <w:rPr>
                <w:rFonts w:hint="eastAsia" w:ascii="黑体" w:hAnsi="黑体" w:eastAsia="黑体" w:cs="黑体"/>
                <w:i/>
                <w:iCs/>
                <w:color w:val="000000"/>
                <w:sz w:val="18"/>
                <w:szCs w:val="18"/>
                <w:u w:val="none"/>
              </w:rPr>
            </w:pPr>
          </w:p>
        </w:tc>
      </w:tr>
      <w:tr w14:paraId="0DD6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DC9D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8E28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CE2B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BD19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6F21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E945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EFFA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D465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754D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2925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500E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4EEF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EB4C45F">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DB57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13F8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8C1A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服务人次</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9040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0427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530A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2349A8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50000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E74E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7CF1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AACB4B8">
            <w:pPr>
              <w:jc w:val="center"/>
              <w:rPr>
                <w:rFonts w:hint="eastAsia" w:ascii="微软雅黑" w:hAnsi="微软雅黑" w:eastAsia="微软雅黑" w:cs="微软雅黑"/>
                <w:i/>
                <w:iCs/>
                <w:color w:val="000000"/>
                <w:sz w:val="16"/>
                <w:szCs w:val="16"/>
                <w:u w:val="none"/>
              </w:rPr>
            </w:pPr>
          </w:p>
        </w:tc>
      </w:tr>
      <w:tr w14:paraId="51D6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BCC256">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4C71A4C">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6E7EC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4831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供应商履约率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9A78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530B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A09C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85D82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6FC0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39F0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DC9E16C">
            <w:pPr>
              <w:jc w:val="center"/>
              <w:rPr>
                <w:rFonts w:hint="eastAsia" w:ascii="微软雅黑" w:hAnsi="微软雅黑" w:eastAsia="微软雅黑" w:cs="微软雅黑"/>
                <w:i/>
                <w:iCs/>
                <w:color w:val="000000"/>
                <w:sz w:val="16"/>
                <w:szCs w:val="16"/>
                <w:u w:val="none"/>
              </w:rPr>
            </w:pPr>
          </w:p>
        </w:tc>
      </w:tr>
      <w:tr w14:paraId="15583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1DD2D2">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B89C46">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1665EC">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34FC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药品质量合格率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2503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1C06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9C06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4D9252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01E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CEC3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200487D">
            <w:pPr>
              <w:jc w:val="center"/>
              <w:rPr>
                <w:rFonts w:hint="eastAsia" w:ascii="微软雅黑" w:hAnsi="微软雅黑" w:eastAsia="微软雅黑" w:cs="微软雅黑"/>
                <w:i/>
                <w:iCs/>
                <w:color w:val="000000"/>
                <w:sz w:val="16"/>
                <w:szCs w:val="16"/>
                <w:u w:val="none"/>
              </w:rPr>
            </w:pPr>
          </w:p>
        </w:tc>
      </w:tr>
      <w:tr w14:paraId="56EC9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20D77A">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5895D0">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24DC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924E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药品采购计划按时完成率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4FC4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016A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B5D2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A2E89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E6E2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7358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E67D032">
            <w:pPr>
              <w:jc w:val="center"/>
              <w:rPr>
                <w:rFonts w:hint="eastAsia" w:ascii="微软雅黑" w:hAnsi="微软雅黑" w:eastAsia="微软雅黑" w:cs="微软雅黑"/>
                <w:i/>
                <w:iCs/>
                <w:color w:val="000000"/>
                <w:sz w:val="16"/>
                <w:szCs w:val="16"/>
                <w:u w:val="none"/>
              </w:rPr>
            </w:pPr>
          </w:p>
        </w:tc>
      </w:tr>
      <w:tr w14:paraId="302E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79AD9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82B4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1958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7510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事业收入</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913C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6339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85C7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2EF1E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10000000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8880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0523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418822C">
            <w:pPr>
              <w:jc w:val="center"/>
              <w:rPr>
                <w:rFonts w:hint="eastAsia" w:ascii="微软雅黑" w:hAnsi="微软雅黑" w:eastAsia="微软雅黑" w:cs="微软雅黑"/>
                <w:i/>
                <w:iCs/>
                <w:color w:val="000000"/>
                <w:sz w:val="16"/>
                <w:szCs w:val="16"/>
                <w:u w:val="none"/>
              </w:rPr>
            </w:pPr>
          </w:p>
        </w:tc>
      </w:tr>
      <w:tr w14:paraId="033B9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301B1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352F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4715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AAAC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D573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C2DD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D4EE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5DD116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21AA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92CF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742B904">
            <w:pPr>
              <w:jc w:val="center"/>
              <w:rPr>
                <w:rFonts w:hint="eastAsia" w:ascii="微软雅黑" w:hAnsi="微软雅黑" w:eastAsia="微软雅黑" w:cs="微软雅黑"/>
                <w:i/>
                <w:iCs/>
                <w:color w:val="000000"/>
                <w:sz w:val="16"/>
                <w:szCs w:val="16"/>
                <w:u w:val="none"/>
              </w:rPr>
            </w:pPr>
          </w:p>
        </w:tc>
      </w:tr>
      <w:tr w14:paraId="0FAB8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D91B3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A3C6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89AA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9403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药品采购预算执行率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685A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3174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B86B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6F7C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99</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2A50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5980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1BBB88F">
            <w:pPr>
              <w:jc w:val="center"/>
              <w:rPr>
                <w:rFonts w:hint="eastAsia" w:ascii="微软雅黑" w:hAnsi="微软雅黑" w:eastAsia="微软雅黑" w:cs="微软雅黑"/>
                <w:i/>
                <w:iCs/>
                <w:color w:val="000000"/>
                <w:sz w:val="16"/>
                <w:szCs w:val="16"/>
                <w:u w:val="none"/>
              </w:rPr>
            </w:pPr>
          </w:p>
        </w:tc>
      </w:tr>
      <w:tr w14:paraId="488A4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0E2F4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E636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02C81C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B85785F">
            <w:pPr>
              <w:rPr>
                <w:rFonts w:hint="eastAsia" w:ascii="宋体" w:hAnsi="宋体" w:eastAsia="宋体" w:cs="宋体"/>
                <w:i w:val="0"/>
                <w:iCs w:val="0"/>
                <w:color w:val="000000"/>
                <w:sz w:val="18"/>
                <w:szCs w:val="18"/>
                <w:u w:val="none"/>
              </w:rPr>
            </w:pPr>
          </w:p>
        </w:tc>
      </w:tr>
      <w:tr w14:paraId="75F3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ECFD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23FAB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通过规范药品采购与质量管理，有效保障了临床用药安全与供应稳定，服务患者人次超额完成，事业收入稳步增长，患者满意度较高，同时实现了成本节约，项目综合效益显著。</w:t>
            </w:r>
          </w:p>
        </w:tc>
      </w:tr>
      <w:tr w14:paraId="6AD1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77B9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B8881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预算调整幅度较大，年初预算与实际执行存在偏差，反映出预算编制对药品采购量与价格波动的预判不够精准。</w:t>
            </w:r>
          </w:p>
        </w:tc>
      </w:tr>
      <w:tr w14:paraId="7CFE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7FFD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18821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优化预算编制方法，结合历史诊疗数据、药品价格趋势及临床需求，科学测算采购量与资金需求，提升预算编制精准度，减少大幅调整。</w:t>
            </w:r>
          </w:p>
        </w:tc>
      </w:tr>
      <w:tr w14:paraId="5E93C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5E12BB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029BCA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71D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1CB5CE8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097F9436">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1C687A50">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67F53845">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0840099F">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35FCC6F7">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5D36F770">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5E0D44E9">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57AC6CC9">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2A8B411B">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62D56F0D">
            <w:pPr>
              <w:rPr>
                <w:rFonts w:hint="eastAsia" w:ascii="宋体" w:hAnsi="宋体" w:eastAsia="宋体" w:cs="宋体"/>
                <w:i w:val="0"/>
                <w:iCs w:val="0"/>
                <w:color w:val="000000"/>
                <w:sz w:val="18"/>
                <w:szCs w:val="18"/>
                <w:u w:val="none"/>
              </w:rPr>
            </w:pPr>
          </w:p>
        </w:tc>
      </w:tr>
      <w:tr w14:paraId="4E828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BF2B28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4042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75D60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8966B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51320023T000008191011-公共卫生特别服务岗招募人员工资</w:t>
            </w:r>
          </w:p>
        </w:tc>
      </w:tr>
      <w:tr w14:paraId="25F1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808CE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5D338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07743F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6D395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01D6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F2B86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5592C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BEF7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7E1958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0356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A9C7AB0">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BFB804">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1C0BE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通过招募公共卫生特别服务岗人员，提供优质医疗服务，预计完成事业收入1000万元，提升医疗服务能力和水平。</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1AF693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已完成公共卫生特别服务岗人员招募，提供了优质医疗服务，服务人次超30000，事业收入超1000万元，有效提升了医疗服务能力与水平，年度目标全面达成。</w:t>
            </w:r>
          </w:p>
        </w:tc>
      </w:tr>
      <w:tr w14:paraId="3F8CD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8B5C1F">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ECF6D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CD86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本项目用于保障公共卫生特别服务岗人员工资发放，严格按照人事管理及财务制度执行，规范工资核算与发放流程，确保人员稳定，保障公共卫生服务持续开展</w:t>
            </w:r>
          </w:p>
        </w:tc>
      </w:tr>
      <w:tr w14:paraId="0C162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AB28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5C0E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C91A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0D31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1F13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8B6E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10D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39B4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7112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C16F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B5EBED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B4B4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5DE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DCEA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10.90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8147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10.90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DDAD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16D1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A9573B6">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B4D1C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88E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72E8E1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B0F4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339C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18CF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10.90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98A5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10.90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F30D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9125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6C95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5E1048">
            <w:pPr>
              <w:rPr>
                <w:rFonts w:hint="eastAsia" w:ascii="黑体" w:hAnsi="黑体" w:eastAsia="黑体" w:cs="黑体"/>
                <w:i/>
                <w:iCs/>
                <w:color w:val="000000"/>
                <w:sz w:val="18"/>
                <w:szCs w:val="18"/>
                <w:u w:val="none"/>
              </w:rPr>
            </w:pPr>
          </w:p>
        </w:tc>
      </w:tr>
      <w:tr w14:paraId="5374D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EDCE7B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9C75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878E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4FEB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E5CC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8AF1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DA9C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8D6C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FC9CD6">
            <w:pPr>
              <w:rPr>
                <w:rFonts w:hint="eastAsia" w:ascii="黑体" w:hAnsi="黑体" w:eastAsia="黑体" w:cs="黑体"/>
                <w:i/>
                <w:iCs/>
                <w:color w:val="000000"/>
                <w:sz w:val="18"/>
                <w:szCs w:val="18"/>
                <w:u w:val="none"/>
              </w:rPr>
            </w:pPr>
          </w:p>
        </w:tc>
      </w:tr>
      <w:tr w14:paraId="52FD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D0F40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633A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603F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C980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4E24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76FF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A791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C725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89FE12">
            <w:pPr>
              <w:rPr>
                <w:rFonts w:hint="eastAsia" w:ascii="黑体" w:hAnsi="黑体" w:eastAsia="黑体" w:cs="黑体"/>
                <w:i/>
                <w:iCs/>
                <w:color w:val="000000"/>
                <w:sz w:val="18"/>
                <w:szCs w:val="18"/>
                <w:u w:val="none"/>
              </w:rPr>
            </w:pPr>
          </w:p>
        </w:tc>
      </w:tr>
      <w:tr w14:paraId="73E5C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22C54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E292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10B1A0F">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0D30EB0">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59DF9FF">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5CAAB4D">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2ABB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3B0A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98AB680">
            <w:pPr>
              <w:rPr>
                <w:rFonts w:hint="eastAsia" w:ascii="黑体" w:hAnsi="黑体" w:eastAsia="黑体" w:cs="黑体"/>
                <w:i/>
                <w:iCs/>
                <w:color w:val="000000"/>
                <w:sz w:val="18"/>
                <w:szCs w:val="18"/>
                <w:u w:val="none"/>
              </w:rPr>
            </w:pPr>
          </w:p>
        </w:tc>
      </w:tr>
      <w:tr w14:paraId="47C5A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7C41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74CE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7C4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EFEE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6497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BAD1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4025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0A6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F986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E45A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B035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3B68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4769642">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E14C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DE1D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73B7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服务人次</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7A1F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B97B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5231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281E6F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30000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23BC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028E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62D874D">
            <w:pPr>
              <w:jc w:val="center"/>
              <w:rPr>
                <w:rFonts w:hint="eastAsia" w:ascii="微软雅黑" w:hAnsi="微软雅黑" w:eastAsia="微软雅黑" w:cs="微软雅黑"/>
                <w:i/>
                <w:iCs/>
                <w:color w:val="000000"/>
                <w:sz w:val="16"/>
                <w:szCs w:val="16"/>
                <w:u w:val="none"/>
              </w:rPr>
            </w:pPr>
          </w:p>
        </w:tc>
      </w:tr>
      <w:tr w14:paraId="4EA9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88BBB9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A693BAE">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2411D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8966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公立医院平均住院日</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4C58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ACC2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C1E3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天</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AF8A1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D615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4FC2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E54F76F">
            <w:pPr>
              <w:jc w:val="center"/>
              <w:rPr>
                <w:rFonts w:hint="eastAsia" w:ascii="微软雅黑" w:hAnsi="微软雅黑" w:eastAsia="微软雅黑" w:cs="微软雅黑"/>
                <w:i/>
                <w:iCs/>
                <w:color w:val="000000"/>
                <w:sz w:val="16"/>
                <w:szCs w:val="16"/>
                <w:u w:val="none"/>
              </w:rPr>
            </w:pPr>
          </w:p>
        </w:tc>
      </w:tr>
      <w:tr w14:paraId="2CA1C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FB3A998">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0EAF58C">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324469D">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D10F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事业收入完成率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5559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5F10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FF7A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A82133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99</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23E0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0425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181B314">
            <w:pPr>
              <w:jc w:val="center"/>
              <w:rPr>
                <w:rFonts w:hint="eastAsia" w:ascii="微软雅黑" w:hAnsi="微软雅黑" w:eastAsia="微软雅黑" w:cs="微软雅黑"/>
                <w:i/>
                <w:iCs/>
                <w:color w:val="000000"/>
                <w:sz w:val="16"/>
                <w:szCs w:val="16"/>
                <w:u w:val="none"/>
              </w:rPr>
            </w:pPr>
          </w:p>
        </w:tc>
      </w:tr>
      <w:tr w14:paraId="3912B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ADA1F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3F6686">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C779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E6CF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工资发放及时率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BDC2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4FB4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8034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946A9E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1AE3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0E96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8A109A4">
            <w:pPr>
              <w:jc w:val="center"/>
              <w:rPr>
                <w:rFonts w:hint="eastAsia" w:ascii="微软雅黑" w:hAnsi="微软雅黑" w:eastAsia="微软雅黑" w:cs="微软雅黑"/>
                <w:i/>
                <w:iCs/>
                <w:color w:val="000000"/>
                <w:sz w:val="16"/>
                <w:szCs w:val="16"/>
                <w:u w:val="none"/>
              </w:rPr>
            </w:pPr>
          </w:p>
        </w:tc>
      </w:tr>
      <w:tr w14:paraId="2723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9193A9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7ACB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B55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723A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带动就业人数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74BE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3ACE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2FB3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107B9D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2</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0491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6C9F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DB2CB53">
            <w:pPr>
              <w:jc w:val="center"/>
              <w:rPr>
                <w:rFonts w:hint="eastAsia" w:ascii="微软雅黑" w:hAnsi="微软雅黑" w:eastAsia="微软雅黑" w:cs="微软雅黑"/>
                <w:i/>
                <w:iCs/>
                <w:color w:val="000000"/>
                <w:sz w:val="16"/>
                <w:szCs w:val="16"/>
                <w:u w:val="none"/>
              </w:rPr>
            </w:pPr>
          </w:p>
        </w:tc>
      </w:tr>
      <w:tr w14:paraId="7E41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027C76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1465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2ABB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A995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EDB8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DE22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E64F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237B9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680B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5FED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420B0DC">
            <w:pPr>
              <w:jc w:val="center"/>
              <w:rPr>
                <w:rFonts w:hint="eastAsia" w:ascii="微软雅黑" w:hAnsi="微软雅黑" w:eastAsia="微软雅黑" w:cs="微软雅黑"/>
                <w:i/>
                <w:iCs/>
                <w:color w:val="000000"/>
                <w:sz w:val="16"/>
                <w:szCs w:val="16"/>
                <w:u w:val="none"/>
              </w:rPr>
            </w:pPr>
          </w:p>
        </w:tc>
      </w:tr>
      <w:tr w14:paraId="0B8BD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9DFF1D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955A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A74F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A058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B8A4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444E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52D1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7D161D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CB19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4125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FF5A0CC">
            <w:pPr>
              <w:jc w:val="center"/>
              <w:rPr>
                <w:rFonts w:hint="eastAsia" w:ascii="微软雅黑" w:hAnsi="微软雅黑" w:eastAsia="微软雅黑" w:cs="微软雅黑"/>
                <w:i/>
                <w:iCs/>
                <w:color w:val="000000"/>
                <w:sz w:val="16"/>
                <w:szCs w:val="16"/>
                <w:u w:val="none"/>
              </w:rPr>
            </w:pPr>
          </w:p>
        </w:tc>
      </w:tr>
      <w:tr w14:paraId="6C418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593C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063F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82D6BA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7DAD215">
            <w:pPr>
              <w:rPr>
                <w:rFonts w:hint="eastAsia" w:ascii="宋体" w:hAnsi="宋体" w:eastAsia="宋体" w:cs="宋体"/>
                <w:i w:val="0"/>
                <w:iCs w:val="0"/>
                <w:color w:val="000000"/>
                <w:sz w:val="18"/>
                <w:szCs w:val="18"/>
                <w:u w:val="none"/>
              </w:rPr>
            </w:pPr>
          </w:p>
        </w:tc>
      </w:tr>
      <w:tr w14:paraId="648F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F7E4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65859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通过保障岗位人员工资稳定，稳定了公共卫生服务队伍，服务人次超额完成，事业收入稳步增长，患者满意度较高，同时实现了预算100%执行，项目在保障就业、提升医疗服务能力等方面成效显著。</w:t>
            </w:r>
          </w:p>
        </w:tc>
      </w:tr>
      <w:tr w14:paraId="1DD2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A57D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37A45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岗位人员专业能力有待进一步加强，服务效率与质量仍有优化空间。</w:t>
            </w:r>
          </w:p>
        </w:tc>
      </w:tr>
      <w:tr w14:paraId="164B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0CF5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19B52D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加强岗位人员培训，开展公共卫生服务技能提升培训，优化服务流程，进一步提升服务效率与患者满意度。</w:t>
            </w:r>
          </w:p>
        </w:tc>
      </w:tr>
      <w:tr w14:paraId="049BA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0E5FBE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24ED69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CB4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1986E88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15B3E585">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5430E8FF">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504F88A9">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235ACA9E">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4C6A99B1">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797E62E">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4D852647">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3BEDD629">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0D3139C2">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521C110C">
            <w:pPr>
              <w:rPr>
                <w:rFonts w:hint="eastAsia" w:ascii="宋体" w:hAnsi="宋体" w:eastAsia="宋体" w:cs="宋体"/>
                <w:i w:val="0"/>
                <w:iCs w:val="0"/>
                <w:color w:val="000000"/>
                <w:sz w:val="18"/>
                <w:szCs w:val="18"/>
                <w:u w:val="none"/>
              </w:rPr>
            </w:pPr>
          </w:p>
        </w:tc>
      </w:tr>
      <w:tr w14:paraId="5D9E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0073CAB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34D8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689E1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F8513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51320023T000009329553-2022年第四批科技计划项目资金</w:t>
            </w:r>
          </w:p>
        </w:tc>
      </w:tr>
      <w:tr w14:paraId="6D02C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69EBE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BAF48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3129D2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45C99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1F75F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45405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21A0B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BEB2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549FD76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3249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96F9F13">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28996BF">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9CD1E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根据项目计划书完成项目</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83155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647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83154C">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CFA5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F53C115">
            <w:pPr>
              <w:rPr>
                <w:rFonts w:hint="eastAsia" w:ascii="宋体" w:hAnsi="宋体" w:eastAsia="宋体" w:cs="宋体"/>
                <w:i w:val="0"/>
                <w:iCs w:val="0"/>
                <w:color w:val="000000"/>
                <w:sz w:val="18"/>
                <w:szCs w:val="18"/>
                <w:u w:val="none"/>
              </w:rPr>
            </w:pPr>
          </w:p>
        </w:tc>
      </w:tr>
      <w:tr w14:paraId="6E84A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E008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D6BD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4581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BD3B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AB18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78F9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B504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BD18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49C2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3C61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1E0BB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C74B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292F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49D2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8.85</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10E2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8.85</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4D42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4216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5DE9500">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50D72E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411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A60888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33AF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2160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5E41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8.85</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6320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8.85</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B9F4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9802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0FB4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7EFE84">
            <w:pPr>
              <w:rPr>
                <w:rFonts w:hint="eastAsia" w:ascii="黑体" w:hAnsi="黑体" w:eastAsia="黑体" w:cs="黑体"/>
                <w:i/>
                <w:iCs/>
                <w:color w:val="000000"/>
                <w:sz w:val="18"/>
                <w:szCs w:val="18"/>
                <w:u w:val="none"/>
              </w:rPr>
            </w:pPr>
          </w:p>
        </w:tc>
      </w:tr>
      <w:tr w14:paraId="6288C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195AA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6EC9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549E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0AF6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FD61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2935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0B22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05D8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069020B">
            <w:pPr>
              <w:rPr>
                <w:rFonts w:hint="eastAsia" w:ascii="黑体" w:hAnsi="黑体" w:eastAsia="黑体" w:cs="黑体"/>
                <w:i/>
                <w:iCs/>
                <w:color w:val="000000"/>
                <w:sz w:val="18"/>
                <w:szCs w:val="18"/>
                <w:u w:val="none"/>
              </w:rPr>
            </w:pPr>
          </w:p>
        </w:tc>
      </w:tr>
      <w:tr w14:paraId="3BAD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BEBC9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EC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A28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C06B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1675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7F8D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A29D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6FCA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339A8CC">
            <w:pPr>
              <w:rPr>
                <w:rFonts w:hint="eastAsia" w:ascii="黑体" w:hAnsi="黑体" w:eastAsia="黑体" w:cs="黑体"/>
                <w:i/>
                <w:iCs/>
                <w:color w:val="000000"/>
                <w:sz w:val="18"/>
                <w:szCs w:val="18"/>
                <w:u w:val="none"/>
              </w:rPr>
            </w:pPr>
          </w:p>
        </w:tc>
      </w:tr>
      <w:tr w14:paraId="5680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BB289F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B639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062ECA0">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DA8168B">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4333435">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7F0B30D">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CB0D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B276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9A132F">
            <w:pPr>
              <w:rPr>
                <w:rFonts w:hint="eastAsia" w:ascii="黑体" w:hAnsi="黑体" w:eastAsia="黑体" w:cs="黑体"/>
                <w:i/>
                <w:iCs/>
                <w:color w:val="000000"/>
                <w:sz w:val="18"/>
                <w:szCs w:val="18"/>
                <w:u w:val="none"/>
              </w:rPr>
            </w:pPr>
          </w:p>
        </w:tc>
      </w:tr>
      <w:tr w14:paraId="6249D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D8A6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DBB5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3D7C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9AF1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4875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5ADD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4603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29E3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23DD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B2E3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7C14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B0F7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D17C4F">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F125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7A83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33B6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项目个数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323C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3740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5855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C9E1FC3">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C950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067DBEE">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8B5E92B">
            <w:pPr>
              <w:jc w:val="center"/>
              <w:rPr>
                <w:rFonts w:hint="eastAsia" w:ascii="微软雅黑" w:hAnsi="微软雅黑" w:eastAsia="微软雅黑" w:cs="微软雅黑"/>
                <w:i/>
                <w:iCs/>
                <w:color w:val="000000"/>
                <w:sz w:val="16"/>
                <w:szCs w:val="16"/>
                <w:u w:val="none"/>
              </w:rPr>
            </w:pPr>
          </w:p>
        </w:tc>
      </w:tr>
      <w:tr w14:paraId="51807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F1AFA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18814C">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4C4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A66A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7C5C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A8F9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FA17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537A624">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35A6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00D5E9B">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12CD61E">
            <w:pPr>
              <w:jc w:val="center"/>
              <w:rPr>
                <w:rFonts w:hint="eastAsia" w:ascii="微软雅黑" w:hAnsi="微软雅黑" w:eastAsia="微软雅黑" w:cs="微软雅黑"/>
                <w:i/>
                <w:iCs/>
                <w:color w:val="000000"/>
                <w:sz w:val="16"/>
                <w:szCs w:val="16"/>
                <w:u w:val="none"/>
              </w:rPr>
            </w:pPr>
          </w:p>
        </w:tc>
      </w:tr>
      <w:tr w14:paraId="16CD9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38099C7">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F7293C">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E324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03EE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项目完成时间</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9079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EA04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207E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ECD5164">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750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D20D0DE">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E5C304F">
            <w:pPr>
              <w:jc w:val="center"/>
              <w:rPr>
                <w:rFonts w:hint="eastAsia" w:ascii="微软雅黑" w:hAnsi="微软雅黑" w:eastAsia="微软雅黑" w:cs="微软雅黑"/>
                <w:i/>
                <w:iCs/>
                <w:color w:val="000000"/>
                <w:sz w:val="16"/>
                <w:szCs w:val="16"/>
                <w:u w:val="none"/>
              </w:rPr>
            </w:pPr>
          </w:p>
        </w:tc>
      </w:tr>
      <w:tr w14:paraId="5FB1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572AED0">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333CD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DD91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541E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民族医药服务能力</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D01C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0093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EC0911A">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0BF115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084F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2D2F7C6">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0765CA9">
            <w:pPr>
              <w:jc w:val="center"/>
              <w:rPr>
                <w:rFonts w:hint="eastAsia" w:ascii="微软雅黑" w:hAnsi="微软雅黑" w:eastAsia="微软雅黑" w:cs="微软雅黑"/>
                <w:i/>
                <w:iCs/>
                <w:color w:val="000000"/>
                <w:sz w:val="16"/>
                <w:szCs w:val="16"/>
                <w:u w:val="none"/>
              </w:rPr>
            </w:pPr>
          </w:p>
        </w:tc>
      </w:tr>
      <w:tr w14:paraId="4E162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64CF4B">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B55518">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AFD8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F53E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藏医药发展</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414C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776E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持续提升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C43A701">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3D4017C">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254E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AB9A531">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7093266">
            <w:pPr>
              <w:jc w:val="center"/>
              <w:rPr>
                <w:rFonts w:hint="eastAsia" w:ascii="微软雅黑" w:hAnsi="微软雅黑" w:eastAsia="微软雅黑" w:cs="微软雅黑"/>
                <w:i/>
                <w:iCs/>
                <w:color w:val="000000"/>
                <w:sz w:val="16"/>
                <w:szCs w:val="16"/>
                <w:u w:val="none"/>
              </w:rPr>
            </w:pPr>
          </w:p>
        </w:tc>
      </w:tr>
      <w:tr w14:paraId="67B05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A2C3A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F531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87C1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AB78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A7C8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1B0B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5A7F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292B0E8">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F5F9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0785E16">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2D06DBD">
            <w:pPr>
              <w:jc w:val="center"/>
              <w:rPr>
                <w:rFonts w:hint="eastAsia" w:ascii="微软雅黑" w:hAnsi="微软雅黑" w:eastAsia="微软雅黑" w:cs="微软雅黑"/>
                <w:i/>
                <w:iCs/>
                <w:color w:val="000000"/>
                <w:sz w:val="16"/>
                <w:szCs w:val="16"/>
                <w:u w:val="none"/>
              </w:rPr>
            </w:pPr>
          </w:p>
        </w:tc>
      </w:tr>
      <w:tr w14:paraId="7A79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79F53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0C0E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5CFE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9BC4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978B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C20E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8EC7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66BE89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9C2B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1B97CC5">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892EE56">
            <w:pPr>
              <w:jc w:val="center"/>
              <w:rPr>
                <w:rFonts w:hint="eastAsia" w:ascii="微软雅黑" w:hAnsi="微软雅黑" w:eastAsia="微软雅黑" w:cs="微软雅黑"/>
                <w:i/>
                <w:iCs/>
                <w:color w:val="000000"/>
                <w:sz w:val="16"/>
                <w:szCs w:val="16"/>
                <w:u w:val="none"/>
              </w:rPr>
            </w:pPr>
          </w:p>
        </w:tc>
      </w:tr>
      <w:tr w14:paraId="0F69F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44F80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247A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B281244">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532B37A">
            <w:pPr>
              <w:rPr>
                <w:rFonts w:hint="eastAsia" w:ascii="宋体" w:hAnsi="宋体" w:eastAsia="宋体" w:cs="宋体"/>
                <w:i w:val="0"/>
                <w:iCs w:val="0"/>
                <w:color w:val="000000"/>
                <w:sz w:val="18"/>
                <w:szCs w:val="18"/>
                <w:u w:val="none"/>
              </w:rPr>
            </w:pPr>
          </w:p>
        </w:tc>
      </w:tr>
      <w:tr w14:paraId="195BB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EC82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8580A9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309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9367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808A0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756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0939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992DE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4385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26C55C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F2DB0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FEF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45BD66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65104EB2">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688C6FA6">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0535BFBB">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3001A70F">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552AC9F6">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6361AB09">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3E59F62C">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17B3686F">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71824D3E">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23D97E0E">
            <w:pPr>
              <w:rPr>
                <w:rFonts w:hint="eastAsia" w:ascii="宋体" w:hAnsi="宋体" w:eastAsia="宋体" w:cs="宋体"/>
                <w:i w:val="0"/>
                <w:iCs w:val="0"/>
                <w:color w:val="000000"/>
                <w:sz w:val="18"/>
                <w:szCs w:val="18"/>
                <w:u w:val="none"/>
              </w:rPr>
            </w:pPr>
          </w:p>
        </w:tc>
      </w:tr>
      <w:tr w14:paraId="42FB1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532BE92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2D7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3CA13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96EC3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51320024T000010548734-财务咨询内审及法律顾问聘请</w:t>
            </w:r>
          </w:p>
        </w:tc>
      </w:tr>
      <w:tr w14:paraId="6F5DB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24CB8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5CDB2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7E5D5D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45584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20E9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C4DD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1FE28E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4CF1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1BB88F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700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E99DF7">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A5B49C">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6D210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持续提高财务审计业务水平和服务能力。</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1E3CDA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已完成财务咨询及法律顾问聘请相关工作，财务审计业务水平与服务能力持续提升，有效防范了财务与法律风险，年度目标全面达标。</w:t>
            </w:r>
          </w:p>
        </w:tc>
      </w:tr>
      <w:tr w14:paraId="274E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7DE4F0">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AC07F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2A5FF8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本项目通过聘请第三方专业机构，提供财务内审咨询、合规性审查及法律顾问服务。严格遵循财务管理制度与采购流程，规范合同签订与费用支付，确保服务合规、质量可控。</w:t>
            </w:r>
          </w:p>
        </w:tc>
      </w:tr>
      <w:tr w14:paraId="3809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9E05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F616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FF85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56F4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8611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677B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EF6B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CDAC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A0A8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483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043BF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C88C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CD22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7.50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599C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7.50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40C7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7.50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A949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C4A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4F9E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6BA753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D4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FB61A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E250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66A9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7.50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0A13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7.50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E9F4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7.50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B28F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4693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8F9A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534E3F">
            <w:pPr>
              <w:rPr>
                <w:rFonts w:hint="eastAsia" w:ascii="黑体" w:hAnsi="黑体" w:eastAsia="黑体" w:cs="黑体"/>
                <w:i/>
                <w:iCs/>
                <w:color w:val="000000"/>
                <w:sz w:val="18"/>
                <w:szCs w:val="18"/>
                <w:u w:val="none"/>
              </w:rPr>
            </w:pPr>
          </w:p>
        </w:tc>
      </w:tr>
      <w:tr w14:paraId="74E6C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D4346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62BF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AC5B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0B2C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9739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9905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5E07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937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3515396">
            <w:pPr>
              <w:rPr>
                <w:rFonts w:hint="eastAsia" w:ascii="黑体" w:hAnsi="黑体" w:eastAsia="黑体" w:cs="黑体"/>
                <w:i/>
                <w:iCs/>
                <w:color w:val="000000"/>
                <w:sz w:val="18"/>
                <w:szCs w:val="18"/>
                <w:u w:val="none"/>
              </w:rPr>
            </w:pPr>
          </w:p>
        </w:tc>
      </w:tr>
      <w:tr w14:paraId="7678F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E1ED64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9AB1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61AA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9971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E806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5BA7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61BD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B39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CF2382">
            <w:pPr>
              <w:rPr>
                <w:rFonts w:hint="eastAsia" w:ascii="黑体" w:hAnsi="黑体" w:eastAsia="黑体" w:cs="黑体"/>
                <w:i/>
                <w:iCs/>
                <w:color w:val="000000"/>
                <w:sz w:val="18"/>
                <w:szCs w:val="18"/>
                <w:u w:val="none"/>
              </w:rPr>
            </w:pPr>
          </w:p>
        </w:tc>
      </w:tr>
      <w:tr w14:paraId="5FA0D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19317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1156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ED0C49C">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F631D47">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0AA0166">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9C702E5">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862B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6775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46CB0D">
            <w:pPr>
              <w:rPr>
                <w:rFonts w:hint="eastAsia" w:ascii="黑体" w:hAnsi="黑体" w:eastAsia="黑体" w:cs="黑体"/>
                <w:i/>
                <w:iCs/>
                <w:color w:val="000000"/>
                <w:sz w:val="18"/>
                <w:szCs w:val="18"/>
                <w:u w:val="none"/>
              </w:rPr>
            </w:pPr>
          </w:p>
        </w:tc>
      </w:tr>
      <w:tr w14:paraId="40C07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A6A2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F83F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2A30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A30C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4A7B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94AB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4575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CF3C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8656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4F07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E684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A058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C7B1AA">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2CE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1934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F9A1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年度审计报告完成数量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9D6B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14B5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ACE1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份</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C78EEF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0B1E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0FF8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7E77069">
            <w:pPr>
              <w:jc w:val="center"/>
              <w:rPr>
                <w:rFonts w:hint="eastAsia" w:ascii="微软雅黑" w:hAnsi="微软雅黑" w:eastAsia="微软雅黑" w:cs="微软雅黑"/>
                <w:i/>
                <w:iCs/>
                <w:color w:val="000000"/>
                <w:sz w:val="16"/>
                <w:szCs w:val="16"/>
                <w:u w:val="none"/>
              </w:rPr>
            </w:pPr>
          </w:p>
        </w:tc>
      </w:tr>
      <w:tr w14:paraId="6401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935919">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AA8C79">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7FE5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C7A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审计报告完成质量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E2A3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E850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完整可使用</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37A8C45">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95A1B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完整可使用</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B3D7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16AC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76B30AA">
            <w:pPr>
              <w:jc w:val="center"/>
              <w:rPr>
                <w:rFonts w:hint="eastAsia" w:ascii="微软雅黑" w:hAnsi="微软雅黑" w:eastAsia="微软雅黑" w:cs="微软雅黑"/>
                <w:i/>
                <w:iCs/>
                <w:color w:val="000000"/>
                <w:sz w:val="16"/>
                <w:szCs w:val="16"/>
                <w:u w:val="none"/>
              </w:rPr>
            </w:pPr>
          </w:p>
        </w:tc>
      </w:tr>
      <w:tr w14:paraId="7374F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ABBB99">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9FBAC9C">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20B0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6743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按时办结率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4F5F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02A0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E45A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D115CF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8317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C84F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91611DF">
            <w:pPr>
              <w:jc w:val="center"/>
              <w:rPr>
                <w:rFonts w:hint="eastAsia" w:ascii="微软雅黑" w:hAnsi="微软雅黑" w:eastAsia="微软雅黑" w:cs="微软雅黑"/>
                <w:i/>
                <w:iCs/>
                <w:color w:val="000000"/>
                <w:sz w:val="16"/>
                <w:szCs w:val="16"/>
                <w:u w:val="none"/>
              </w:rPr>
            </w:pPr>
          </w:p>
        </w:tc>
      </w:tr>
      <w:tr w14:paraId="7D5F9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F6ED2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D4D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9D75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53E1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服务能力显著提升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DA4A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8395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服务能力显著提升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B328CA2">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4AE0C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服务能力显著提升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719A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441C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BDF9AEF">
            <w:pPr>
              <w:jc w:val="center"/>
              <w:rPr>
                <w:rFonts w:hint="eastAsia" w:ascii="微软雅黑" w:hAnsi="微软雅黑" w:eastAsia="微软雅黑" w:cs="微软雅黑"/>
                <w:i/>
                <w:iCs/>
                <w:color w:val="000000"/>
                <w:sz w:val="16"/>
                <w:szCs w:val="16"/>
                <w:u w:val="none"/>
              </w:rPr>
            </w:pPr>
          </w:p>
        </w:tc>
      </w:tr>
      <w:tr w14:paraId="25171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F04DB19">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15735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25B29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DCA2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职工调查满意度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ED41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29E8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E1CE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B9BB9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A732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95D1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1B7338A">
            <w:pPr>
              <w:jc w:val="center"/>
              <w:rPr>
                <w:rFonts w:hint="eastAsia" w:ascii="微软雅黑" w:hAnsi="微软雅黑" w:eastAsia="微软雅黑" w:cs="微软雅黑"/>
                <w:i/>
                <w:iCs/>
                <w:color w:val="000000"/>
                <w:sz w:val="16"/>
                <w:szCs w:val="16"/>
                <w:u w:val="none"/>
              </w:rPr>
            </w:pPr>
          </w:p>
        </w:tc>
      </w:tr>
      <w:tr w14:paraId="54B08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C25D38">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BEBE72">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C485EBA">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7D47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CA05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1923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DC47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8A4BD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AA67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F778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9AF03AE">
            <w:pPr>
              <w:jc w:val="center"/>
              <w:rPr>
                <w:rFonts w:hint="eastAsia" w:ascii="微软雅黑" w:hAnsi="微软雅黑" w:eastAsia="微软雅黑" w:cs="微软雅黑"/>
                <w:i/>
                <w:iCs/>
                <w:color w:val="000000"/>
                <w:sz w:val="16"/>
                <w:szCs w:val="16"/>
                <w:u w:val="none"/>
              </w:rPr>
            </w:pPr>
          </w:p>
        </w:tc>
      </w:tr>
      <w:tr w14:paraId="5C2FF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6F8679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A667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C93F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1BB2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项目预算控制率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3928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B712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373A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D1A3F0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8CF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C665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715450C">
            <w:pPr>
              <w:jc w:val="center"/>
              <w:rPr>
                <w:rFonts w:hint="eastAsia" w:ascii="微软雅黑" w:hAnsi="微软雅黑" w:eastAsia="微软雅黑" w:cs="微软雅黑"/>
                <w:i/>
                <w:iCs/>
                <w:color w:val="000000"/>
                <w:sz w:val="16"/>
                <w:szCs w:val="16"/>
                <w:u w:val="none"/>
              </w:rPr>
            </w:pPr>
          </w:p>
        </w:tc>
      </w:tr>
      <w:tr w14:paraId="52E0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65AA4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1266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5964D0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3D90C2D">
            <w:pPr>
              <w:rPr>
                <w:rFonts w:hint="eastAsia" w:ascii="宋体" w:hAnsi="宋体" w:eastAsia="宋体" w:cs="宋体"/>
                <w:i w:val="0"/>
                <w:iCs w:val="0"/>
                <w:color w:val="000000"/>
                <w:sz w:val="18"/>
                <w:szCs w:val="18"/>
                <w:u w:val="none"/>
              </w:rPr>
            </w:pPr>
          </w:p>
        </w:tc>
      </w:tr>
      <w:tr w14:paraId="752D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8C2E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CDB32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有效提升了医院财务合规水平与风险防控能力，职工与患者满意度良好，项目实施成效显著。</w:t>
            </w:r>
          </w:p>
        </w:tc>
      </w:tr>
      <w:tr w14:paraId="06EB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8FC4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486CC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法律顾问服务以被动咨询为主，主动风险预警机制不够完善，未能提前预判潜在法律风险。</w:t>
            </w:r>
          </w:p>
        </w:tc>
      </w:tr>
      <w:tr w14:paraId="03FEB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AB6B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11196C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与法律顾问建立定期沟通机制，开展法律风险专题培训，结合医院业务场景制定合规手册，变被动咨询为主动预防。</w:t>
            </w:r>
          </w:p>
        </w:tc>
      </w:tr>
      <w:tr w14:paraId="7DFD2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010777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0F31D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4F3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6F95015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71542025">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2B489938">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6D0BC2E7">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2852C982">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28421ED3">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562E8C27">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1E277FEA">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6F0D54DD">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22B64494">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26DB528">
            <w:pPr>
              <w:rPr>
                <w:rFonts w:hint="eastAsia" w:ascii="宋体" w:hAnsi="宋体" w:eastAsia="宋体" w:cs="宋体"/>
                <w:i w:val="0"/>
                <w:iCs w:val="0"/>
                <w:color w:val="000000"/>
                <w:sz w:val="18"/>
                <w:szCs w:val="18"/>
                <w:u w:val="none"/>
              </w:rPr>
            </w:pPr>
          </w:p>
        </w:tc>
      </w:tr>
      <w:tr w14:paraId="731CF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107828B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9E78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3873BD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7EB59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51320024T000010912373-医院物业管理和安全保障经费</w:t>
            </w:r>
          </w:p>
        </w:tc>
      </w:tr>
      <w:tr w14:paraId="18152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DDE55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4ABDE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7113B4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05C7C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683B0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CE22C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07B5C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59C2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C074F9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024D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B75F35">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E7AD56">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D86E2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物业服务、安保值守、环境消杀等任务，各项工作均按计划完成，保障了医院正常运营秩序。</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3E5C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本项目为医院物业管理和安全保障经费，全年严格对照年度目标推进物业服务、安保值守、环境消杀等任务，各项工作均按计划完成，保障了医院正常运营秩序。</w:t>
            </w:r>
          </w:p>
        </w:tc>
      </w:tr>
      <w:tr w14:paraId="74DDC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B48C81">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3AEFC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7C989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项目主要用于医院物业服务（保洁、绿化、设施维护）、安全保卫（门禁管理、巡逻值守、消防巡查）及后勤保障等工作，通过公开采购确定服务单位，按季度考核履约情况，资金专款专用，确保服务质量达标。</w:t>
            </w:r>
          </w:p>
        </w:tc>
      </w:tr>
      <w:tr w14:paraId="4E96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C808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77BE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459E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9EA4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1445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4CDD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6CA2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A33D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B08F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4A4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565BB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8059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3276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0503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39.68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92B6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39.68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81CA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5E9C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F305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F4499F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C9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C0628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5CFA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95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2197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39.68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427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39.68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DC04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1D21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C86F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44F485C">
            <w:pPr>
              <w:rPr>
                <w:rFonts w:hint="eastAsia" w:ascii="黑体" w:hAnsi="黑体" w:eastAsia="黑体" w:cs="黑体"/>
                <w:i/>
                <w:iCs/>
                <w:color w:val="000000"/>
                <w:sz w:val="18"/>
                <w:szCs w:val="18"/>
                <w:u w:val="none"/>
              </w:rPr>
            </w:pPr>
          </w:p>
        </w:tc>
      </w:tr>
      <w:tr w14:paraId="553D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47B1A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5CCA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D4FE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0D99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7F85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CF8A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472A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CE95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FCA728">
            <w:pPr>
              <w:rPr>
                <w:rFonts w:hint="eastAsia" w:ascii="黑体" w:hAnsi="黑体" w:eastAsia="黑体" w:cs="黑体"/>
                <w:i/>
                <w:iCs/>
                <w:color w:val="000000"/>
                <w:sz w:val="18"/>
                <w:szCs w:val="18"/>
                <w:u w:val="none"/>
              </w:rPr>
            </w:pPr>
          </w:p>
        </w:tc>
      </w:tr>
      <w:tr w14:paraId="37761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01DE2F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DD68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F8FB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6C74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D6E0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B825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3C0C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71B6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65194F">
            <w:pPr>
              <w:rPr>
                <w:rFonts w:hint="eastAsia" w:ascii="黑体" w:hAnsi="黑体" w:eastAsia="黑体" w:cs="黑体"/>
                <w:i/>
                <w:iCs/>
                <w:color w:val="000000"/>
                <w:sz w:val="18"/>
                <w:szCs w:val="18"/>
                <w:u w:val="none"/>
              </w:rPr>
            </w:pPr>
          </w:p>
        </w:tc>
      </w:tr>
      <w:tr w14:paraId="0BB61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63D27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6CA9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1773E86">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36BDAD1">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57AA7F6">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98B275E">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69EA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C575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A4E6EF">
            <w:pPr>
              <w:rPr>
                <w:rFonts w:hint="eastAsia" w:ascii="黑体" w:hAnsi="黑体" w:eastAsia="黑体" w:cs="黑体"/>
                <w:i/>
                <w:iCs/>
                <w:color w:val="000000"/>
                <w:sz w:val="18"/>
                <w:szCs w:val="18"/>
                <w:u w:val="none"/>
              </w:rPr>
            </w:pPr>
          </w:p>
        </w:tc>
      </w:tr>
      <w:tr w14:paraId="669A3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E4D2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ABF6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4638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D90E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B8AA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FE5E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C1D5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1E32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1BF8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5C9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8D40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0F03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42617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BCC9698">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AFAD7D4">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553AEA0">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CDCC3F6">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D58C40A">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8E7C8F8">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05623F8">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254AAD2">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6BD39F1">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C454A17">
            <w:pPr>
              <w:jc w:val="center"/>
              <w:rPr>
                <w:rFonts w:hint="eastAsia" w:ascii="微软雅黑" w:hAnsi="微软雅黑" w:eastAsia="微软雅黑" w:cs="微软雅黑"/>
                <w:i/>
                <w:iCs/>
                <w:color w:val="000000"/>
                <w:sz w:val="16"/>
                <w:szCs w:val="16"/>
                <w:u w:val="none"/>
              </w:rPr>
            </w:pPr>
          </w:p>
        </w:tc>
      </w:tr>
      <w:tr w14:paraId="36495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00DC9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96AC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DB9FCB0">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2AE493C">
            <w:pPr>
              <w:rPr>
                <w:rFonts w:hint="eastAsia" w:ascii="宋体" w:hAnsi="宋体" w:eastAsia="宋体" w:cs="宋体"/>
                <w:i w:val="0"/>
                <w:iCs w:val="0"/>
                <w:color w:val="000000"/>
                <w:sz w:val="18"/>
                <w:szCs w:val="18"/>
                <w:u w:val="none"/>
              </w:rPr>
            </w:pPr>
          </w:p>
        </w:tc>
      </w:tr>
      <w:tr w14:paraId="5D50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8942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1DB6F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有效保障了医院物业管理和安全保障工作的正常开展，医院环境整洁有序，安保防控到位，未发生安全责任事故，为医护人员和患者提供了稳定、安全的就医环境，得到了服务对象的认可。</w:t>
            </w:r>
          </w:p>
        </w:tc>
      </w:tr>
      <w:tr w14:paraId="17FD1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F395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8D2FF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物业服务人员流动性较大，新员工岗前培训周期短，服务标准化水平有待提升。</w:t>
            </w:r>
          </w:p>
        </w:tc>
      </w:tr>
      <w:tr w14:paraId="6D7E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BA6F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0BC61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进一步完善绩效考评机制，将服务质量、安全成效等核心指标与服务单位履约考核挂钩，强化过程管理</w:t>
            </w:r>
          </w:p>
        </w:tc>
      </w:tr>
      <w:tr w14:paraId="7132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3F8010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2B105C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CB21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3AC3C8F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3300299A">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11942370">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74554CDC">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0E36795C">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35DF60DB">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D08A54B">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6E2AC7A8">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16F8FD43">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10191572">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6E04E4A3">
            <w:pPr>
              <w:rPr>
                <w:rFonts w:hint="eastAsia" w:ascii="宋体" w:hAnsi="宋体" w:eastAsia="宋体" w:cs="宋体"/>
                <w:i w:val="0"/>
                <w:iCs w:val="0"/>
                <w:color w:val="000000"/>
                <w:sz w:val="18"/>
                <w:szCs w:val="18"/>
                <w:u w:val="none"/>
              </w:rPr>
            </w:pPr>
          </w:p>
        </w:tc>
      </w:tr>
      <w:tr w14:paraId="203A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2C123C5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B63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48CA3F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7C0A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51320024T000011467523-医疗服务与保障能力提升财政补助资金</w:t>
            </w:r>
          </w:p>
        </w:tc>
      </w:tr>
      <w:tr w14:paraId="74D7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9C445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D28E2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4E62B9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5DECD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47C84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EEE1F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39AFF8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BCB9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601AFF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7E7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EA2FCA">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D9A2F8">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BB14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医疗服务与保障能力持续提升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F4776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24FA0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C0123D">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C44A6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3FF17E7">
            <w:pPr>
              <w:rPr>
                <w:rFonts w:hint="eastAsia" w:ascii="宋体" w:hAnsi="宋体" w:eastAsia="宋体" w:cs="宋体"/>
                <w:i w:val="0"/>
                <w:iCs w:val="0"/>
                <w:color w:val="000000"/>
                <w:sz w:val="18"/>
                <w:szCs w:val="18"/>
                <w:u w:val="none"/>
              </w:rPr>
            </w:pPr>
          </w:p>
        </w:tc>
      </w:tr>
      <w:tr w14:paraId="7E62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CCA6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3AF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BEFC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6AA0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DAE3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81B9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D5AA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CCBA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3FD6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B20A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5BEB0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1DAF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89A0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B15D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53.18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D1C8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28.40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26CE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53.40%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35A3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1973FB9">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A6E706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28B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02AAF6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64C1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BE60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6AB5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53.18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1904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28.40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0AF3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53.40%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C2F4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5435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A19325">
            <w:pPr>
              <w:rPr>
                <w:rFonts w:hint="eastAsia" w:ascii="黑体" w:hAnsi="黑体" w:eastAsia="黑体" w:cs="黑体"/>
                <w:i/>
                <w:iCs/>
                <w:color w:val="000000"/>
                <w:sz w:val="18"/>
                <w:szCs w:val="18"/>
                <w:u w:val="none"/>
              </w:rPr>
            </w:pPr>
          </w:p>
        </w:tc>
      </w:tr>
      <w:tr w14:paraId="197E5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C5FE7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5D1E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8088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67B2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FBF7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E0FE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ED0D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27B0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E19C8D">
            <w:pPr>
              <w:rPr>
                <w:rFonts w:hint="eastAsia" w:ascii="黑体" w:hAnsi="黑体" w:eastAsia="黑体" w:cs="黑体"/>
                <w:i/>
                <w:iCs/>
                <w:color w:val="000000"/>
                <w:sz w:val="18"/>
                <w:szCs w:val="18"/>
                <w:u w:val="none"/>
              </w:rPr>
            </w:pPr>
          </w:p>
        </w:tc>
      </w:tr>
      <w:tr w14:paraId="7558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D91CA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5C92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669F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1CFA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6487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5378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88B3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36F1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991DAF9">
            <w:pPr>
              <w:rPr>
                <w:rFonts w:hint="eastAsia" w:ascii="黑体" w:hAnsi="黑体" w:eastAsia="黑体" w:cs="黑体"/>
                <w:i/>
                <w:iCs/>
                <w:color w:val="000000"/>
                <w:sz w:val="18"/>
                <w:szCs w:val="18"/>
                <w:u w:val="none"/>
              </w:rPr>
            </w:pPr>
          </w:p>
        </w:tc>
      </w:tr>
      <w:tr w14:paraId="20E2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18588A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6A09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B23B133">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FACF13E">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479F244">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7C1E094">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418B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F5A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5F5316">
            <w:pPr>
              <w:rPr>
                <w:rFonts w:hint="eastAsia" w:ascii="黑体" w:hAnsi="黑体" w:eastAsia="黑体" w:cs="黑体"/>
                <w:i/>
                <w:iCs/>
                <w:color w:val="000000"/>
                <w:sz w:val="18"/>
                <w:szCs w:val="18"/>
                <w:u w:val="none"/>
              </w:rPr>
            </w:pPr>
          </w:p>
        </w:tc>
      </w:tr>
      <w:tr w14:paraId="5C2AB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D305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30D4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9B63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8BD8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B048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2A81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E135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714D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5CCC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F12C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44EF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9EC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3DF11E">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B513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4BED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F3DF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服务人次</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12B4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605B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2C37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F5F8D5B">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CDF9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093A64B">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C4A707E">
            <w:pPr>
              <w:jc w:val="center"/>
              <w:rPr>
                <w:rFonts w:hint="eastAsia" w:ascii="微软雅黑" w:hAnsi="微软雅黑" w:eastAsia="微软雅黑" w:cs="微软雅黑"/>
                <w:i/>
                <w:iCs/>
                <w:color w:val="000000"/>
                <w:sz w:val="16"/>
                <w:szCs w:val="16"/>
                <w:u w:val="none"/>
              </w:rPr>
            </w:pPr>
          </w:p>
        </w:tc>
      </w:tr>
      <w:tr w14:paraId="4126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59517D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F1CC46">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A01B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6640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技术升级和业务保障能力提升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E611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086A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逐步提升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A126BAF">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99E55A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9815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1B7C90E">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AE6C220">
            <w:pPr>
              <w:jc w:val="center"/>
              <w:rPr>
                <w:rFonts w:hint="eastAsia" w:ascii="微软雅黑" w:hAnsi="微软雅黑" w:eastAsia="微软雅黑" w:cs="微软雅黑"/>
                <w:i/>
                <w:iCs/>
                <w:color w:val="000000"/>
                <w:sz w:val="16"/>
                <w:szCs w:val="16"/>
                <w:u w:val="none"/>
              </w:rPr>
            </w:pPr>
          </w:p>
        </w:tc>
      </w:tr>
      <w:tr w14:paraId="21DC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EF2AC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95C629">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F69C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9890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项目完成时限</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08AB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FD6E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3152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3AC74E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BDAD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7481C74">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65B0CF3">
            <w:pPr>
              <w:jc w:val="center"/>
              <w:rPr>
                <w:rFonts w:hint="eastAsia" w:ascii="微软雅黑" w:hAnsi="微软雅黑" w:eastAsia="微软雅黑" w:cs="微软雅黑"/>
                <w:i/>
                <w:iCs/>
                <w:color w:val="000000"/>
                <w:sz w:val="16"/>
                <w:szCs w:val="16"/>
                <w:u w:val="none"/>
              </w:rPr>
            </w:pPr>
          </w:p>
        </w:tc>
      </w:tr>
      <w:tr w14:paraId="521F9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D892E4">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7814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4493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A3AD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升级传染病疫情报告网络安全防护条件</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9F1B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74A8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完成升级</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D58A99E">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A5A8D6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1745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4FFAE50">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3B87199">
            <w:pPr>
              <w:jc w:val="center"/>
              <w:rPr>
                <w:rFonts w:hint="eastAsia" w:ascii="微软雅黑" w:hAnsi="微软雅黑" w:eastAsia="微软雅黑" w:cs="微软雅黑"/>
                <w:i/>
                <w:iCs/>
                <w:color w:val="000000"/>
                <w:sz w:val="16"/>
                <w:szCs w:val="16"/>
                <w:u w:val="none"/>
              </w:rPr>
            </w:pPr>
          </w:p>
        </w:tc>
      </w:tr>
      <w:tr w14:paraId="4AA82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DF7EEA">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43AD6B">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DD9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45BE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群众中医药服务获得感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86BE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FB8C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就诊比例较上年有所提升年</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33D25C7">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8E423F0">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55DB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4806836">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6FC8715">
            <w:pPr>
              <w:jc w:val="center"/>
              <w:rPr>
                <w:rFonts w:hint="eastAsia" w:ascii="微软雅黑" w:hAnsi="微软雅黑" w:eastAsia="微软雅黑" w:cs="微软雅黑"/>
                <w:i/>
                <w:iCs/>
                <w:color w:val="000000"/>
                <w:sz w:val="16"/>
                <w:szCs w:val="16"/>
                <w:u w:val="none"/>
              </w:rPr>
            </w:pPr>
          </w:p>
        </w:tc>
      </w:tr>
      <w:tr w14:paraId="1212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59BDB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3D3E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AC28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D06C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3512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7461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4C5B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F153BF8">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CDA8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C8D7E21">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30EB162">
            <w:pPr>
              <w:jc w:val="center"/>
              <w:rPr>
                <w:rFonts w:hint="eastAsia" w:ascii="微软雅黑" w:hAnsi="微软雅黑" w:eastAsia="微软雅黑" w:cs="微软雅黑"/>
                <w:i/>
                <w:iCs/>
                <w:color w:val="000000"/>
                <w:sz w:val="16"/>
                <w:szCs w:val="16"/>
                <w:u w:val="none"/>
              </w:rPr>
            </w:pPr>
          </w:p>
        </w:tc>
      </w:tr>
      <w:tr w14:paraId="0220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28CCA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8861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4923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FF88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13D0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7CEE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8CD9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D984A39">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7DE3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0020BDF">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E5A2CA1">
            <w:pPr>
              <w:jc w:val="center"/>
              <w:rPr>
                <w:rFonts w:hint="eastAsia" w:ascii="微软雅黑" w:hAnsi="微软雅黑" w:eastAsia="微软雅黑" w:cs="微软雅黑"/>
                <w:i/>
                <w:iCs/>
                <w:color w:val="000000"/>
                <w:sz w:val="16"/>
                <w:szCs w:val="16"/>
                <w:u w:val="none"/>
              </w:rPr>
            </w:pPr>
          </w:p>
        </w:tc>
      </w:tr>
      <w:tr w14:paraId="2269D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73096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DED9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B2D862D">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3F1045D">
            <w:pPr>
              <w:rPr>
                <w:rFonts w:hint="eastAsia" w:ascii="宋体" w:hAnsi="宋体" w:eastAsia="宋体" w:cs="宋体"/>
                <w:i w:val="0"/>
                <w:iCs w:val="0"/>
                <w:color w:val="000000"/>
                <w:sz w:val="18"/>
                <w:szCs w:val="18"/>
                <w:u w:val="none"/>
              </w:rPr>
            </w:pPr>
          </w:p>
        </w:tc>
      </w:tr>
      <w:tr w14:paraId="75922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2DA0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74B9B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7FD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7849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5CB77A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AB7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4E55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1CA4A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5BC96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3BDCF1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74692B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28EB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484613BC">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7044E86A">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79AA7356">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40E2E50A">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63A2E482">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585F4ECF">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52BC76EA">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1A2D6D3B">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6DCDCF7A">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139BDA1C">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72479F8">
            <w:pPr>
              <w:rPr>
                <w:rFonts w:hint="eastAsia" w:ascii="宋体" w:hAnsi="宋体" w:eastAsia="宋体" w:cs="宋体"/>
                <w:i w:val="0"/>
                <w:iCs w:val="0"/>
                <w:color w:val="000000"/>
                <w:sz w:val="18"/>
                <w:szCs w:val="18"/>
                <w:u w:val="none"/>
              </w:rPr>
            </w:pPr>
          </w:p>
        </w:tc>
      </w:tr>
      <w:tr w14:paraId="2B761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5B095A9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50BF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70500E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15B363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51320024T000011467969-医疗服务与保障能力提升项目</w:t>
            </w:r>
          </w:p>
        </w:tc>
      </w:tr>
      <w:tr w14:paraId="42B0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4C9C0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2B77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0188F8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4DEF7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4859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0A06D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FDAEA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AE04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29B0FBB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F3A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477B02">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FE3AA5">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874DCF8">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8ECD0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0B7B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09378B">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CF949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B89CF64">
            <w:pPr>
              <w:rPr>
                <w:rFonts w:hint="eastAsia" w:ascii="宋体" w:hAnsi="宋体" w:eastAsia="宋体" w:cs="宋体"/>
                <w:i w:val="0"/>
                <w:iCs w:val="0"/>
                <w:color w:val="000000"/>
                <w:sz w:val="18"/>
                <w:szCs w:val="18"/>
                <w:u w:val="none"/>
              </w:rPr>
            </w:pPr>
          </w:p>
        </w:tc>
      </w:tr>
      <w:tr w14:paraId="5524F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E8DD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6395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FB1F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1964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AE63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4E0F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EBC7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B443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04D2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BCFD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8FB13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A0EA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FE86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828A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24.41</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03F0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24.41</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455E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21AA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2920D3F">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5C0026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501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5AB58F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E312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2A51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401F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24.41</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3351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24.41</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801D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85F6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E0F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4023DB">
            <w:pPr>
              <w:rPr>
                <w:rFonts w:hint="eastAsia" w:ascii="黑体" w:hAnsi="黑体" w:eastAsia="黑体" w:cs="黑体"/>
                <w:i/>
                <w:iCs/>
                <w:color w:val="000000"/>
                <w:sz w:val="18"/>
                <w:szCs w:val="18"/>
                <w:u w:val="none"/>
              </w:rPr>
            </w:pPr>
          </w:p>
        </w:tc>
      </w:tr>
      <w:tr w14:paraId="3769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E6ED9D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3202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8B4A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59A8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0F6B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5D3D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80CA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7C28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4792B5">
            <w:pPr>
              <w:rPr>
                <w:rFonts w:hint="eastAsia" w:ascii="黑体" w:hAnsi="黑体" w:eastAsia="黑体" w:cs="黑体"/>
                <w:i/>
                <w:iCs/>
                <w:color w:val="000000"/>
                <w:sz w:val="18"/>
                <w:szCs w:val="18"/>
                <w:u w:val="none"/>
              </w:rPr>
            </w:pPr>
          </w:p>
        </w:tc>
      </w:tr>
      <w:tr w14:paraId="25B8C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0C15C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6C13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2F6D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51C0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65F8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4E96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E6D7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960D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B24D05">
            <w:pPr>
              <w:rPr>
                <w:rFonts w:hint="eastAsia" w:ascii="黑体" w:hAnsi="黑体" w:eastAsia="黑体" w:cs="黑体"/>
                <w:i/>
                <w:iCs/>
                <w:color w:val="000000"/>
                <w:sz w:val="18"/>
                <w:szCs w:val="18"/>
                <w:u w:val="none"/>
              </w:rPr>
            </w:pPr>
          </w:p>
        </w:tc>
      </w:tr>
      <w:tr w14:paraId="5DDC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D4A00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FF35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816ECEC">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E0A3A97">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746E8AC">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E0402BE">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6C26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863F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A39BFF">
            <w:pPr>
              <w:rPr>
                <w:rFonts w:hint="eastAsia" w:ascii="黑体" w:hAnsi="黑体" w:eastAsia="黑体" w:cs="黑体"/>
                <w:i/>
                <w:iCs/>
                <w:color w:val="000000"/>
                <w:sz w:val="18"/>
                <w:szCs w:val="18"/>
                <w:u w:val="none"/>
              </w:rPr>
            </w:pPr>
          </w:p>
        </w:tc>
      </w:tr>
      <w:tr w14:paraId="3B674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0372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0F11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A0FC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8A3F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3F1B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0890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DC5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1F33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7AEC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2C2D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C26D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62FC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9D61A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4574D2C">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E630551">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6C7325B">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BE18A96">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2E43A63">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8546CE5">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F43205D">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AFB555D">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CF1D7D2">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F6E86A4">
            <w:pPr>
              <w:jc w:val="center"/>
              <w:rPr>
                <w:rFonts w:hint="eastAsia" w:ascii="微软雅黑" w:hAnsi="微软雅黑" w:eastAsia="微软雅黑" w:cs="微软雅黑"/>
                <w:i/>
                <w:iCs/>
                <w:color w:val="000000"/>
                <w:sz w:val="16"/>
                <w:szCs w:val="16"/>
                <w:u w:val="none"/>
              </w:rPr>
            </w:pPr>
          </w:p>
        </w:tc>
      </w:tr>
      <w:tr w14:paraId="52F6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765E3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BE1D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8EC7CDB">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4D7364F">
            <w:pPr>
              <w:rPr>
                <w:rFonts w:hint="eastAsia" w:ascii="宋体" w:hAnsi="宋体" w:eastAsia="宋体" w:cs="宋体"/>
                <w:i w:val="0"/>
                <w:iCs w:val="0"/>
                <w:color w:val="000000"/>
                <w:sz w:val="18"/>
                <w:szCs w:val="18"/>
                <w:u w:val="none"/>
              </w:rPr>
            </w:pPr>
          </w:p>
        </w:tc>
      </w:tr>
      <w:tr w14:paraId="4409F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90DE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37F16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294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066F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11B82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0AB2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0D7D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F55B1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EAEC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A3C74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212FC6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4AB6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4A88DBAC">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49393B8E">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2D064583">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2693581C">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6097880D">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50BADE85">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211E2BC">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7CD1A586">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2896F97D">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547914D2">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4F6058AC">
            <w:pPr>
              <w:rPr>
                <w:rFonts w:hint="eastAsia" w:ascii="宋体" w:hAnsi="宋体" w:eastAsia="宋体" w:cs="宋体"/>
                <w:i w:val="0"/>
                <w:iCs w:val="0"/>
                <w:color w:val="000000"/>
                <w:sz w:val="18"/>
                <w:szCs w:val="18"/>
                <w:u w:val="none"/>
              </w:rPr>
            </w:pPr>
          </w:p>
        </w:tc>
      </w:tr>
      <w:tr w14:paraId="65A65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1F1C1D7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5CF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30ACF5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92E61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51320025T000012593253-2024年第二批省级科技计划项目专项资金</w:t>
            </w:r>
          </w:p>
        </w:tc>
      </w:tr>
      <w:tr w14:paraId="2344D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416A2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E9C8D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55A0F1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42D7F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5FAEB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9C560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7C9070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2DF8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113C840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FAA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EE1AC1">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409FDB">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21EFD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辐照灭菌后藏药有效性安全性研究与示范。</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919F8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876E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7E17A6">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FD1B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1BFCFDF5">
            <w:pPr>
              <w:rPr>
                <w:rFonts w:hint="eastAsia" w:ascii="宋体" w:hAnsi="宋体" w:eastAsia="宋体" w:cs="宋体"/>
                <w:i w:val="0"/>
                <w:iCs w:val="0"/>
                <w:color w:val="000000"/>
                <w:sz w:val="18"/>
                <w:szCs w:val="18"/>
                <w:u w:val="none"/>
              </w:rPr>
            </w:pPr>
          </w:p>
        </w:tc>
      </w:tr>
      <w:tr w14:paraId="6A34E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4690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181C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E33A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2532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E3DB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7C0C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6A05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9319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3C8A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E23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520203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7912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1F12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8A0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25.68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4F5D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25.68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7CF5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A730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E62598E">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D2036C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67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8E7D1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70FA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1049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B33B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25.68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8583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25.68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6688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99F9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91F9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6137B93">
            <w:pPr>
              <w:rPr>
                <w:rFonts w:hint="eastAsia" w:ascii="黑体" w:hAnsi="黑体" w:eastAsia="黑体" w:cs="黑体"/>
                <w:i/>
                <w:iCs/>
                <w:color w:val="000000"/>
                <w:sz w:val="18"/>
                <w:szCs w:val="18"/>
                <w:u w:val="none"/>
              </w:rPr>
            </w:pPr>
          </w:p>
        </w:tc>
      </w:tr>
      <w:tr w14:paraId="2DEF4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0A263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FB6A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51B7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1CB1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9FEB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176B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B2C9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F2C0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4B97A5">
            <w:pPr>
              <w:rPr>
                <w:rFonts w:hint="eastAsia" w:ascii="黑体" w:hAnsi="黑体" w:eastAsia="黑体" w:cs="黑体"/>
                <w:i/>
                <w:iCs/>
                <w:color w:val="000000"/>
                <w:sz w:val="18"/>
                <w:szCs w:val="18"/>
                <w:u w:val="none"/>
              </w:rPr>
            </w:pPr>
          </w:p>
        </w:tc>
      </w:tr>
      <w:tr w14:paraId="47D3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D4A7F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DD3A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D3FA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63B9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BF02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D899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FABD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DDD3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B853B78">
            <w:pPr>
              <w:rPr>
                <w:rFonts w:hint="eastAsia" w:ascii="黑体" w:hAnsi="黑体" w:eastAsia="黑体" w:cs="黑体"/>
                <w:i/>
                <w:iCs/>
                <w:color w:val="000000"/>
                <w:sz w:val="18"/>
                <w:szCs w:val="18"/>
                <w:u w:val="none"/>
              </w:rPr>
            </w:pPr>
          </w:p>
        </w:tc>
      </w:tr>
      <w:tr w14:paraId="5D67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FE333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CBAB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3988674">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1141CD3">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5847DD5">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70D3AB5">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EE1F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EF15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FC3608">
            <w:pPr>
              <w:rPr>
                <w:rFonts w:hint="eastAsia" w:ascii="黑体" w:hAnsi="黑体" w:eastAsia="黑体" w:cs="黑体"/>
                <w:i/>
                <w:iCs/>
                <w:color w:val="000000"/>
                <w:sz w:val="18"/>
                <w:szCs w:val="18"/>
                <w:u w:val="none"/>
              </w:rPr>
            </w:pPr>
          </w:p>
        </w:tc>
      </w:tr>
      <w:tr w14:paraId="7B049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3598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BA77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494A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70DC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8661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9E21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CD09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492C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23A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8D10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0B0C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146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836399">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1F522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6090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E81F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药品种类</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83BE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0549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655B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BE6538C">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CAE0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37A3BAA">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309180D">
            <w:pPr>
              <w:jc w:val="center"/>
              <w:rPr>
                <w:rFonts w:hint="eastAsia" w:ascii="微软雅黑" w:hAnsi="微软雅黑" w:eastAsia="微软雅黑" w:cs="微软雅黑"/>
                <w:i/>
                <w:iCs/>
                <w:color w:val="000000"/>
                <w:sz w:val="16"/>
                <w:szCs w:val="16"/>
                <w:u w:val="none"/>
              </w:rPr>
            </w:pPr>
          </w:p>
        </w:tc>
      </w:tr>
      <w:tr w14:paraId="48E8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135E663">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25827E">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0908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209A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服务质量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E242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43FF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B600FAA">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A51A1E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7625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2F22B53">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D5C9A69">
            <w:pPr>
              <w:jc w:val="center"/>
              <w:rPr>
                <w:rFonts w:hint="eastAsia" w:ascii="微软雅黑" w:hAnsi="微软雅黑" w:eastAsia="微软雅黑" w:cs="微软雅黑"/>
                <w:i/>
                <w:iCs/>
                <w:color w:val="000000"/>
                <w:sz w:val="16"/>
                <w:szCs w:val="16"/>
                <w:u w:val="none"/>
              </w:rPr>
            </w:pPr>
          </w:p>
        </w:tc>
      </w:tr>
      <w:tr w14:paraId="0F6A5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D39466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74E3E0">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52CE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BD39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8F43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D344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912C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5F78F75">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E194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6949537">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3138B08">
            <w:pPr>
              <w:jc w:val="center"/>
              <w:rPr>
                <w:rFonts w:hint="eastAsia" w:ascii="微软雅黑" w:hAnsi="微软雅黑" w:eastAsia="微软雅黑" w:cs="微软雅黑"/>
                <w:i/>
                <w:iCs/>
                <w:color w:val="000000"/>
                <w:sz w:val="16"/>
                <w:szCs w:val="16"/>
                <w:u w:val="none"/>
              </w:rPr>
            </w:pPr>
          </w:p>
        </w:tc>
      </w:tr>
      <w:tr w14:paraId="3F7CD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0BA4A7">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3B509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3DC8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3F1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藏药安全性</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E2CD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5CB7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A47B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2FF363C">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8584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2FEBD3B">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17DD06C">
            <w:pPr>
              <w:jc w:val="center"/>
              <w:rPr>
                <w:rFonts w:hint="eastAsia" w:ascii="微软雅黑" w:hAnsi="微软雅黑" w:eastAsia="微软雅黑" w:cs="微软雅黑"/>
                <w:i/>
                <w:iCs/>
                <w:color w:val="000000"/>
                <w:sz w:val="16"/>
                <w:szCs w:val="16"/>
                <w:u w:val="none"/>
              </w:rPr>
            </w:pPr>
          </w:p>
        </w:tc>
      </w:tr>
      <w:tr w14:paraId="0F9E8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150D4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CF4FDF">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87D1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657D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民族医医疗服务能力</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6F5C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A8FA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更加可及可信</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F1FAF9B">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DF874F6">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4676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3BE1D52">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DC96465">
            <w:pPr>
              <w:jc w:val="center"/>
              <w:rPr>
                <w:rFonts w:hint="eastAsia" w:ascii="微软雅黑" w:hAnsi="微软雅黑" w:eastAsia="微软雅黑" w:cs="微软雅黑"/>
                <w:i/>
                <w:iCs/>
                <w:color w:val="000000"/>
                <w:sz w:val="16"/>
                <w:szCs w:val="16"/>
                <w:u w:val="none"/>
              </w:rPr>
            </w:pPr>
          </w:p>
        </w:tc>
      </w:tr>
      <w:tr w14:paraId="268BD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F4449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0620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A36D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23D2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临床医生满意度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4B72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7D21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98A3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E99904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2236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6DE9ABA">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8E61328">
            <w:pPr>
              <w:jc w:val="center"/>
              <w:rPr>
                <w:rFonts w:hint="eastAsia" w:ascii="微软雅黑" w:hAnsi="微软雅黑" w:eastAsia="微软雅黑" w:cs="微软雅黑"/>
                <w:i/>
                <w:iCs/>
                <w:color w:val="000000"/>
                <w:sz w:val="16"/>
                <w:szCs w:val="16"/>
                <w:u w:val="none"/>
              </w:rPr>
            </w:pPr>
          </w:p>
        </w:tc>
      </w:tr>
      <w:tr w14:paraId="5228F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DC46F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6322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F5BD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0C23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C1F8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2CD5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A9DC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3D5AA4E">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5D77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7DA6EA5">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62E6240">
            <w:pPr>
              <w:jc w:val="center"/>
              <w:rPr>
                <w:rFonts w:hint="eastAsia" w:ascii="微软雅黑" w:hAnsi="微软雅黑" w:eastAsia="微软雅黑" w:cs="微软雅黑"/>
                <w:i/>
                <w:iCs/>
                <w:color w:val="000000"/>
                <w:sz w:val="16"/>
                <w:szCs w:val="16"/>
                <w:u w:val="none"/>
              </w:rPr>
            </w:pPr>
          </w:p>
        </w:tc>
      </w:tr>
      <w:tr w14:paraId="02E1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30768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54B5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A4AEBFF">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E71F6AC">
            <w:pPr>
              <w:rPr>
                <w:rFonts w:hint="eastAsia" w:ascii="宋体" w:hAnsi="宋体" w:eastAsia="宋体" w:cs="宋体"/>
                <w:i w:val="0"/>
                <w:iCs w:val="0"/>
                <w:color w:val="000000"/>
                <w:sz w:val="18"/>
                <w:szCs w:val="18"/>
                <w:u w:val="none"/>
              </w:rPr>
            </w:pPr>
          </w:p>
        </w:tc>
      </w:tr>
      <w:tr w14:paraId="2165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88D8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84D93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7699C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D761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72F2B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432C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F50E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F643B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34989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7E60DC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056CB9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2931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0ECB1A8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656333B1">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3CB24E3D">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3D16A88D">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5F5C3308">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060E943C">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20F71EFC">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5350DCE6">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2C393611">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3B78946B">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20C7E17A">
            <w:pPr>
              <w:rPr>
                <w:rFonts w:hint="eastAsia" w:ascii="宋体" w:hAnsi="宋体" w:eastAsia="宋体" w:cs="宋体"/>
                <w:i w:val="0"/>
                <w:iCs w:val="0"/>
                <w:color w:val="000000"/>
                <w:sz w:val="18"/>
                <w:szCs w:val="18"/>
                <w:u w:val="none"/>
              </w:rPr>
            </w:pPr>
          </w:p>
        </w:tc>
      </w:tr>
      <w:tr w14:paraId="73329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D76993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480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05117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C1417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51320025T000012822281-专用设备和特种设备维保专项</w:t>
            </w:r>
          </w:p>
        </w:tc>
      </w:tr>
      <w:tr w14:paraId="4BF4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4AB42C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F0892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680181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0F508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6C4F6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A72F1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19B6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F9DF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19BD4C0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641D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0C9785A">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1BC4AD">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31724B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维持医院所有设备及网络正常运行，保障医疗服务质量，提高医疗设备使用效率。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00D643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全年完成设备维保次数、维保合格率等全部绩效指标，设备故障发生率控制在目标范围内，有效保障了医院设备与网络稳定运行，圆满达成年度目标。</w:t>
            </w:r>
          </w:p>
        </w:tc>
      </w:tr>
      <w:tr w14:paraId="7A77D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167CDF">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9417B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3D491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项目主要对医院专用设备、特种设备及网络系统开展定期维保、故障抢修、性能检测等工作，通过规范采购与履约管理，按计划推进维保服务，资金专款专用，确保设备高效运转。</w:t>
            </w:r>
          </w:p>
        </w:tc>
      </w:tr>
      <w:tr w14:paraId="10631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1A3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6DAD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C20C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0D4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97D2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E848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80F3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2D0C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C6A5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207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BC1A4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3808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1491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B55A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43.54</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FC28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43.54</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C31F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157F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F4E8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A9FD5D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79C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8D839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3976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C531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35C0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43.54</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02B9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43.54</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6580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6510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2642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18DBF91">
            <w:pPr>
              <w:rPr>
                <w:rFonts w:hint="eastAsia" w:ascii="黑体" w:hAnsi="黑体" w:eastAsia="黑体" w:cs="黑体"/>
                <w:i/>
                <w:iCs/>
                <w:color w:val="000000"/>
                <w:sz w:val="18"/>
                <w:szCs w:val="18"/>
                <w:u w:val="none"/>
              </w:rPr>
            </w:pPr>
          </w:p>
        </w:tc>
      </w:tr>
      <w:tr w14:paraId="6983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090D9D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6F1E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90F5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DB4F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7BEE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76F5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4170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BB43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06AF82">
            <w:pPr>
              <w:rPr>
                <w:rFonts w:hint="eastAsia" w:ascii="黑体" w:hAnsi="黑体" w:eastAsia="黑体" w:cs="黑体"/>
                <w:i/>
                <w:iCs/>
                <w:color w:val="000000"/>
                <w:sz w:val="18"/>
                <w:szCs w:val="18"/>
                <w:u w:val="none"/>
              </w:rPr>
            </w:pPr>
          </w:p>
        </w:tc>
      </w:tr>
      <w:tr w14:paraId="4E8DE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DBD978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55CB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FB40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8A07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9F9E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D5D5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8F7B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E2DB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51DA90">
            <w:pPr>
              <w:rPr>
                <w:rFonts w:hint="eastAsia" w:ascii="黑体" w:hAnsi="黑体" w:eastAsia="黑体" w:cs="黑体"/>
                <w:i/>
                <w:iCs/>
                <w:color w:val="000000"/>
                <w:sz w:val="18"/>
                <w:szCs w:val="18"/>
                <w:u w:val="none"/>
              </w:rPr>
            </w:pPr>
          </w:p>
        </w:tc>
      </w:tr>
      <w:tr w14:paraId="2CBC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8AA18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321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E4E3E5E">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3D9CAC">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99AFDF5">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EF6235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3219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1F97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8A4271">
            <w:pPr>
              <w:rPr>
                <w:rFonts w:hint="eastAsia" w:ascii="黑体" w:hAnsi="黑体" w:eastAsia="黑体" w:cs="黑体"/>
                <w:i/>
                <w:iCs/>
                <w:color w:val="000000"/>
                <w:sz w:val="18"/>
                <w:szCs w:val="18"/>
                <w:u w:val="none"/>
              </w:rPr>
            </w:pPr>
          </w:p>
        </w:tc>
      </w:tr>
      <w:tr w14:paraId="4CAB7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9358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7788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5D6E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5C01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5669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056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9265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E361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2574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DDB1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458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E1D4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9C6477">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FA85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63E0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263D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设备维保次数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D7DB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2320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E4CF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3808A6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390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5F66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6DCECE2">
            <w:pPr>
              <w:jc w:val="center"/>
              <w:rPr>
                <w:rFonts w:hint="eastAsia" w:ascii="微软雅黑" w:hAnsi="微软雅黑" w:eastAsia="微软雅黑" w:cs="微软雅黑"/>
                <w:i/>
                <w:iCs/>
                <w:color w:val="000000"/>
                <w:sz w:val="16"/>
                <w:szCs w:val="16"/>
                <w:u w:val="none"/>
              </w:rPr>
            </w:pPr>
          </w:p>
        </w:tc>
      </w:tr>
      <w:tr w14:paraId="01084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CBCDA6">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CB1363">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0BBD9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5311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设备维保合格率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DFF2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F4D0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D01C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AC9DE92">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A7F3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A5F0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178CA8A">
            <w:pPr>
              <w:jc w:val="center"/>
              <w:rPr>
                <w:rFonts w:hint="eastAsia" w:ascii="微软雅黑" w:hAnsi="微软雅黑" w:eastAsia="微软雅黑" w:cs="微软雅黑"/>
                <w:i/>
                <w:iCs/>
                <w:color w:val="000000"/>
                <w:sz w:val="16"/>
                <w:szCs w:val="16"/>
                <w:u w:val="none"/>
              </w:rPr>
            </w:pPr>
          </w:p>
        </w:tc>
      </w:tr>
      <w:tr w14:paraId="52DF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E8D6337">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9436A9">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7632CC">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F6B4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设备故障发生率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8572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F9F6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B1A8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E3F072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BFE8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ADFE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B7B587C">
            <w:pPr>
              <w:jc w:val="center"/>
              <w:rPr>
                <w:rFonts w:hint="eastAsia" w:ascii="微软雅黑" w:hAnsi="微软雅黑" w:eastAsia="微软雅黑" w:cs="微软雅黑"/>
                <w:i/>
                <w:iCs/>
                <w:color w:val="000000"/>
                <w:sz w:val="16"/>
                <w:szCs w:val="16"/>
                <w:u w:val="none"/>
              </w:rPr>
            </w:pPr>
          </w:p>
        </w:tc>
      </w:tr>
      <w:tr w14:paraId="7B872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92C85F">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E31AE2E">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7397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7784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完成时间</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3AB9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E573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B1F6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3AFBA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E861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9CC9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7794AE4">
            <w:pPr>
              <w:jc w:val="center"/>
              <w:rPr>
                <w:rFonts w:hint="eastAsia" w:ascii="微软雅黑" w:hAnsi="微软雅黑" w:eastAsia="微软雅黑" w:cs="微软雅黑"/>
                <w:i/>
                <w:iCs/>
                <w:color w:val="000000"/>
                <w:sz w:val="16"/>
                <w:szCs w:val="16"/>
                <w:u w:val="none"/>
              </w:rPr>
            </w:pPr>
          </w:p>
        </w:tc>
      </w:tr>
      <w:tr w14:paraId="46B9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E1BDA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2C3A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FB04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566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设备使用寿命延长率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6A13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335F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503D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2DBEA5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85AA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120E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310FEC6">
            <w:pPr>
              <w:jc w:val="center"/>
              <w:rPr>
                <w:rFonts w:hint="eastAsia" w:ascii="微软雅黑" w:hAnsi="微软雅黑" w:eastAsia="微软雅黑" w:cs="微软雅黑"/>
                <w:i/>
                <w:iCs/>
                <w:color w:val="000000"/>
                <w:sz w:val="16"/>
                <w:szCs w:val="16"/>
                <w:u w:val="none"/>
              </w:rPr>
            </w:pPr>
          </w:p>
        </w:tc>
      </w:tr>
      <w:tr w14:paraId="48EB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31145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4A67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FB29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05D0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E1EE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F8D4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496C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D5EB165">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DC8F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8236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35324FC">
            <w:pPr>
              <w:jc w:val="center"/>
              <w:rPr>
                <w:rFonts w:hint="eastAsia" w:ascii="微软雅黑" w:hAnsi="微软雅黑" w:eastAsia="微软雅黑" w:cs="微软雅黑"/>
                <w:i/>
                <w:iCs/>
                <w:color w:val="000000"/>
                <w:sz w:val="16"/>
                <w:szCs w:val="16"/>
                <w:u w:val="none"/>
              </w:rPr>
            </w:pPr>
          </w:p>
        </w:tc>
      </w:tr>
      <w:tr w14:paraId="71E9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C4E146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54BA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326C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F357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项目执行成本节约率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995F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1AD0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4AEF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45D591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5BD7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8AB6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E7C2964">
            <w:pPr>
              <w:jc w:val="center"/>
              <w:rPr>
                <w:rFonts w:hint="eastAsia" w:ascii="微软雅黑" w:hAnsi="微软雅黑" w:eastAsia="微软雅黑" w:cs="微软雅黑"/>
                <w:i/>
                <w:iCs/>
                <w:color w:val="000000"/>
                <w:sz w:val="16"/>
                <w:szCs w:val="16"/>
                <w:u w:val="none"/>
              </w:rPr>
            </w:pPr>
          </w:p>
        </w:tc>
      </w:tr>
      <w:tr w14:paraId="388EF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619C8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B17D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277507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D488C58">
            <w:pPr>
              <w:rPr>
                <w:rFonts w:hint="eastAsia" w:ascii="宋体" w:hAnsi="宋体" w:eastAsia="宋体" w:cs="宋体"/>
                <w:i w:val="0"/>
                <w:iCs w:val="0"/>
                <w:color w:val="000000"/>
                <w:sz w:val="18"/>
                <w:szCs w:val="18"/>
                <w:u w:val="none"/>
              </w:rPr>
            </w:pPr>
          </w:p>
        </w:tc>
      </w:tr>
      <w:tr w14:paraId="3A00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7AC5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1A694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通过项目实施，有效保障了医院专用设备和特种设备的正常运行，设备故障发生率显著降低，使用寿命有效延长，医疗服务质量与设备使用效率得到提升，获得了医护及临床科室的高度认可。</w:t>
            </w:r>
          </w:p>
        </w:tc>
      </w:tr>
      <w:tr w14:paraId="49AB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9E5C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6ED45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部分老旧设备维保频次不足，故障预警机制不够完善，偶发临时抢修影响临床工作。</w:t>
            </w:r>
          </w:p>
        </w:tc>
      </w:tr>
      <w:tr w14:paraId="626D5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43CC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C9295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建立设备全生命周期管理台账，优化维保频次与故障预警机制，减少突发故障。</w:t>
            </w:r>
          </w:p>
        </w:tc>
      </w:tr>
      <w:tr w14:paraId="6FA1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270169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B1E19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2AEF2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5F3A16C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6A46F480">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10EEC489">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40DDEBEA">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0B5F4BFB">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25F4B7F8">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78AD54A">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04544585">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6A0EA26E">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36FB27FE">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85720AC">
            <w:pPr>
              <w:rPr>
                <w:rFonts w:hint="eastAsia" w:ascii="宋体" w:hAnsi="宋体" w:eastAsia="宋体" w:cs="宋体"/>
                <w:i w:val="0"/>
                <w:iCs w:val="0"/>
                <w:color w:val="000000"/>
                <w:sz w:val="18"/>
                <w:szCs w:val="18"/>
                <w:u w:val="none"/>
              </w:rPr>
            </w:pPr>
          </w:p>
        </w:tc>
      </w:tr>
      <w:tr w14:paraId="570F2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7151E5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CC4C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9BD59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2BCC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51320025T000012822332-医疗制剂后勤等业务专项经费</w:t>
            </w:r>
          </w:p>
        </w:tc>
      </w:tr>
      <w:tr w14:paraId="5353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14463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3357B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4C117F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60601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53BA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7A5D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402C5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DE7B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CB3F1E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9531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FFBA1C9">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3B2C782">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9CEA6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年服务人次30000人次以上，保证医疗服务质量，带动就业15人以上。</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0E39C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2025年度累计服务人次达30000人次以上，医疗服务质量符合规范要求，带动就业15人以上，年度核心目标基本达成。</w:t>
            </w:r>
          </w:p>
        </w:tc>
      </w:tr>
      <w:tr w14:paraId="4EAD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0BC6F2">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85FBF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1C4B91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围绕医疗制剂后勤等业务开展保障服务，通过优化门诊流程、规范诊疗行为、强化成本管控等措施，保障日常诊疗运转，同步落实就业带动与预算管理要求。</w:t>
            </w:r>
          </w:p>
        </w:tc>
      </w:tr>
      <w:tr w14:paraId="3923D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8486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E4EB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45A4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F79E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8C13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88B1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3130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BF7B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16E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B9C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1155EF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4445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14F0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283.00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8E36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283.00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4EF7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247.78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0C63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87.56%</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C08F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D588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8F0A0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0B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ABD3E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AEF2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6432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283.00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FEC6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283.00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F1CB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247.78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F0A9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87.56%</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5F96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6DFC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89D4F8">
            <w:pPr>
              <w:rPr>
                <w:rFonts w:hint="eastAsia" w:ascii="黑体" w:hAnsi="黑体" w:eastAsia="黑体" w:cs="黑体"/>
                <w:i/>
                <w:iCs/>
                <w:color w:val="000000"/>
                <w:sz w:val="18"/>
                <w:szCs w:val="18"/>
                <w:u w:val="none"/>
              </w:rPr>
            </w:pPr>
          </w:p>
        </w:tc>
      </w:tr>
      <w:tr w14:paraId="25FC1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5A9DB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1D8B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CB9E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7E14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A4A4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8D38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05A4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93F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175AE0">
            <w:pPr>
              <w:rPr>
                <w:rFonts w:hint="eastAsia" w:ascii="黑体" w:hAnsi="黑体" w:eastAsia="黑体" w:cs="黑体"/>
                <w:i/>
                <w:iCs/>
                <w:color w:val="000000"/>
                <w:sz w:val="18"/>
                <w:szCs w:val="18"/>
                <w:u w:val="none"/>
              </w:rPr>
            </w:pPr>
          </w:p>
        </w:tc>
      </w:tr>
      <w:tr w14:paraId="39ED7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95E3B7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DD04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F116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95CD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47B3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E57A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02FE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C9FC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1D6F395">
            <w:pPr>
              <w:rPr>
                <w:rFonts w:hint="eastAsia" w:ascii="黑体" w:hAnsi="黑体" w:eastAsia="黑体" w:cs="黑体"/>
                <w:i/>
                <w:iCs/>
                <w:color w:val="000000"/>
                <w:sz w:val="18"/>
                <w:szCs w:val="18"/>
                <w:u w:val="none"/>
              </w:rPr>
            </w:pPr>
          </w:p>
        </w:tc>
      </w:tr>
      <w:tr w14:paraId="26706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2323C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09BC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A85154B">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1E11270">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4D57D16">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307D6CE">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9448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FA9E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B6EEFF">
            <w:pPr>
              <w:rPr>
                <w:rFonts w:hint="eastAsia" w:ascii="黑体" w:hAnsi="黑体" w:eastAsia="黑体" w:cs="黑体"/>
                <w:i/>
                <w:iCs/>
                <w:color w:val="000000"/>
                <w:sz w:val="18"/>
                <w:szCs w:val="18"/>
                <w:u w:val="none"/>
              </w:rPr>
            </w:pPr>
          </w:p>
        </w:tc>
      </w:tr>
      <w:tr w14:paraId="5298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EB49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5DA2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B6F0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1C61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8D5C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61CA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1D34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4B95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F616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E770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0F5F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41F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DE5706">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7C6D4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CDDA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D649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服务人次</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6839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7D5B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206E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C68C9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30000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0492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382A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5C461B5">
            <w:pPr>
              <w:jc w:val="center"/>
              <w:rPr>
                <w:rFonts w:hint="eastAsia" w:ascii="微软雅黑" w:hAnsi="微软雅黑" w:eastAsia="微软雅黑" w:cs="微软雅黑"/>
                <w:i/>
                <w:iCs/>
                <w:color w:val="000000"/>
                <w:sz w:val="16"/>
                <w:szCs w:val="16"/>
                <w:u w:val="none"/>
              </w:rPr>
            </w:pPr>
          </w:p>
        </w:tc>
      </w:tr>
      <w:tr w14:paraId="3A97C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B8B48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6810C3">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4C225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04C6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诊疗规范执行率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6C7F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7C1A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D110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217331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8E01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C6E2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74A9110">
            <w:pPr>
              <w:jc w:val="center"/>
              <w:rPr>
                <w:rFonts w:hint="eastAsia" w:ascii="微软雅黑" w:hAnsi="微软雅黑" w:eastAsia="微软雅黑" w:cs="微软雅黑"/>
                <w:i/>
                <w:iCs/>
                <w:color w:val="000000"/>
                <w:sz w:val="16"/>
                <w:szCs w:val="16"/>
                <w:u w:val="none"/>
              </w:rPr>
            </w:pPr>
          </w:p>
        </w:tc>
      </w:tr>
      <w:tr w14:paraId="6B161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C5739AA">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124E1D">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3ABC655">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7E58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费用支付完成率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61EB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11F4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69B2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8B1406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C63F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2237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B359E1A">
            <w:pPr>
              <w:jc w:val="center"/>
              <w:rPr>
                <w:rFonts w:hint="eastAsia" w:ascii="微软雅黑" w:hAnsi="微软雅黑" w:eastAsia="微软雅黑" w:cs="微软雅黑"/>
                <w:i/>
                <w:iCs/>
                <w:color w:val="000000"/>
                <w:sz w:val="16"/>
                <w:szCs w:val="16"/>
                <w:u w:val="none"/>
              </w:rPr>
            </w:pPr>
          </w:p>
        </w:tc>
      </w:tr>
      <w:tr w14:paraId="67F13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98611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DF10AAB">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8C9A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3EA4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门诊服务及时率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CF71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CBEF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F49A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3E1902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B42A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B03C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638EAC7">
            <w:pPr>
              <w:jc w:val="center"/>
              <w:rPr>
                <w:rFonts w:hint="eastAsia" w:ascii="微软雅黑" w:hAnsi="微软雅黑" w:eastAsia="微软雅黑" w:cs="微软雅黑"/>
                <w:i/>
                <w:iCs/>
                <w:color w:val="000000"/>
                <w:sz w:val="16"/>
                <w:szCs w:val="16"/>
                <w:u w:val="none"/>
              </w:rPr>
            </w:pPr>
          </w:p>
        </w:tc>
      </w:tr>
      <w:tr w14:paraId="2766E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13A3C1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C256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81A9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F4FE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带动就业人数</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D15D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4F4F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774A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226E97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20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978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9724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6AA0742">
            <w:pPr>
              <w:jc w:val="center"/>
              <w:rPr>
                <w:rFonts w:hint="eastAsia" w:ascii="微软雅黑" w:hAnsi="微软雅黑" w:eastAsia="微软雅黑" w:cs="微软雅黑"/>
                <w:i/>
                <w:iCs/>
                <w:color w:val="000000"/>
                <w:sz w:val="16"/>
                <w:szCs w:val="16"/>
                <w:u w:val="none"/>
              </w:rPr>
            </w:pPr>
          </w:p>
        </w:tc>
      </w:tr>
      <w:tr w14:paraId="717ED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96214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729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FA64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772B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7597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84D4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9C1A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7E52F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80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13D2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3101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9BCE925">
            <w:pPr>
              <w:jc w:val="center"/>
              <w:rPr>
                <w:rFonts w:hint="eastAsia" w:ascii="微软雅黑" w:hAnsi="微软雅黑" w:eastAsia="微软雅黑" w:cs="微软雅黑"/>
                <w:i/>
                <w:iCs/>
                <w:color w:val="000000"/>
                <w:sz w:val="16"/>
                <w:szCs w:val="16"/>
                <w:u w:val="none"/>
              </w:rPr>
            </w:pPr>
          </w:p>
        </w:tc>
      </w:tr>
      <w:tr w14:paraId="028CE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54EE1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BE6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8283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920B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项目预算控制率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3779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87C0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F279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7D105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16F6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F112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7D968CB">
            <w:pPr>
              <w:jc w:val="center"/>
              <w:rPr>
                <w:rFonts w:hint="eastAsia" w:ascii="微软雅黑" w:hAnsi="微软雅黑" w:eastAsia="微软雅黑" w:cs="微软雅黑"/>
                <w:i/>
                <w:iCs/>
                <w:color w:val="000000"/>
                <w:sz w:val="16"/>
                <w:szCs w:val="16"/>
                <w:u w:val="none"/>
              </w:rPr>
            </w:pPr>
          </w:p>
        </w:tc>
      </w:tr>
      <w:tr w14:paraId="23C10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49CAF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9451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635E17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A5CB0DC">
            <w:pPr>
              <w:rPr>
                <w:rFonts w:hint="eastAsia" w:ascii="宋体" w:hAnsi="宋体" w:eastAsia="宋体" w:cs="宋体"/>
                <w:i w:val="0"/>
                <w:iCs w:val="0"/>
                <w:color w:val="000000"/>
                <w:sz w:val="18"/>
                <w:szCs w:val="18"/>
                <w:u w:val="none"/>
              </w:rPr>
            </w:pPr>
          </w:p>
        </w:tc>
      </w:tr>
      <w:tr w14:paraId="34420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C7D3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80003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项目有效保障了医疗服务供给，服务人次、诊疗规范、服务时效及满意度等核心指标均达标，实现了基本医疗保障与就业带动的社会效益。</w:t>
            </w:r>
          </w:p>
        </w:tc>
      </w:tr>
      <w:tr w14:paraId="4BE9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AD6B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1F5931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人员变动较大，预算执行率偏低</w:t>
            </w:r>
          </w:p>
        </w:tc>
      </w:tr>
      <w:tr w14:paraId="482F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DB06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EAAFF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提升资金使用效率，确保预算控制率符合要求</w:t>
            </w:r>
          </w:p>
        </w:tc>
      </w:tr>
      <w:tr w14:paraId="2EF51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3921E0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317278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45351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47DD06C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0176DB28">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2DF59969">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168E92E0">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0B3CB80C">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2446429E">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7E87BBCD">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1C0F4B5A">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59B831F6">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792EC041">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39AC7DD7">
            <w:pPr>
              <w:rPr>
                <w:rFonts w:hint="eastAsia" w:ascii="宋体" w:hAnsi="宋体" w:eastAsia="宋体" w:cs="宋体"/>
                <w:i w:val="0"/>
                <w:iCs w:val="0"/>
                <w:color w:val="000000"/>
                <w:sz w:val="18"/>
                <w:szCs w:val="18"/>
                <w:u w:val="none"/>
              </w:rPr>
            </w:pPr>
          </w:p>
        </w:tc>
      </w:tr>
      <w:tr w14:paraId="07B2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20025FC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BD9F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8881B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0191C7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51320025T000012822369-州藏医院耗材经费</w:t>
            </w:r>
          </w:p>
        </w:tc>
      </w:tr>
      <w:tr w14:paraId="27F7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346C0F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8E5B2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74CDD5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02F0B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72E8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68155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5BA370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EA92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17C4DB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4126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1802F2">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25B5AD">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4BB96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医院日常耗材支出，含卫生材料、包装材料、低值易耗品、办公材料、其他材料等，通过保障医院耗材供应，提升医疗服务质量，保障医疗服务正常开展。</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98515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全面保障医院卫生材料、包装材料、低值易耗品、办公材料等日常耗材供应，医疗服务质量稳步提升，医疗服务运转顺畅，年度目标圆满完成。</w:t>
            </w:r>
          </w:p>
        </w:tc>
      </w:tr>
      <w:tr w14:paraId="30FBB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2A1A2BC">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B9BE4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5F540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围绕医院日常耗材需求，规范采购、入库、领用全流程管理，合理调配资金保障耗材及时供应，严格控制成本，确保医疗业务开展不受影响。</w:t>
            </w:r>
          </w:p>
        </w:tc>
      </w:tr>
      <w:tr w14:paraId="16344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1D33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464B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82AF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9B15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24F8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E251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45FC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9777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94DF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29B3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11F7B7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1A5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1ED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ADE1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104.58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081A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104.58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DECD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DE35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651F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4B3609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92E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40472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BE8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903D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46A0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104.58</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B142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104.58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4EA3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6B44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DD3E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47C150">
            <w:pPr>
              <w:rPr>
                <w:rFonts w:hint="eastAsia" w:ascii="黑体" w:hAnsi="黑体" w:eastAsia="黑体" w:cs="黑体"/>
                <w:i/>
                <w:iCs/>
                <w:color w:val="000000"/>
                <w:sz w:val="18"/>
                <w:szCs w:val="18"/>
                <w:u w:val="none"/>
              </w:rPr>
            </w:pPr>
          </w:p>
        </w:tc>
      </w:tr>
      <w:tr w14:paraId="2D52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85EC7D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E1E0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BB61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63CF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C496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94AC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8C2C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8B4C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62219D5">
            <w:pPr>
              <w:rPr>
                <w:rFonts w:hint="eastAsia" w:ascii="黑体" w:hAnsi="黑体" w:eastAsia="黑体" w:cs="黑体"/>
                <w:i/>
                <w:iCs/>
                <w:color w:val="000000"/>
                <w:sz w:val="18"/>
                <w:szCs w:val="18"/>
                <w:u w:val="none"/>
              </w:rPr>
            </w:pPr>
          </w:p>
        </w:tc>
      </w:tr>
      <w:tr w14:paraId="0D94D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D3209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892D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31BD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BDEB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9B68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2F47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220D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773E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42F77B8">
            <w:pPr>
              <w:rPr>
                <w:rFonts w:hint="eastAsia" w:ascii="黑体" w:hAnsi="黑体" w:eastAsia="黑体" w:cs="黑体"/>
                <w:i/>
                <w:iCs/>
                <w:color w:val="000000"/>
                <w:sz w:val="18"/>
                <w:szCs w:val="18"/>
                <w:u w:val="none"/>
              </w:rPr>
            </w:pPr>
          </w:p>
        </w:tc>
      </w:tr>
      <w:tr w14:paraId="4CD27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C85CB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6A81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0673A32">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D183DF7">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E1AA4CA">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5C5C999">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98E3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C17B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F9E6F78">
            <w:pPr>
              <w:rPr>
                <w:rFonts w:hint="eastAsia" w:ascii="黑体" w:hAnsi="黑体" w:eastAsia="黑体" w:cs="黑体"/>
                <w:i/>
                <w:iCs/>
                <w:color w:val="000000"/>
                <w:sz w:val="18"/>
                <w:szCs w:val="18"/>
                <w:u w:val="none"/>
              </w:rPr>
            </w:pPr>
          </w:p>
        </w:tc>
      </w:tr>
      <w:tr w14:paraId="3079A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A16E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6552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54FE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E19F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85DF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B07A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EC80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A1D0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2F52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FCA1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11D7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C93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7E88EC">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5911A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CAEA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C0E8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专用材料补助金额</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9C92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E9E6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4220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C230AE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312E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B535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16C60B3">
            <w:pPr>
              <w:jc w:val="center"/>
              <w:rPr>
                <w:rFonts w:hint="eastAsia" w:ascii="微软雅黑" w:hAnsi="微软雅黑" w:eastAsia="微软雅黑" w:cs="微软雅黑"/>
                <w:i/>
                <w:iCs/>
                <w:color w:val="000000"/>
                <w:sz w:val="16"/>
                <w:szCs w:val="16"/>
                <w:u w:val="none"/>
              </w:rPr>
            </w:pPr>
          </w:p>
        </w:tc>
      </w:tr>
      <w:tr w14:paraId="47B2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A47A964">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5F5DDC">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9AEB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A564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患者平均住院日</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AF9B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CC4B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7365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天</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5DDB75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05F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2B9B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A3369CC">
            <w:pPr>
              <w:jc w:val="center"/>
              <w:rPr>
                <w:rFonts w:hint="eastAsia" w:ascii="微软雅黑" w:hAnsi="微软雅黑" w:eastAsia="微软雅黑" w:cs="微软雅黑"/>
                <w:i/>
                <w:iCs/>
                <w:color w:val="000000"/>
                <w:sz w:val="16"/>
                <w:szCs w:val="16"/>
                <w:u w:val="none"/>
              </w:rPr>
            </w:pPr>
          </w:p>
        </w:tc>
      </w:tr>
      <w:tr w14:paraId="0E1B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6B7660">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C3D652">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9EFA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683F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DFD5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9F22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FE44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9AEB47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816E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EA03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3E84AEC">
            <w:pPr>
              <w:jc w:val="center"/>
              <w:rPr>
                <w:rFonts w:hint="eastAsia" w:ascii="微软雅黑" w:hAnsi="微软雅黑" w:eastAsia="微软雅黑" w:cs="微软雅黑"/>
                <w:i/>
                <w:iCs/>
                <w:color w:val="000000"/>
                <w:sz w:val="16"/>
                <w:szCs w:val="16"/>
                <w:u w:val="none"/>
              </w:rPr>
            </w:pPr>
          </w:p>
        </w:tc>
      </w:tr>
      <w:tr w14:paraId="725B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E7A45B">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3369B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37D4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EAE2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业务收入</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BF3F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02EC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3333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3B60B4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10000000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83ED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3BF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177122B">
            <w:pPr>
              <w:jc w:val="center"/>
              <w:rPr>
                <w:rFonts w:hint="eastAsia" w:ascii="微软雅黑" w:hAnsi="微软雅黑" w:eastAsia="微软雅黑" w:cs="微软雅黑"/>
                <w:i/>
                <w:iCs/>
                <w:color w:val="000000"/>
                <w:sz w:val="16"/>
                <w:szCs w:val="16"/>
                <w:u w:val="none"/>
              </w:rPr>
            </w:pPr>
          </w:p>
        </w:tc>
      </w:tr>
      <w:tr w14:paraId="6CB2A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B0133D5">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4A6B2C4">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CE62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EC96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医疗服务覆盖率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2958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76D2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C756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9C155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60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7E7E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3C88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A820712">
            <w:pPr>
              <w:jc w:val="center"/>
              <w:rPr>
                <w:rFonts w:hint="eastAsia" w:ascii="微软雅黑" w:hAnsi="微软雅黑" w:eastAsia="微软雅黑" w:cs="微软雅黑"/>
                <w:i/>
                <w:iCs/>
                <w:color w:val="000000"/>
                <w:sz w:val="16"/>
                <w:szCs w:val="16"/>
                <w:u w:val="none"/>
              </w:rPr>
            </w:pPr>
          </w:p>
        </w:tc>
      </w:tr>
      <w:tr w14:paraId="4D3B2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D816A0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A9F4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838A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D136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3BB2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240C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0C27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59A7FB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90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21F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AAEE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0430879">
            <w:pPr>
              <w:jc w:val="center"/>
              <w:rPr>
                <w:rFonts w:hint="eastAsia" w:ascii="微软雅黑" w:hAnsi="微软雅黑" w:eastAsia="微软雅黑" w:cs="微软雅黑"/>
                <w:i/>
                <w:iCs/>
                <w:color w:val="000000"/>
                <w:sz w:val="16"/>
                <w:szCs w:val="16"/>
                <w:u w:val="none"/>
              </w:rPr>
            </w:pPr>
          </w:p>
        </w:tc>
      </w:tr>
      <w:tr w14:paraId="6A4CD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5948A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349E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5F2C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F4E9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F064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280A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2658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3B88B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C04F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D156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DC45FF0">
            <w:pPr>
              <w:jc w:val="center"/>
              <w:rPr>
                <w:rFonts w:hint="eastAsia" w:ascii="微软雅黑" w:hAnsi="微软雅黑" w:eastAsia="微软雅黑" w:cs="微软雅黑"/>
                <w:i/>
                <w:iCs/>
                <w:color w:val="000000"/>
                <w:sz w:val="16"/>
                <w:szCs w:val="16"/>
                <w:u w:val="none"/>
              </w:rPr>
            </w:pPr>
          </w:p>
        </w:tc>
      </w:tr>
      <w:tr w14:paraId="7D9D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24E5C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36BA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FE0199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FB1F9FA">
            <w:pPr>
              <w:rPr>
                <w:rFonts w:hint="eastAsia" w:ascii="宋体" w:hAnsi="宋体" w:eastAsia="宋体" w:cs="宋体"/>
                <w:i w:val="0"/>
                <w:iCs w:val="0"/>
                <w:color w:val="000000"/>
                <w:sz w:val="18"/>
                <w:szCs w:val="18"/>
                <w:u w:val="none"/>
              </w:rPr>
            </w:pPr>
          </w:p>
        </w:tc>
      </w:tr>
      <w:tr w14:paraId="15CE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7A7B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63759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通过规范耗材管理与高效资金使用，全面保障了医院耗材供应，医疗服务质量、业务收入及服务对象满意度均达标，实现了保障医疗运转、提升服务效益的目标。</w:t>
            </w:r>
          </w:p>
        </w:tc>
      </w:tr>
      <w:tr w14:paraId="2A74E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64A9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C010C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预算调整幅度较大：年初预算130万元，调整后为104.58万元，预算编制精准度有待提升，未能充分贴合实际需求。</w:t>
            </w:r>
          </w:p>
        </w:tc>
      </w:tr>
      <w:tr w14:paraId="5A316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1385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0D6C79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提升预算编制精度：结合业务量科学测算预算，减少年度调整幅度。</w:t>
            </w:r>
          </w:p>
        </w:tc>
      </w:tr>
      <w:tr w14:paraId="13FF5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09211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5D9D44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2AC92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0BA0452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0E11A9E5">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18477A26">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4D3943F6">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371D1C40">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03B38FB8">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49734017">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1E3F0259">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2C90B9C5">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3C9A0F8E">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6791DE91">
            <w:pPr>
              <w:rPr>
                <w:rFonts w:hint="eastAsia" w:ascii="宋体" w:hAnsi="宋体" w:eastAsia="宋体" w:cs="宋体"/>
                <w:i w:val="0"/>
                <w:iCs w:val="0"/>
                <w:color w:val="000000"/>
                <w:sz w:val="18"/>
                <w:szCs w:val="18"/>
                <w:u w:val="none"/>
              </w:rPr>
            </w:pPr>
          </w:p>
        </w:tc>
      </w:tr>
      <w:tr w14:paraId="5E442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410D75A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86F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F0BFF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E4AB7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51320025T000012822412-医院物业管理费</w:t>
            </w:r>
          </w:p>
        </w:tc>
      </w:tr>
      <w:tr w14:paraId="47CC4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2B57AF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09DCD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1AC81D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46A18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43A1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44158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7FB36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09D5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3291F9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5FC1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417828">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538774">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A7ABD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四川省卫生健康委员会四川省公安厅关于开展医院安全检查工作的通告州公安局对阿坝州医疗机构安全风险隐患大排查时反馈需设立警务室增加保安人数和安全员，提升医疗机构应急处置能力，增强做好医院安保工作的责任感。通过加强物业管理和安保力量，提高医院安全保障水平，改善医疗服务环境，保障医院正常运行。通过加强物业管理和安保力量，提高医院安全保障水平，改善医疗服务环境，保障医院正常运行。</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AF323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已按要求配齐安保人员与设备，医院安全保障水平明显提升，医疗服务环境得到改善，年度核心目标基本达成。</w:t>
            </w:r>
          </w:p>
        </w:tc>
      </w:tr>
      <w:tr w14:paraId="1F8A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4D48A9">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15BAB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366B8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通过加强物业管理与安保力量配置，落实安全检查整改要求，完善安防设施与人员配备，保障医院正常运行，提升应急处置能力与服务环境。</w:t>
            </w:r>
          </w:p>
        </w:tc>
      </w:tr>
      <w:tr w14:paraId="3DECB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0E93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E44D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1B98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71B4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CFCE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4BF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807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A4A6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D6E4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D7D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F80B0D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DBA5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DDD6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513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6AD3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23.57</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B4A4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39.28%</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1410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752D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46273D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DF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91BAD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80A6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32BB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CA9B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95D0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23.57</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B227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39.28%</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79F0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9DAF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90E07E">
            <w:pPr>
              <w:rPr>
                <w:rFonts w:hint="eastAsia" w:ascii="黑体" w:hAnsi="黑体" w:eastAsia="黑体" w:cs="黑体"/>
                <w:i/>
                <w:iCs/>
                <w:color w:val="000000"/>
                <w:sz w:val="18"/>
                <w:szCs w:val="18"/>
                <w:u w:val="none"/>
              </w:rPr>
            </w:pPr>
          </w:p>
        </w:tc>
      </w:tr>
      <w:tr w14:paraId="73A3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7EB45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2687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BFD3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4335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3D49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1763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D236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F6A6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C26DB4">
            <w:pPr>
              <w:rPr>
                <w:rFonts w:hint="eastAsia" w:ascii="黑体" w:hAnsi="黑体" w:eastAsia="黑体" w:cs="黑体"/>
                <w:i/>
                <w:iCs/>
                <w:color w:val="000000"/>
                <w:sz w:val="18"/>
                <w:szCs w:val="18"/>
                <w:u w:val="none"/>
              </w:rPr>
            </w:pPr>
          </w:p>
        </w:tc>
      </w:tr>
      <w:tr w14:paraId="7C6CE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42CDE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149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8419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25D2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79CA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A5C6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6B67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CE00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96FE228">
            <w:pPr>
              <w:rPr>
                <w:rFonts w:hint="eastAsia" w:ascii="黑体" w:hAnsi="黑体" w:eastAsia="黑体" w:cs="黑体"/>
                <w:i/>
                <w:iCs/>
                <w:color w:val="000000"/>
                <w:sz w:val="18"/>
                <w:szCs w:val="18"/>
                <w:u w:val="none"/>
              </w:rPr>
            </w:pPr>
          </w:p>
        </w:tc>
      </w:tr>
      <w:tr w14:paraId="234F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CB5CD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A6F6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73B2FD6">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776B49F">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47F8731">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8489332">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756F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C8B7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0FBF0BE">
            <w:pPr>
              <w:rPr>
                <w:rFonts w:hint="eastAsia" w:ascii="黑体" w:hAnsi="黑体" w:eastAsia="黑体" w:cs="黑体"/>
                <w:i/>
                <w:iCs/>
                <w:color w:val="000000"/>
                <w:sz w:val="18"/>
                <w:szCs w:val="18"/>
                <w:u w:val="none"/>
              </w:rPr>
            </w:pPr>
          </w:p>
        </w:tc>
      </w:tr>
      <w:tr w14:paraId="2126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8CEF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B859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0AF7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A7D9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EDA2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0B3E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454F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C133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D8FE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29DD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8E27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7870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EFDC83">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EF41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3187E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6507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服务面积</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C981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D7AD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0DA0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平方米</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948BD0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13000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8A88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F5BD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463F59D">
            <w:pPr>
              <w:jc w:val="center"/>
              <w:rPr>
                <w:rFonts w:hint="eastAsia" w:ascii="微软雅黑" w:hAnsi="微软雅黑" w:eastAsia="微软雅黑" w:cs="微软雅黑"/>
                <w:i/>
                <w:iCs/>
                <w:color w:val="000000"/>
                <w:sz w:val="16"/>
                <w:szCs w:val="16"/>
                <w:u w:val="none"/>
              </w:rPr>
            </w:pPr>
          </w:p>
        </w:tc>
      </w:tr>
      <w:tr w14:paraId="0718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0054B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72AEF5">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308484">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A48D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物业服务人员</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BE74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6ADE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B393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FB72D1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383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FC75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F2F77BE">
            <w:pPr>
              <w:jc w:val="center"/>
              <w:rPr>
                <w:rFonts w:hint="eastAsia" w:ascii="微软雅黑" w:hAnsi="微软雅黑" w:eastAsia="微软雅黑" w:cs="微软雅黑"/>
                <w:i/>
                <w:iCs/>
                <w:color w:val="000000"/>
                <w:sz w:val="16"/>
                <w:szCs w:val="16"/>
                <w:u w:val="none"/>
              </w:rPr>
            </w:pPr>
          </w:p>
        </w:tc>
      </w:tr>
      <w:tr w14:paraId="3CA9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C26470E">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9DA35B">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F063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6B10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服务质量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5541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16B8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7AAFBFBA">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B7A84E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明显提升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D4A4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867D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7AF3F21">
            <w:pPr>
              <w:jc w:val="center"/>
              <w:rPr>
                <w:rFonts w:hint="eastAsia" w:ascii="微软雅黑" w:hAnsi="微软雅黑" w:eastAsia="微软雅黑" w:cs="微软雅黑"/>
                <w:i/>
                <w:iCs/>
                <w:color w:val="000000"/>
                <w:sz w:val="16"/>
                <w:szCs w:val="16"/>
                <w:u w:val="none"/>
              </w:rPr>
            </w:pPr>
          </w:p>
        </w:tc>
      </w:tr>
      <w:tr w14:paraId="2E54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A82B37">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3B85A7">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319E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BE7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1D00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93EF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9308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F04FEC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523D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F8AE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A646BC4">
            <w:pPr>
              <w:jc w:val="center"/>
              <w:rPr>
                <w:rFonts w:hint="eastAsia" w:ascii="微软雅黑" w:hAnsi="微软雅黑" w:eastAsia="微软雅黑" w:cs="微软雅黑"/>
                <w:i/>
                <w:iCs/>
                <w:color w:val="000000"/>
                <w:sz w:val="16"/>
                <w:szCs w:val="16"/>
                <w:u w:val="none"/>
              </w:rPr>
            </w:pPr>
          </w:p>
        </w:tc>
      </w:tr>
      <w:tr w14:paraId="164D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487F2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03C9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0EA8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DFF1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医院安全保障水平</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0618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28F9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97C6E32">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8F75AE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明显提升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9807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DEB2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7EB094D">
            <w:pPr>
              <w:jc w:val="center"/>
              <w:rPr>
                <w:rFonts w:hint="eastAsia" w:ascii="微软雅黑" w:hAnsi="微软雅黑" w:eastAsia="微软雅黑" w:cs="微软雅黑"/>
                <w:i/>
                <w:iCs/>
                <w:color w:val="000000"/>
                <w:sz w:val="16"/>
                <w:szCs w:val="16"/>
                <w:u w:val="none"/>
              </w:rPr>
            </w:pPr>
          </w:p>
        </w:tc>
      </w:tr>
      <w:tr w14:paraId="0E72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643BA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13FD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6BA6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B89F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职工和患者满意度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9C38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553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55F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1AB43B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85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68D2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7242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6721A29">
            <w:pPr>
              <w:jc w:val="center"/>
              <w:rPr>
                <w:rFonts w:hint="eastAsia" w:ascii="微软雅黑" w:hAnsi="微软雅黑" w:eastAsia="微软雅黑" w:cs="微软雅黑"/>
                <w:i/>
                <w:iCs/>
                <w:color w:val="000000"/>
                <w:sz w:val="16"/>
                <w:szCs w:val="16"/>
                <w:u w:val="none"/>
              </w:rPr>
            </w:pPr>
          </w:p>
        </w:tc>
      </w:tr>
      <w:tr w14:paraId="6B8C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B0566F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E760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5CE1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7273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物业管理费用控制率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3DAB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F624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3888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3FA5D9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B52A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0F2E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854EC60">
            <w:pPr>
              <w:jc w:val="center"/>
              <w:rPr>
                <w:rFonts w:hint="eastAsia" w:ascii="微软雅黑" w:hAnsi="微软雅黑" w:eastAsia="微软雅黑" w:cs="微软雅黑"/>
                <w:i/>
                <w:iCs/>
                <w:color w:val="000000"/>
                <w:sz w:val="16"/>
                <w:szCs w:val="16"/>
                <w:u w:val="none"/>
              </w:rPr>
            </w:pPr>
          </w:p>
        </w:tc>
      </w:tr>
      <w:tr w14:paraId="3ABFE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1E6B3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E1E4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23A17A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FB7EE09">
            <w:pPr>
              <w:rPr>
                <w:rFonts w:hint="eastAsia" w:ascii="宋体" w:hAnsi="宋体" w:eastAsia="宋体" w:cs="宋体"/>
                <w:i w:val="0"/>
                <w:iCs w:val="0"/>
                <w:color w:val="000000"/>
                <w:sz w:val="18"/>
                <w:szCs w:val="18"/>
                <w:u w:val="none"/>
              </w:rPr>
            </w:pPr>
          </w:p>
        </w:tc>
      </w:tr>
      <w:tr w14:paraId="1E22A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D940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84460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项目有效提升了医院安全保障能力与服务环境，安防配置、服务质量及满意度等核心指标均达标，但预算执行率偏低，资金使用效率有待提升。</w:t>
            </w:r>
          </w:p>
        </w:tc>
      </w:tr>
      <w:tr w14:paraId="53F32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5153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F8FAD6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预算执行进度慢。</w:t>
            </w:r>
          </w:p>
        </w:tc>
      </w:tr>
      <w:tr w14:paraId="64BC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6068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F1981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加强对招投标和支付方式的探索，加强预算执行率。</w:t>
            </w:r>
          </w:p>
        </w:tc>
      </w:tr>
      <w:tr w14:paraId="7DF2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C5539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7F647B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3E48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33C7DC2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352C237D">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2BE64891">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36D09D88">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2D63F8A9">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681F286C">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7F048708">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6B6C5EFD">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2E4FE9DF">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7BD56308">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592F9EA5">
            <w:pPr>
              <w:rPr>
                <w:rFonts w:hint="eastAsia" w:ascii="宋体" w:hAnsi="宋体" w:eastAsia="宋体" w:cs="宋体"/>
                <w:i w:val="0"/>
                <w:iCs w:val="0"/>
                <w:color w:val="000000"/>
                <w:sz w:val="18"/>
                <w:szCs w:val="18"/>
                <w:u w:val="none"/>
              </w:rPr>
            </w:pPr>
          </w:p>
        </w:tc>
      </w:tr>
      <w:tr w14:paraId="4600A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3C5F609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1F73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CFE2A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5434CB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51320025T000012822432-物业维修维护</w:t>
            </w:r>
          </w:p>
        </w:tc>
      </w:tr>
      <w:tr w14:paraId="34C67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0493E1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AF525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119C90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08A8B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76AF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D94B8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B7B02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77CF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E85529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2027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C9DF030">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693DC9">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6FA4A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提高医院服务能力。通过物业维修维护，保障13000平方米医院服务场所正常运转，提高医院服务能力，同时确保环境保护效益。</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965C5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已完成13000平方米医院服务场的物业维修维护，保障了医院正常运转，民族医药服务能力明显提升，环境保护效益达标，年度目标全面完成。</w:t>
            </w:r>
          </w:p>
        </w:tc>
      </w:tr>
      <w:tr w14:paraId="715B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814C9DA">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4036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19D61A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围绕医院物业设施开展维修维护工作，通过规范流程、精准排障，保障院区设施完好，同时落实环保要求，提升整体服务能力与环境质量。</w:t>
            </w:r>
          </w:p>
        </w:tc>
      </w:tr>
      <w:tr w14:paraId="3E335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EF9F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343F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DA06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3C24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8E47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3275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710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CE28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FE2F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6FB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5EFB1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4CBE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7461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EBE8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22.69</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DD91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22.69</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2E1D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5484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9299414">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1D6F07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46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0222B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B561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37F7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A539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22.69</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1532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22.69</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D816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DAC6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3652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23D504">
            <w:pPr>
              <w:rPr>
                <w:rFonts w:hint="eastAsia" w:ascii="黑体" w:hAnsi="黑体" w:eastAsia="黑体" w:cs="黑体"/>
                <w:i/>
                <w:iCs/>
                <w:color w:val="000000"/>
                <w:sz w:val="18"/>
                <w:szCs w:val="18"/>
                <w:u w:val="none"/>
              </w:rPr>
            </w:pPr>
          </w:p>
        </w:tc>
      </w:tr>
      <w:tr w14:paraId="115B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D87326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3332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D557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5A5B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1EFD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2D5E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3917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7D91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3D785A">
            <w:pPr>
              <w:rPr>
                <w:rFonts w:hint="eastAsia" w:ascii="黑体" w:hAnsi="黑体" w:eastAsia="黑体" w:cs="黑体"/>
                <w:i/>
                <w:iCs/>
                <w:color w:val="000000"/>
                <w:sz w:val="18"/>
                <w:szCs w:val="18"/>
                <w:u w:val="none"/>
              </w:rPr>
            </w:pPr>
          </w:p>
        </w:tc>
      </w:tr>
      <w:tr w14:paraId="55746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DED8C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38C7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E707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43C9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6549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FE08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71B7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8796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E2DF8F8">
            <w:pPr>
              <w:rPr>
                <w:rFonts w:hint="eastAsia" w:ascii="黑体" w:hAnsi="黑体" w:eastAsia="黑体" w:cs="黑体"/>
                <w:i/>
                <w:iCs/>
                <w:color w:val="000000"/>
                <w:sz w:val="18"/>
                <w:szCs w:val="18"/>
                <w:u w:val="none"/>
              </w:rPr>
            </w:pPr>
          </w:p>
        </w:tc>
      </w:tr>
      <w:tr w14:paraId="51C2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82954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6ECB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4BC474E">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2E8132F">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5232DBE">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FDAA9E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2D36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5213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E7895C">
            <w:pPr>
              <w:rPr>
                <w:rFonts w:hint="eastAsia" w:ascii="黑体" w:hAnsi="黑体" w:eastAsia="黑体" w:cs="黑体"/>
                <w:i/>
                <w:iCs/>
                <w:color w:val="000000"/>
                <w:sz w:val="18"/>
                <w:szCs w:val="18"/>
                <w:u w:val="none"/>
              </w:rPr>
            </w:pPr>
          </w:p>
        </w:tc>
      </w:tr>
      <w:tr w14:paraId="6E2DF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24FD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252F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A834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6352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CB0A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1366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92CA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662B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E1A7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FDFB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46F0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6CF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7E45B69">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4B5A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FA16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6A59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服务面积</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B113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501C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13000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7953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平方米</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099CF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13000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86AE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6705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B6D377F">
            <w:pPr>
              <w:jc w:val="center"/>
              <w:rPr>
                <w:rFonts w:hint="eastAsia" w:ascii="微软雅黑" w:hAnsi="微软雅黑" w:eastAsia="微软雅黑" w:cs="微软雅黑"/>
                <w:i/>
                <w:iCs/>
                <w:color w:val="000000"/>
                <w:sz w:val="16"/>
                <w:szCs w:val="16"/>
                <w:u w:val="none"/>
              </w:rPr>
            </w:pPr>
          </w:p>
        </w:tc>
      </w:tr>
      <w:tr w14:paraId="61E42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7CF1AF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FD8BD3">
            <w:pPr>
              <w:jc w:val="center"/>
              <w:rPr>
                <w:rFonts w:hint="eastAsia" w:ascii="宋体" w:hAnsi="宋体" w:eastAsia="宋体" w:cs="宋体"/>
                <w:i w:val="0"/>
                <w:iCs w:val="0"/>
                <w:color w:val="000000"/>
                <w:sz w:val="18"/>
                <w:szCs w:val="18"/>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2388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BCF7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服务质量率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535C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156E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29BFE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A7715D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7FE7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C102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0B5CC93">
            <w:pPr>
              <w:jc w:val="center"/>
              <w:rPr>
                <w:rFonts w:hint="eastAsia" w:ascii="微软雅黑" w:hAnsi="微软雅黑" w:eastAsia="微软雅黑" w:cs="微软雅黑"/>
                <w:i/>
                <w:iCs/>
                <w:color w:val="000000"/>
                <w:sz w:val="16"/>
                <w:szCs w:val="16"/>
                <w:u w:val="none"/>
              </w:rPr>
            </w:pPr>
          </w:p>
        </w:tc>
      </w:tr>
      <w:tr w14:paraId="0C598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09559C">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628348">
            <w:pPr>
              <w:jc w:val="center"/>
              <w:rPr>
                <w:rFonts w:hint="eastAsia" w:ascii="宋体" w:hAnsi="宋体" w:eastAsia="宋体" w:cs="宋体"/>
                <w:i w:val="0"/>
                <w:iCs w:val="0"/>
                <w:color w:val="000000"/>
                <w:sz w:val="18"/>
                <w:szCs w:val="18"/>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3618684">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87E4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维修维护合格率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9743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A0F5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3808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5A286F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286C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6C4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CE0619D">
            <w:pPr>
              <w:jc w:val="center"/>
              <w:rPr>
                <w:rFonts w:hint="eastAsia" w:ascii="微软雅黑" w:hAnsi="微软雅黑" w:eastAsia="微软雅黑" w:cs="微软雅黑"/>
                <w:i/>
                <w:iCs/>
                <w:color w:val="000000"/>
                <w:sz w:val="16"/>
                <w:szCs w:val="16"/>
                <w:u w:val="none"/>
              </w:rPr>
            </w:pPr>
          </w:p>
        </w:tc>
      </w:tr>
      <w:tr w14:paraId="28F1A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8CD67D">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13F1A7">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EB00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92B3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992D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A765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0748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66341F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B59B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BCAD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E299F37">
            <w:pPr>
              <w:jc w:val="center"/>
              <w:rPr>
                <w:rFonts w:hint="eastAsia" w:ascii="微软雅黑" w:hAnsi="微软雅黑" w:eastAsia="微软雅黑" w:cs="微软雅黑"/>
                <w:i/>
                <w:iCs/>
                <w:color w:val="000000"/>
                <w:sz w:val="16"/>
                <w:szCs w:val="16"/>
                <w:u w:val="none"/>
              </w:rPr>
            </w:pPr>
          </w:p>
        </w:tc>
      </w:tr>
      <w:tr w14:paraId="4FE5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F07D0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CF6E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28CE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3235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民族医药服务能力</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B783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228E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8B2E24A">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B251E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明显提升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CFC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AC0B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19AFC96">
            <w:pPr>
              <w:jc w:val="center"/>
              <w:rPr>
                <w:rFonts w:hint="eastAsia" w:ascii="微软雅黑" w:hAnsi="微软雅黑" w:eastAsia="微软雅黑" w:cs="微软雅黑"/>
                <w:i/>
                <w:iCs/>
                <w:color w:val="000000"/>
                <w:sz w:val="16"/>
                <w:szCs w:val="16"/>
                <w:u w:val="none"/>
              </w:rPr>
            </w:pPr>
          </w:p>
        </w:tc>
      </w:tr>
      <w:tr w14:paraId="78D55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C4BD8F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561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B555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F509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职工和患者满意度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4502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CE45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7CCF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6D933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85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3369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4AFF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07C5FBA">
            <w:pPr>
              <w:jc w:val="center"/>
              <w:rPr>
                <w:rFonts w:hint="eastAsia" w:ascii="微软雅黑" w:hAnsi="微软雅黑" w:eastAsia="微软雅黑" w:cs="微软雅黑"/>
                <w:i/>
                <w:iCs/>
                <w:color w:val="000000"/>
                <w:sz w:val="16"/>
                <w:szCs w:val="16"/>
                <w:u w:val="none"/>
              </w:rPr>
            </w:pPr>
          </w:p>
        </w:tc>
      </w:tr>
      <w:tr w14:paraId="648A6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5537C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C1CD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3C32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A640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B422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28CB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A02A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DA8D95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DF68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2BC7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DD81E8B">
            <w:pPr>
              <w:jc w:val="center"/>
              <w:rPr>
                <w:rFonts w:hint="eastAsia" w:ascii="微软雅黑" w:hAnsi="微软雅黑" w:eastAsia="微软雅黑" w:cs="微软雅黑"/>
                <w:i/>
                <w:iCs/>
                <w:color w:val="000000"/>
                <w:sz w:val="16"/>
                <w:szCs w:val="16"/>
                <w:u w:val="none"/>
              </w:rPr>
            </w:pPr>
          </w:p>
        </w:tc>
      </w:tr>
      <w:tr w14:paraId="74920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34203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9C9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AE4B14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924933A">
            <w:pPr>
              <w:rPr>
                <w:rFonts w:hint="eastAsia" w:ascii="宋体" w:hAnsi="宋体" w:eastAsia="宋体" w:cs="宋体"/>
                <w:i w:val="0"/>
                <w:iCs w:val="0"/>
                <w:color w:val="000000"/>
                <w:sz w:val="18"/>
                <w:szCs w:val="18"/>
                <w:u w:val="none"/>
              </w:rPr>
            </w:pPr>
          </w:p>
        </w:tc>
      </w:tr>
      <w:tr w14:paraId="69273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2DA0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54E96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通过高效的物业维修维护，保障了医院13000平方米服务场正常运转，民族医药服务能力显著提升，职工和患者满意度达标，同时实现了预算资金的高效利用与成本节约。</w:t>
            </w:r>
          </w:p>
        </w:tc>
      </w:tr>
      <w:tr w14:paraId="7C2C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229D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6BCAD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缺乏常态化巡检与预防性维护，易造成临时抢修成本波动。</w:t>
            </w:r>
          </w:p>
        </w:tc>
      </w:tr>
      <w:tr w14:paraId="5D67B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21BE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F0C7D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制定设施巡检计划，定期排查隐患，将事后维修转为事前防控，降低突发故障与应急成本。</w:t>
            </w:r>
          </w:p>
        </w:tc>
      </w:tr>
      <w:tr w14:paraId="23231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471106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198227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CB5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3AD72D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1048CA64">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67D2CBE9">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03E8A394">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73F4CADF">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6CE86B3C">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2A7FE4DA">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0BBF4353">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0D005B4D">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2B8A71C9">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259C20FD">
            <w:pPr>
              <w:rPr>
                <w:rFonts w:hint="eastAsia" w:ascii="宋体" w:hAnsi="宋体" w:eastAsia="宋体" w:cs="宋体"/>
                <w:i w:val="0"/>
                <w:iCs w:val="0"/>
                <w:color w:val="000000"/>
                <w:sz w:val="18"/>
                <w:szCs w:val="18"/>
                <w:u w:val="none"/>
              </w:rPr>
            </w:pPr>
          </w:p>
        </w:tc>
      </w:tr>
      <w:tr w14:paraId="0C13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7CB4636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68C1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5CA7B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E7E8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51320025T000012822457-特药炼制及教学培训专项</w:t>
            </w:r>
          </w:p>
        </w:tc>
      </w:tr>
      <w:tr w14:paraId="53D5F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2F4C19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621B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3A6D84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38D5F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6F1B9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7811C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6CC799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78070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994DC0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601F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989D1A">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35F3ADC">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9C4BC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仁青左塔炼制及现场教学，通过仁青佐塔炼制及现场教学，提升民族医药服务能力，传承藏医药文化</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5F339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仁青左塔炼制及现场教学，通过仁青佐塔炼制及现场教学，提升民族医药服务能力，传承藏医药文化</w:t>
            </w:r>
          </w:p>
        </w:tc>
      </w:tr>
      <w:tr w14:paraId="767D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20"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A66649">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D80F5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56751D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2024年 11 月 - 2025年01 月（前期准备阶段）</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第 1 - 4周：完成研究团队组建，包括藏医药专家、文献研究人员、现代分析技术人员等。同时，确定资料收集渠道和方法，与相关图书馆、研究机构建立联系，获取文献查阅权限。</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第 4 - 10 周：启动历史文献梳理工作，初步收集部分藏医药古籍和文献，开始对其中关于“佐塔”炮制的记载进行筛选和整理。同时，与嘎务教授沟通，确定专家授课的时间安排和访谈形式。</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2. 2 月 - 5 月（深入研究阶段）</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2月 - 5 月：开展与嘎务教授的访谈，备好“佐塔”炼制所需的各类原药材及相关设备，布置炼制场所，邀请相关行业人员，在培训研究方面，计划好培训课程安排与内容等重要工作。</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3. 6 月（核心实施阶段）</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第 1 - 15 天：</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炮制工艺传承与标准化：根据前期研究成果，在符合安全和规范要求的专业场所开展“佐塔”炼制工作。在炼制过程中，进一步验证和优化关键参数和操作要点，完善炮制工艺规范。</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6月17- 7月01 ：</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人才培训：同步开展“佐塔”炮制人才培训工作。按照设计好的培训课程体系，在培训实践基地进行理论授课和现场实操培训。采用多种教学方法提高学员的学习效果。安排理论学习和实操训练时间，确保学员全面掌握相关知识和技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7月2号：对学员进行培训效果评估，包括理论知识考试和实操技能考核。根据考核结果颁发结业证书及授予相应的学分。同时，对整个 5 月的炼制工作进行总结，整理数据和资料。</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4. 7 月 – 12 月（总结完善阶段）</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对前期所有研究工作进行全面总结，整理研究报告，完善相关数据和图表形成一个笔记及全过程记录视频。同时，与行业内其他研究团队和专家进行交流，分享研究成果，接受反馈意见，进一步完善研究内容。</w:t>
            </w:r>
          </w:p>
        </w:tc>
      </w:tr>
      <w:tr w14:paraId="69B35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C79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7637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35FB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D4EE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CBA5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15F5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3A8A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3370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78BE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F501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670BB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90B3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8A09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1387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27.22</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C430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27.22</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6304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D48B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A58A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1475C8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3BD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9FA46B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04AC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3BC9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1FD5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27.22</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C721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27.22</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D5A4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2A8E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510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966B5E">
            <w:pPr>
              <w:rPr>
                <w:rFonts w:hint="eastAsia" w:ascii="黑体" w:hAnsi="黑体" w:eastAsia="黑体" w:cs="黑体"/>
                <w:i/>
                <w:iCs/>
                <w:color w:val="000000"/>
                <w:sz w:val="18"/>
                <w:szCs w:val="18"/>
                <w:u w:val="none"/>
              </w:rPr>
            </w:pPr>
          </w:p>
        </w:tc>
      </w:tr>
      <w:tr w14:paraId="1B6A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18BD4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A2F3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82F3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A750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F677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C6F6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17E8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24B9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6EB4C1">
            <w:pPr>
              <w:rPr>
                <w:rFonts w:hint="eastAsia" w:ascii="黑体" w:hAnsi="黑体" w:eastAsia="黑体" w:cs="黑体"/>
                <w:i/>
                <w:iCs/>
                <w:color w:val="000000"/>
                <w:sz w:val="18"/>
                <w:szCs w:val="18"/>
                <w:u w:val="none"/>
              </w:rPr>
            </w:pPr>
          </w:p>
        </w:tc>
      </w:tr>
      <w:tr w14:paraId="2F2C3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F4736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3F55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0831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E151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F74D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9F5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020A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B476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55974F">
            <w:pPr>
              <w:rPr>
                <w:rFonts w:hint="eastAsia" w:ascii="黑体" w:hAnsi="黑体" w:eastAsia="黑体" w:cs="黑体"/>
                <w:i/>
                <w:iCs/>
                <w:color w:val="000000"/>
                <w:sz w:val="18"/>
                <w:szCs w:val="18"/>
                <w:u w:val="none"/>
              </w:rPr>
            </w:pPr>
          </w:p>
        </w:tc>
      </w:tr>
      <w:tr w14:paraId="53830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AF911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15F0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FB5227A">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63B6AD4">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FDEBB7B">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1686F06">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3883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0643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44AC4E">
            <w:pPr>
              <w:rPr>
                <w:rFonts w:hint="eastAsia" w:ascii="黑体" w:hAnsi="黑体" w:eastAsia="黑体" w:cs="黑体"/>
                <w:i/>
                <w:iCs/>
                <w:color w:val="000000"/>
                <w:sz w:val="18"/>
                <w:szCs w:val="18"/>
                <w:u w:val="none"/>
              </w:rPr>
            </w:pPr>
          </w:p>
        </w:tc>
      </w:tr>
      <w:tr w14:paraId="7E0F6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B08E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E446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7A6F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5206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CAAE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3857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59D9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8C9D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C976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3A0A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89B8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BCF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801C17">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78F7E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611C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7B9C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仁青佐塔炼制数量</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9325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B614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63A6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批次</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E4D007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0067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130B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B2814D4">
            <w:pPr>
              <w:jc w:val="center"/>
              <w:rPr>
                <w:rFonts w:hint="eastAsia" w:ascii="微软雅黑" w:hAnsi="微软雅黑" w:eastAsia="微软雅黑" w:cs="微软雅黑"/>
                <w:i/>
                <w:iCs/>
                <w:color w:val="000000"/>
                <w:sz w:val="16"/>
                <w:szCs w:val="16"/>
                <w:u w:val="none"/>
              </w:rPr>
            </w:pPr>
          </w:p>
        </w:tc>
      </w:tr>
      <w:tr w14:paraId="46211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957662">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5586E51">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481A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B672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炼制药品合格率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9ACE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0A7EB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DA33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767C71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6644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8D1A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3F9487F">
            <w:pPr>
              <w:jc w:val="center"/>
              <w:rPr>
                <w:rFonts w:hint="eastAsia" w:ascii="微软雅黑" w:hAnsi="微软雅黑" w:eastAsia="微软雅黑" w:cs="微软雅黑"/>
                <w:i/>
                <w:iCs/>
                <w:color w:val="000000"/>
                <w:sz w:val="16"/>
                <w:szCs w:val="16"/>
                <w:u w:val="none"/>
              </w:rPr>
            </w:pPr>
          </w:p>
        </w:tc>
      </w:tr>
      <w:tr w14:paraId="2A7DD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E8FB307">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A9859FD">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BCF0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89AC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项目周期</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FFEE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68D6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09C1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3A9EB4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年</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8062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0388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31C24AC">
            <w:pPr>
              <w:jc w:val="center"/>
              <w:rPr>
                <w:rFonts w:hint="eastAsia" w:ascii="微软雅黑" w:hAnsi="微软雅黑" w:eastAsia="微软雅黑" w:cs="微软雅黑"/>
                <w:i/>
                <w:iCs/>
                <w:color w:val="000000"/>
                <w:sz w:val="16"/>
                <w:szCs w:val="16"/>
                <w:u w:val="none"/>
              </w:rPr>
            </w:pPr>
          </w:p>
        </w:tc>
      </w:tr>
      <w:tr w14:paraId="0DE4E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5E35DC">
            <w:pPr>
              <w:jc w:val="center"/>
              <w:rPr>
                <w:rFonts w:hint="eastAsia" w:ascii="宋体" w:hAnsi="宋体" w:eastAsia="宋体" w:cs="宋体"/>
                <w:i w:val="0"/>
                <w:iCs w:val="0"/>
                <w:color w:val="000000"/>
                <w:sz w:val="18"/>
                <w:szCs w:val="18"/>
                <w:u w:val="none"/>
              </w:rPr>
            </w:pP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30E1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566F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4FF2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民族医药服务能力</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6575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95FE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64A319B">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EDD81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明显提升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6C67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89C4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B048293">
            <w:pPr>
              <w:jc w:val="center"/>
              <w:rPr>
                <w:rFonts w:hint="eastAsia" w:ascii="微软雅黑" w:hAnsi="微软雅黑" w:eastAsia="微软雅黑" w:cs="微软雅黑"/>
                <w:i/>
                <w:iCs/>
                <w:color w:val="000000"/>
                <w:sz w:val="16"/>
                <w:szCs w:val="16"/>
                <w:u w:val="none"/>
              </w:rPr>
            </w:pPr>
          </w:p>
        </w:tc>
      </w:tr>
      <w:tr w14:paraId="577FC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65EFB6">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20E8BA2">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3525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7654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环境保护效益</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2A9B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4BC5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3BA6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577005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9929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48C3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EB7AEB6">
            <w:pPr>
              <w:jc w:val="center"/>
              <w:rPr>
                <w:rFonts w:hint="eastAsia" w:ascii="微软雅黑" w:hAnsi="微软雅黑" w:eastAsia="微软雅黑" w:cs="微软雅黑"/>
                <w:i/>
                <w:iCs/>
                <w:color w:val="000000"/>
                <w:sz w:val="16"/>
                <w:szCs w:val="16"/>
                <w:u w:val="none"/>
              </w:rPr>
            </w:pPr>
          </w:p>
        </w:tc>
      </w:tr>
      <w:tr w14:paraId="44B8C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946B1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683F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39E3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0C8C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职工和患者满意度</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3FDA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1063C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24F1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9F45F2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85</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61E6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33F0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1CD7015">
            <w:pPr>
              <w:jc w:val="center"/>
              <w:rPr>
                <w:rFonts w:hint="eastAsia" w:ascii="微软雅黑" w:hAnsi="微软雅黑" w:eastAsia="微软雅黑" w:cs="微软雅黑"/>
                <w:i/>
                <w:iCs/>
                <w:color w:val="000000"/>
                <w:sz w:val="16"/>
                <w:szCs w:val="16"/>
                <w:u w:val="none"/>
              </w:rPr>
            </w:pPr>
          </w:p>
        </w:tc>
      </w:tr>
      <w:tr w14:paraId="0E4A6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C28DCC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B701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1DA6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E432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成本节约率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1207C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AC8F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B53D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FA5A82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F2C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5112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53DB79A">
            <w:pPr>
              <w:jc w:val="center"/>
              <w:rPr>
                <w:rFonts w:hint="eastAsia" w:ascii="微软雅黑" w:hAnsi="微软雅黑" w:eastAsia="微软雅黑" w:cs="微软雅黑"/>
                <w:i/>
                <w:iCs/>
                <w:color w:val="000000"/>
                <w:sz w:val="16"/>
                <w:szCs w:val="16"/>
                <w:u w:val="none"/>
              </w:rPr>
            </w:pPr>
          </w:p>
        </w:tc>
      </w:tr>
      <w:tr w14:paraId="34CB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7650E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D160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03E969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8383536">
            <w:pPr>
              <w:rPr>
                <w:rFonts w:hint="eastAsia" w:ascii="宋体" w:hAnsi="宋体" w:eastAsia="宋体" w:cs="宋体"/>
                <w:i w:val="0"/>
                <w:iCs w:val="0"/>
                <w:color w:val="000000"/>
                <w:sz w:val="18"/>
                <w:szCs w:val="18"/>
                <w:u w:val="none"/>
              </w:rPr>
            </w:pPr>
          </w:p>
        </w:tc>
      </w:tr>
      <w:tr w14:paraId="45D54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2B2A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14A067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仁青佐塔炼制及教学培训项目，由阿坝州藏医院、藏医药研究所牵头，邀请西藏藏医药大学国家级非遗传承人嘎务教授，对全州各县藏医院人员开展17天理论与实践培训。培训严格考勤考核，为合格人员颁发证书，整理技术笔记并录制全过程视频，有效解决仁青佐塔传承人才短缺、技术薄弱问题。项目成功炼制佐塔64.4kg，产值约500万元，缓解本院珍宝药原料缺口，推动藏医药非遗技艺传承与产业化发展，整体实施成效显著。</w:t>
            </w:r>
          </w:p>
        </w:tc>
      </w:tr>
      <w:tr w14:paraId="339DB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84C3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B3207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本次仁青佐塔炼制及教学培训项目由我院及藏医药研究所牵头，邀请国家级非遗传承人嘎务教授开展17天理论与实操教学，覆盖全州各县藏医院人员。项目虽圆满完成，但仍存在不足：一是现代技术仅为半人工模式，自动化水平不高，仍需大量人力；二是传统工艺与现代技术结合后，工作环境与炼制流程尚未统一标准；三是参训人员基础参差不齐，对炮制技术理解掌握存在难度，影响培训实效。</w:t>
            </w:r>
          </w:p>
        </w:tc>
      </w:tr>
      <w:tr w14:paraId="366D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6555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4559A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下一步，一是加快推进技术攻关，加大现代设备研发与应用力度，逐步提升仁青佐塔炼制自动化、智能化水平，降低人力消耗。二是健全标准化体系，统一传统工艺与现代技术融合后的操作规范、环境标准和质量标准，确保制剂安全规范。三是强化分层分类培训，针对参训人员基础差异优化教学内容，提升实操能力。四是积极争取上级政策与资金支持，将藏药制剂标准化、自动化建设纳入藏医药传承发展重点支持范围，推动非遗技艺可持续传承。</w:t>
            </w:r>
          </w:p>
        </w:tc>
      </w:tr>
      <w:tr w14:paraId="214BB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7C6792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5D5C14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45F0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667BF0C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3D6253EE">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1016FF4E">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7E6FE878">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560B288E">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1BDDE95E">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6CAF3C48">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40AA0C79">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4720332E">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6C269678">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60E4B423">
            <w:pPr>
              <w:rPr>
                <w:rFonts w:hint="eastAsia" w:ascii="宋体" w:hAnsi="宋体" w:eastAsia="宋体" w:cs="宋体"/>
                <w:i w:val="0"/>
                <w:iCs w:val="0"/>
                <w:color w:val="000000"/>
                <w:sz w:val="18"/>
                <w:szCs w:val="18"/>
                <w:u w:val="none"/>
              </w:rPr>
            </w:pPr>
          </w:p>
        </w:tc>
      </w:tr>
      <w:tr w14:paraId="2BCC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6F05560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726F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CD704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286055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51320026T000014104336-2025中医药发展补助资金</w:t>
            </w:r>
          </w:p>
        </w:tc>
      </w:tr>
      <w:tr w14:paraId="39A8C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E4D86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FADB3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6FEEFC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6418F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6509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67B74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753C7B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3C278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25159E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320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61D4E02">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5A4448">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6013DDE">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B856C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3711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7E39AC">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5C62D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ED2C9EC">
            <w:pPr>
              <w:rPr>
                <w:rFonts w:hint="eastAsia" w:ascii="宋体" w:hAnsi="宋体" w:eastAsia="宋体" w:cs="宋体"/>
                <w:i w:val="0"/>
                <w:iCs w:val="0"/>
                <w:color w:val="000000"/>
                <w:sz w:val="18"/>
                <w:szCs w:val="18"/>
                <w:u w:val="none"/>
              </w:rPr>
            </w:pPr>
          </w:p>
        </w:tc>
      </w:tr>
      <w:tr w14:paraId="3CC6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5238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B730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5143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C1A6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4B1A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E7B0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B777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63F6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D33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1CD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635DC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D7BF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F5C5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4F0C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18.93</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83A2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18.93</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957C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2A0A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63A2A4F">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8ED305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79D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92B68A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3F62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13FB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6B66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18.93</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D8A8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18.93</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9BF5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9E51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2FE9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A5EC5EF">
            <w:pPr>
              <w:rPr>
                <w:rFonts w:hint="eastAsia" w:ascii="黑体" w:hAnsi="黑体" w:eastAsia="黑体" w:cs="黑体"/>
                <w:i/>
                <w:iCs/>
                <w:color w:val="000000"/>
                <w:sz w:val="18"/>
                <w:szCs w:val="18"/>
                <w:u w:val="none"/>
              </w:rPr>
            </w:pPr>
          </w:p>
        </w:tc>
      </w:tr>
      <w:tr w14:paraId="51DB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CB491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1C9B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5E91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F8FF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CC00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0242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30E9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7B87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2439EC">
            <w:pPr>
              <w:rPr>
                <w:rFonts w:hint="eastAsia" w:ascii="黑体" w:hAnsi="黑体" w:eastAsia="黑体" w:cs="黑体"/>
                <w:i/>
                <w:iCs/>
                <w:color w:val="000000"/>
                <w:sz w:val="18"/>
                <w:szCs w:val="18"/>
                <w:u w:val="none"/>
              </w:rPr>
            </w:pPr>
          </w:p>
        </w:tc>
      </w:tr>
      <w:tr w14:paraId="2DCC0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7B75DA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4C74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A82C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8E71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44E2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4DD1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2C1D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50BE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C5E8F98">
            <w:pPr>
              <w:rPr>
                <w:rFonts w:hint="eastAsia" w:ascii="黑体" w:hAnsi="黑体" w:eastAsia="黑体" w:cs="黑体"/>
                <w:i/>
                <w:iCs/>
                <w:color w:val="000000"/>
                <w:sz w:val="18"/>
                <w:szCs w:val="18"/>
                <w:u w:val="none"/>
              </w:rPr>
            </w:pPr>
          </w:p>
        </w:tc>
      </w:tr>
      <w:tr w14:paraId="04EEB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CBC745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8596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5B4B1DF">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A48087E">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26C5E3B">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0EF9B6F">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5BB7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ECE0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37935B">
            <w:pPr>
              <w:rPr>
                <w:rFonts w:hint="eastAsia" w:ascii="黑体" w:hAnsi="黑体" w:eastAsia="黑体" w:cs="黑体"/>
                <w:i/>
                <w:iCs/>
                <w:color w:val="000000"/>
                <w:sz w:val="18"/>
                <w:szCs w:val="18"/>
                <w:u w:val="none"/>
              </w:rPr>
            </w:pPr>
          </w:p>
        </w:tc>
      </w:tr>
      <w:tr w14:paraId="51B16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A3D3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5C19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7A27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AE22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C72C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06CD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D077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B0ED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5DF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F6C5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3E27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A6E3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5B4257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64C5C95">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5E9274F">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38CDFA7">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7103AD2">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496FD81C">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8A941D9">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9D4007A">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099E875">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30078B7">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A2B6E46">
            <w:pPr>
              <w:jc w:val="center"/>
              <w:rPr>
                <w:rFonts w:hint="eastAsia" w:ascii="微软雅黑" w:hAnsi="微软雅黑" w:eastAsia="微软雅黑" w:cs="微软雅黑"/>
                <w:i/>
                <w:iCs/>
                <w:color w:val="000000"/>
                <w:sz w:val="16"/>
                <w:szCs w:val="16"/>
                <w:u w:val="none"/>
              </w:rPr>
            </w:pPr>
          </w:p>
        </w:tc>
      </w:tr>
      <w:tr w14:paraId="2556D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2514E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EB9A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7CEA6A9">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6158FE6">
            <w:pPr>
              <w:rPr>
                <w:rFonts w:hint="eastAsia" w:ascii="宋体" w:hAnsi="宋体" w:eastAsia="宋体" w:cs="宋体"/>
                <w:i w:val="0"/>
                <w:iCs w:val="0"/>
                <w:color w:val="000000"/>
                <w:sz w:val="18"/>
                <w:szCs w:val="18"/>
                <w:u w:val="none"/>
              </w:rPr>
            </w:pPr>
          </w:p>
        </w:tc>
      </w:tr>
      <w:tr w14:paraId="1929B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41EBB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DC4E0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43D3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1347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2C107C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7806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5DB7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91AD1A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3B0B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657882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A8E39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1136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61EC9E2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0ED5B0BD">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21D32F24">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056BF5CD">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597B80F0">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27B201A2">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73BF3AF3">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488A0CE9">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401A35BE">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398468C3">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C754D3E">
            <w:pPr>
              <w:rPr>
                <w:rFonts w:hint="eastAsia" w:ascii="宋体" w:hAnsi="宋体" w:eastAsia="宋体" w:cs="宋体"/>
                <w:i w:val="0"/>
                <w:iCs w:val="0"/>
                <w:color w:val="000000"/>
                <w:sz w:val="18"/>
                <w:szCs w:val="18"/>
                <w:u w:val="none"/>
              </w:rPr>
            </w:pPr>
          </w:p>
        </w:tc>
      </w:tr>
      <w:tr w14:paraId="60408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6BBF7EA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C54F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4B8DA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CCD4B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51320026T000014204052-中医民族医能力提升项目</w:t>
            </w:r>
          </w:p>
        </w:tc>
      </w:tr>
      <w:tr w14:paraId="5324C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14B7B4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7698B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7FCE5C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685E9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24A5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F8DF3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30A0C7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5C7E5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0D06C10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33CB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4160A5">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44603AE">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11D4969">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60B939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39E5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AEAB48">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E0B8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AC4E938">
            <w:pPr>
              <w:rPr>
                <w:rFonts w:hint="eastAsia" w:ascii="宋体" w:hAnsi="宋体" w:eastAsia="宋体" w:cs="宋体"/>
                <w:i w:val="0"/>
                <w:iCs w:val="0"/>
                <w:color w:val="000000"/>
                <w:sz w:val="18"/>
                <w:szCs w:val="18"/>
                <w:u w:val="none"/>
              </w:rPr>
            </w:pPr>
          </w:p>
        </w:tc>
      </w:tr>
      <w:tr w14:paraId="47BCE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7D40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9524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C17E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CFD4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ED50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40C2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78F4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81E9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50DB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BD7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B3EE5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CD95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7E9D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7319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5207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CA58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6F39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3B61BCE">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5A690C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C9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E2DE1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4D1C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7FD4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8820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3894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FFD7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DD37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749D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11C342">
            <w:pPr>
              <w:rPr>
                <w:rFonts w:hint="eastAsia" w:ascii="黑体" w:hAnsi="黑体" w:eastAsia="黑体" w:cs="黑体"/>
                <w:i/>
                <w:iCs/>
                <w:color w:val="000000"/>
                <w:sz w:val="18"/>
                <w:szCs w:val="18"/>
                <w:u w:val="none"/>
              </w:rPr>
            </w:pPr>
          </w:p>
        </w:tc>
      </w:tr>
      <w:tr w14:paraId="03E0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F793D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A7A6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0A49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11AF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665F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D052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F574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7ED0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1D0CD9">
            <w:pPr>
              <w:rPr>
                <w:rFonts w:hint="eastAsia" w:ascii="黑体" w:hAnsi="黑体" w:eastAsia="黑体" w:cs="黑体"/>
                <w:i/>
                <w:iCs/>
                <w:color w:val="000000"/>
                <w:sz w:val="18"/>
                <w:szCs w:val="18"/>
                <w:u w:val="none"/>
              </w:rPr>
            </w:pPr>
          </w:p>
        </w:tc>
      </w:tr>
      <w:tr w14:paraId="7C3EB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22058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C62C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2B48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EE4B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11BE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EE43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C8B5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8414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F00E954">
            <w:pPr>
              <w:rPr>
                <w:rFonts w:hint="eastAsia" w:ascii="黑体" w:hAnsi="黑体" w:eastAsia="黑体" w:cs="黑体"/>
                <w:i/>
                <w:iCs/>
                <w:color w:val="000000"/>
                <w:sz w:val="18"/>
                <w:szCs w:val="18"/>
                <w:u w:val="none"/>
              </w:rPr>
            </w:pPr>
          </w:p>
        </w:tc>
      </w:tr>
      <w:tr w14:paraId="3034A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1F274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851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FA3852">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F09EA81">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CF68F7D">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4CB231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183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4142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1B37ED">
            <w:pPr>
              <w:rPr>
                <w:rFonts w:hint="eastAsia" w:ascii="黑体" w:hAnsi="黑体" w:eastAsia="黑体" w:cs="黑体"/>
                <w:i/>
                <w:iCs/>
                <w:color w:val="000000"/>
                <w:sz w:val="18"/>
                <w:szCs w:val="18"/>
                <w:u w:val="none"/>
              </w:rPr>
            </w:pPr>
          </w:p>
        </w:tc>
      </w:tr>
      <w:tr w14:paraId="7B45F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A835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7B9D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0628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37BB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7E096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5C4C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92D3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F0E5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B6D7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46F2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6DAD7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90C5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05F132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6950647">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4E6AD96">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19045EF">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2FB60BE">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B370D5C">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F791500">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7D22B85">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3C52940">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355B9B4">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05ADC07">
            <w:pPr>
              <w:jc w:val="center"/>
              <w:rPr>
                <w:rFonts w:hint="eastAsia" w:ascii="微软雅黑" w:hAnsi="微软雅黑" w:eastAsia="微软雅黑" w:cs="微软雅黑"/>
                <w:i/>
                <w:iCs/>
                <w:color w:val="000000"/>
                <w:sz w:val="16"/>
                <w:szCs w:val="16"/>
                <w:u w:val="none"/>
              </w:rPr>
            </w:pPr>
          </w:p>
        </w:tc>
      </w:tr>
      <w:tr w14:paraId="76B61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6207D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96E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20CDEB0">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D10FC02">
            <w:pPr>
              <w:rPr>
                <w:rFonts w:hint="eastAsia" w:ascii="宋体" w:hAnsi="宋体" w:eastAsia="宋体" w:cs="宋体"/>
                <w:i w:val="0"/>
                <w:iCs w:val="0"/>
                <w:color w:val="000000"/>
                <w:sz w:val="18"/>
                <w:szCs w:val="18"/>
                <w:u w:val="none"/>
              </w:rPr>
            </w:pPr>
          </w:p>
        </w:tc>
      </w:tr>
      <w:tr w14:paraId="2E0CA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F2B9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204DE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8DE8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E6CD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4C258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386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ED54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948DF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3D34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71B650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63F10C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10CD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068865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27B8F484">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56C5E46D">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7C9C163B">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5BAE0221">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3FD3A289">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21717222">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5105C5EC">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081EC0CB">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75AF9B44">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1CD3C2B0">
            <w:pPr>
              <w:rPr>
                <w:rFonts w:hint="eastAsia" w:ascii="宋体" w:hAnsi="宋体" w:eastAsia="宋体" w:cs="宋体"/>
                <w:i w:val="0"/>
                <w:iCs w:val="0"/>
                <w:color w:val="000000"/>
                <w:sz w:val="18"/>
                <w:szCs w:val="18"/>
                <w:u w:val="none"/>
              </w:rPr>
            </w:pPr>
          </w:p>
        </w:tc>
      </w:tr>
      <w:tr w14:paraId="31CA1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42BA6A6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C5CD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73AAAA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74D4C6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51320026T000014522933-阿坝州藏医院中医循证能力信息化平台运维费</w:t>
            </w:r>
          </w:p>
        </w:tc>
      </w:tr>
      <w:tr w14:paraId="494F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407886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4CEB56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65442B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790D1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40EC8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3BFB2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05CB53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AEED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2247BE2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31F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F89095">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9DCEF88">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17EC356">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5C41E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AB2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63324F">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EDF1D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AB2BFD9">
            <w:pPr>
              <w:rPr>
                <w:rFonts w:hint="eastAsia" w:ascii="宋体" w:hAnsi="宋体" w:eastAsia="宋体" w:cs="宋体"/>
                <w:i w:val="0"/>
                <w:iCs w:val="0"/>
                <w:color w:val="000000"/>
                <w:sz w:val="18"/>
                <w:szCs w:val="18"/>
                <w:u w:val="none"/>
              </w:rPr>
            </w:pPr>
          </w:p>
        </w:tc>
      </w:tr>
      <w:tr w14:paraId="2A64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A993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A99D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213B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EE12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EEE1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B158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97B4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6D12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DC92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3D0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4535A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6140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7EE2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8A58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19.80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CF62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19.80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3A62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007C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DF3932C">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3E181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3E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8074C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C8BE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9871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AA56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19.80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FD73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19.80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45DE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9F1A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C619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E3BDB1">
            <w:pPr>
              <w:rPr>
                <w:rFonts w:hint="eastAsia" w:ascii="黑体" w:hAnsi="黑体" w:eastAsia="黑体" w:cs="黑体"/>
                <w:i/>
                <w:iCs/>
                <w:color w:val="000000"/>
                <w:sz w:val="18"/>
                <w:szCs w:val="18"/>
                <w:u w:val="none"/>
              </w:rPr>
            </w:pPr>
          </w:p>
        </w:tc>
      </w:tr>
      <w:tr w14:paraId="55546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655EE5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F3A8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02261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2398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11D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F3C5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6BF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694B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139922">
            <w:pPr>
              <w:rPr>
                <w:rFonts w:hint="eastAsia" w:ascii="黑体" w:hAnsi="黑体" w:eastAsia="黑体" w:cs="黑体"/>
                <w:i/>
                <w:iCs/>
                <w:color w:val="000000"/>
                <w:sz w:val="18"/>
                <w:szCs w:val="18"/>
                <w:u w:val="none"/>
              </w:rPr>
            </w:pPr>
          </w:p>
        </w:tc>
      </w:tr>
      <w:tr w14:paraId="31667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9A594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6436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92FD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A95F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4751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5611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5292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509D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D9E884">
            <w:pPr>
              <w:rPr>
                <w:rFonts w:hint="eastAsia" w:ascii="黑体" w:hAnsi="黑体" w:eastAsia="黑体" w:cs="黑体"/>
                <w:i/>
                <w:iCs/>
                <w:color w:val="000000"/>
                <w:sz w:val="18"/>
                <w:szCs w:val="18"/>
                <w:u w:val="none"/>
              </w:rPr>
            </w:pPr>
          </w:p>
        </w:tc>
      </w:tr>
      <w:tr w14:paraId="5E80B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06646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D156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511FCE0">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A957D1A">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88B2282">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820D151">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48EE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A4AA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21C43A">
            <w:pPr>
              <w:rPr>
                <w:rFonts w:hint="eastAsia" w:ascii="黑体" w:hAnsi="黑体" w:eastAsia="黑体" w:cs="黑体"/>
                <w:i/>
                <w:iCs/>
                <w:color w:val="000000"/>
                <w:sz w:val="18"/>
                <w:szCs w:val="18"/>
                <w:u w:val="none"/>
              </w:rPr>
            </w:pPr>
          </w:p>
        </w:tc>
      </w:tr>
      <w:tr w14:paraId="04CBB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4DAD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D00B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BD8D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DA72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33CFB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77708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0456C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4D66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E7B3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5C21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7D633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8A7B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B7E509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A679AA9">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A9B1AFB">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B34EA8E">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601991CB">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D0F74C9">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FF82662">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B1A78BC">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3CADB33">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929CB42">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7DA9451">
            <w:pPr>
              <w:jc w:val="center"/>
              <w:rPr>
                <w:rFonts w:hint="eastAsia" w:ascii="微软雅黑" w:hAnsi="微软雅黑" w:eastAsia="微软雅黑" w:cs="微软雅黑"/>
                <w:i/>
                <w:iCs/>
                <w:color w:val="000000"/>
                <w:sz w:val="16"/>
                <w:szCs w:val="16"/>
                <w:u w:val="none"/>
              </w:rPr>
            </w:pPr>
          </w:p>
        </w:tc>
      </w:tr>
      <w:tr w14:paraId="4906C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317EF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2E84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4C4800D">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2104BB68">
            <w:pPr>
              <w:rPr>
                <w:rFonts w:hint="eastAsia" w:ascii="宋体" w:hAnsi="宋体" w:eastAsia="宋体" w:cs="宋体"/>
                <w:i w:val="0"/>
                <w:iCs w:val="0"/>
                <w:color w:val="000000"/>
                <w:sz w:val="18"/>
                <w:szCs w:val="18"/>
                <w:u w:val="none"/>
              </w:rPr>
            </w:pPr>
          </w:p>
        </w:tc>
      </w:tr>
      <w:tr w14:paraId="07D5F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3CC2A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62CB54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AB4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55349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0E7E0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40D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64AE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87635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15BD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5C667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1D72B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947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70656EB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0A6DFEFE">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55001FA6">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0DB27BCF">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18AA7813">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1778600D">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854DE37">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23F3EB34">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69606927">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311F0CF6">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24E64018">
            <w:pPr>
              <w:rPr>
                <w:rFonts w:hint="eastAsia" w:ascii="宋体" w:hAnsi="宋体" w:eastAsia="宋体" w:cs="宋体"/>
                <w:i w:val="0"/>
                <w:iCs w:val="0"/>
                <w:color w:val="000000"/>
                <w:sz w:val="18"/>
                <w:szCs w:val="18"/>
                <w:u w:val="none"/>
              </w:rPr>
            </w:pPr>
          </w:p>
        </w:tc>
      </w:tr>
      <w:tr w14:paraId="0D5E3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527887D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482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5F0FD8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44CC9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51320026T000014522945-阿坝州藏医院体检系统</w:t>
            </w:r>
          </w:p>
        </w:tc>
      </w:tr>
      <w:tr w14:paraId="09A46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7E064D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02D22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3F7855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6E3B8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5E73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03A567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FE832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891C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50AD88F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D2B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910AC60">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A2E6CDE">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69D25499">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79F0A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2420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5020327">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C6B04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6FECB3D">
            <w:pPr>
              <w:rPr>
                <w:rFonts w:hint="eastAsia" w:ascii="宋体" w:hAnsi="宋体" w:eastAsia="宋体" w:cs="宋体"/>
                <w:i w:val="0"/>
                <w:iCs w:val="0"/>
                <w:color w:val="000000"/>
                <w:sz w:val="18"/>
                <w:szCs w:val="18"/>
                <w:u w:val="none"/>
              </w:rPr>
            </w:pPr>
          </w:p>
        </w:tc>
      </w:tr>
      <w:tr w14:paraId="6B27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E7C6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60C9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FED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9DCF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ADBE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070B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637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E527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A443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764D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B6445A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5252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82BE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0F330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324BF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7.08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6010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23.60%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FC9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63A4943">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081F6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82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5717DF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E6A6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9E7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8F99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3F13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7.08</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DD31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23.60%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02C7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0B8F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88C0EA">
            <w:pPr>
              <w:rPr>
                <w:rFonts w:hint="eastAsia" w:ascii="黑体" w:hAnsi="黑体" w:eastAsia="黑体" w:cs="黑体"/>
                <w:i/>
                <w:iCs/>
                <w:color w:val="000000"/>
                <w:sz w:val="18"/>
                <w:szCs w:val="18"/>
                <w:u w:val="none"/>
              </w:rPr>
            </w:pPr>
          </w:p>
        </w:tc>
      </w:tr>
      <w:tr w14:paraId="35AEC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48FA7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263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108C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2287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125B5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F2CD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DF8A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3045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ED8F675">
            <w:pPr>
              <w:rPr>
                <w:rFonts w:hint="eastAsia" w:ascii="黑体" w:hAnsi="黑体" w:eastAsia="黑体" w:cs="黑体"/>
                <w:i/>
                <w:iCs/>
                <w:color w:val="000000"/>
                <w:sz w:val="18"/>
                <w:szCs w:val="18"/>
                <w:u w:val="none"/>
              </w:rPr>
            </w:pPr>
          </w:p>
        </w:tc>
      </w:tr>
      <w:tr w14:paraId="1C536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1D0B4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E25E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D7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4B5F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EC84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9709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A170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EB36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B17FE8">
            <w:pPr>
              <w:rPr>
                <w:rFonts w:hint="eastAsia" w:ascii="黑体" w:hAnsi="黑体" w:eastAsia="黑体" w:cs="黑体"/>
                <w:i/>
                <w:iCs/>
                <w:color w:val="000000"/>
                <w:sz w:val="18"/>
                <w:szCs w:val="18"/>
                <w:u w:val="none"/>
              </w:rPr>
            </w:pPr>
          </w:p>
        </w:tc>
      </w:tr>
      <w:tr w14:paraId="1132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9590C8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1C85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CFC1FB0">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EAA3F07">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775B9BC">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B454057">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B5C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02268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D82B39">
            <w:pPr>
              <w:rPr>
                <w:rFonts w:hint="eastAsia" w:ascii="黑体" w:hAnsi="黑体" w:eastAsia="黑体" w:cs="黑体"/>
                <w:i/>
                <w:iCs/>
                <w:color w:val="000000"/>
                <w:sz w:val="18"/>
                <w:szCs w:val="18"/>
                <w:u w:val="none"/>
              </w:rPr>
            </w:pPr>
          </w:p>
        </w:tc>
      </w:tr>
      <w:tr w14:paraId="4150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96C6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79C2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9DDA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BC90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9BCD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5CC99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FC48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074F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7E50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97AE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CB5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C50D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D3839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453898E">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A6B67A6">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597638E">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A271A5D">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0FC5EA3">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61FFC60C">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3F5DE1D5">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C4C9D72">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72F9528">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152AB6AE">
            <w:pPr>
              <w:jc w:val="center"/>
              <w:rPr>
                <w:rFonts w:hint="eastAsia" w:ascii="微软雅黑" w:hAnsi="微软雅黑" w:eastAsia="微软雅黑" w:cs="微软雅黑"/>
                <w:i/>
                <w:iCs/>
                <w:color w:val="000000"/>
                <w:sz w:val="16"/>
                <w:szCs w:val="16"/>
                <w:u w:val="none"/>
              </w:rPr>
            </w:pPr>
          </w:p>
        </w:tc>
      </w:tr>
      <w:tr w14:paraId="49B54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6D460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BD48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BBF7529">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BC0AE6D">
            <w:pPr>
              <w:rPr>
                <w:rFonts w:hint="eastAsia" w:ascii="宋体" w:hAnsi="宋体" w:eastAsia="宋体" w:cs="宋体"/>
                <w:i w:val="0"/>
                <w:iCs w:val="0"/>
                <w:color w:val="000000"/>
                <w:sz w:val="18"/>
                <w:szCs w:val="18"/>
                <w:u w:val="none"/>
              </w:rPr>
            </w:pPr>
          </w:p>
        </w:tc>
      </w:tr>
      <w:tr w14:paraId="4EA8B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219C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2C331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257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6846E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A0391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162FD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9F22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20A534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FFB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06F8BC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6BF45F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28BE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66051895">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621EBCD1">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6D4C509F">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3FA0D60A">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32F76F36">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784C0E96">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6FACE660">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29381108">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33BC885B">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3DAFF03E">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7D0FA49D">
            <w:pPr>
              <w:rPr>
                <w:rFonts w:hint="eastAsia" w:ascii="宋体" w:hAnsi="宋体" w:eastAsia="宋体" w:cs="宋体"/>
                <w:i w:val="0"/>
                <w:iCs w:val="0"/>
                <w:color w:val="000000"/>
                <w:sz w:val="18"/>
                <w:szCs w:val="18"/>
                <w:u w:val="none"/>
              </w:rPr>
            </w:pPr>
          </w:p>
        </w:tc>
      </w:tr>
      <w:tr w14:paraId="1EDDF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4F5E082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980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727C81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37545B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51320026T000014522977-阿坝州藏医院全院心电软件硬件系统</w:t>
            </w:r>
          </w:p>
        </w:tc>
      </w:tr>
      <w:tr w14:paraId="18AF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35F6A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24EC17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67196D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5B9E0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2A045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47BEEA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5B85B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324F7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1F5486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F86B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02790DC">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7D52B5">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CE425A4">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43323D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32DFE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2E6223">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5BADD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480A1571">
            <w:pPr>
              <w:rPr>
                <w:rFonts w:hint="eastAsia" w:ascii="宋体" w:hAnsi="宋体" w:eastAsia="宋体" w:cs="宋体"/>
                <w:i w:val="0"/>
                <w:iCs w:val="0"/>
                <w:color w:val="000000"/>
                <w:sz w:val="18"/>
                <w:szCs w:val="18"/>
                <w:u w:val="none"/>
              </w:rPr>
            </w:pPr>
          </w:p>
        </w:tc>
      </w:tr>
      <w:tr w14:paraId="10F8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BD8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6EF20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067F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0BED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4A24C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E88F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0B79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5318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DC3F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6D4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31A8F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FBDB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C3B2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989B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8.25</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CD9E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8.25</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05DE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0EE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643CAB7">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671B9AB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E763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56BE4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01AC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1881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370E4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8.25</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780E3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8.25</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FACE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B7C5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1BD2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7A25F2">
            <w:pPr>
              <w:rPr>
                <w:rFonts w:hint="eastAsia" w:ascii="黑体" w:hAnsi="黑体" w:eastAsia="黑体" w:cs="黑体"/>
                <w:i/>
                <w:iCs/>
                <w:color w:val="000000"/>
                <w:sz w:val="18"/>
                <w:szCs w:val="18"/>
                <w:u w:val="none"/>
              </w:rPr>
            </w:pPr>
          </w:p>
        </w:tc>
      </w:tr>
      <w:tr w14:paraId="3D1A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52294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218F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9D9F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244D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6CC52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0C2B7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1AA7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4D20A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B6EB64">
            <w:pPr>
              <w:rPr>
                <w:rFonts w:hint="eastAsia" w:ascii="黑体" w:hAnsi="黑体" w:eastAsia="黑体" w:cs="黑体"/>
                <w:i/>
                <w:iCs/>
                <w:color w:val="000000"/>
                <w:sz w:val="18"/>
                <w:szCs w:val="18"/>
                <w:u w:val="none"/>
              </w:rPr>
            </w:pPr>
          </w:p>
        </w:tc>
      </w:tr>
      <w:tr w14:paraId="7FC57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6FE76A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5E4A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BA4B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1625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BEEE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D311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7A2F7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DDBD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4D226C">
            <w:pPr>
              <w:rPr>
                <w:rFonts w:hint="eastAsia" w:ascii="黑体" w:hAnsi="黑体" w:eastAsia="黑体" w:cs="黑体"/>
                <w:i/>
                <w:iCs/>
                <w:color w:val="000000"/>
                <w:sz w:val="18"/>
                <w:szCs w:val="18"/>
                <w:u w:val="none"/>
              </w:rPr>
            </w:pPr>
          </w:p>
        </w:tc>
      </w:tr>
      <w:tr w14:paraId="71EDF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B318CB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8F0F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14274D28">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1BAD489">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A2183ED">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AC74489">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5563C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0C73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7C7654F">
            <w:pPr>
              <w:rPr>
                <w:rFonts w:hint="eastAsia" w:ascii="黑体" w:hAnsi="黑体" w:eastAsia="黑体" w:cs="黑体"/>
                <w:i/>
                <w:iCs/>
                <w:color w:val="000000"/>
                <w:sz w:val="18"/>
                <w:szCs w:val="18"/>
                <w:u w:val="none"/>
              </w:rPr>
            </w:pPr>
          </w:p>
        </w:tc>
      </w:tr>
      <w:tr w14:paraId="49C46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788A3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B275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372C2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F550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40CCB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60F7E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413B5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FF88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6AD2A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5646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54061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D0F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46C5B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3CD8DDC">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1E044ED">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6468F9EF">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081623D8">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65C9B13">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12183EE6">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15DD8A8D">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4301C70F">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CFD277D">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2734C76">
            <w:pPr>
              <w:jc w:val="center"/>
              <w:rPr>
                <w:rFonts w:hint="eastAsia" w:ascii="微软雅黑" w:hAnsi="微软雅黑" w:eastAsia="微软雅黑" w:cs="微软雅黑"/>
                <w:i/>
                <w:iCs/>
                <w:color w:val="000000"/>
                <w:sz w:val="16"/>
                <w:szCs w:val="16"/>
                <w:u w:val="none"/>
              </w:rPr>
            </w:pPr>
          </w:p>
        </w:tc>
      </w:tr>
      <w:tr w14:paraId="520D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653D3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54C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61E9CD85">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98BDE91">
            <w:pPr>
              <w:rPr>
                <w:rFonts w:hint="eastAsia" w:ascii="宋体" w:hAnsi="宋体" w:eastAsia="宋体" w:cs="宋体"/>
                <w:i w:val="0"/>
                <w:iCs w:val="0"/>
                <w:color w:val="000000"/>
                <w:sz w:val="18"/>
                <w:szCs w:val="18"/>
                <w:u w:val="none"/>
              </w:rPr>
            </w:pPr>
          </w:p>
        </w:tc>
      </w:tr>
      <w:tr w14:paraId="098E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1BA40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40D8FA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00F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876A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5EBE5A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59BC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70D6B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1252B6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4FF27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19CAF2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063666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4AB21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327" w:type="pct"/>
            <w:tcBorders>
              <w:top w:val="nil"/>
              <w:left w:val="nil"/>
              <w:bottom w:val="nil"/>
              <w:right w:val="nil"/>
            </w:tcBorders>
            <w:shd w:val="clear"/>
            <w:vAlign w:val="center"/>
          </w:tcPr>
          <w:p w14:paraId="0C49E02C">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vAlign w:val="center"/>
          </w:tcPr>
          <w:p w14:paraId="0968035A">
            <w:pPr>
              <w:rPr>
                <w:rFonts w:hint="eastAsia" w:ascii="宋体" w:hAnsi="宋体" w:eastAsia="宋体" w:cs="宋体"/>
                <w:i w:val="0"/>
                <w:iCs w:val="0"/>
                <w:color w:val="000000"/>
                <w:sz w:val="18"/>
                <w:szCs w:val="18"/>
                <w:u w:val="none"/>
              </w:rPr>
            </w:pPr>
          </w:p>
        </w:tc>
        <w:tc>
          <w:tcPr>
            <w:tcW w:w="754" w:type="pct"/>
            <w:tcBorders>
              <w:top w:val="nil"/>
              <w:left w:val="nil"/>
              <w:bottom w:val="nil"/>
              <w:right w:val="nil"/>
            </w:tcBorders>
            <w:shd w:val="clear"/>
            <w:vAlign w:val="center"/>
          </w:tcPr>
          <w:p w14:paraId="5654F5F0">
            <w:pPr>
              <w:rPr>
                <w:rFonts w:hint="eastAsia" w:ascii="宋体" w:hAnsi="宋体" w:eastAsia="宋体" w:cs="宋体"/>
                <w:i w:val="0"/>
                <w:iCs w:val="0"/>
                <w:color w:val="000000"/>
                <w:sz w:val="18"/>
                <w:szCs w:val="18"/>
                <w:u w:val="none"/>
              </w:rPr>
            </w:pPr>
          </w:p>
        </w:tc>
        <w:tc>
          <w:tcPr>
            <w:tcW w:w="735" w:type="pct"/>
            <w:tcBorders>
              <w:top w:val="nil"/>
              <w:left w:val="nil"/>
              <w:bottom w:val="nil"/>
              <w:right w:val="nil"/>
            </w:tcBorders>
            <w:shd w:val="clear"/>
            <w:vAlign w:val="center"/>
          </w:tcPr>
          <w:p w14:paraId="7989CAB3">
            <w:pPr>
              <w:rPr>
                <w:rFonts w:hint="eastAsia" w:ascii="宋体" w:hAnsi="宋体" w:eastAsia="宋体" w:cs="宋体"/>
                <w:i w:val="0"/>
                <w:iCs w:val="0"/>
                <w:color w:val="000000"/>
                <w:sz w:val="18"/>
                <w:szCs w:val="18"/>
                <w:u w:val="none"/>
              </w:rPr>
            </w:pPr>
          </w:p>
        </w:tc>
        <w:tc>
          <w:tcPr>
            <w:tcW w:w="215" w:type="pct"/>
            <w:tcBorders>
              <w:top w:val="nil"/>
              <w:left w:val="nil"/>
              <w:bottom w:val="nil"/>
              <w:right w:val="nil"/>
            </w:tcBorders>
            <w:shd w:val="clear"/>
            <w:vAlign w:val="center"/>
          </w:tcPr>
          <w:p w14:paraId="31E603B8">
            <w:pPr>
              <w:rPr>
                <w:rFonts w:hint="eastAsia" w:ascii="宋体" w:hAnsi="宋体" w:eastAsia="宋体" w:cs="宋体"/>
                <w:i w:val="0"/>
                <w:iCs w:val="0"/>
                <w:color w:val="000000"/>
                <w:sz w:val="18"/>
                <w:szCs w:val="18"/>
                <w:u w:val="none"/>
              </w:rPr>
            </w:pPr>
          </w:p>
        </w:tc>
        <w:tc>
          <w:tcPr>
            <w:tcW w:w="453" w:type="pct"/>
            <w:tcBorders>
              <w:top w:val="nil"/>
              <w:left w:val="nil"/>
              <w:bottom w:val="nil"/>
              <w:right w:val="nil"/>
            </w:tcBorders>
            <w:shd w:val="clear"/>
            <w:vAlign w:val="center"/>
          </w:tcPr>
          <w:p w14:paraId="0E58DCE3">
            <w:pPr>
              <w:rPr>
                <w:rFonts w:hint="eastAsia" w:ascii="宋体" w:hAnsi="宋体" w:eastAsia="宋体" w:cs="宋体"/>
                <w:i w:val="0"/>
                <w:iCs w:val="0"/>
                <w:color w:val="000000"/>
                <w:sz w:val="18"/>
                <w:szCs w:val="18"/>
                <w:u w:val="none"/>
              </w:rPr>
            </w:pPr>
          </w:p>
        </w:tc>
        <w:tc>
          <w:tcPr>
            <w:tcW w:w="230" w:type="pct"/>
            <w:tcBorders>
              <w:top w:val="nil"/>
              <w:left w:val="nil"/>
              <w:bottom w:val="nil"/>
              <w:right w:val="nil"/>
            </w:tcBorders>
            <w:shd w:val="clear"/>
            <w:vAlign w:val="center"/>
          </w:tcPr>
          <w:p w14:paraId="025B0A65">
            <w:pPr>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vAlign w:val="center"/>
          </w:tcPr>
          <w:p w14:paraId="59626F75">
            <w:pPr>
              <w:rPr>
                <w:rFonts w:hint="eastAsia" w:ascii="宋体" w:hAnsi="宋体" w:eastAsia="宋体" w:cs="宋体"/>
                <w:i w:val="0"/>
                <w:iCs w:val="0"/>
                <w:color w:val="000000"/>
                <w:sz w:val="18"/>
                <w:szCs w:val="18"/>
                <w:u w:val="none"/>
              </w:rPr>
            </w:pPr>
          </w:p>
        </w:tc>
        <w:tc>
          <w:tcPr>
            <w:tcW w:w="208" w:type="pct"/>
            <w:tcBorders>
              <w:top w:val="nil"/>
              <w:left w:val="nil"/>
              <w:bottom w:val="nil"/>
              <w:right w:val="nil"/>
            </w:tcBorders>
            <w:shd w:val="clear"/>
            <w:vAlign w:val="center"/>
          </w:tcPr>
          <w:p w14:paraId="7A03EDDE">
            <w:pPr>
              <w:rPr>
                <w:rFonts w:hint="eastAsia" w:ascii="宋体" w:hAnsi="宋体" w:eastAsia="宋体" w:cs="宋体"/>
                <w:i w:val="0"/>
                <w:iCs w:val="0"/>
                <w:color w:val="000000"/>
                <w:sz w:val="18"/>
                <w:szCs w:val="18"/>
                <w:u w:val="none"/>
              </w:rPr>
            </w:pPr>
          </w:p>
        </w:tc>
        <w:tc>
          <w:tcPr>
            <w:tcW w:w="201" w:type="pct"/>
            <w:tcBorders>
              <w:top w:val="nil"/>
              <w:left w:val="nil"/>
              <w:bottom w:val="nil"/>
              <w:right w:val="nil"/>
            </w:tcBorders>
            <w:shd w:val="clear"/>
            <w:vAlign w:val="center"/>
          </w:tcPr>
          <w:p w14:paraId="59FA077D">
            <w:pPr>
              <w:rPr>
                <w:rFonts w:hint="eastAsia" w:ascii="宋体" w:hAnsi="宋体" w:eastAsia="宋体" w:cs="宋体"/>
                <w:i w:val="0"/>
                <w:iCs w:val="0"/>
                <w:color w:val="000000"/>
                <w:sz w:val="18"/>
                <w:szCs w:val="18"/>
                <w:u w:val="none"/>
              </w:rPr>
            </w:pPr>
          </w:p>
        </w:tc>
        <w:tc>
          <w:tcPr>
            <w:tcW w:w="837" w:type="pct"/>
            <w:tcBorders>
              <w:top w:val="nil"/>
              <w:left w:val="nil"/>
              <w:bottom w:val="nil"/>
              <w:right w:val="nil"/>
            </w:tcBorders>
            <w:shd w:val="clear"/>
            <w:vAlign w:val="center"/>
          </w:tcPr>
          <w:p w14:paraId="48811316">
            <w:pPr>
              <w:rPr>
                <w:rFonts w:hint="eastAsia" w:ascii="宋体" w:hAnsi="宋体" w:eastAsia="宋体" w:cs="宋体"/>
                <w:i w:val="0"/>
                <w:iCs w:val="0"/>
                <w:color w:val="000000"/>
                <w:sz w:val="18"/>
                <w:szCs w:val="18"/>
                <w:u w:val="none"/>
              </w:rPr>
            </w:pPr>
          </w:p>
        </w:tc>
      </w:tr>
      <w:tr w14:paraId="0A76E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vAlign w:val="center"/>
          </w:tcPr>
          <w:p w14:paraId="3D7868E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38E2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6FD3E0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1E1F9F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51320026T000014522989-阿坝州藏医院网络安全等保测评服务费</w:t>
            </w:r>
          </w:p>
        </w:tc>
      </w:tr>
      <w:tr w14:paraId="2B351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940" w:type="pct"/>
            <w:gridSpan w:val="2"/>
            <w:tcBorders>
              <w:top w:val="single" w:color="000000" w:sz="4" w:space="0"/>
              <w:left w:val="single" w:color="000000" w:sz="4" w:space="0"/>
              <w:bottom w:val="single" w:color="000000" w:sz="4" w:space="0"/>
              <w:right w:val="single" w:color="000000" w:sz="4" w:space="0"/>
            </w:tcBorders>
            <w:shd w:val="clear"/>
            <w:vAlign w:val="center"/>
          </w:tcPr>
          <w:p w14:paraId="2D149D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0E547A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州卫生健康委部门</w:t>
            </w:r>
          </w:p>
        </w:tc>
        <w:tc>
          <w:tcPr>
            <w:tcW w:w="422" w:type="pct"/>
            <w:tcBorders>
              <w:top w:val="nil"/>
              <w:left w:val="nil"/>
              <w:bottom w:val="nil"/>
              <w:right w:val="nil"/>
            </w:tcBorders>
            <w:shd w:val="clear"/>
            <w:vAlign w:val="center"/>
          </w:tcPr>
          <w:p w14:paraId="36C6BF2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vAlign w:val="center"/>
          </w:tcPr>
          <w:p w14:paraId="128D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州藏医院（州藏医药研究所）</w:t>
            </w:r>
          </w:p>
        </w:tc>
      </w:tr>
      <w:tr w14:paraId="7C1C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1AD627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612" w:type="pct"/>
            <w:vMerge w:val="restart"/>
            <w:tcBorders>
              <w:top w:val="single" w:color="000000" w:sz="4" w:space="0"/>
              <w:left w:val="single" w:color="000000" w:sz="4" w:space="0"/>
              <w:bottom w:val="single" w:color="000000" w:sz="4" w:space="0"/>
              <w:right w:val="single" w:color="000000" w:sz="4" w:space="0"/>
            </w:tcBorders>
            <w:shd w:val="clear"/>
            <w:vAlign w:val="center"/>
          </w:tcPr>
          <w:p w14:paraId="11895A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3CC2E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37CE8C4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230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E8AC437">
            <w:pP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7B37FD">
            <w:pPr>
              <w:rPr>
                <w:rFonts w:hint="eastAsia" w:ascii="宋体" w:hAnsi="宋体" w:eastAsia="宋体" w:cs="宋体"/>
                <w:i w:val="0"/>
                <w:iCs w:val="0"/>
                <w:color w:val="000000"/>
                <w:sz w:val="18"/>
                <w:szCs w:val="18"/>
                <w:u w:val="none"/>
              </w:rPr>
            </w:pPr>
          </w:p>
        </w:tc>
        <w:tc>
          <w:tcPr>
            <w:tcW w:w="2389" w:type="pct"/>
            <w:gridSpan w:val="5"/>
            <w:tcBorders>
              <w:top w:val="single" w:color="000000" w:sz="4" w:space="0"/>
              <w:left w:val="single" w:color="000000" w:sz="4" w:space="0"/>
              <w:bottom w:val="single" w:color="000000" w:sz="4" w:space="0"/>
              <w:right w:val="single" w:color="000000" w:sz="4" w:space="0"/>
            </w:tcBorders>
            <w:shd w:val="clear"/>
            <w:vAlign w:val="center"/>
          </w:tcPr>
          <w:p w14:paraId="110876F2">
            <w:pPr>
              <w:rPr>
                <w:rFonts w:hint="eastAsia" w:ascii="宋体" w:hAnsi="宋体" w:eastAsia="宋体" w:cs="宋体"/>
                <w:i w:val="0"/>
                <w:iCs w:val="0"/>
                <w:color w:val="000000"/>
                <w:sz w:val="18"/>
                <w:szCs w:val="18"/>
                <w:u w:val="none"/>
              </w:rPr>
            </w:pPr>
          </w:p>
        </w:tc>
        <w:tc>
          <w:tcPr>
            <w:tcW w:w="1669" w:type="pct"/>
            <w:gridSpan w:val="4"/>
            <w:tcBorders>
              <w:top w:val="single" w:color="000000" w:sz="4" w:space="0"/>
              <w:left w:val="single" w:color="000000" w:sz="4" w:space="0"/>
              <w:bottom w:val="single" w:color="000000" w:sz="4" w:space="0"/>
              <w:right w:val="single" w:color="000000" w:sz="4" w:space="0"/>
            </w:tcBorders>
            <w:shd w:val="clear"/>
            <w:vAlign w:val="center"/>
          </w:tcPr>
          <w:p w14:paraId="7E142B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9635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755DE2">
            <w:pP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5917E2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4059" w:type="pct"/>
            <w:gridSpan w:val="9"/>
            <w:tcBorders>
              <w:top w:val="single" w:color="000000" w:sz="4" w:space="0"/>
              <w:left w:val="single" w:color="000000" w:sz="4" w:space="0"/>
              <w:bottom w:val="single" w:color="000000" w:sz="4" w:space="0"/>
              <w:right w:val="single" w:color="000000" w:sz="4" w:space="0"/>
            </w:tcBorders>
            <w:shd w:val="clear"/>
            <w:vAlign w:val="center"/>
          </w:tcPr>
          <w:p w14:paraId="635F063D">
            <w:pPr>
              <w:rPr>
                <w:rFonts w:hint="eastAsia" w:ascii="宋体" w:hAnsi="宋体" w:eastAsia="宋体" w:cs="宋体"/>
                <w:i w:val="0"/>
                <w:iCs w:val="0"/>
                <w:color w:val="000000"/>
                <w:sz w:val="18"/>
                <w:szCs w:val="18"/>
                <w:u w:val="none"/>
              </w:rPr>
            </w:pPr>
          </w:p>
        </w:tc>
      </w:tr>
      <w:tr w14:paraId="36977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2E44E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1E1DC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C0D1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74AC0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1EF3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22A6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F531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5117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0FDA0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2337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A5E3C9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A438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0964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0AB9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0C2D6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AEE0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24F59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4224994">
            <w:pPr>
              <w:jc w:val="center"/>
              <w:rPr>
                <w:rFonts w:hint="eastAsia" w:ascii="宋体" w:hAnsi="宋体" w:eastAsia="宋体" w:cs="宋体"/>
                <w:i w:val="0"/>
                <w:iCs w:val="0"/>
                <w:color w:val="000000"/>
                <w:sz w:val="18"/>
                <w:szCs w:val="18"/>
                <w:u w:val="none"/>
              </w:rPr>
            </w:pPr>
          </w:p>
        </w:tc>
        <w:tc>
          <w:tcPr>
            <w:tcW w:w="837" w:type="pct"/>
            <w:vMerge w:val="restart"/>
            <w:tcBorders>
              <w:top w:val="single" w:color="000000" w:sz="4" w:space="0"/>
              <w:left w:val="single" w:color="000000" w:sz="4" w:space="0"/>
              <w:bottom w:val="single" w:color="000000" w:sz="4" w:space="0"/>
              <w:right w:val="single" w:color="000000" w:sz="4" w:space="0"/>
            </w:tcBorders>
            <w:shd w:val="clear"/>
            <w:vAlign w:val="center"/>
          </w:tcPr>
          <w:p w14:paraId="38BD6A6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62A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59747C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0366C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563B1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9DA8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A4B4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60084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9B8B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32F6E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88475F">
            <w:pPr>
              <w:rPr>
                <w:rFonts w:hint="eastAsia" w:ascii="黑体" w:hAnsi="黑体" w:eastAsia="黑体" w:cs="黑体"/>
                <w:i/>
                <w:iCs/>
                <w:color w:val="000000"/>
                <w:sz w:val="18"/>
                <w:szCs w:val="18"/>
                <w:u w:val="none"/>
              </w:rPr>
            </w:pPr>
          </w:p>
        </w:tc>
      </w:tr>
      <w:tr w14:paraId="0DB0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A6620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6851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64C7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504F5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8F3E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7DC2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831D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AAC0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6E3076">
            <w:pPr>
              <w:rPr>
                <w:rFonts w:hint="eastAsia" w:ascii="黑体" w:hAnsi="黑体" w:eastAsia="黑体" w:cs="黑体"/>
                <w:i/>
                <w:iCs/>
                <w:color w:val="000000"/>
                <w:sz w:val="18"/>
                <w:szCs w:val="18"/>
                <w:u w:val="none"/>
              </w:rPr>
            </w:pPr>
          </w:p>
        </w:tc>
      </w:tr>
      <w:tr w14:paraId="1BE5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F0088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3D2D0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2BA8F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48E08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56459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57A35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5294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6E90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08969F">
            <w:pPr>
              <w:rPr>
                <w:rFonts w:hint="eastAsia" w:ascii="黑体" w:hAnsi="黑体" w:eastAsia="黑体" w:cs="黑体"/>
                <w:i/>
                <w:iCs/>
                <w:color w:val="000000"/>
                <w:sz w:val="18"/>
                <w:szCs w:val="18"/>
                <w:u w:val="none"/>
              </w:rPr>
            </w:pPr>
          </w:p>
        </w:tc>
      </w:tr>
      <w:tr w14:paraId="5412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FD86E1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49087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4B37D805">
            <w:pPr>
              <w:jc w:val="center"/>
              <w:rPr>
                <w:rFonts w:hint="eastAsia" w:ascii="微软雅黑" w:hAnsi="微软雅黑" w:eastAsia="微软雅黑" w:cs="微软雅黑"/>
                <w:i/>
                <w:iCs/>
                <w:color w:val="000000"/>
                <w:sz w:val="16"/>
                <w:szCs w:val="16"/>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1C1ACE55">
            <w:pPr>
              <w:jc w:val="center"/>
              <w:rPr>
                <w:rFonts w:hint="eastAsia" w:ascii="微软雅黑" w:hAnsi="微软雅黑" w:eastAsia="微软雅黑" w:cs="微软雅黑"/>
                <w:i/>
                <w:iCs/>
                <w:color w:val="000000"/>
                <w:sz w:val="16"/>
                <w:szCs w:val="16"/>
                <w:u w:val="none"/>
              </w:rPr>
            </w:pPr>
          </w:p>
        </w:tc>
        <w:tc>
          <w:tcPr>
            <w:tcW w:w="899" w:type="pct"/>
            <w:gridSpan w:val="3"/>
            <w:tcBorders>
              <w:top w:val="single" w:color="000000" w:sz="4" w:space="0"/>
              <w:left w:val="single" w:color="000000" w:sz="4" w:space="0"/>
              <w:bottom w:val="single" w:color="000000" w:sz="4" w:space="0"/>
              <w:right w:val="single" w:color="000000" w:sz="4" w:space="0"/>
            </w:tcBorders>
            <w:shd w:val="clear"/>
            <w:vAlign w:val="center"/>
          </w:tcPr>
          <w:p w14:paraId="2BD85172">
            <w:pPr>
              <w:jc w:val="center"/>
              <w:rPr>
                <w:rFonts w:hint="eastAsia" w:ascii="微软雅黑" w:hAnsi="微软雅黑" w:eastAsia="微软雅黑" w:cs="微软雅黑"/>
                <w:i/>
                <w:iCs/>
                <w:color w:val="000000"/>
                <w:sz w:val="16"/>
                <w:szCs w:val="16"/>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20F5C0DE">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C549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216A8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961D6B">
            <w:pPr>
              <w:rPr>
                <w:rFonts w:hint="eastAsia" w:ascii="黑体" w:hAnsi="黑体" w:eastAsia="黑体" w:cs="黑体"/>
                <w:i/>
                <w:iCs/>
                <w:color w:val="000000"/>
                <w:sz w:val="18"/>
                <w:szCs w:val="18"/>
                <w:u w:val="none"/>
              </w:rPr>
            </w:pPr>
          </w:p>
        </w:tc>
      </w:tr>
      <w:tr w14:paraId="1C495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vAlign w:val="center"/>
          </w:tcPr>
          <w:p w14:paraId="5808D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7C819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75FE0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015A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53D90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24BC7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3239B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7C9D3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305BF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124C3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36E7E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F54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E1A79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vAlign w:val="center"/>
          </w:tcPr>
          <w:p w14:paraId="237FA2D1">
            <w:pPr>
              <w:jc w:val="center"/>
              <w:rPr>
                <w:rFonts w:hint="eastAsia" w:ascii="宋体" w:hAnsi="宋体" w:eastAsia="宋体" w:cs="宋体"/>
                <w:i w:val="0"/>
                <w:iCs w:val="0"/>
                <w:color w:val="000000"/>
                <w:sz w:val="18"/>
                <w:szCs w:val="18"/>
                <w:u w:val="none"/>
              </w:rPr>
            </w:pPr>
          </w:p>
        </w:tc>
        <w:tc>
          <w:tcPr>
            <w:tcW w:w="754" w:type="pct"/>
            <w:tcBorders>
              <w:top w:val="single" w:color="000000" w:sz="4" w:space="0"/>
              <w:left w:val="single" w:color="000000" w:sz="4" w:space="0"/>
              <w:bottom w:val="single" w:color="000000" w:sz="4" w:space="0"/>
              <w:right w:val="single" w:color="000000" w:sz="4" w:space="0"/>
            </w:tcBorders>
            <w:shd w:val="clear"/>
            <w:vAlign w:val="center"/>
          </w:tcPr>
          <w:p w14:paraId="608981F5">
            <w:pPr>
              <w:jc w:val="center"/>
              <w:rPr>
                <w:rFonts w:hint="eastAsia" w:ascii="宋体" w:hAnsi="宋体" w:eastAsia="宋体" w:cs="宋体"/>
                <w:i w:val="0"/>
                <w:iCs w:val="0"/>
                <w:color w:val="000000"/>
                <w:sz w:val="18"/>
                <w:szCs w:val="18"/>
                <w:u w:val="none"/>
              </w:rPr>
            </w:pPr>
          </w:p>
        </w:tc>
        <w:tc>
          <w:tcPr>
            <w:tcW w:w="735" w:type="pct"/>
            <w:tcBorders>
              <w:top w:val="single" w:color="000000" w:sz="4" w:space="0"/>
              <w:left w:val="single" w:color="000000" w:sz="4" w:space="0"/>
              <w:bottom w:val="single" w:color="000000" w:sz="4" w:space="0"/>
              <w:right w:val="single" w:color="000000" w:sz="4" w:space="0"/>
            </w:tcBorders>
            <w:shd w:val="clear"/>
            <w:vAlign w:val="center"/>
          </w:tcPr>
          <w:p w14:paraId="26E57F3B">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vAlign w:val="center"/>
          </w:tcPr>
          <w:p w14:paraId="2F09B5E9">
            <w:pPr>
              <w:jc w:val="center"/>
              <w:rPr>
                <w:rFonts w:hint="eastAsia" w:ascii="宋体" w:hAnsi="宋体" w:eastAsia="宋体" w:cs="宋体"/>
                <w:i w:val="0"/>
                <w:iCs w:val="0"/>
                <w:color w:val="000000"/>
                <w:sz w:val="18"/>
                <w:szCs w:val="18"/>
                <w:u w:val="none"/>
              </w:rPr>
            </w:pPr>
          </w:p>
        </w:tc>
        <w:tc>
          <w:tcPr>
            <w:tcW w:w="453" w:type="pct"/>
            <w:tcBorders>
              <w:top w:val="single" w:color="000000" w:sz="4" w:space="0"/>
              <w:left w:val="single" w:color="000000" w:sz="4" w:space="0"/>
              <w:bottom w:val="single" w:color="000000" w:sz="4" w:space="0"/>
              <w:right w:val="single" w:color="000000" w:sz="4" w:space="0"/>
            </w:tcBorders>
            <w:shd w:val="clear"/>
            <w:vAlign w:val="center"/>
          </w:tcPr>
          <w:p w14:paraId="335D1228">
            <w:pPr>
              <w:jc w:val="center"/>
              <w:rPr>
                <w:rFonts w:hint="eastAsia" w:ascii="宋体" w:hAnsi="宋体" w:eastAsia="宋体" w:cs="宋体"/>
                <w:i w:val="0"/>
                <w:iCs w:val="0"/>
                <w:color w:val="000000"/>
                <w:sz w:val="18"/>
                <w:szCs w:val="18"/>
                <w:u w:val="none"/>
              </w:rPr>
            </w:pPr>
          </w:p>
        </w:tc>
        <w:tc>
          <w:tcPr>
            <w:tcW w:w="230" w:type="pct"/>
            <w:tcBorders>
              <w:top w:val="single" w:color="000000" w:sz="4" w:space="0"/>
              <w:left w:val="single" w:color="000000" w:sz="4" w:space="0"/>
              <w:bottom w:val="single" w:color="000000" w:sz="4" w:space="0"/>
              <w:right w:val="single" w:color="000000" w:sz="4" w:space="0"/>
            </w:tcBorders>
            <w:shd w:val="clear"/>
            <w:vAlign w:val="center"/>
          </w:tcPr>
          <w:p w14:paraId="5503B853">
            <w:pPr>
              <w:jc w:val="center"/>
              <w:rPr>
                <w:rFonts w:hint="eastAsia" w:ascii="宋体" w:hAnsi="宋体" w:eastAsia="宋体" w:cs="宋体"/>
                <w:i w:val="0"/>
                <w:iCs w:val="0"/>
                <w:color w:val="000000"/>
                <w:sz w:val="18"/>
                <w:szCs w:val="18"/>
                <w:u w:val="none"/>
              </w:rPr>
            </w:pPr>
          </w:p>
        </w:tc>
        <w:tc>
          <w:tcPr>
            <w:tcW w:w="422" w:type="pct"/>
            <w:tcBorders>
              <w:top w:val="single" w:color="000000" w:sz="4" w:space="0"/>
              <w:left w:val="single" w:color="000000" w:sz="4" w:space="0"/>
              <w:bottom w:val="single" w:color="000000" w:sz="4" w:space="0"/>
              <w:right w:val="single" w:color="000000" w:sz="4" w:space="0"/>
            </w:tcBorders>
            <w:shd w:val="clear"/>
            <w:vAlign w:val="center"/>
          </w:tcPr>
          <w:p w14:paraId="433FE200">
            <w:pPr>
              <w:jc w:val="center"/>
              <w:rPr>
                <w:rFonts w:hint="eastAsia" w:ascii="微软雅黑" w:hAnsi="微软雅黑" w:eastAsia="微软雅黑" w:cs="微软雅黑"/>
                <w:i/>
                <w:iCs/>
                <w:color w:val="000000"/>
                <w:sz w:val="16"/>
                <w:szCs w:val="16"/>
                <w:u w:val="none"/>
              </w:rPr>
            </w:pP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187A40AE">
            <w:pPr>
              <w:jc w:val="center"/>
              <w:rPr>
                <w:rFonts w:hint="eastAsia" w:ascii="宋体" w:hAnsi="宋体" w:eastAsia="宋体" w:cs="宋体"/>
                <w:i w:val="0"/>
                <w:iCs w:val="0"/>
                <w:color w:val="000000"/>
                <w:sz w:val="18"/>
                <w:szCs w:val="18"/>
                <w:u w:val="none"/>
              </w:rPr>
            </w:pP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5F38FBC8">
            <w:pPr>
              <w:jc w:val="cente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8AFA1E7">
            <w:pPr>
              <w:jc w:val="center"/>
              <w:rPr>
                <w:rFonts w:hint="eastAsia" w:ascii="微软雅黑" w:hAnsi="微软雅黑" w:eastAsia="微软雅黑" w:cs="微软雅黑"/>
                <w:i/>
                <w:iCs/>
                <w:color w:val="000000"/>
                <w:sz w:val="16"/>
                <w:szCs w:val="16"/>
                <w:u w:val="none"/>
              </w:rPr>
            </w:pPr>
          </w:p>
        </w:tc>
      </w:tr>
      <w:tr w14:paraId="3ADA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jc w:val="center"/>
        </w:trPr>
        <w:tc>
          <w:tcPr>
            <w:tcW w:w="3752" w:type="pct"/>
            <w:gridSpan w:val="8"/>
            <w:tcBorders>
              <w:top w:val="single" w:color="000000" w:sz="4" w:space="0"/>
              <w:left w:val="single" w:color="000000" w:sz="4" w:space="0"/>
              <w:bottom w:val="single" w:color="000000" w:sz="4" w:space="0"/>
              <w:right w:val="single" w:color="000000" w:sz="4" w:space="0"/>
            </w:tcBorders>
            <w:shd w:val="clear"/>
            <w:vAlign w:val="center"/>
          </w:tcPr>
          <w:p w14:paraId="45D1E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208" w:type="pct"/>
            <w:tcBorders>
              <w:top w:val="single" w:color="000000" w:sz="4" w:space="0"/>
              <w:left w:val="single" w:color="000000" w:sz="4" w:space="0"/>
              <w:bottom w:val="single" w:color="000000" w:sz="4" w:space="0"/>
              <w:right w:val="single" w:color="000000" w:sz="4" w:space="0"/>
            </w:tcBorders>
            <w:shd w:val="clear"/>
            <w:vAlign w:val="center"/>
          </w:tcPr>
          <w:p w14:paraId="06806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201" w:type="pct"/>
            <w:tcBorders>
              <w:top w:val="single" w:color="000000" w:sz="4" w:space="0"/>
              <w:left w:val="single" w:color="000000" w:sz="4" w:space="0"/>
              <w:bottom w:val="single" w:color="000000" w:sz="4" w:space="0"/>
              <w:right w:val="single" w:color="000000" w:sz="4" w:space="0"/>
            </w:tcBorders>
            <w:shd w:val="clear"/>
            <w:vAlign w:val="center"/>
          </w:tcPr>
          <w:p w14:paraId="77EA4A8B">
            <w:pPr>
              <w:rPr>
                <w:rFonts w:hint="eastAsia" w:ascii="宋体" w:hAnsi="宋体" w:eastAsia="宋体" w:cs="宋体"/>
                <w:i w:val="0"/>
                <w:iCs w:val="0"/>
                <w:color w:val="000000"/>
                <w:sz w:val="18"/>
                <w:szCs w:val="18"/>
                <w:u w:val="none"/>
              </w:rPr>
            </w:pPr>
          </w:p>
        </w:tc>
        <w:tc>
          <w:tcPr>
            <w:tcW w:w="837" w:type="pct"/>
            <w:tcBorders>
              <w:top w:val="single" w:color="000000" w:sz="4" w:space="0"/>
              <w:left w:val="single" w:color="000000" w:sz="4" w:space="0"/>
              <w:bottom w:val="single" w:color="000000" w:sz="4" w:space="0"/>
              <w:right w:val="single" w:color="000000" w:sz="4" w:space="0"/>
            </w:tcBorders>
            <w:shd w:val="clear"/>
            <w:vAlign w:val="center"/>
          </w:tcPr>
          <w:p w14:paraId="4FEA26B4">
            <w:pPr>
              <w:rPr>
                <w:rFonts w:hint="eastAsia" w:ascii="宋体" w:hAnsi="宋体" w:eastAsia="宋体" w:cs="宋体"/>
                <w:i w:val="0"/>
                <w:iCs w:val="0"/>
                <w:color w:val="000000"/>
                <w:sz w:val="18"/>
                <w:szCs w:val="18"/>
                <w:u w:val="none"/>
              </w:rPr>
            </w:pPr>
          </w:p>
        </w:tc>
      </w:tr>
      <w:tr w14:paraId="7080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01AED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019B05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2572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3768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71CB64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CB2A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jc w:val="center"/>
        </w:trPr>
        <w:tc>
          <w:tcPr>
            <w:tcW w:w="327" w:type="pct"/>
            <w:tcBorders>
              <w:top w:val="single" w:color="000000" w:sz="4" w:space="0"/>
              <w:left w:val="single" w:color="000000" w:sz="4" w:space="0"/>
              <w:bottom w:val="single" w:color="000000" w:sz="4" w:space="0"/>
              <w:right w:val="single" w:color="000000" w:sz="4" w:space="0"/>
            </w:tcBorders>
            <w:shd w:val="clear"/>
            <w:vAlign w:val="center"/>
          </w:tcPr>
          <w:p w14:paraId="2DC3D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4672" w:type="pct"/>
            <w:gridSpan w:val="10"/>
            <w:tcBorders>
              <w:top w:val="single" w:color="000000" w:sz="4" w:space="0"/>
              <w:left w:val="single" w:color="000000" w:sz="4" w:space="0"/>
              <w:bottom w:val="single" w:color="000000" w:sz="4" w:space="0"/>
              <w:right w:val="single" w:color="000000" w:sz="4" w:space="0"/>
            </w:tcBorders>
            <w:shd w:val="clear"/>
            <w:vAlign w:val="center"/>
          </w:tcPr>
          <w:p w14:paraId="317FDF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5FA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2646" w:type="pct"/>
            <w:gridSpan w:val="5"/>
            <w:tcBorders>
              <w:top w:val="single" w:color="000000" w:sz="4" w:space="0"/>
              <w:left w:val="single" w:color="000000" w:sz="4" w:space="0"/>
              <w:bottom w:val="single" w:color="000000" w:sz="4" w:space="0"/>
              <w:right w:val="single" w:color="000000" w:sz="4" w:space="0"/>
            </w:tcBorders>
            <w:shd w:val="clear"/>
            <w:vAlign w:val="center"/>
          </w:tcPr>
          <w:p w14:paraId="260508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2353" w:type="pct"/>
            <w:gridSpan w:val="6"/>
            <w:tcBorders>
              <w:top w:val="single" w:color="000000" w:sz="4" w:space="0"/>
              <w:left w:val="single" w:color="000000" w:sz="4" w:space="0"/>
              <w:bottom w:val="single" w:color="000000" w:sz="4" w:space="0"/>
              <w:right w:val="single" w:color="000000" w:sz="4" w:space="0"/>
            </w:tcBorders>
            <w:shd w:val="clear"/>
            <w:vAlign w:val="center"/>
          </w:tcPr>
          <w:p w14:paraId="48405D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bl>
    <w:p w14:paraId="39F2C1E3">
      <w:pPr>
        <w:pStyle w:val="13"/>
        <w:ind w:left="0" w:leftChars="0" w:firstLine="0" w:firstLineChars="0"/>
        <w:rPr>
          <w:rFonts w:hint="eastAsia" w:ascii="Times New Roman" w:hAnsi="Times New Roman" w:eastAsia="黑体"/>
          <w:color w:val="auto"/>
          <w:sz w:val="44"/>
          <w:szCs w:val="44"/>
          <w:highlight w:val="none"/>
        </w:rPr>
      </w:pPr>
    </w:p>
    <w:p w14:paraId="2045AD0A">
      <w:pPr>
        <w:widowControl/>
        <w:jc w:val="center"/>
        <w:rPr>
          <w:rFonts w:hint="eastAsia" w:ascii="Times New Roman" w:hAnsi="Times New Roman" w:eastAsia="黑体"/>
          <w:color w:val="auto"/>
          <w:sz w:val="44"/>
          <w:szCs w:val="44"/>
          <w:highlight w:val="none"/>
        </w:rPr>
      </w:pPr>
    </w:p>
    <w:p w14:paraId="5D23B4E8">
      <w:pPr>
        <w:widowControl/>
        <w:jc w:val="center"/>
        <w:rPr>
          <w:rFonts w:hint="eastAsia" w:ascii="Times New Roman" w:hAnsi="Times New Roman" w:eastAsia="黑体"/>
          <w:color w:val="auto"/>
          <w:sz w:val="44"/>
          <w:szCs w:val="44"/>
          <w:highlight w:val="none"/>
        </w:rPr>
      </w:pPr>
    </w:p>
    <w:p w14:paraId="1B879463">
      <w:pPr>
        <w:widowControl/>
        <w:jc w:val="center"/>
        <w:rPr>
          <w:rFonts w:hint="eastAsia" w:ascii="Times New Roman" w:hAnsi="Times New Roman" w:eastAsia="黑体"/>
          <w:color w:val="auto"/>
          <w:sz w:val="44"/>
          <w:szCs w:val="44"/>
          <w:highlight w:val="none"/>
        </w:rPr>
      </w:pPr>
    </w:p>
    <w:p w14:paraId="12127AEB">
      <w:pPr>
        <w:widowControl/>
        <w:jc w:val="center"/>
        <w:rPr>
          <w:rFonts w:hint="eastAsia" w:ascii="Times New Roman" w:hAnsi="Times New Roman" w:eastAsia="黑体"/>
          <w:color w:val="auto"/>
          <w:sz w:val="44"/>
          <w:szCs w:val="44"/>
          <w:highlight w:val="none"/>
        </w:rPr>
      </w:pPr>
    </w:p>
    <w:p w14:paraId="3843A506">
      <w:pPr>
        <w:widowControl/>
        <w:jc w:val="center"/>
        <w:rPr>
          <w:rFonts w:hint="eastAsia" w:eastAsia="黑体"/>
          <w:color w:val="auto"/>
          <w:sz w:val="44"/>
          <w:szCs w:val="44"/>
          <w:highlight w:val="none"/>
          <w:lang w:val="en-US" w:eastAsia="zh-CN"/>
        </w:rPr>
      </w:pPr>
      <w:r>
        <w:rPr>
          <w:rFonts w:hint="eastAsia" w:eastAsia="黑体"/>
          <w:color w:val="auto"/>
          <w:sz w:val="44"/>
          <w:szCs w:val="44"/>
          <w:highlight w:val="none"/>
          <w:lang w:val="en-US" w:eastAsia="zh-CN"/>
        </w:rPr>
        <w:t>.</w:t>
      </w:r>
    </w:p>
    <w:p w14:paraId="0DFF285F">
      <w:pPr>
        <w:widowControl/>
        <w:jc w:val="center"/>
        <w:rPr>
          <w:rFonts w:hint="eastAsia" w:eastAsia="黑体"/>
          <w:color w:val="auto"/>
          <w:sz w:val="44"/>
          <w:szCs w:val="44"/>
          <w:highlight w:val="none"/>
          <w:lang w:val="en-US" w:eastAsia="zh-CN"/>
        </w:rPr>
      </w:pPr>
    </w:p>
    <w:p w14:paraId="3A7A48BB">
      <w:pPr>
        <w:widowControl/>
        <w:jc w:val="center"/>
        <w:rPr>
          <w:rFonts w:hint="eastAsia" w:eastAsia="黑体"/>
          <w:color w:val="auto"/>
          <w:sz w:val="44"/>
          <w:szCs w:val="44"/>
          <w:highlight w:val="none"/>
          <w:lang w:val="en-US" w:eastAsia="zh-CN"/>
        </w:rPr>
      </w:pPr>
    </w:p>
    <w:p w14:paraId="288F397E">
      <w:pPr>
        <w:widowControl/>
        <w:jc w:val="center"/>
        <w:rPr>
          <w:rFonts w:hint="eastAsia" w:eastAsia="黑体"/>
          <w:color w:val="auto"/>
          <w:sz w:val="44"/>
          <w:szCs w:val="44"/>
          <w:highlight w:val="none"/>
          <w:lang w:val="en-US" w:eastAsia="zh-CN"/>
        </w:rPr>
      </w:pPr>
    </w:p>
    <w:p w14:paraId="4F09BD5C">
      <w:pPr>
        <w:widowControl/>
        <w:jc w:val="center"/>
        <w:rPr>
          <w:rFonts w:hint="eastAsia" w:eastAsia="黑体"/>
          <w:color w:val="auto"/>
          <w:sz w:val="44"/>
          <w:szCs w:val="44"/>
          <w:highlight w:val="none"/>
          <w:lang w:val="en-US" w:eastAsia="zh-CN"/>
        </w:rPr>
      </w:pPr>
    </w:p>
    <w:p w14:paraId="4525D8F0">
      <w:pPr>
        <w:widowControl/>
        <w:jc w:val="center"/>
        <w:rPr>
          <w:rFonts w:hint="eastAsia" w:eastAsia="黑体"/>
          <w:color w:val="auto"/>
          <w:sz w:val="44"/>
          <w:szCs w:val="44"/>
          <w:highlight w:val="none"/>
          <w:lang w:val="en-US" w:eastAsia="zh-CN"/>
        </w:rPr>
      </w:pPr>
    </w:p>
    <w:p w14:paraId="4D958DA5">
      <w:pPr>
        <w:widowControl/>
        <w:jc w:val="center"/>
        <w:rPr>
          <w:rFonts w:hint="eastAsia" w:eastAsia="黑体"/>
          <w:color w:val="auto"/>
          <w:sz w:val="44"/>
          <w:szCs w:val="44"/>
          <w:highlight w:val="none"/>
          <w:lang w:val="en-US" w:eastAsia="zh-CN"/>
        </w:rPr>
      </w:pPr>
    </w:p>
    <w:p w14:paraId="2E93FEC2">
      <w:pPr>
        <w:widowControl/>
        <w:jc w:val="center"/>
        <w:rPr>
          <w:rFonts w:hint="eastAsia" w:eastAsia="黑体"/>
          <w:color w:val="auto"/>
          <w:sz w:val="44"/>
          <w:szCs w:val="44"/>
          <w:highlight w:val="none"/>
          <w:lang w:val="en-US" w:eastAsia="zh-CN"/>
        </w:rPr>
      </w:pPr>
    </w:p>
    <w:p w14:paraId="24B08FAD">
      <w:pPr>
        <w:widowControl/>
        <w:jc w:val="center"/>
        <w:rPr>
          <w:rFonts w:hint="eastAsia" w:ascii="Times New Roman" w:hAnsi="Times New Roman" w:eastAsia="仿宋"/>
          <w:b w:val="0"/>
          <w:color w:val="auto"/>
          <w:highlight w:val="none"/>
        </w:rPr>
      </w:pPr>
      <w:bookmarkStart w:id="61" w:name="_GoBack"/>
      <w:bookmarkEnd w:id="61"/>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7"/>
      <w:bookmarkStart w:id="48" w:name="_Toc15396619"/>
    </w:p>
    <w:p w14:paraId="7FEB75B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9B85C1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173BB9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4EEE23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75AADE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4B7A85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7639C23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683DD5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3DB4D4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5B270F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3128FE5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429AA7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9B6BF7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07BB97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4FAC0AAE">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829A8">
    <w:pPr>
      <w:pStyle w:val="9"/>
      <w:jc w:val="center"/>
    </w:pPr>
  </w:p>
  <w:p w14:paraId="3A1C390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AEE95">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3A42D">
                          <w:pPr>
                            <w:pStyle w:val="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3F3A42D">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354446EC">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EDBB">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42A2A4">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E42A2A4">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A4CB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30C8D1"/>
    <w:multiLevelType w:val="singleLevel"/>
    <w:tmpl w:val="F330C8D1"/>
    <w:lvl w:ilvl="0" w:tentative="0">
      <w:start w:val="1"/>
      <w:numFmt w:val="decimal"/>
      <w:lvlText w:val="%1."/>
      <w:lvlJc w:val="left"/>
      <w:pPr>
        <w:tabs>
          <w:tab w:val="left" w:pos="312"/>
        </w:tabs>
      </w:pPr>
    </w:lvl>
  </w:abstractNum>
  <w:abstractNum w:abstractNumId="1">
    <w:nsid w:val="F9117DCE"/>
    <w:multiLevelType w:val="singleLevel"/>
    <w:tmpl w:val="F9117DCE"/>
    <w:lvl w:ilvl="0" w:tentative="0">
      <w:start w:val="1"/>
      <w:numFmt w:val="chineseCounting"/>
      <w:suff w:val="nothing"/>
      <w:lvlText w:val="（%1）"/>
      <w:lvlJc w:val="left"/>
      <w:rPr>
        <w:rFonts w:hint="eastAsia"/>
      </w:rPr>
    </w:lvl>
  </w:abstractNum>
  <w:abstractNum w:abstractNumId="2">
    <w:nsid w:val="0288F020"/>
    <w:multiLevelType w:val="singleLevel"/>
    <w:tmpl w:val="0288F020"/>
    <w:lvl w:ilvl="0" w:tentative="0">
      <w:start w:val="1"/>
      <w:numFmt w:val="chineseCounting"/>
      <w:suff w:val="nothing"/>
      <w:lvlText w:val="%1、"/>
      <w:lvlJc w:val="left"/>
      <w:rPr>
        <w:rFonts w:hint="eastAsia"/>
      </w:rPr>
    </w:lvl>
  </w:abstractNum>
  <w:abstractNum w:abstractNumId="3">
    <w:nsid w:val="0FC7DF8D"/>
    <w:multiLevelType w:val="singleLevel"/>
    <w:tmpl w:val="0FC7DF8D"/>
    <w:lvl w:ilvl="0" w:tentative="0">
      <w:start w:val="4"/>
      <w:numFmt w:val="chineseCounting"/>
      <w:suff w:val="space"/>
      <w:lvlText w:val="第%1部分"/>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6C99"/>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3F7AF5"/>
    <w:rsid w:val="015975B8"/>
    <w:rsid w:val="021A27AB"/>
    <w:rsid w:val="027C3466"/>
    <w:rsid w:val="02AB78A7"/>
    <w:rsid w:val="02BA3F8E"/>
    <w:rsid w:val="02C40969"/>
    <w:rsid w:val="02D7069C"/>
    <w:rsid w:val="02E9429D"/>
    <w:rsid w:val="02FE0F80"/>
    <w:rsid w:val="02FEBE30"/>
    <w:rsid w:val="046B5540"/>
    <w:rsid w:val="04916F1E"/>
    <w:rsid w:val="061E35DE"/>
    <w:rsid w:val="0639166E"/>
    <w:rsid w:val="066E0107"/>
    <w:rsid w:val="06BD5DFB"/>
    <w:rsid w:val="074107DA"/>
    <w:rsid w:val="079052BE"/>
    <w:rsid w:val="07996F6E"/>
    <w:rsid w:val="07A56FBB"/>
    <w:rsid w:val="07DFD8BA"/>
    <w:rsid w:val="07F47B20"/>
    <w:rsid w:val="08234C90"/>
    <w:rsid w:val="09867E8F"/>
    <w:rsid w:val="098F7F23"/>
    <w:rsid w:val="09FB7366"/>
    <w:rsid w:val="0A2032A3"/>
    <w:rsid w:val="0A2A37A7"/>
    <w:rsid w:val="0B440899"/>
    <w:rsid w:val="0C063DA0"/>
    <w:rsid w:val="0C395F24"/>
    <w:rsid w:val="0C4D7C21"/>
    <w:rsid w:val="0CA8290A"/>
    <w:rsid w:val="0D1442E9"/>
    <w:rsid w:val="0D35B1ED"/>
    <w:rsid w:val="0DD42148"/>
    <w:rsid w:val="0E254B6B"/>
    <w:rsid w:val="0F220EF1"/>
    <w:rsid w:val="0F29227F"/>
    <w:rsid w:val="0F5D017B"/>
    <w:rsid w:val="0F672DA8"/>
    <w:rsid w:val="0F98263C"/>
    <w:rsid w:val="101860EC"/>
    <w:rsid w:val="101F47CC"/>
    <w:rsid w:val="103E7FAD"/>
    <w:rsid w:val="10B464C1"/>
    <w:rsid w:val="10C055FF"/>
    <w:rsid w:val="11694EBD"/>
    <w:rsid w:val="11772AA4"/>
    <w:rsid w:val="118107EC"/>
    <w:rsid w:val="11B717C5"/>
    <w:rsid w:val="12CF313E"/>
    <w:rsid w:val="12D746E8"/>
    <w:rsid w:val="12E24EE2"/>
    <w:rsid w:val="131D659F"/>
    <w:rsid w:val="139A7BF0"/>
    <w:rsid w:val="13D50BC4"/>
    <w:rsid w:val="14755F67"/>
    <w:rsid w:val="14B17F78"/>
    <w:rsid w:val="165E0673"/>
    <w:rsid w:val="16B831D5"/>
    <w:rsid w:val="16BB723D"/>
    <w:rsid w:val="17E50567"/>
    <w:rsid w:val="18351C95"/>
    <w:rsid w:val="186504BB"/>
    <w:rsid w:val="19A445FC"/>
    <w:rsid w:val="1A807414"/>
    <w:rsid w:val="1BE8440E"/>
    <w:rsid w:val="1C00080C"/>
    <w:rsid w:val="1C077FE4"/>
    <w:rsid w:val="1CB533A4"/>
    <w:rsid w:val="1CC25AC1"/>
    <w:rsid w:val="1D155CEE"/>
    <w:rsid w:val="1D1638FE"/>
    <w:rsid w:val="1DB7314C"/>
    <w:rsid w:val="1E312DEB"/>
    <w:rsid w:val="1E403142"/>
    <w:rsid w:val="1E740ACF"/>
    <w:rsid w:val="1E805C34"/>
    <w:rsid w:val="1FF35744"/>
    <w:rsid w:val="1FF6BC77"/>
    <w:rsid w:val="20DF4287"/>
    <w:rsid w:val="2186353C"/>
    <w:rsid w:val="224B0307"/>
    <w:rsid w:val="229C0B63"/>
    <w:rsid w:val="23860B96"/>
    <w:rsid w:val="23E43526"/>
    <w:rsid w:val="240371BF"/>
    <w:rsid w:val="244F3473"/>
    <w:rsid w:val="245A2A83"/>
    <w:rsid w:val="24C97D99"/>
    <w:rsid w:val="25910727"/>
    <w:rsid w:val="25A718F0"/>
    <w:rsid w:val="25BB59F6"/>
    <w:rsid w:val="260F557C"/>
    <w:rsid w:val="26970054"/>
    <w:rsid w:val="26B97F35"/>
    <w:rsid w:val="281408E2"/>
    <w:rsid w:val="29CA4207"/>
    <w:rsid w:val="29FD04D3"/>
    <w:rsid w:val="2BA94A1C"/>
    <w:rsid w:val="2BC76C50"/>
    <w:rsid w:val="2BD96984"/>
    <w:rsid w:val="2BFF7BC6"/>
    <w:rsid w:val="2C8A61B5"/>
    <w:rsid w:val="2CA01F99"/>
    <w:rsid w:val="2D486FA9"/>
    <w:rsid w:val="2D684463"/>
    <w:rsid w:val="2DF04E50"/>
    <w:rsid w:val="2E586DFA"/>
    <w:rsid w:val="2E7F3812"/>
    <w:rsid w:val="2F040D46"/>
    <w:rsid w:val="2F6B035B"/>
    <w:rsid w:val="2FAE5751"/>
    <w:rsid w:val="2FB1A395"/>
    <w:rsid w:val="2FD9A7D8"/>
    <w:rsid w:val="2FDBF714"/>
    <w:rsid w:val="30AB6865"/>
    <w:rsid w:val="319F7F4E"/>
    <w:rsid w:val="31B41A25"/>
    <w:rsid w:val="32BD1EF1"/>
    <w:rsid w:val="32C263C3"/>
    <w:rsid w:val="3304709D"/>
    <w:rsid w:val="33A773CB"/>
    <w:rsid w:val="3422536C"/>
    <w:rsid w:val="345E3ECA"/>
    <w:rsid w:val="349D6851"/>
    <w:rsid w:val="354E3F3E"/>
    <w:rsid w:val="358D0F0B"/>
    <w:rsid w:val="35A16764"/>
    <w:rsid w:val="35DF103A"/>
    <w:rsid w:val="36301896"/>
    <w:rsid w:val="36877708"/>
    <w:rsid w:val="36AA5135"/>
    <w:rsid w:val="36BE0DA7"/>
    <w:rsid w:val="37515F68"/>
    <w:rsid w:val="376B6AA6"/>
    <w:rsid w:val="376D39B2"/>
    <w:rsid w:val="37E16F03"/>
    <w:rsid w:val="37F53A3B"/>
    <w:rsid w:val="389B6C89"/>
    <w:rsid w:val="38BB18EB"/>
    <w:rsid w:val="38D469F0"/>
    <w:rsid w:val="39627CCD"/>
    <w:rsid w:val="397BAF1F"/>
    <w:rsid w:val="3AB79AF3"/>
    <w:rsid w:val="3AE834C0"/>
    <w:rsid w:val="3B286FE0"/>
    <w:rsid w:val="3B7EF35A"/>
    <w:rsid w:val="3B9FDB6C"/>
    <w:rsid w:val="3BA1126C"/>
    <w:rsid w:val="3BD11425"/>
    <w:rsid w:val="3BF5BC2F"/>
    <w:rsid w:val="3CDB07AE"/>
    <w:rsid w:val="3CEBA265"/>
    <w:rsid w:val="3D3305EA"/>
    <w:rsid w:val="3D412429"/>
    <w:rsid w:val="3D98207C"/>
    <w:rsid w:val="3DEE7CF3"/>
    <w:rsid w:val="3E0C4997"/>
    <w:rsid w:val="3E740A63"/>
    <w:rsid w:val="3E78745D"/>
    <w:rsid w:val="3EE17838"/>
    <w:rsid w:val="3F1140A9"/>
    <w:rsid w:val="3F55381A"/>
    <w:rsid w:val="3F7F7599"/>
    <w:rsid w:val="3FD80FD4"/>
    <w:rsid w:val="3FF4CAE0"/>
    <w:rsid w:val="3FF7B227"/>
    <w:rsid w:val="400242A3"/>
    <w:rsid w:val="40C41559"/>
    <w:rsid w:val="40FC6F44"/>
    <w:rsid w:val="41110C42"/>
    <w:rsid w:val="42240501"/>
    <w:rsid w:val="4250579A"/>
    <w:rsid w:val="42D33CD5"/>
    <w:rsid w:val="44756A05"/>
    <w:rsid w:val="44E268DA"/>
    <w:rsid w:val="450D13D7"/>
    <w:rsid w:val="452F78E8"/>
    <w:rsid w:val="45506656"/>
    <w:rsid w:val="464E41F7"/>
    <w:rsid w:val="477B69BA"/>
    <w:rsid w:val="48174664"/>
    <w:rsid w:val="485E04E5"/>
    <w:rsid w:val="4860425D"/>
    <w:rsid w:val="486A6C7A"/>
    <w:rsid w:val="499375DD"/>
    <w:rsid w:val="4A595408"/>
    <w:rsid w:val="4A627F82"/>
    <w:rsid w:val="4B0E749A"/>
    <w:rsid w:val="4B2477C4"/>
    <w:rsid w:val="4B4F25DA"/>
    <w:rsid w:val="4B9366F7"/>
    <w:rsid w:val="4BE068DB"/>
    <w:rsid w:val="4C3103EA"/>
    <w:rsid w:val="4CAE37E9"/>
    <w:rsid w:val="4D577224"/>
    <w:rsid w:val="4DBF1CEB"/>
    <w:rsid w:val="4DE17BEE"/>
    <w:rsid w:val="4DEA6AA2"/>
    <w:rsid w:val="4DF0007C"/>
    <w:rsid w:val="4EAB630A"/>
    <w:rsid w:val="4ECE2238"/>
    <w:rsid w:val="4F833267"/>
    <w:rsid w:val="4FDD43E5"/>
    <w:rsid w:val="4FE9BD67"/>
    <w:rsid w:val="4FFB052F"/>
    <w:rsid w:val="506A549A"/>
    <w:rsid w:val="50D15CF8"/>
    <w:rsid w:val="51542485"/>
    <w:rsid w:val="51D07D5D"/>
    <w:rsid w:val="53185E60"/>
    <w:rsid w:val="537E6D0A"/>
    <w:rsid w:val="53F74C96"/>
    <w:rsid w:val="55170BA8"/>
    <w:rsid w:val="553218C9"/>
    <w:rsid w:val="556829A3"/>
    <w:rsid w:val="557547C5"/>
    <w:rsid w:val="567E1AA5"/>
    <w:rsid w:val="56981066"/>
    <w:rsid w:val="56982E14"/>
    <w:rsid w:val="56E47B74"/>
    <w:rsid w:val="57175D52"/>
    <w:rsid w:val="572A7F10"/>
    <w:rsid w:val="57A53A3A"/>
    <w:rsid w:val="57BD3DD4"/>
    <w:rsid w:val="59005CF5"/>
    <w:rsid w:val="59653481"/>
    <w:rsid w:val="5A9164F8"/>
    <w:rsid w:val="5AF92295"/>
    <w:rsid w:val="5B250254"/>
    <w:rsid w:val="5BDD79E6"/>
    <w:rsid w:val="5BF561CA"/>
    <w:rsid w:val="5BFF5DFC"/>
    <w:rsid w:val="5C1B076F"/>
    <w:rsid w:val="5C2A2EFF"/>
    <w:rsid w:val="5CD71FC4"/>
    <w:rsid w:val="5CE172C2"/>
    <w:rsid w:val="5CF32828"/>
    <w:rsid w:val="5D1F11B5"/>
    <w:rsid w:val="5D695134"/>
    <w:rsid w:val="5DA0155C"/>
    <w:rsid w:val="5DAE1B18"/>
    <w:rsid w:val="5DE7D9E5"/>
    <w:rsid w:val="5DF748C4"/>
    <w:rsid w:val="5E055233"/>
    <w:rsid w:val="5ECEC941"/>
    <w:rsid w:val="5FBF9FF3"/>
    <w:rsid w:val="5FCD4E2C"/>
    <w:rsid w:val="5FEF394A"/>
    <w:rsid w:val="5FF67715"/>
    <w:rsid w:val="609E54CA"/>
    <w:rsid w:val="60EA6962"/>
    <w:rsid w:val="611A0028"/>
    <w:rsid w:val="62312A9A"/>
    <w:rsid w:val="62A019CE"/>
    <w:rsid w:val="62BF3928"/>
    <w:rsid w:val="632B74E9"/>
    <w:rsid w:val="63A82369"/>
    <w:rsid w:val="63B3701E"/>
    <w:rsid w:val="647749B0"/>
    <w:rsid w:val="647F5392"/>
    <w:rsid w:val="64BD6867"/>
    <w:rsid w:val="656C6681"/>
    <w:rsid w:val="65E66580"/>
    <w:rsid w:val="664B1D71"/>
    <w:rsid w:val="664B4E8E"/>
    <w:rsid w:val="67277B67"/>
    <w:rsid w:val="67982C74"/>
    <w:rsid w:val="67AA3209"/>
    <w:rsid w:val="6809591F"/>
    <w:rsid w:val="689A2A1B"/>
    <w:rsid w:val="69126A56"/>
    <w:rsid w:val="69362744"/>
    <w:rsid w:val="69823BDB"/>
    <w:rsid w:val="698D0931"/>
    <w:rsid w:val="6A7FE5F3"/>
    <w:rsid w:val="6A8006A9"/>
    <w:rsid w:val="6AA933EA"/>
    <w:rsid w:val="6ABC136F"/>
    <w:rsid w:val="6AEF704E"/>
    <w:rsid w:val="6B053271"/>
    <w:rsid w:val="6BDD78B3"/>
    <w:rsid w:val="6C094140"/>
    <w:rsid w:val="6C4A05C8"/>
    <w:rsid w:val="6C8742B8"/>
    <w:rsid w:val="6D005B58"/>
    <w:rsid w:val="6D2F5E28"/>
    <w:rsid w:val="6DBF5E93"/>
    <w:rsid w:val="6DFF077E"/>
    <w:rsid w:val="6E714EF0"/>
    <w:rsid w:val="6E7E3605"/>
    <w:rsid w:val="6E7FDCC7"/>
    <w:rsid w:val="6ED6A62E"/>
    <w:rsid w:val="6EE00B15"/>
    <w:rsid w:val="6EFA4214"/>
    <w:rsid w:val="6F1E43A6"/>
    <w:rsid w:val="6F6FB3EB"/>
    <w:rsid w:val="6F8731EA"/>
    <w:rsid w:val="6FA80114"/>
    <w:rsid w:val="6FCE6052"/>
    <w:rsid w:val="6FD57C00"/>
    <w:rsid w:val="6FEFFFD8"/>
    <w:rsid w:val="6FF5CC65"/>
    <w:rsid w:val="6FFB47EC"/>
    <w:rsid w:val="6FFF034A"/>
    <w:rsid w:val="702B6F42"/>
    <w:rsid w:val="70484440"/>
    <w:rsid w:val="71017ADB"/>
    <w:rsid w:val="712A28F1"/>
    <w:rsid w:val="715C0E4B"/>
    <w:rsid w:val="71992E7C"/>
    <w:rsid w:val="71BE777B"/>
    <w:rsid w:val="720134C8"/>
    <w:rsid w:val="72233669"/>
    <w:rsid w:val="72734D90"/>
    <w:rsid w:val="72FD42D3"/>
    <w:rsid w:val="73160E6D"/>
    <w:rsid w:val="73306456"/>
    <w:rsid w:val="7332FE48"/>
    <w:rsid w:val="73AB61DA"/>
    <w:rsid w:val="73AD73D5"/>
    <w:rsid w:val="73AD7AA7"/>
    <w:rsid w:val="73B6EB34"/>
    <w:rsid w:val="73FA497D"/>
    <w:rsid w:val="744731E5"/>
    <w:rsid w:val="74B510E9"/>
    <w:rsid w:val="74BBD01D"/>
    <w:rsid w:val="74ED5379"/>
    <w:rsid w:val="758D5DE2"/>
    <w:rsid w:val="75BC0475"/>
    <w:rsid w:val="75DEEEC2"/>
    <w:rsid w:val="75E32345"/>
    <w:rsid w:val="76AC5996"/>
    <w:rsid w:val="76E3355F"/>
    <w:rsid w:val="76FF5125"/>
    <w:rsid w:val="771D4F43"/>
    <w:rsid w:val="77660698"/>
    <w:rsid w:val="776F6FFA"/>
    <w:rsid w:val="778769C8"/>
    <w:rsid w:val="77A75DCA"/>
    <w:rsid w:val="77DC22F5"/>
    <w:rsid w:val="782A5B6A"/>
    <w:rsid w:val="783E271A"/>
    <w:rsid w:val="78616DE9"/>
    <w:rsid w:val="78C733B9"/>
    <w:rsid w:val="78E875D7"/>
    <w:rsid w:val="79086DAD"/>
    <w:rsid w:val="79D7FD79"/>
    <w:rsid w:val="79EE5BA4"/>
    <w:rsid w:val="7A894339"/>
    <w:rsid w:val="7AD284E8"/>
    <w:rsid w:val="7AFF7572"/>
    <w:rsid w:val="7B407452"/>
    <w:rsid w:val="7B6C7DFB"/>
    <w:rsid w:val="7BBFBED0"/>
    <w:rsid w:val="7BC3E394"/>
    <w:rsid w:val="7C0861C2"/>
    <w:rsid w:val="7C1F3737"/>
    <w:rsid w:val="7CBFC87B"/>
    <w:rsid w:val="7CF20C20"/>
    <w:rsid w:val="7CFE0F48"/>
    <w:rsid w:val="7D032E2D"/>
    <w:rsid w:val="7D225061"/>
    <w:rsid w:val="7D272ABC"/>
    <w:rsid w:val="7D480840"/>
    <w:rsid w:val="7D7EC23E"/>
    <w:rsid w:val="7DBA34EC"/>
    <w:rsid w:val="7E8ADEBF"/>
    <w:rsid w:val="7EEF11D3"/>
    <w:rsid w:val="7EFE4840"/>
    <w:rsid w:val="7F01339C"/>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文本1"/>
    <w:basedOn w:val="1"/>
    <w:qFormat/>
    <w:uiPriority w:val="0"/>
    <w:pPr>
      <w:spacing w:before="93"/>
    </w:pPr>
    <w:rPr>
      <w:rFonts w:ascii="仿宋_GB2312" w:hAnsi="Calibri" w:eastAsia="仿宋_GB2312"/>
      <w:kern w:val="0"/>
      <w:sz w:val="3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e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6.bin"/><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67</Pages>
  <Words>4691</Words>
  <Characters>5100</Characters>
  <Lines>61</Lines>
  <Paragraphs>17</Paragraphs>
  <TotalTime>82</TotalTime>
  <ScaleCrop>false</ScaleCrop>
  <LinksUpToDate>false</LinksUpToDate>
  <CharactersWithSpaces>5114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2025-08-06T17:34:00Z</cp:lastPrinted>
  <dcterms:modified xsi:type="dcterms:W3CDTF">2026-09-15T03:50:56Z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F6A51BAC73DE4CC593050B89064D55DB_13</vt:lpwstr>
  </property>
  <property fmtid="{D5CDD505-2E9C-101B-9397-08002B2CF9AE}" pid="4" name="KSOTemplateDocerSaveRecord">
    <vt:lpwstr>eyJoZGlkIjoiMDhiMWM4NWMzY2UzYjM3MTQzYTE3YTg5OTRkYjY3MjcifQ==</vt:lpwstr>
  </property>
</Properties>
</file>