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E2371">
      <w:pPr>
        <w:spacing w:line="600" w:lineRule="exact"/>
        <w:jc w:val="center"/>
        <w:outlineLvl w:val="0"/>
        <w:rPr>
          <w:rFonts w:ascii="方正小标宋简体" w:hAnsi="宋体" w:eastAsia="方正小标宋简体"/>
          <w:color w:val="000000"/>
          <w:sz w:val="72"/>
          <w:szCs w:val="72"/>
        </w:rPr>
      </w:pPr>
      <w:bookmarkStart w:id="0" w:name="_Toc15306267"/>
    </w:p>
    <w:p w14:paraId="67449A95">
      <w:pPr>
        <w:spacing w:line="600" w:lineRule="exact"/>
        <w:jc w:val="center"/>
        <w:outlineLvl w:val="0"/>
        <w:rPr>
          <w:rFonts w:ascii="方正小标宋简体" w:hAnsi="宋体" w:eastAsia="方正小标宋简体"/>
          <w:color w:val="000000"/>
          <w:sz w:val="72"/>
          <w:szCs w:val="72"/>
        </w:rPr>
      </w:pPr>
    </w:p>
    <w:p w14:paraId="5149ABBA">
      <w:pPr>
        <w:spacing w:line="600" w:lineRule="exact"/>
        <w:jc w:val="center"/>
        <w:outlineLvl w:val="0"/>
        <w:rPr>
          <w:rFonts w:ascii="方正小标宋简体" w:hAnsi="宋体" w:eastAsia="方正小标宋简体"/>
          <w:color w:val="000000"/>
          <w:sz w:val="72"/>
          <w:szCs w:val="72"/>
        </w:rPr>
      </w:pPr>
    </w:p>
    <w:p w14:paraId="39FF96E7">
      <w:pPr>
        <w:spacing w:line="600" w:lineRule="exact"/>
        <w:jc w:val="center"/>
        <w:outlineLvl w:val="0"/>
        <w:rPr>
          <w:rFonts w:ascii="方正小标宋简体" w:hAnsi="宋体" w:eastAsia="方正小标宋简体"/>
          <w:color w:val="000000"/>
          <w:sz w:val="72"/>
          <w:szCs w:val="72"/>
        </w:rPr>
      </w:pPr>
    </w:p>
    <w:p w14:paraId="635580BE">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96597"/>
      <w:bookmarkStart w:id="5" w:name="_Toc15377193"/>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14:paraId="6E5FE845">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426"/>
      <w:bookmarkStart w:id="9" w:name="_Toc15396598"/>
      <w:bookmarkStart w:id="10" w:name="_Toc15377194"/>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rPr>
        <w:t>人民政府办公室（事业单位）部门决算</w:t>
      </w:r>
      <w:bookmarkEnd w:id="6"/>
      <w:bookmarkEnd w:id="7"/>
      <w:bookmarkEnd w:id="8"/>
      <w:bookmarkEnd w:id="9"/>
      <w:bookmarkEnd w:id="10"/>
      <w:bookmarkEnd w:id="11"/>
    </w:p>
    <w:p w14:paraId="3AEE9CC2">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0F81B60E">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39CF7566">
      <w:pPr>
        <w:pStyle w:val="10"/>
      </w:pPr>
      <w:r>
        <w:rPr>
          <w:rFonts w:hint="eastAsia"/>
        </w:rPr>
        <w:t>公开时间：2019年</w:t>
      </w:r>
      <w:r>
        <w:t>9</w:t>
      </w:r>
      <w:r>
        <w:rPr>
          <w:rFonts w:hint="eastAsia"/>
        </w:rPr>
        <w:t>月29日</w:t>
      </w:r>
    </w:p>
    <w:p w14:paraId="789CA48B"/>
    <w:p w14:paraId="1ECC99A2">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rPr>
        <w:t>4</w:t>
      </w:r>
      <w:r>
        <w:rPr>
          <w:rFonts w:hint="eastAsia"/>
        </w:rPr>
        <w:fldChar w:fldCharType="end"/>
      </w:r>
    </w:p>
    <w:p w14:paraId="23FB7C0B">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4E73BEFE">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6</w:t>
      </w:r>
      <w:r>
        <w:rPr>
          <w:rFonts w:hint="eastAsia" w:ascii="仿宋" w:hAnsi="仿宋" w:eastAsia="仿宋"/>
          <w:sz w:val="28"/>
          <w:szCs w:val="28"/>
        </w:rPr>
        <w:fldChar w:fldCharType="end"/>
      </w:r>
    </w:p>
    <w:p w14:paraId="76955C44">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rPr>
          <w:rFonts w:hint="eastAsia"/>
        </w:rPr>
        <w:t>7</w:t>
      </w:r>
      <w:r>
        <w:rPr>
          <w:rFonts w:hint="eastAsia"/>
        </w:rPr>
        <w:fldChar w:fldCharType="end"/>
      </w:r>
    </w:p>
    <w:p w14:paraId="3EA4D08E">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14:paraId="0D70D0D4">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14:paraId="6B09AB3E">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14:paraId="441CE2EC">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14:paraId="3C9732CD">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14:paraId="12597F37">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0</w:t>
      </w:r>
    </w:p>
    <w:p w14:paraId="2EF2BF21">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0</w:t>
      </w:r>
    </w:p>
    <w:p w14:paraId="656201FC">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5AAFE68D">
      <w:pPr>
        <w:pStyle w:val="11"/>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1</w:t>
      </w:r>
    </w:p>
    <w:p w14:paraId="1BB58E07">
      <w:r>
        <w:rPr>
          <w:rStyle w:val="15"/>
          <w:rFonts w:hint="eastAsia" w:ascii="仿宋" w:hAnsi="仿宋" w:eastAsia="仿宋" w:cstheme="majorBidi"/>
          <w:bCs/>
          <w:sz w:val="28"/>
          <w:szCs w:val="28"/>
        </w:rPr>
        <w:t xml:space="preserve">   十、预算绩效情况说明..................................11</w:t>
      </w:r>
    </w:p>
    <w:p w14:paraId="05D5BA25">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1</w:t>
      </w:r>
    </w:p>
    <w:p w14:paraId="6C05FA97">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rPr>
        <w:t>1</w:t>
      </w:r>
      <w:r>
        <w:rPr>
          <w:rFonts w:hint="eastAsia"/>
        </w:rPr>
        <w:fldChar w:fldCharType="end"/>
      </w:r>
      <w:r>
        <w:rPr>
          <w:rFonts w:hint="eastAsia"/>
        </w:rPr>
        <w:t>2</w:t>
      </w:r>
    </w:p>
    <w:p w14:paraId="36F7E65F">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rPr>
          <w:rFonts w:hint="eastAsia"/>
        </w:rPr>
        <w:t>1</w:t>
      </w:r>
      <w:r>
        <w:rPr>
          <w:rFonts w:hint="eastAsia"/>
        </w:rPr>
        <w:fldChar w:fldCharType="end"/>
      </w:r>
      <w:r>
        <w:rPr>
          <w:rFonts w:hint="eastAsia"/>
        </w:rPr>
        <w:t>5</w:t>
      </w:r>
    </w:p>
    <w:p w14:paraId="36A82936">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5</w:t>
      </w:r>
    </w:p>
    <w:p w14:paraId="632C0B79">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rPr>
          <w:rFonts w:hint="eastAsia"/>
        </w:rPr>
        <w:t>2</w:t>
      </w:r>
      <w:r>
        <w:rPr>
          <w:rFonts w:hint="eastAsia"/>
        </w:rPr>
        <w:fldChar w:fldCharType="end"/>
      </w:r>
      <w:r>
        <w:rPr>
          <w:rFonts w:hint="eastAsia"/>
        </w:rPr>
        <w:t>0</w:t>
      </w:r>
    </w:p>
    <w:p w14:paraId="3EE7FF1A">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3253969D">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359A82CC">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00E80B97">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7FE4C81B">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3277AC62">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7D8EF17F">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443A51AE">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439CA6D5">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3F1F6C1E">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64A64C5B">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633B349C">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31B4A732">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10C70D98">
      <w:pPr>
        <w:widowControl/>
        <w:jc w:val="left"/>
        <w:rPr>
          <w:rFonts w:ascii="仿宋" w:hAnsi="仿宋" w:eastAsia="仿宋"/>
          <w:color w:val="000000"/>
          <w:sz w:val="24"/>
        </w:rPr>
      </w:pPr>
      <w:r>
        <w:rPr>
          <w:rFonts w:ascii="仿宋" w:hAnsi="仿宋" w:eastAsia="仿宋"/>
          <w:color w:val="000000"/>
          <w:sz w:val="24"/>
        </w:rPr>
        <w:fldChar w:fldCharType="end"/>
      </w:r>
    </w:p>
    <w:p w14:paraId="18EA4CF1">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757E2B93">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14:paraId="599407D8">
      <w:pPr>
        <w:widowControl/>
        <w:jc w:val="left"/>
        <w:rPr>
          <w:rFonts w:ascii="黑体" w:eastAsia="黑体"/>
          <w:color w:val="000000"/>
          <w:sz w:val="32"/>
          <w:szCs w:val="32"/>
        </w:rPr>
      </w:pPr>
    </w:p>
    <w:p w14:paraId="28D0747D">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14:paraId="61FD1A74">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r>
        <w:rPr>
          <w:rFonts w:hint="eastAsia" w:ascii="仿宋" w:hAnsi="仿宋" w:eastAsia="仿宋"/>
          <w:bCs/>
          <w:color w:val="000000"/>
          <w:sz w:val="32"/>
          <w:szCs w:val="32"/>
        </w:rPr>
        <w:t>。</w:t>
      </w:r>
    </w:p>
    <w:p w14:paraId="36860F08">
      <w:pPr>
        <w:pStyle w:val="5"/>
        <w:adjustRightInd w:val="0"/>
        <w:snapToGrid w:val="0"/>
        <w:spacing w:before="93" w:line="600" w:lineRule="exact"/>
        <w:ind w:firstLine="675" w:firstLineChars="210"/>
        <w:outlineLvl w:val="2"/>
        <w:rPr>
          <w:rFonts w:ascii="仿宋" w:hAnsi="仿宋" w:eastAsia="仿宋"/>
          <w:bCs/>
          <w:color w:val="000000"/>
          <w:sz w:val="32"/>
          <w:szCs w:val="32"/>
        </w:rPr>
      </w:pPr>
      <w:r>
        <w:rPr>
          <w:rFonts w:hint="eastAsia" w:hAnsi="华文楷体"/>
          <w:b/>
          <w:bCs/>
          <w:color w:val="000000"/>
          <w:sz w:val="32"/>
          <w:szCs w:val="32"/>
        </w:rPr>
        <w:t>一是</w:t>
      </w:r>
      <w:r>
        <w:rPr>
          <w:rFonts w:hint="eastAsia"/>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指导全州应急管理工作，协助州政府领导同志做好需由州政府组织处理的突发事件的应急处置工作；围绕州政府中心工作和州政府领导同志指示，组织专题调查研究，及时反映情况，提出政策性建议。</w:t>
      </w:r>
      <w:r>
        <w:rPr>
          <w:rFonts w:hint="eastAsia"/>
          <w:b/>
          <w:color w:val="000000"/>
          <w:sz w:val="32"/>
          <w:szCs w:val="32"/>
        </w:rPr>
        <w:t>二是</w:t>
      </w:r>
      <w:r>
        <w:rPr>
          <w:rFonts w:hint="eastAsia"/>
          <w:color w:val="000000"/>
          <w:sz w:val="32"/>
          <w:szCs w:val="32"/>
        </w:rPr>
        <w:t>督促落实州政府金融工作部署，负责地方金融机构和金融中介机构的行业</w:t>
      </w:r>
      <w:r>
        <w:rPr>
          <w:rFonts w:hint="eastAsia"/>
          <w:sz w:val="32"/>
          <w:szCs w:val="32"/>
        </w:rPr>
        <w:t>管理和服务，维护地方金融秩序。</w:t>
      </w:r>
      <w:r>
        <w:rPr>
          <w:rFonts w:hint="eastAsia"/>
          <w:b/>
          <w:color w:val="000000"/>
          <w:sz w:val="32"/>
          <w:szCs w:val="32"/>
        </w:rPr>
        <w:t>三是</w:t>
      </w:r>
      <w:r>
        <w:rPr>
          <w:rFonts w:hint="eastAsia" w:cs="宋体"/>
          <w:sz w:val="32"/>
          <w:szCs w:val="32"/>
        </w:rPr>
        <w:t>负责</w:t>
      </w:r>
      <w:r>
        <w:rPr>
          <w:rFonts w:hint="eastAsia"/>
          <w:sz w:val="32"/>
          <w:szCs w:val="32"/>
        </w:rPr>
        <w:t>州政府人民防空和民防工作，指导全州人民防空和民防工作。</w:t>
      </w:r>
      <w:r>
        <w:rPr>
          <w:rFonts w:hint="eastAsia"/>
          <w:b/>
          <w:sz w:val="32"/>
          <w:szCs w:val="32"/>
        </w:rPr>
        <w:t>四是</w:t>
      </w:r>
      <w:r>
        <w:rPr>
          <w:rFonts w:hint="eastAsia"/>
          <w:sz w:val="32"/>
          <w:szCs w:val="32"/>
        </w:rPr>
        <w:t>拟定、指导全州物流产业发展战略和工作，协调、推进全州物流园区（中心、集聚区）、物流网络体系以及重大物流项目规划和建设；组织、协调口岸建设和管理工作。</w:t>
      </w:r>
      <w:r>
        <w:rPr>
          <w:rFonts w:hint="eastAsia"/>
          <w:b/>
          <w:color w:val="000000"/>
          <w:sz w:val="32"/>
          <w:szCs w:val="32"/>
        </w:rPr>
        <w:t>五是</w:t>
      </w:r>
      <w:r>
        <w:rPr>
          <w:rFonts w:hint="eastAsia"/>
          <w:sz w:val="32"/>
          <w:szCs w:val="32"/>
        </w:rPr>
        <w:t>做好机关事务工作，为州政府领导同志服好务。</w:t>
      </w:r>
      <w:r>
        <w:rPr>
          <w:rFonts w:hint="eastAsia"/>
          <w:b/>
          <w:bCs/>
          <w:sz w:val="32"/>
          <w:szCs w:val="32"/>
        </w:rPr>
        <w:t>六是</w:t>
      </w:r>
      <w:r>
        <w:rPr>
          <w:rFonts w:hint="eastAsia"/>
          <w:sz w:val="32"/>
          <w:szCs w:val="32"/>
        </w:rPr>
        <w:t>承办州政府和州政府领导交办的其他事项。</w:t>
      </w:r>
    </w:p>
    <w:p w14:paraId="399B7337">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14:paraId="40B96D73">
      <w:pPr>
        <w:topLinePunct/>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color w:val="000000"/>
          <w:kern w:val="32"/>
          <w:sz w:val="32"/>
          <w:szCs w:val="32"/>
          <w:shd w:val="clear" w:color="auto" w:fill="FFFFFF"/>
        </w:rPr>
        <w:t>一是主动参与政务，服务质量稳步提高。1.</w:t>
      </w:r>
      <w:r>
        <w:rPr>
          <w:rFonts w:hint="eastAsia" w:ascii="仿宋_GB2312" w:hAnsi="仿宋_GB2312" w:eastAsia="仿宋_GB2312" w:cs="仿宋_GB2312"/>
          <w:b/>
          <w:kern w:val="32"/>
          <w:sz w:val="32"/>
          <w:szCs w:val="32"/>
        </w:rPr>
        <w:t>精致协调，办务实的事情。</w:t>
      </w:r>
      <w:r>
        <w:rPr>
          <w:rFonts w:hint="eastAsia" w:ascii="仿宋_GB2312" w:hAnsi="仿宋_GB2312" w:eastAsia="仿宋_GB2312" w:cs="仿宋_GB2312"/>
          <w:sz w:val="32"/>
          <w:szCs w:val="32"/>
        </w:rPr>
        <w:t>围绕重大项目、重要会议、重要接待和重大活动做好协调工作。高质量承办了州政府13-22次常务会议，基本做到了无差错。围绕全州和全局工作做好了州政府与州委、人大、政协的工作协调，统筹安排好州政府领导与州委、人大、政协领导的重大活动；</w:t>
      </w:r>
      <w:r>
        <w:rPr>
          <w:rFonts w:hint="eastAsia" w:ascii="仿宋_GB2312" w:hAnsi="仿宋_GB2312" w:eastAsia="仿宋_GB2312" w:cs="仿宋_GB2312"/>
          <w:b/>
          <w:bCs/>
          <w:sz w:val="32"/>
          <w:szCs w:val="32"/>
        </w:rPr>
        <w:t>2.</w:t>
      </w:r>
      <w:r>
        <w:rPr>
          <w:rFonts w:hint="eastAsia" w:ascii="仿宋_GB2312" w:hAnsi="仿宋_GB2312" w:eastAsia="仿宋_GB2312" w:cs="仿宋_GB2312"/>
          <w:b/>
          <w:bCs/>
          <w:kern w:val="32"/>
          <w:sz w:val="32"/>
          <w:szCs w:val="32"/>
        </w:rPr>
        <w:t>精</w:t>
      </w:r>
      <w:r>
        <w:rPr>
          <w:rFonts w:hint="eastAsia" w:ascii="仿宋_GB2312" w:hAnsi="仿宋_GB2312" w:eastAsia="仿宋_GB2312" w:cs="仿宋_GB2312"/>
          <w:b/>
          <w:kern w:val="32"/>
          <w:sz w:val="32"/>
          <w:szCs w:val="32"/>
        </w:rPr>
        <w:t>细审核，做有用的文稿。</w:t>
      </w:r>
      <w:r>
        <w:rPr>
          <w:rFonts w:hint="eastAsia" w:ascii="仿宋_GB2312" w:hAnsi="仿宋_GB2312" w:eastAsia="仿宋_GB2312" w:cs="仿宋_GB2312"/>
          <w:sz w:val="32"/>
          <w:szCs w:val="32"/>
        </w:rPr>
        <w:t>2018年，办公室整合文秘资源，突出环保督</w:t>
      </w:r>
      <w:r>
        <w:rPr>
          <w:rFonts w:hint="eastAsia" w:ascii="仿宋_GB2312" w:hAnsi="仿宋_GB2312" w:eastAsia="仿宋_GB2312" w:cs="仿宋_GB2312"/>
          <w:sz w:val="32"/>
          <w:szCs w:val="32"/>
          <w:lang w:val="en-US" w:eastAsia="zh-CN"/>
        </w:rPr>
        <w:t>察</w:t>
      </w:r>
      <w:bookmarkStart w:id="74" w:name="_GoBack"/>
      <w:bookmarkEnd w:id="74"/>
      <w:r>
        <w:rPr>
          <w:rFonts w:hint="eastAsia" w:ascii="仿宋_GB2312" w:hAnsi="仿宋_GB2312" w:eastAsia="仿宋_GB2312" w:cs="仿宋_GB2312"/>
          <w:sz w:val="32"/>
          <w:szCs w:val="32"/>
        </w:rPr>
        <w:t>、灾后重建、项目推进、经济发展等重点工作，认真开展调查研究活动，高质量完成政府工作报告、经济形势分析会等重要会议的文稿起草，为政府领导指导工作、科学决策提供了参考依据；</w:t>
      </w:r>
      <w:r>
        <w:rPr>
          <w:rFonts w:hint="eastAsia" w:ascii="仿宋_GB2312" w:hAnsi="仿宋_GB2312" w:eastAsia="仿宋_GB2312" w:cs="仿宋_GB2312"/>
          <w:b/>
          <w:bCs/>
          <w:sz w:val="32"/>
          <w:szCs w:val="32"/>
        </w:rPr>
        <w:t>3.</w:t>
      </w:r>
      <w:r>
        <w:rPr>
          <w:rFonts w:hint="eastAsia" w:ascii="仿宋_GB2312" w:hAnsi="仿宋_GB2312" w:eastAsia="仿宋_GB2312" w:cs="仿宋_GB2312"/>
          <w:b/>
          <w:kern w:val="32"/>
          <w:sz w:val="32"/>
          <w:szCs w:val="32"/>
        </w:rPr>
        <w:t>精心服务，开有效的会议。</w:t>
      </w:r>
      <w:r>
        <w:rPr>
          <w:rFonts w:hint="eastAsia" w:ascii="仿宋_GB2312" w:hAnsi="仿宋_GB2312" w:eastAsia="仿宋_GB2312" w:cs="仿宋_GB2312"/>
          <w:sz w:val="32"/>
          <w:szCs w:val="32"/>
        </w:rPr>
        <w:t>完善会议备案、审批制度，坚持分级、分类审批，提倡少开会、开短会，年初整合部门会议集中召开州委州政府工作会议，年中严格控制以州政府名义召开会议。全年，以州政府名义召开的会议同比减少了33.3%；4.</w:t>
      </w:r>
      <w:r>
        <w:rPr>
          <w:rFonts w:hint="eastAsia" w:ascii="仿宋_GB2312" w:hAnsi="仿宋_GB2312" w:eastAsia="仿宋_GB2312" w:cs="仿宋_GB2312"/>
          <w:b/>
          <w:kern w:val="32"/>
          <w:sz w:val="32"/>
          <w:szCs w:val="32"/>
        </w:rPr>
        <w:t>精准提炼，报亮点的信息。</w:t>
      </w:r>
      <w:r>
        <w:rPr>
          <w:rFonts w:hint="eastAsia" w:ascii="仿宋_GB2312" w:hAnsi="仿宋_GB2312" w:eastAsia="仿宋_GB2312" w:cs="仿宋_GB2312"/>
          <w:sz w:val="32"/>
          <w:szCs w:val="32"/>
        </w:rPr>
        <w:t>重创新、重采编、重质量。全年，采集、编写动态类政务信息2200余条，省政府办公厅采用动态类信息76条，国务院办公厅采用动态类3条。</w:t>
      </w:r>
    </w:p>
    <w:p w14:paraId="169FAA38">
      <w:pPr>
        <w:topLinePunct/>
        <w:spacing w:line="540" w:lineRule="exact"/>
        <w:ind w:firstLine="643" w:firstLineChars="200"/>
        <w:rPr>
          <w:rFonts w:ascii="黑体" w:eastAsia="黑体"/>
          <w:color w:val="000000"/>
          <w:kern w:val="32"/>
          <w:sz w:val="32"/>
          <w:szCs w:val="32"/>
        </w:rPr>
      </w:pPr>
      <w:r>
        <w:rPr>
          <w:rFonts w:hint="eastAsia" w:ascii="仿宋_GB2312" w:hAnsi="仿宋_GB2312" w:eastAsia="仿宋_GB2312" w:cs="仿宋_GB2312"/>
          <w:b/>
          <w:bCs/>
          <w:color w:val="000000"/>
          <w:kern w:val="32"/>
          <w:sz w:val="32"/>
          <w:szCs w:val="32"/>
        </w:rPr>
        <w:t>二是规范事务管理，办事能力显著增强。1.</w:t>
      </w:r>
      <w:r>
        <w:rPr>
          <w:rFonts w:hint="eastAsia" w:ascii="仿宋_GB2312" w:hAnsi="仿宋_GB2312" w:eastAsia="仿宋_GB2312" w:cs="仿宋_GB2312"/>
          <w:b/>
          <w:kern w:val="32"/>
          <w:sz w:val="32"/>
          <w:szCs w:val="32"/>
        </w:rPr>
        <w:t>强化方式创新，推进督查督办高效化。</w:t>
      </w:r>
      <w:r>
        <w:rPr>
          <w:rFonts w:hint="eastAsia" w:ascii="仿宋_GB2312" w:hAnsi="仿宋_GB2312" w:eastAsia="仿宋_GB2312" w:cs="仿宋_GB2312"/>
          <w:bCs/>
          <w:kern w:val="32"/>
          <w:sz w:val="32"/>
          <w:szCs w:val="32"/>
        </w:rPr>
        <w:t>全年，完成会议议定事项等督办177项、现场调研明确事项19项，发督办通知12次，形成专题报告33期；</w:t>
      </w:r>
      <w:r>
        <w:rPr>
          <w:rFonts w:hint="eastAsia" w:ascii="仿宋_GB2312" w:hAnsi="仿宋_GB2312" w:eastAsia="仿宋_GB2312" w:cs="仿宋_GB2312"/>
          <w:b/>
          <w:kern w:val="32"/>
          <w:sz w:val="32"/>
          <w:szCs w:val="32"/>
        </w:rPr>
        <w:t>2.强化过程控制，推进办理工作精细化。</w:t>
      </w:r>
      <w:r>
        <w:rPr>
          <w:rFonts w:hint="eastAsia" w:ascii="仿宋_GB2312" w:hAnsi="仿宋_GB2312" w:eastAsia="仿宋_GB2312" w:cs="仿宋_GB2312"/>
          <w:kern w:val="32"/>
          <w:sz w:val="32"/>
          <w:szCs w:val="32"/>
        </w:rPr>
        <w:t>全年，3件省转办的建议提案主办件、2件会办件，255件州人大、州政协转办的建议提案均在规定时限内办理完结，州人大代表和州政协委员对办理工作、办理结果满意率均为100%。州长信箱办理取得实效，紧紧围绕群众关注的民生问题、来信反映的热点问题，将来信办理工作与推动经济发展、改善民生、促进社会和谐有机结合起来，实现快速、便捷、高效办理，将信访问题解决在始发地、化解在萌芽状态。全年办理来信267件</w:t>
      </w:r>
      <w:bookmarkStart w:id="20" w:name="_Hlt372535926"/>
      <w:bookmarkEnd w:id="20"/>
      <w:bookmarkStart w:id="21" w:name="_Hlt372535925"/>
      <w:bookmarkEnd w:id="21"/>
      <w:r>
        <w:rPr>
          <w:rFonts w:hint="eastAsia" w:ascii="仿宋_GB2312" w:hAnsi="仿宋_GB2312" w:eastAsia="仿宋_GB2312" w:cs="仿宋_GB2312"/>
          <w:kern w:val="32"/>
          <w:sz w:val="32"/>
          <w:szCs w:val="32"/>
        </w:rPr>
        <w:t>，</w:t>
      </w:r>
      <w:r>
        <w:rPr>
          <w:rFonts w:hint="eastAsia" w:ascii="仿宋_GB2312" w:hAnsi="仿宋_GB2312" w:eastAsia="仿宋_GB2312" w:cs="仿宋_GB2312"/>
          <w:color w:val="000000"/>
          <w:kern w:val="32"/>
          <w:sz w:val="32"/>
          <w:szCs w:val="32"/>
        </w:rPr>
        <w:t>做到了件件回复、事事回音;</w:t>
      </w:r>
      <w:r>
        <w:rPr>
          <w:rFonts w:hint="eastAsia" w:ascii="仿宋_GB2312" w:hAnsi="仿宋_GB2312" w:eastAsia="仿宋_GB2312" w:cs="仿宋_GB2312"/>
          <w:b/>
          <w:bCs/>
          <w:color w:val="000000"/>
          <w:kern w:val="32"/>
          <w:sz w:val="32"/>
          <w:szCs w:val="32"/>
        </w:rPr>
        <w:t>3.</w:t>
      </w:r>
      <w:r>
        <w:rPr>
          <w:rFonts w:hint="eastAsia" w:ascii="仿宋_GB2312" w:hAnsi="仿宋_GB2312" w:eastAsia="仿宋_GB2312" w:cs="仿宋_GB2312"/>
          <w:b/>
          <w:bCs/>
          <w:kern w:val="32"/>
          <w:sz w:val="32"/>
          <w:szCs w:val="32"/>
        </w:rPr>
        <w:t>强</w:t>
      </w:r>
      <w:r>
        <w:rPr>
          <w:rFonts w:hint="eastAsia" w:ascii="仿宋_GB2312" w:hAnsi="仿宋_GB2312" w:eastAsia="仿宋_GB2312" w:cs="仿宋_GB2312"/>
          <w:b/>
          <w:kern w:val="32"/>
          <w:sz w:val="32"/>
          <w:szCs w:val="32"/>
        </w:rPr>
        <w:t>化拓面扩容，推进信息公开系统化。</w:t>
      </w:r>
      <w:r>
        <w:rPr>
          <w:rFonts w:hint="eastAsia" w:ascii="仿宋_GB2312" w:hAnsi="仿宋_GB2312" w:eastAsia="仿宋_GB2312" w:cs="仿宋_GB2312"/>
          <w:kern w:val="32"/>
          <w:sz w:val="32"/>
          <w:szCs w:val="32"/>
        </w:rPr>
        <w:t>全州各级行政机关主动公开各类政府信息15.7万余条，重点领域专栏发布信息3600余条。举办在线访谈7期、新闻发布会13期、民意征集和网上调查18期。完成州级电子政务外网数据中心备份系统建设，采编发布、转载刊登信息1.97万余条，省政府网站采用275条。</w:t>
      </w:r>
    </w:p>
    <w:p w14:paraId="4C2412BF">
      <w:pPr>
        <w:pStyle w:val="3"/>
        <w:rPr>
          <w:rStyle w:val="25"/>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14:paraId="3A82812E">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阿坝州政府办公室是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1个，独立编制机构6个，包括：州政府办公室、州政府应急办、州政府驻京联络处、州政府金融办和直属州人防办、州政府信息化公开办。其中:行政单位1个，参照公务员法管理的事业单位2个，其他事业单位3个。</w:t>
      </w:r>
    </w:p>
    <w:p w14:paraId="12169C30">
      <w:pPr>
        <w:spacing w:line="540" w:lineRule="exact"/>
        <w:ind w:firstLine="640" w:firstLineChars="200"/>
        <w:rPr>
          <w:rFonts w:ascii="仿宋_GB2312" w:eastAsia="仿宋_GB2312"/>
          <w:color w:val="000000"/>
          <w:sz w:val="32"/>
          <w:szCs w:val="32"/>
        </w:rPr>
      </w:pPr>
    </w:p>
    <w:p w14:paraId="79BA61E3">
      <w:pPr>
        <w:widowControl/>
        <w:jc w:val="center"/>
        <w:rPr>
          <w:rStyle w:val="24"/>
          <w:rFonts w:ascii="黑体" w:hAnsi="黑体" w:eastAsia="黑体"/>
          <w:b w:val="0"/>
          <w:bCs w:val="0"/>
        </w:rPr>
      </w:pPr>
      <w:bookmarkStart w:id="24" w:name="_Toc15396602"/>
      <w:bookmarkStart w:id="25" w:name="_Toc15377204"/>
      <w:r>
        <w:rPr>
          <w:rStyle w:val="24"/>
          <w:rFonts w:hint="eastAsia" w:ascii="黑体" w:hAnsi="黑体" w:eastAsia="黑体"/>
          <w:b w:val="0"/>
          <w:bCs w:val="0"/>
        </w:rPr>
        <w:t>第二部分 2018年度部门决算情况说明</w:t>
      </w:r>
      <w:bookmarkEnd w:id="24"/>
      <w:bookmarkEnd w:id="25"/>
    </w:p>
    <w:p w14:paraId="6765AEFA"/>
    <w:p w14:paraId="4E02BC55">
      <w:pPr>
        <w:pStyle w:val="23"/>
        <w:numPr>
          <w:ilvl w:val="0"/>
          <w:numId w:val="1"/>
        </w:numPr>
        <w:spacing w:line="600" w:lineRule="exact"/>
        <w:ind w:firstLineChars="0"/>
        <w:outlineLvl w:val="1"/>
        <w:rPr>
          <w:rStyle w:val="25"/>
          <w:rFonts w:ascii="黑体" w:hAnsi="黑体" w:eastAsia="黑体"/>
          <w:b w:val="0"/>
        </w:rPr>
      </w:pPr>
      <w:bookmarkStart w:id="26" w:name="_Toc15396603"/>
      <w:bookmarkStart w:id="27"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14:paraId="6829C63B">
      <w:pPr>
        <w:pStyle w:val="5"/>
        <w:spacing w:before="93" w:line="540" w:lineRule="exact"/>
        <w:ind w:firstLine="640" w:firstLineChars="200"/>
        <w:rPr>
          <w:color w:val="000000"/>
          <w:sz w:val="32"/>
          <w:szCs w:val="32"/>
        </w:rPr>
      </w:pPr>
      <w:r>
        <w:rPr>
          <w:rFonts w:hint="eastAsia" w:ascii="仿宋" w:hAnsi="仿宋" w:eastAsia="仿宋"/>
          <w:color w:val="000000"/>
          <w:sz w:val="32"/>
          <w:szCs w:val="32"/>
        </w:rPr>
        <w:t>2018年度收、支总计374.13万元。</w:t>
      </w:r>
      <w:r>
        <w:rPr>
          <w:rFonts w:hint="eastAsia" w:hAnsi="仿宋"/>
          <w:szCs w:val="32"/>
        </w:rPr>
        <w:t>从2018年开始单独报表。</w:t>
      </w:r>
    </w:p>
    <w:p w14:paraId="1E1E19EF">
      <w:pPr>
        <w:pStyle w:val="23"/>
        <w:numPr>
          <w:ilvl w:val="0"/>
          <w:numId w:val="1"/>
        </w:numPr>
        <w:spacing w:line="600" w:lineRule="exact"/>
        <w:ind w:firstLineChars="0"/>
        <w:outlineLvl w:val="1"/>
        <w:rPr>
          <w:rStyle w:val="25"/>
          <w:rFonts w:ascii="黑体" w:hAnsi="黑体" w:eastAsia="黑体"/>
          <w:b w:val="0"/>
        </w:rPr>
      </w:pPr>
      <w:bookmarkStart w:id="28" w:name="_Toc15396604"/>
      <w:bookmarkStart w:id="29"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p>
    <w:p w14:paraId="2867FB59">
      <w:pPr>
        <w:spacing w:line="600" w:lineRule="exact"/>
        <w:ind w:firstLine="640" w:firstLineChars="200"/>
        <w:outlineLvl w:val="1"/>
        <w:rPr>
          <w:rFonts w:ascii="仿宋" w:hAnsi="仿宋" w:eastAsia="仿宋"/>
          <w:color w:val="000000"/>
          <w:sz w:val="32"/>
          <w:szCs w:val="32"/>
        </w:rPr>
      </w:pPr>
      <w:r>
        <w:rPr>
          <w:rFonts w:hint="eastAsia" w:ascii="黑体" w:hAnsi="黑体" w:eastAsia="黑体"/>
          <w:color w:val="000000"/>
          <w:sz w:val="32"/>
          <w:szCs w:val="32"/>
          <w:lang w:bidi="bo-CN"/>
        </w:rPr>
        <w:drawing>
          <wp:anchor distT="0" distB="0" distL="114300" distR="114300" simplePos="0" relativeHeight="251659264" behindDoc="0" locked="0" layoutInCell="1" allowOverlap="1">
            <wp:simplePos x="0" y="0"/>
            <wp:positionH relativeFrom="column">
              <wp:posOffset>385445</wp:posOffset>
            </wp:positionH>
            <wp:positionV relativeFrom="paragraph">
              <wp:posOffset>2345690</wp:posOffset>
            </wp:positionV>
            <wp:extent cx="4582795" cy="2477135"/>
            <wp:effectExtent l="4445" t="4445" r="2286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8年收入合计374.13万元，其中：一般公共预算财政拨款收入374.13万元，占100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55AEECF2">
      <w:pPr>
        <w:pStyle w:val="23"/>
        <w:spacing w:line="600" w:lineRule="exact"/>
        <w:ind w:firstLine="640"/>
        <w:outlineLvl w:val="1"/>
        <w:rPr>
          <w:rStyle w:val="25"/>
          <w:rFonts w:ascii="黑体" w:hAnsi="黑体" w:eastAsia="黑体"/>
          <w:b w:val="0"/>
        </w:rPr>
      </w:pPr>
      <w:bookmarkStart w:id="30" w:name="_Toc15377207"/>
      <w:bookmarkStart w:id="31" w:name="_Toc15396605"/>
      <w:r>
        <w:rPr>
          <w:rFonts w:hint="eastAsia" w:ascii="黑体" w:hAnsi="黑体" w:eastAsia="黑体"/>
          <w:color w:val="000000"/>
          <w:sz w:val="32"/>
          <w:szCs w:val="32"/>
        </w:rPr>
        <w:t>三、支</w:t>
      </w:r>
      <w:r>
        <w:rPr>
          <w:rStyle w:val="25"/>
          <w:rFonts w:hint="eastAsia" w:ascii="黑体" w:hAnsi="黑体" w:eastAsia="黑体"/>
          <w:b w:val="0"/>
        </w:rPr>
        <w:t>出决算情况说明</w:t>
      </w:r>
      <w:bookmarkEnd w:id="30"/>
      <w:bookmarkEnd w:id="31"/>
    </w:p>
    <w:p w14:paraId="72C893B0">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_GB2312" w:hAnsi="仿宋" w:eastAsia="仿宋_GB2312"/>
          <w:spacing w:val="-2"/>
          <w:sz w:val="32"/>
          <w:szCs w:val="32"/>
        </w:rPr>
        <w:t>369.88</w:t>
      </w:r>
      <w:r>
        <w:rPr>
          <w:rFonts w:hint="eastAsia" w:ascii="仿宋" w:hAnsi="仿宋" w:eastAsia="仿宋"/>
          <w:color w:val="000000"/>
          <w:sz w:val="32"/>
          <w:szCs w:val="32"/>
        </w:rPr>
        <w:t>万元，其中：基本支出369.99万元，占100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15CB964A">
      <w:pPr>
        <w:spacing w:line="600" w:lineRule="exact"/>
        <w:ind w:firstLine="640" w:firstLineChars="200"/>
        <w:rPr>
          <w:rStyle w:val="25"/>
          <w:rFonts w:ascii="黑体" w:hAnsi="黑体" w:eastAsia="黑体"/>
          <w:b w:val="0"/>
        </w:rPr>
      </w:pPr>
      <w:r>
        <w:rPr>
          <w:rFonts w:hint="eastAsia" w:ascii="仿宋_GB2312" w:eastAsia="仿宋_GB2312"/>
          <w:color w:val="FF0000"/>
          <w:sz w:val="32"/>
          <w:szCs w:val="32"/>
          <w:lang w:bidi="bo-CN"/>
        </w:rPr>
        <w:drawing>
          <wp:anchor distT="0" distB="0" distL="114300" distR="114300" simplePos="0" relativeHeight="251660288" behindDoc="0" locked="0" layoutInCell="1" allowOverlap="1">
            <wp:simplePos x="0" y="0"/>
            <wp:positionH relativeFrom="column">
              <wp:posOffset>366395</wp:posOffset>
            </wp:positionH>
            <wp:positionV relativeFrom="paragraph">
              <wp:posOffset>128270</wp:posOffset>
            </wp:positionV>
            <wp:extent cx="4489450" cy="2688590"/>
            <wp:effectExtent l="4445" t="4445" r="2095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2" w:name="_Toc15377208"/>
      <w:bookmarkStart w:id="33"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2"/>
      <w:bookmarkEnd w:id="33"/>
    </w:p>
    <w:p w14:paraId="36116853">
      <w:pPr>
        <w:pStyle w:val="5"/>
        <w:spacing w:before="93" w:line="540" w:lineRule="exact"/>
        <w:ind w:firstLine="640" w:firstLineChars="200"/>
        <w:rPr>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8年财政拨款收、支总计369.88万元。</w:t>
      </w:r>
      <w:r>
        <w:rPr>
          <w:rFonts w:hint="eastAsia" w:hAnsi="仿宋"/>
          <w:szCs w:val="32"/>
        </w:rPr>
        <w:t>从2018年开始单独报表。</w:t>
      </w:r>
    </w:p>
    <w:p w14:paraId="2B087CB0">
      <w:pPr>
        <w:spacing w:line="600" w:lineRule="exact"/>
        <w:ind w:firstLine="640" w:firstLineChars="200"/>
        <w:outlineLvl w:val="1"/>
        <w:rPr>
          <w:rStyle w:val="25"/>
          <w:rFonts w:ascii="黑体" w:hAnsi="黑体" w:eastAsia="黑体"/>
          <w:b w:val="0"/>
        </w:rPr>
      </w:pPr>
      <w:bookmarkStart w:id="34" w:name="_Toc15377209"/>
      <w:bookmarkStart w:id="3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4"/>
      <w:bookmarkEnd w:id="35"/>
    </w:p>
    <w:p w14:paraId="639B4C26">
      <w:pPr>
        <w:spacing w:line="60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14:paraId="6A9E221C">
      <w:pPr>
        <w:pStyle w:val="5"/>
        <w:spacing w:before="93" w:line="540" w:lineRule="exact"/>
        <w:ind w:firstLine="640" w:firstLineChars="200"/>
        <w:rPr>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8年一般公共预算财政拨款支出369.88万元，占本年支出合计的100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hAnsi="仿宋"/>
          <w:szCs w:val="32"/>
        </w:rPr>
        <w:t>从2018年开始单独报表。</w:t>
      </w:r>
    </w:p>
    <w:p w14:paraId="03547E79">
      <w:pPr>
        <w:spacing w:line="600" w:lineRule="exact"/>
        <w:ind w:firstLine="643" w:firstLineChars="200"/>
        <w:outlineLvl w:val="2"/>
        <w:rPr>
          <w:rFonts w:ascii="仿宋" w:hAnsi="仿宋" w:eastAsia="仿宋"/>
          <w:b/>
          <w:color w:val="000000"/>
          <w:sz w:val="32"/>
          <w:szCs w:val="32"/>
        </w:rPr>
      </w:pPr>
      <w:bookmarkStart w:id="37" w:name="_Toc15377211"/>
      <w:r>
        <w:rPr>
          <w:rFonts w:hint="eastAsia" w:ascii="仿宋" w:hAnsi="仿宋" w:eastAsia="仿宋"/>
          <w:b/>
          <w:color w:val="000000"/>
          <w:sz w:val="32"/>
          <w:szCs w:val="32"/>
        </w:rPr>
        <w:t>（二）一般公共预算财政拨款支出决算结构情况</w:t>
      </w:r>
      <w:bookmarkEnd w:id="37"/>
    </w:p>
    <w:p w14:paraId="1ACBA8AE">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政拨款支出369.88万元，主要用于以下方面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支出279.6万元，占75.59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bidi="bo-CN"/>
        </w:rPr>
        <w:drawing>
          <wp:anchor distT="0" distB="0" distL="114300" distR="114300" simplePos="0" relativeHeight="251661312" behindDoc="0" locked="0" layoutInCell="1" allowOverlap="1">
            <wp:simplePos x="0" y="0"/>
            <wp:positionH relativeFrom="column">
              <wp:posOffset>318770</wp:posOffset>
            </wp:positionH>
            <wp:positionV relativeFrom="paragraph">
              <wp:posOffset>1204595</wp:posOffset>
            </wp:positionV>
            <wp:extent cx="4752975" cy="2646045"/>
            <wp:effectExtent l="4445" t="4445" r="5080"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支出46.23万元，占12.5</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；医疗卫生支出19.18万元，占5.2</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；住房保障支出24.86万元，占6.72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14:paraId="5CB8345E">
      <w:pPr>
        <w:spacing w:line="600" w:lineRule="exact"/>
        <w:ind w:firstLine="643" w:firstLineChars="200"/>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14:paraId="770B12E3">
      <w:pPr>
        <w:spacing w:line="600" w:lineRule="exact"/>
        <w:ind w:firstLine="643" w:firstLineChars="200"/>
        <w:outlineLvl w:val="2"/>
        <w:rPr>
          <w:rFonts w:ascii="仿宋" w:hAnsi="仿宋" w:eastAsia="仿宋"/>
          <w:color w:val="FF0000"/>
          <w:sz w:val="32"/>
          <w:szCs w:val="32"/>
        </w:rPr>
      </w:pPr>
      <w:bookmarkStart w:id="39" w:name="_Toc15377444"/>
      <w:bookmarkStart w:id="40" w:name="_Toc15377213"/>
      <w:bookmarkStart w:id="41" w:name="_Toc15378460"/>
      <w:r>
        <w:rPr>
          <w:rFonts w:hint="eastAsia" w:ascii="仿宋" w:hAnsi="仿宋" w:eastAsia="仿宋"/>
          <w:b/>
          <w:color w:val="000000" w:themeColor="text1"/>
          <w:sz w:val="32"/>
          <w:szCs w:val="32"/>
        </w:rPr>
        <w:t>2018年般公共预算支出决算数为369.88</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9"/>
      <w:bookmarkEnd w:id="40"/>
      <w:bookmarkEnd w:id="41"/>
    </w:p>
    <w:p w14:paraId="4737BC3D">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一般公共服务（类）政府办公厅（室）及相关机构事务（款）事业运行（项）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支出决算为279.6万元，完成预算100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72341AE2">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社会保障和就业（类）行政事业单位离退休（款）机关事业单位基本养老保险缴费支出（项）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支出决算为33.02万元，完成预算100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53F48A81">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社会保障和就业（类）行政事业单位离退休（款）机关事业单位基本职业年金缴费支出（项）</w:t>
      </w:r>
      <w:r>
        <w:rPr>
          <w:rStyle w:val="14"/>
          <w:rFonts w:ascii="仿宋" w:hAnsi="仿宋" w:eastAsia="仿宋"/>
          <w:bCs/>
          <w:color w:val="000000"/>
          <w:sz w:val="32"/>
          <w:szCs w:val="32"/>
        </w:rPr>
        <w:t>:</w:t>
      </w:r>
      <w:r>
        <w:rPr>
          <w:rStyle w:val="14"/>
          <w:rFonts w:hint="eastAsia" w:ascii="仿宋" w:hAnsi="仿宋" w:eastAsia="仿宋" w:cstheme="minorBidi"/>
          <w:b w:val="0"/>
          <w:bCs/>
          <w:color w:val="000000"/>
          <w:sz w:val="32"/>
          <w:szCs w:val="32"/>
        </w:rPr>
        <w:t>支出决算为13.21万元，完成预算100</w:t>
      </w:r>
      <w:r>
        <w:rPr>
          <w:rStyle w:val="14"/>
          <w:rFonts w:ascii="仿宋" w:hAnsi="仿宋" w:eastAsia="仿宋" w:cstheme="minorBidi"/>
          <w:b w:val="0"/>
          <w:bCs/>
          <w:color w:val="000000"/>
          <w:sz w:val="32"/>
          <w:szCs w:val="32"/>
        </w:rPr>
        <w:t>%</w:t>
      </w:r>
      <w:r>
        <w:rPr>
          <w:rStyle w:val="14"/>
          <w:rFonts w:hint="eastAsia" w:ascii="仿宋" w:hAnsi="仿宋" w:eastAsia="仿宋" w:cstheme="minorBidi"/>
          <w:b w:val="0"/>
          <w:bCs/>
          <w:color w:val="000000"/>
          <w:sz w:val="32"/>
          <w:szCs w:val="32"/>
        </w:rPr>
        <w:t>，决算数等于预算数。</w:t>
      </w:r>
    </w:p>
    <w:p w14:paraId="631932D9">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医疗卫生与计划生育（类）行政事业单位医疗（款）事业单位医疗（项）</w:t>
      </w:r>
      <w:r>
        <w:rPr>
          <w:rStyle w:val="14"/>
          <w:rFonts w:ascii="仿宋" w:hAnsi="仿宋" w:eastAsia="仿宋"/>
          <w:bCs/>
          <w:color w:val="000000"/>
          <w:sz w:val="32"/>
          <w:szCs w:val="32"/>
        </w:rPr>
        <w:t>:</w:t>
      </w:r>
      <w:r>
        <w:rPr>
          <w:rStyle w:val="14"/>
          <w:rFonts w:hint="eastAsia" w:ascii="仿宋" w:hAnsi="仿宋" w:eastAsia="仿宋" w:cstheme="minorBidi"/>
          <w:b w:val="0"/>
          <w:bCs/>
          <w:color w:val="000000"/>
          <w:sz w:val="32"/>
          <w:szCs w:val="32"/>
        </w:rPr>
        <w:t>支出决算为16.43万元，完成预算100</w:t>
      </w:r>
      <w:r>
        <w:rPr>
          <w:rStyle w:val="14"/>
          <w:rFonts w:ascii="仿宋" w:hAnsi="仿宋" w:eastAsia="仿宋" w:cstheme="minorBidi"/>
          <w:b w:val="0"/>
          <w:bCs/>
          <w:color w:val="000000"/>
          <w:sz w:val="32"/>
          <w:szCs w:val="32"/>
        </w:rPr>
        <w:t>%</w:t>
      </w:r>
      <w:r>
        <w:rPr>
          <w:rStyle w:val="14"/>
          <w:rFonts w:hint="eastAsia" w:ascii="仿宋" w:hAnsi="仿宋" w:eastAsia="仿宋" w:cstheme="minorBidi"/>
          <w:b w:val="0"/>
          <w:bCs/>
          <w:color w:val="000000"/>
          <w:sz w:val="32"/>
          <w:szCs w:val="32"/>
        </w:rPr>
        <w:t>，决算数等于预算数。</w:t>
      </w:r>
    </w:p>
    <w:p w14:paraId="1B718649">
      <w:pPr>
        <w:spacing w:line="600" w:lineRule="exact"/>
        <w:ind w:firstLine="643" w:firstLineChars="200"/>
        <w:rPr>
          <w:rStyle w:val="14"/>
          <w:rFonts w:ascii="仿宋" w:hAnsi="仿宋" w:eastAsia="仿宋" w:cstheme="minorBidi"/>
          <w:b w:val="0"/>
          <w:bCs/>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医疗卫生与计划生育（类）行政事业单位医疗（款）其他行政事业单位医疗支出（项）</w:t>
      </w:r>
      <w:r>
        <w:rPr>
          <w:rStyle w:val="14"/>
          <w:rFonts w:ascii="仿宋" w:hAnsi="仿宋" w:eastAsia="仿宋"/>
          <w:bCs/>
          <w:color w:val="000000"/>
          <w:sz w:val="32"/>
          <w:szCs w:val="32"/>
        </w:rPr>
        <w:t>:</w:t>
      </w:r>
      <w:r>
        <w:rPr>
          <w:rStyle w:val="14"/>
          <w:rFonts w:hint="eastAsia" w:ascii="仿宋" w:hAnsi="仿宋" w:eastAsia="仿宋" w:cstheme="minorBidi"/>
          <w:b w:val="0"/>
          <w:bCs/>
          <w:color w:val="000000"/>
          <w:sz w:val="32"/>
          <w:szCs w:val="32"/>
        </w:rPr>
        <w:t>支出决算为2.75万元，完成预算100</w:t>
      </w:r>
      <w:r>
        <w:rPr>
          <w:rStyle w:val="14"/>
          <w:rFonts w:ascii="仿宋" w:hAnsi="仿宋" w:eastAsia="仿宋" w:cstheme="minorBidi"/>
          <w:b w:val="0"/>
          <w:bCs/>
          <w:color w:val="000000"/>
          <w:sz w:val="32"/>
          <w:szCs w:val="32"/>
        </w:rPr>
        <w:t>%</w:t>
      </w:r>
      <w:r>
        <w:rPr>
          <w:rStyle w:val="14"/>
          <w:rFonts w:hint="eastAsia" w:ascii="仿宋" w:hAnsi="仿宋" w:eastAsia="仿宋" w:cstheme="minorBidi"/>
          <w:b w:val="0"/>
          <w:bCs/>
          <w:color w:val="000000"/>
          <w:sz w:val="32"/>
          <w:szCs w:val="32"/>
        </w:rPr>
        <w:t>，决算数等于预算数。</w:t>
      </w:r>
    </w:p>
    <w:p w14:paraId="3E6DC675">
      <w:pPr>
        <w:spacing w:line="600" w:lineRule="exact"/>
        <w:ind w:firstLine="643" w:firstLineChars="200"/>
        <w:rPr>
          <w:rStyle w:val="14"/>
          <w:rFonts w:ascii="仿宋" w:hAnsi="仿宋" w:eastAsia="仿宋"/>
          <w:bCs/>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住房保障（类）住房改革支出（款）住房公积金（项）：</w:t>
      </w:r>
      <w:r>
        <w:rPr>
          <w:rStyle w:val="14"/>
          <w:rFonts w:hint="eastAsia" w:ascii="仿宋" w:hAnsi="仿宋" w:eastAsia="仿宋"/>
          <w:b w:val="0"/>
          <w:bCs/>
          <w:color w:val="000000"/>
          <w:sz w:val="32"/>
          <w:szCs w:val="32"/>
        </w:rPr>
        <w:t>支出决算为24.87万元，完成预算100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7D18FF69">
      <w:pPr>
        <w:tabs>
          <w:tab w:val="right" w:pos="8306"/>
        </w:tabs>
        <w:spacing w:line="600" w:lineRule="exact"/>
        <w:ind w:firstLine="640" w:firstLineChars="200"/>
        <w:outlineLvl w:val="1"/>
        <w:rPr>
          <w:rStyle w:val="25"/>
        </w:rPr>
      </w:pPr>
      <w:bookmarkStart w:id="42" w:name="_Toc15377214"/>
      <w:bookmarkStart w:id="4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2"/>
      <w:bookmarkEnd w:id="43"/>
      <w:r>
        <w:rPr>
          <w:rStyle w:val="25"/>
          <w:rFonts w:ascii="黑体" w:hAnsi="黑体" w:eastAsia="黑体"/>
          <w:b w:val="0"/>
        </w:rPr>
        <w:tab/>
      </w:r>
    </w:p>
    <w:p w14:paraId="794D7B10">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8年一般公共预算财政拨款基本支出369.88万元，其中：</w:t>
      </w:r>
    </w:p>
    <w:p w14:paraId="570FFD9D">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324.68万元，主要包括：基本工资65.19万元、津贴补贴84.12万元、奖金58.33万元、绩效工资24.56万元、机关事业单位基本养老保险缴费33.02万元、职业年金缴费13.21万元、职工基本医疗保险缴费16.43万元、其他社会保障缴费4.94万元、住房公积金24.88万元。</w:t>
      </w:r>
      <w:r>
        <w:rPr>
          <w:rFonts w:ascii="仿宋" w:hAnsi="仿宋" w:eastAsia="仿宋"/>
          <w:color w:val="000000"/>
          <w:sz w:val="32"/>
          <w:szCs w:val="32"/>
        </w:rPr>
        <w:br w:type="textWrapping"/>
      </w:r>
      <w:r>
        <w:rPr>
          <w:rFonts w:hint="eastAsia" w:ascii="仿宋" w:hAnsi="仿宋" w:eastAsia="仿宋"/>
          <w:color w:val="000000"/>
          <w:sz w:val="32"/>
          <w:szCs w:val="32"/>
        </w:rPr>
        <w:t>　　公用经费45.2万元，主要包括：办公费0.1万元、差旅费42.6万元、培训费2.5万元。</w:t>
      </w:r>
    </w:p>
    <w:p w14:paraId="7006358C">
      <w:pPr>
        <w:spacing w:line="600" w:lineRule="exact"/>
        <w:ind w:firstLine="640" w:firstLineChars="200"/>
        <w:outlineLvl w:val="1"/>
        <w:rPr>
          <w:rStyle w:val="25"/>
          <w:rFonts w:ascii="黑体" w:hAnsi="黑体" w:eastAsia="黑体"/>
          <w:b w:val="0"/>
        </w:rPr>
      </w:pPr>
      <w:bookmarkStart w:id="44" w:name="_Toc15396609"/>
      <w:bookmarkStart w:id="45"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4"/>
      <w:bookmarkEnd w:id="45"/>
    </w:p>
    <w:p w14:paraId="06A9E2D5">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8年“三公”经费财政拨款支出决算为0万元，未发生支出的原因为我单位三公经费的支出体现在行政账务中核算。</w:t>
      </w:r>
    </w:p>
    <w:p w14:paraId="09F190AF">
      <w:pPr>
        <w:spacing w:line="600" w:lineRule="exact"/>
        <w:ind w:firstLine="640"/>
        <w:outlineLvl w:val="1"/>
        <w:rPr>
          <w:rStyle w:val="25"/>
          <w:rFonts w:ascii="黑体" w:hAnsi="黑体" w:eastAsia="黑体"/>
        </w:rPr>
      </w:pPr>
      <w:bookmarkStart w:id="46" w:name="_Toc15396610"/>
      <w:bookmarkStart w:id="47"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14:paraId="3B195E0C">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40D801A4">
      <w:pPr>
        <w:spacing w:line="600" w:lineRule="exact"/>
        <w:ind w:firstLine="640"/>
        <w:rPr>
          <w:rFonts w:ascii="仿宋_GB2312" w:eastAsia="仿宋_GB2312"/>
          <w:color w:val="000000"/>
          <w:sz w:val="32"/>
          <w:szCs w:val="32"/>
        </w:rPr>
      </w:pPr>
    </w:p>
    <w:p w14:paraId="57F62F85">
      <w:pPr>
        <w:numPr>
          <w:ilvl w:val="0"/>
          <w:numId w:val="2"/>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14:paraId="4AEA5BC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6795BDAE">
      <w:pPr>
        <w:pStyle w:val="23"/>
        <w:numPr>
          <w:ilvl w:val="0"/>
          <w:numId w:val="3"/>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14:paraId="4A2D0788">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10DEBDD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根据预算绩效管理要求，我单位在年初预算编制阶段，将项目预算于行政平台中，对项目的绩效评估在我单位行政决算编制中说明。</w:t>
      </w:r>
    </w:p>
    <w:p w14:paraId="5EFE81EC">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72CC066E">
      <w:pPr>
        <w:spacing w:line="580" w:lineRule="exact"/>
        <w:ind w:firstLine="640" w:firstLineChars="200"/>
        <w:jc w:val="left"/>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eastAsia="仿宋_GB2312"/>
          <w:sz w:val="32"/>
          <w:szCs w:val="32"/>
        </w:rPr>
        <w:t>《阿坝州人民政府办公室2018年部门预算支出绩效报告》</w:t>
      </w:r>
      <w:r>
        <w:rPr>
          <w:rFonts w:hint="eastAsia" w:ascii="仿宋_GB2312" w:hAnsi="仿宋_GB2312" w:eastAsia="仿宋_GB2312" w:cs="仿宋_GB2312"/>
          <w:sz w:val="32"/>
          <w:szCs w:val="32"/>
        </w:rPr>
        <w:t>见附件。</w:t>
      </w:r>
    </w:p>
    <w:p w14:paraId="5AD65BCE">
      <w:pPr>
        <w:spacing w:line="600" w:lineRule="exact"/>
        <w:ind w:firstLine="800" w:firstLineChars="250"/>
        <w:outlineLvl w:val="1"/>
        <w:rPr>
          <w:rStyle w:val="25"/>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0"/>
      <w:bookmarkEnd w:id="51"/>
    </w:p>
    <w:p w14:paraId="51BE17C7">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0898E17E">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8年，机关运行经费支出0万元，2018年单独报表、且基本保障无法具体分清行政和事业，资产部分都体现在行政决算中，</w:t>
      </w:r>
      <w:r>
        <w:rPr>
          <w:rFonts w:hint="eastAsia" w:ascii="仿宋" w:hAnsi="仿宋" w:eastAsia="仿宋"/>
          <w:bCs/>
          <w:color w:val="000000"/>
          <w:sz w:val="32"/>
          <w:szCs w:val="32"/>
        </w:rPr>
        <w:t>固机关运行经费为0万元。</w:t>
      </w:r>
    </w:p>
    <w:p w14:paraId="37967CE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27D30A37">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8年，政府采购支出总额0万元。</w:t>
      </w:r>
    </w:p>
    <w:p w14:paraId="26513E9C">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1185AD75">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日，共有车辆0辆。资产部分体现在行政决算中。</w:t>
      </w:r>
    </w:p>
    <w:p w14:paraId="74602DAC">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6499B9E">
      <w:pPr>
        <w:numPr>
          <w:ilvl w:val="0"/>
          <w:numId w:val="5"/>
        </w:numPr>
        <w:spacing w:line="600" w:lineRule="exact"/>
        <w:ind w:firstLine="663"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4"/>
          <w:rFonts w:hint="eastAsia" w:ascii="黑体" w:hAnsi="黑体" w:eastAsia="黑体"/>
          <w:b w:val="0"/>
        </w:rPr>
        <w:t>词解释</w:t>
      </w:r>
      <w:bookmarkEnd w:id="55"/>
      <w:bookmarkEnd w:id="56"/>
    </w:p>
    <w:p w14:paraId="5DACD7D8">
      <w:pPr>
        <w:spacing w:line="600" w:lineRule="exact"/>
        <w:jc w:val="left"/>
        <w:rPr>
          <w:rFonts w:ascii="宋体"/>
          <w:b/>
          <w:color w:val="000000"/>
          <w:sz w:val="44"/>
          <w:szCs w:val="44"/>
        </w:rPr>
      </w:pPr>
    </w:p>
    <w:p w14:paraId="54216B4D">
      <w:pPr>
        <w:pStyle w:val="22"/>
        <w:spacing w:line="560" w:lineRule="exact"/>
        <w:ind w:firstLine="640" w:firstLineChars="200"/>
        <w:rPr>
          <w:rFonts w:ascii="仿宋_GB2312" w:eastAsia="仿宋_GB2312"/>
          <w:sz w:val="32"/>
          <w:szCs w:val="32"/>
        </w:rPr>
      </w:pPr>
      <w:bookmarkStart w:id="57"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6C4A80E">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5DB1B25">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4C9A7F70">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56A37A47">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AAD3E05">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6B71205E">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2139BEE5">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29B03BD4">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0FE76BDC">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67DFA799">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3CEBE36E">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5275C8C9">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677D6EE4">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14AFC06A">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6291156A">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373A3F52">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4F7AF28">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7193C1">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4F5A64">
      <w:pPr>
        <w:spacing w:line="600" w:lineRule="exact"/>
        <w:jc w:val="center"/>
        <w:outlineLvl w:val="0"/>
        <w:rPr>
          <w:rStyle w:val="24"/>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14:paraId="6BCEB923">
      <w:pPr>
        <w:pStyle w:val="3"/>
        <w:rPr>
          <w:rStyle w:val="24"/>
          <w:rFonts w:ascii="仿宋" w:hAnsi="仿宋" w:eastAsia="仿宋"/>
          <w:b w:val="0"/>
          <w:bCs w:val="0"/>
          <w:sz w:val="32"/>
          <w:szCs w:val="32"/>
        </w:rPr>
      </w:pPr>
      <w:bookmarkStart w:id="59" w:name="_Toc15396615"/>
      <w:r>
        <w:rPr>
          <w:rStyle w:val="24"/>
          <w:rFonts w:hint="eastAsia" w:ascii="仿宋" w:hAnsi="仿宋" w:eastAsia="仿宋"/>
          <w:b w:val="0"/>
          <w:bCs w:val="0"/>
          <w:sz w:val="32"/>
          <w:szCs w:val="32"/>
        </w:rPr>
        <w:t>附件1</w:t>
      </w:r>
      <w:bookmarkEnd w:id="59"/>
    </w:p>
    <w:p w14:paraId="39D1BAF7">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阿坝州人民政府办公室</w:t>
      </w:r>
    </w:p>
    <w:p w14:paraId="3F7AB5DC">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2018年部门预算支出绩效报告</w:t>
      </w:r>
    </w:p>
    <w:p w14:paraId="2C53EB28">
      <w:pPr>
        <w:ind w:firstLine="640" w:firstLineChars="200"/>
        <w:rPr>
          <w:rFonts w:ascii="仿宋_GB2312" w:eastAsia="仿宋_GB2312"/>
          <w:sz w:val="32"/>
          <w:szCs w:val="32"/>
        </w:rPr>
      </w:pPr>
    </w:p>
    <w:p w14:paraId="24FCE1A8">
      <w:pPr>
        <w:ind w:firstLine="640" w:firstLineChars="200"/>
        <w:rPr>
          <w:rFonts w:ascii="仿宋_GB2312" w:eastAsia="仿宋_GB2312"/>
          <w:sz w:val="32"/>
          <w:szCs w:val="32"/>
        </w:rPr>
      </w:pPr>
      <w:r>
        <w:rPr>
          <w:rFonts w:hint="eastAsia" w:ascii="仿宋_GB2312" w:eastAsia="仿宋_GB2312"/>
          <w:sz w:val="32"/>
          <w:szCs w:val="32"/>
        </w:rPr>
        <w:t>根据《阿坝州财政局关于开展2018年财政支出绩效评价工作的通知》（阿州财办〔2018〕15号）精神，州政府办公室对2017年全年2018年上半年部门预算支出绩效进行了全面综合评价。经全面综合评价，我办部门预算支出绩效自评得分95.5</w:t>
      </w:r>
      <w:r>
        <w:rPr>
          <w:rFonts w:hint="eastAsia" w:ascii="仿宋_GB2312" w:eastAsia="仿宋_GB2312"/>
          <w:color w:val="000000" w:themeColor="text1"/>
          <w:sz w:val="32"/>
          <w:szCs w:val="32"/>
        </w:rPr>
        <w:t>分</w:t>
      </w:r>
      <w:r>
        <w:rPr>
          <w:rFonts w:hint="eastAsia" w:ascii="仿宋_GB2312" w:eastAsia="仿宋_GB2312"/>
          <w:sz w:val="32"/>
          <w:szCs w:val="32"/>
        </w:rPr>
        <w:t>（扣除我单位不存在的评价指标分值,总分为96分）。现将有关情况报告如下：</w:t>
      </w:r>
    </w:p>
    <w:p w14:paraId="3C22A799">
      <w:pPr>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rPr>
        <w:tab/>
      </w:r>
      <w:r>
        <w:rPr>
          <w:rFonts w:hint="eastAsia" w:ascii="黑体" w:hAnsi="黑体" w:eastAsia="黑体"/>
          <w:sz w:val="32"/>
          <w:szCs w:val="32"/>
        </w:rPr>
        <w:t>部门概况</w:t>
      </w:r>
    </w:p>
    <w:p w14:paraId="77EE784E">
      <w:pPr>
        <w:ind w:firstLine="643" w:firstLineChars="200"/>
        <w:rPr>
          <w:rFonts w:ascii="楷体_GB2312" w:eastAsia="楷体_GB2312"/>
          <w:b/>
          <w:sz w:val="32"/>
          <w:szCs w:val="32"/>
        </w:rPr>
      </w:pPr>
      <w:r>
        <w:rPr>
          <w:rFonts w:hint="eastAsia" w:ascii="楷体_GB2312" w:eastAsia="楷体_GB2312"/>
          <w:b/>
          <w:sz w:val="32"/>
          <w:szCs w:val="32"/>
        </w:rPr>
        <w:t>（一）机构组成</w:t>
      </w:r>
    </w:p>
    <w:p w14:paraId="160BACD2">
      <w:pPr>
        <w:ind w:firstLine="640" w:firstLineChars="200"/>
        <w:rPr>
          <w:rFonts w:ascii="仿宋_GB2312" w:eastAsia="仿宋_GB2312"/>
          <w:sz w:val="32"/>
          <w:szCs w:val="32"/>
        </w:rPr>
      </w:pPr>
      <w:r>
        <w:rPr>
          <w:rFonts w:hint="eastAsia" w:ascii="仿宋_GB2312" w:eastAsia="仿宋_GB2312"/>
          <w:sz w:val="32"/>
          <w:szCs w:val="32"/>
        </w:rPr>
        <w:t>州政府办公室为州本级一级预算单位，有内设机构10个（其中州政府机关行政效能办和州政府调研室为副县级内设机构）；2018年预算编制期间有挂靠和管理部门5个，包括：州政府应急办、州政府驻京联络处、州政府金融办、州人防办、州政府信息公开办。</w:t>
      </w:r>
    </w:p>
    <w:p w14:paraId="077AB5C0">
      <w:pPr>
        <w:ind w:firstLine="643" w:firstLineChars="200"/>
        <w:rPr>
          <w:rFonts w:ascii="楷体_GB2312" w:eastAsia="楷体_GB2312"/>
          <w:b/>
          <w:sz w:val="32"/>
          <w:szCs w:val="32"/>
        </w:rPr>
      </w:pPr>
      <w:r>
        <w:rPr>
          <w:rFonts w:hint="eastAsia" w:ascii="楷体_GB2312" w:eastAsia="楷体_GB2312"/>
          <w:b/>
          <w:sz w:val="32"/>
          <w:szCs w:val="32"/>
        </w:rPr>
        <w:t>（二）机构职能</w:t>
      </w:r>
    </w:p>
    <w:p w14:paraId="362BB3A3">
      <w:pPr>
        <w:ind w:firstLine="640" w:firstLineChars="200"/>
        <w:rPr>
          <w:rFonts w:ascii="仿宋_GB2312" w:eastAsia="仿宋_GB2312"/>
          <w:sz w:val="32"/>
          <w:szCs w:val="32"/>
        </w:rPr>
      </w:pPr>
      <w:r>
        <w:rPr>
          <w:rFonts w:hint="eastAsia" w:ascii="仿宋_GB2312" w:eastAsia="仿宋_GB2312"/>
          <w:sz w:val="32"/>
          <w:szCs w:val="32"/>
        </w:rPr>
        <w:t>办理省政府办公厅及各厅局发送州政府的文电;研究州政府部门和县政府请示州政府的事项，提出审核意见;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指导全州应急管理工作，协助州政府领导同志做好需由州政府组织处理的突发事件的应急处置工作;督促落实州政府金融工作部署，负责地方金融机构和金融中介机构的行业管理和服务，维护地方金融秩序;负责州政府人民防空和民防工作，指导全州人民防空和民防工作。</w:t>
      </w:r>
    </w:p>
    <w:p w14:paraId="4F825DAB">
      <w:pPr>
        <w:ind w:firstLine="643" w:firstLineChars="200"/>
        <w:rPr>
          <w:rFonts w:ascii="楷体_GB2312" w:eastAsia="楷体_GB2312"/>
          <w:b/>
          <w:sz w:val="32"/>
          <w:szCs w:val="32"/>
        </w:rPr>
      </w:pPr>
      <w:r>
        <w:rPr>
          <w:rFonts w:hint="eastAsia" w:ascii="楷体_GB2312" w:eastAsia="楷体_GB2312"/>
          <w:b/>
          <w:sz w:val="32"/>
          <w:szCs w:val="32"/>
        </w:rPr>
        <w:t>（三）人员概况</w:t>
      </w:r>
    </w:p>
    <w:p w14:paraId="098ADF8D">
      <w:pPr>
        <w:ind w:firstLine="640" w:firstLineChars="200"/>
        <w:rPr>
          <w:rFonts w:ascii="仿宋_GB2312" w:eastAsia="仿宋_GB2312"/>
          <w:sz w:val="32"/>
          <w:szCs w:val="32"/>
        </w:rPr>
      </w:pPr>
      <w:r>
        <w:rPr>
          <w:rFonts w:hint="eastAsia" w:ascii="仿宋_GB2312" w:eastAsia="仿宋_GB2312"/>
          <w:sz w:val="32"/>
          <w:szCs w:val="32"/>
        </w:rPr>
        <w:t>机关总编制(含挂靠、管理部门）134个,其中:核定行政编制46个，单列编制9个（州级干部编制由州编办管理），核定工勤编制38个，参照公务员管理的事业单位核定事业编制20名，核定其他事业编制30名。在职人员总数109名，其中：行政人员 73名（含行政工勤人员），参照公务员法管理的事业人员16名，其他事业人员20名（含事业工勤人员）。</w:t>
      </w:r>
    </w:p>
    <w:p w14:paraId="046530BD">
      <w:pPr>
        <w:ind w:firstLine="640" w:firstLineChars="200"/>
        <w:rPr>
          <w:rFonts w:ascii="黑体" w:hAnsi="黑体" w:eastAsia="黑体"/>
          <w:sz w:val="32"/>
          <w:szCs w:val="32"/>
        </w:rPr>
      </w:pPr>
      <w:r>
        <w:rPr>
          <w:rFonts w:hint="eastAsia" w:ascii="黑体" w:hAnsi="黑体" w:eastAsia="黑体"/>
          <w:sz w:val="32"/>
          <w:szCs w:val="32"/>
        </w:rPr>
        <w:t>二、2017年及2018年1-6月财政资金当年收支情况</w:t>
      </w:r>
    </w:p>
    <w:p w14:paraId="488CD59A">
      <w:pPr>
        <w:numPr>
          <w:ilvl w:val="0"/>
          <w:numId w:val="6"/>
        </w:numPr>
        <w:ind w:firstLine="643" w:firstLineChars="200"/>
        <w:rPr>
          <w:rFonts w:ascii="楷体_GB2312" w:eastAsia="楷体_GB2312"/>
          <w:b/>
          <w:sz w:val="32"/>
          <w:szCs w:val="32"/>
        </w:rPr>
      </w:pPr>
      <w:r>
        <w:rPr>
          <w:rFonts w:hint="eastAsia" w:ascii="楷体_GB2312" w:eastAsia="楷体_GB2312"/>
          <w:b/>
          <w:sz w:val="32"/>
          <w:szCs w:val="32"/>
        </w:rPr>
        <w:t>收入情况</w:t>
      </w:r>
    </w:p>
    <w:p w14:paraId="079F8121">
      <w:pPr>
        <w:ind w:firstLine="640" w:firstLineChars="200"/>
        <w:rPr>
          <w:rFonts w:ascii="仿宋_GB2312" w:eastAsia="仿宋_GB2312"/>
          <w:sz w:val="32"/>
          <w:szCs w:val="32"/>
        </w:rPr>
      </w:pPr>
      <w:r>
        <w:rPr>
          <w:rFonts w:hint="eastAsia" w:ascii="仿宋_GB2312" w:eastAsia="仿宋_GB2312"/>
          <w:sz w:val="32"/>
          <w:szCs w:val="32"/>
        </w:rPr>
        <w:t>2017年财政拨款收入4209.06万元（上年结转227.95万元），较上年收入增加624.64万元，增长17.43%。</w:t>
      </w:r>
    </w:p>
    <w:p w14:paraId="1B408766">
      <w:pPr>
        <w:ind w:firstLine="640" w:firstLineChars="200"/>
        <w:rPr>
          <w:rFonts w:ascii="仿宋_GB2312" w:eastAsia="仿宋_GB2312"/>
          <w:sz w:val="32"/>
          <w:szCs w:val="32"/>
        </w:rPr>
      </w:pPr>
      <w:r>
        <w:rPr>
          <w:rFonts w:hint="eastAsia" w:ascii="仿宋_GB2312" w:eastAsia="仿宋_GB2312"/>
          <w:sz w:val="32"/>
          <w:szCs w:val="32"/>
        </w:rPr>
        <w:t>2018年部门预算下达资金为4576万元,（其中：基本支出资金3,652万元，专项资金924万元）；财政应返还资金481万元；</w:t>
      </w:r>
    </w:p>
    <w:p w14:paraId="734B79AB">
      <w:pPr>
        <w:ind w:firstLine="643" w:firstLineChars="200"/>
        <w:rPr>
          <w:rFonts w:ascii="楷体_GB2312" w:eastAsia="楷体_GB2312"/>
          <w:b/>
          <w:sz w:val="32"/>
          <w:szCs w:val="32"/>
        </w:rPr>
      </w:pPr>
      <w:r>
        <w:rPr>
          <w:rFonts w:hint="eastAsia" w:ascii="楷体_GB2312" w:eastAsia="楷体_GB2312"/>
          <w:b/>
          <w:sz w:val="32"/>
          <w:szCs w:val="32"/>
        </w:rPr>
        <w:t>（二）支出情况</w:t>
      </w:r>
    </w:p>
    <w:p w14:paraId="7A337575">
      <w:pPr>
        <w:ind w:firstLine="640" w:firstLineChars="200"/>
        <w:rPr>
          <w:rFonts w:ascii="仿宋_GB2312" w:eastAsia="仿宋_GB2312"/>
          <w:sz w:val="32"/>
          <w:szCs w:val="32"/>
        </w:rPr>
      </w:pPr>
      <w:r>
        <w:rPr>
          <w:rFonts w:hint="eastAsia" w:ascii="仿宋_GB2312" w:eastAsia="仿宋_GB2312"/>
          <w:sz w:val="32"/>
          <w:szCs w:val="32"/>
        </w:rPr>
        <w:t>2017年财政拨款支出4226.06万元，较上年支出增加639.59万元，增长17.83%。</w:t>
      </w:r>
    </w:p>
    <w:p w14:paraId="3ECBC93F">
      <w:pPr>
        <w:ind w:firstLine="640" w:firstLineChars="200"/>
        <w:rPr>
          <w:rFonts w:ascii="仿宋_GB2312" w:eastAsia="仿宋_GB2312"/>
          <w:sz w:val="32"/>
          <w:szCs w:val="32"/>
        </w:rPr>
      </w:pPr>
      <w:r>
        <w:rPr>
          <w:rFonts w:hint="eastAsia" w:ascii="仿宋_GB2312" w:eastAsia="仿宋_GB2312"/>
          <w:sz w:val="32"/>
          <w:szCs w:val="32"/>
        </w:rPr>
        <w:t>2018年1-6月，已支出当年部门预算资金1,903万元，支出进度为42%（其中，基本支出1,798万元，支出进度为49%，专项资金支出105万元，专项资金支出进度为11%）；财政应返还资金支出39万元。支出进度为8%。</w:t>
      </w:r>
    </w:p>
    <w:p w14:paraId="540B2977">
      <w:pPr>
        <w:numPr>
          <w:ilvl w:val="0"/>
          <w:numId w:val="7"/>
        </w:numPr>
        <w:ind w:firstLine="640" w:firstLineChars="200"/>
        <w:rPr>
          <w:rFonts w:ascii="黑体" w:hAnsi="黑体" w:eastAsia="黑体"/>
          <w:sz w:val="32"/>
          <w:szCs w:val="32"/>
        </w:rPr>
      </w:pPr>
      <w:r>
        <w:rPr>
          <w:rFonts w:hint="eastAsia" w:ascii="黑体" w:hAnsi="黑体" w:eastAsia="黑体"/>
          <w:sz w:val="32"/>
          <w:szCs w:val="32"/>
        </w:rPr>
        <w:t>2017年及2018年1-6月年财政支出管理情况</w:t>
      </w:r>
    </w:p>
    <w:p w14:paraId="46870DD3">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（一）预决算编制情况。</w:t>
      </w:r>
    </w:p>
    <w:p w14:paraId="7F98ED3C">
      <w:pPr>
        <w:ind w:firstLine="604"/>
        <w:rPr>
          <w:rFonts w:ascii="仿宋" w:hAnsi="仿宋" w:eastAsia="仿宋" w:cs="仿宋"/>
          <w:sz w:val="32"/>
          <w:szCs w:val="32"/>
        </w:rPr>
      </w:pPr>
      <w:r>
        <w:rPr>
          <w:rFonts w:hint="eastAsia" w:ascii="仿宋" w:hAnsi="仿宋" w:eastAsia="仿宋" w:cs="仿宋"/>
          <w:sz w:val="32"/>
          <w:szCs w:val="32"/>
        </w:rPr>
        <w:t>我办严格按照州级部门预算编制通知和有关要求，按时完成基础库、项目库报送工作，按时完成2017、2018年预算编制工作，并及时提交部门预算草案。按规定编制政府采购预算，预算编制全面、科学。</w:t>
      </w:r>
    </w:p>
    <w:p w14:paraId="2A1B6FD7">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14:paraId="1C33B442">
      <w:pPr>
        <w:pStyle w:val="5"/>
        <w:spacing w:before="93" w:line="540" w:lineRule="exact"/>
        <w:ind w:firstLine="640" w:firstLineChars="200"/>
        <w:rPr>
          <w:rFonts w:ascii="仿宋" w:hAnsi="仿宋" w:eastAsia="仿宋" w:cs="仿宋"/>
          <w:kern w:val="2"/>
          <w:sz w:val="32"/>
          <w:szCs w:val="32"/>
        </w:rPr>
      </w:pPr>
      <w:r>
        <w:rPr>
          <w:rFonts w:hint="eastAsia" w:ascii="仿宋" w:hAnsi="仿宋" w:eastAsia="仿宋" w:cs="仿宋"/>
          <w:sz w:val="32"/>
          <w:szCs w:val="32"/>
        </w:rPr>
        <w:t xml:space="preserve">  </w:t>
      </w:r>
      <w:r>
        <w:rPr>
          <w:rFonts w:hint="eastAsia" w:ascii="仿宋" w:hAnsi="仿宋" w:eastAsia="仿宋" w:cs="仿宋"/>
          <w:kern w:val="2"/>
          <w:sz w:val="32"/>
          <w:szCs w:val="32"/>
        </w:rPr>
        <w:t>2017年“三公”经费支出决算数为617.21万元，较上年增加216.9万元，增长54.18%。其中因公出国（境）费支出决算为13.58万元，较上年增加8.6万元，增长172.69%。增长原因为2017年因公出国（境）为3人2次，经费支出均按有关规定支付;公务接待费支出决算为20.79万元，较上年减少6.74万元，减少24.48%。原因为办公室严格执行有关规定，实行“先审批，后接待”制度，严格控制接待标准和陪餐人数，降低接待费用;公务用车购置及公务用车运行费582.84万元，较上年增加215.04万元，增长58.47%。增长原因为我单位今年更新了3辆公务用车，购置费198.04万元，同时由于今年脱贫攻坚任务重和九寨沟8.8地震、茂县6.24山体滑坡等突发地质灾害的影响，单位公务用车保障任务加重，导致运行经费增加。</w:t>
      </w:r>
    </w:p>
    <w:p w14:paraId="348CC028">
      <w:pPr>
        <w:rPr>
          <w:rFonts w:ascii="仿宋" w:hAnsi="仿宋" w:eastAsia="仿宋" w:cs="仿宋"/>
          <w:sz w:val="32"/>
          <w:szCs w:val="32"/>
        </w:rPr>
      </w:pPr>
      <w:r>
        <w:rPr>
          <w:rFonts w:hint="eastAsia" w:ascii="仿宋_GB2312" w:eastAsia="仿宋_GB2312"/>
          <w:sz w:val="32"/>
          <w:szCs w:val="32"/>
        </w:rPr>
        <w:t xml:space="preserve">     </w:t>
      </w:r>
      <w:r>
        <w:rPr>
          <w:rFonts w:hint="eastAsia" w:ascii="仿宋" w:hAnsi="仿宋" w:eastAsia="仿宋" w:cs="仿宋"/>
          <w:sz w:val="32"/>
          <w:szCs w:val="32"/>
        </w:rPr>
        <w:t>2018年1-6月“三公”经费支出数为156万，支出进度为27%。其中公务用车支出154万，</w:t>
      </w:r>
      <w:r>
        <w:rPr>
          <w:rFonts w:hint="eastAsia" w:ascii="仿宋_GB2312" w:eastAsia="仿宋_GB2312"/>
          <w:sz w:val="32"/>
          <w:szCs w:val="32"/>
        </w:rPr>
        <w:t>支出进度为28%</w:t>
      </w:r>
      <w:r>
        <w:rPr>
          <w:rFonts w:hint="eastAsia" w:ascii="仿宋" w:hAnsi="仿宋" w:eastAsia="仿宋" w:cs="仿宋"/>
          <w:sz w:val="32"/>
          <w:szCs w:val="32"/>
        </w:rPr>
        <w:t xml:space="preserve"> ；公务接待年支出1.7万支出进度为8%；目前还未发生公费出国费用。</w:t>
      </w:r>
    </w:p>
    <w:p w14:paraId="43A69CA6">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14:paraId="1E9BD9FF">
      <w:pPr>
        <w:rPr>
          <w:rFonts w:ascii="楷体_GB2312" w:eastAsia="楷体_GB2312"/>
          <w:b/>
          <w:sz w:val="32"/>
          <w:szCs w:val="32"/>
          <w:lang w:val="zh-CN"/>
        </w:rPr>
      </w:pPr>
      <w:r>
        <w:rPr>
          <w:rFonts w:hint="eastAsia" w:ascii="仿宋" w:hAnsi="仿宋" w:eastAsia="仿宋" w:cs="仿宋"/>
          <w:sz w:val="32"/>
          <w:szCs w:val="32"/>
        </w:rPr>
        <w:t xml:space="preserve">    我单位认真贯彻落实中央和省委省政府相关规定，及时为我州九寨沟8.8地震、茂县6.24山体滑坡、脱贫攻坚等重大工作提供后勤保障。内控上厉行节约，严格控制因公出国（境）费用、会议费、车辆购置及运行费用和公务接待经费。</w:t>
      </w:r>
    </w:p>
    <w:p w14:paraId="20D9A55F">
      <w:pPr>
        <w:ind w:firstLine="604"/>
        <w:rPr>
          <w:rFonts w:ascii="仿宋_GB2312" w:eastAsia="仿宋_GB2312"/>
          <w:sz w:val="32"/>
          <w:szCs w:val="32"/>
        </w:rPr>
      </w:pP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14:paraId="4145A782">
      <w:pPr>
        <w:ind w:firstLine="604"/>
        <w:rPr>
          <w:rFonts w:ascii="楷体_GB2312" w:eastAsia="楷体_GB2312"/>
          <w:b/>
          <w:sz w:val="32"/>
          <w:szCs w:val="32"/>
          <w:lang w:val="zh-CN"/>
        </w:rPr>
      </w:pPr>
      <w:r>
        <w:rPr>
          <w:rFonts w:hint="eastAsia" w:ascii="楷体_GB2312" w:eastAsia="楷体_GB2312"/>
          <w:b/>
          <w:sz w:val="32"/>
          <w:szCs w:val="32"/>
          <w:lang w:val="zh-CN"/>
        </w:rPr>
        <w:t>（五）整体绩效。</w:t>
      </w:r>
    </w:p>
    <w:p w14:paraId="3CD2ED99">
      <w:pPr>
        <w:rPr>
          <w:rFonts w:ascii="仿宋_GB2312" w:eastAsia="仿宋_GB2312"/>
          <w:sz w:val="32"/>
          <w:szCs w:val="32"/>
        </w:rPr>
      </w:pPr>
      <w:r>
        <w:rPr>
          <w:rFonts w:hint="eastAsia" w:ascii="仿宋" w:hAnsi="仿宋" w:eastAsia="仿宋" w:cs="仿宋"/>
          <w:sz w:val="32"/>
          <w:szCs w:val="32"/>
        </w:rPr>
        <w:t xml:space="preserve">    </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截至目前，我单位项目支出进度未过半，主要原因为专项资金上半年均处于项目进程实施中，资金尚未支付。</w:t>
      </w:r>
    </w:p>
    <w:p w14:paraId="4B52665B">
      <w:pPr>
        <w:numPr>
          <w:ilvl w:val="0"/>
          <w:numId w:val="7"/>
        </w:numPr>
        <w:ind w:firstLine="640" w:firstLineChars="200"/>
        <w:rPr>
          <w:rFonts w:ascii="黑体" w:hAnsi="黑体" w:eastAsia="黑体"/>
          <w:sz w:val="32"/>
          <w:szCs w:val="32"/>
        </w:rPr>
      </w:pPr>
      <w:r>
        <w:rPr>
          <w:rFonts w:hint="eastAsia" w:ascii="黑体" w:hAnsi="黑体" w:eastAsia="黑体"/>
          <w:sz w:val="32"/>
          <w:szCs w:val="32"/>
        </w:rPr>
        <w:t>评价结论及建议</w:t>
      </w:r>
    </w:p>
    <w:p w14:paraId="64CE55B8">
      <w:pPr>
        <w:numPr>
          <w:ilvl w:val="0"/>
          <w:numId w:val="8"/>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14:paraId="7A0487B5">
      <w:pPr>
        <w:pStyle w:val="4"/>
        <w:rPr>
          <w:rFonts w:ascii="仿宋_GB2312" w:eastAsia="仿宋_GB2312"/>
          <w:lang w:val="zh-CN"/>
        </w:rPr>
      </w:pPr>
      <w:r>
        <w:rPr>
          <w:rFonts w:hint="eastAsia" w:ascii="仿宋_GB2312" w:eastAsia="仿宋_GB2312"/>
          <w:lang w:val="zh-CN"/>
        </w:rPr>
        <w:t>综上所述，</w:t>
      </w:r>
      <w:r>
        <w:rPr>
          <w:rFonts w:hint="eastAsia" w:ascii="仿宋_GB2312" w:eastAsia="仿宋_GB2312"/>
        </w:rPr>
        <w:t>我办2017年全年及2018年1-6月部门预算支出绩效自评得分95.5</w:t>
      </w:r>
      <w:r>
        <w:rPr>
          <w:rFonts w:hint="eastAsia" w:ascii="仿宋_GB2312" w:eastAsia="仿宋_GB2312"/>
          <w:color w:val="000000" w:themeColor="text1"/>
        </w:rPr>
        <w:t>分，（</w:t>
      </w:r>
      <w:r>
        <w:rPr>
          <w:rFonts w:hint="eastAsia" w:ascii="仿宋_GB2312" w:eastAsia="仿宋_GB2312"/>
        </w:rPr>
        <w:t>总分为96分，扣除我单位不存在的评价指标分值）。</w:t>
      </w:r>
    </w:p>
    <w:p w14:paraId="59E6B7CC">
      <w:pPr>
        <w:numPr>
          <w:ilvl w:val="0"/>
          <w:numId w:val="8"/>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14:paraId="2D59085D">
      <w:pPr>
        <w:ind w:firstLine="640" w:firstLineChars="200"/>
        <w:rPr>
          <w:rFonts w:ascii="仿宋_GB2312" w:eastAsia="仿宋_GB2312"/>
          <w:sz w:val="32"/>
          <w:szCs w:val="32"/>
        </w:rPr>
      </w:pPr>
      <w:r>
        <w:rPr>
          <w:rFonts w:hint="eastAsia" w:ascii="仿宋_GB2312" w:eastAsia="仿宋_GB2312"/>
          <w:sz w:val="32"/>
          <w:szCs w:val="32"/>
        </w:rPr>
        <w:t>今年上半年，由于重点在实现人员经费支出、日常经费正常支付、项目组织实施等方面的支出进度不理想，财政资金支出未能实现“双过半”。</w:t>
      </w:r>
    </w:p>
    <w:p w14:paraId="6BBC35C0">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14:paraId="5F08EEE3">
      <w:pPr>
        <w:ind w:firstLine="640" w:firstLineChars="200"/>
        <w:rPr>
          <w:rFonts w:ascii="仿宋_GB2312" w:eastAsia="仿宋_GB2312"/>
          <w:sz w:val="32"/>
          <w:szCs w:val="32"/>
        </w:rPr>
      </w:pPr>
      <w:r>
        <w:rPr>
          <w:rFonts w:hint="eastAsia" w:ascii="仿宋_GB2312" w:eastAsia="仿宋_GB2312"/>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p w14:paraId="1BF33C52">
      <w:pPr>
        <w:ind w:firstLine="640" w:firstLineChars="200"/>
        <w:rPr>
          <w:rFonts w:ascii="仿宋_GB2312" w:hAnsi="仿宋_GB2312" w:eastAsia="仿宋_GB2312" w:cs="仿宋_GB2312"/>
          <w:sz w:val="32"/>
          <w:szCs w:val="32"/>
        </w:rPr>
      </w:pPr>
      <w:r>
        <w:rPr>
          <w:rFonts w:hint="eastAsia" w:ascii="仿宋_GB2312" w:eastAsia="仿宋_GB2312"/>
          <w:sz w:val="32"/>
          <w:szCs w:val="32"/>
        </w:rPr>
        <w:t>此函。</w:t>
      </w:r>
    </w:p>
    <w:p w14:paraId="15226FED">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3BBBDA8B">
      <w:pPr>
        <w:spacing w:line="600" w:lineRule="exact"/>
        <w:jc w:val="center"/>
        <w:outlineLvl w:val="0"/>
        <w:rPr>
          <w:rStyle w:val="24"/>
          <w:rFonts w:ascii="黑体" w:hAnsi="黑体" w:eastAsia="黑体"/>
          <w:b w:val="0"/>
        </w:rPr>
      </w:pPr>
      <w:bookmarkStart w:id="60"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60"/>
    </w:p>
    <w:p w14:paraId="500A1354">
      <w:pPr>
        <w:spacing w:line="600" w:lineRule="exact"/>
        <w:jc w:val="center"/>
        <w:outlineLvl w:val="0"/>
        <w:rPr>
          <w:rFonts w:ascii="仿宋" w:hAnsi="仿宋" w:eastAsia="仿宋"/>
          <w:b/>
          <w:color w:val="000000"/>
          <w:sz w:val="44"/>
          <w:szCs w:val="44"/>
        </w:rPr>
      </w:pPr>
    </w:p>
    <w:p w14:paraId="39E05C34">
      <w:pPr>
        <w:pStyle w:val="3"/>
        <w:rPr>
          <w:rFonts w:ascii="仿宋" w:hAnsi="仿宋" w:eastAsia="仿宋"/>
          <w:color w:val="000000"/>
        </w:rPr>
      </w:pPr>
      <w:bookmarkStart w:id="61"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1"/>
    </w:p>
    <w:p w14:paraId="482CC892">
      <w:pPr>
        <w:pStyle w:val="3"/>
        <w:rPr>
          <w:rFonts w:ascii="仿宋" w:hAnsi="仿宋" w:eastAsia="仿宋"/>
          <w:color w:val="000000"/>
        </w:rPr>
      </w:pPr>
      <w:bookmarkStart w:id="62"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2"/>
    </w:p>
    <w:p w14:paraId="110C631B">
      <w:pPr>
        <w:pStyle w:val="3"/>
        <w:rPr>
          <w:rFonts w:ascii="仿宋" w:hAnsi="仿宋" w:eastAsia="仿宋"/>
          <w:color w:val="000000"/>
        </w:rPr>
      </w:pPr>
      <w:bookmarkStart w:id="63"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3"/>
    </w:p>
    <w:p w14:paraId="3D97F879">
      <w:pPr>
        <w:pStyle w:val="3"/>
        <w:rPr>
          <w:rFonts w:ascii="仿宋" w:hAnsi="仿宋" w:eastAsia="仿宋"/>
          <w:b w:val="0"/>
          <w:color w:val="000000"/>
        </w:rPr>
      </w:pPr>
      <w:bookmarkStart w:id="64"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4"/>
    </w:p>
    <w:p w14:paraId="3310763A">
      <w:pPr>
        <w:pStyle w:val="3"/>
        <w:rPr>
          <w:rFonts w:ascii="仿宋" w:hAnsi="仿宋" w:eastAsia="仿宋"/>
          <w:color w:val="000000"/>
        </w:rPr>
      </w:pPr>
      <w:bookmarkStart w:id="65"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5"/>
    </w:p>
    <w:p w14:paraId="41B772DF">
      <w:pPr>
        <w:pStyle w:val="3"/>
        <w:rPr>
          <w:rFonts w:ascii="仿宋" w:hAnsi="仿宋" w:eastAsia="仿宋"/>
          <w:color w:val="000000"/>
        </w:rPr>
      </w:pPr>
      <w:bookmarkStart w:id="66"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6"/>
    </w:p>
    <w:p w14:paraId="724EF271">
      <w:pPr>
        <w:pStyle w:val="3"/>
        <w:rPr>
          <w:rFonts w:ascii="仿宋" w:hAnsi="仿宋" w:eastAsia="仿宋"/>
          <w:color w:val="000000"/>
        </w:rPr>
      </w:pPr>
      <w:bookmarkStart w:id="67"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7"/>
    </w:p>
    <w:p w14:paraId="2C2C9678">
      <w:pPr>
        <w:pStyle w:val="3"/>
        <w:rPr>
          <w:rFonts w:ascii="仿宋" w:hAnsi="仿宋" w:eastAsia="仿宋"/>
          <w:color w:val="000000"/>
        </w:rPr>
      </w:pPr>
      <w:bookmarkStart w:id="68"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8"/>
    </w:p>
    <w:p w14:paraId="73D81D3F">
      <w:pPr>
        <w:pStyle w:val="3"/>
        <w:rPr>
          <w:rFonts w:ascii="仿宋" w:hAnsi="仿宋" w:eastAsia="仿宋"/>
          <w:color w:val="000000"/>
        </w:rPr>
      </w:pPr>
      <w:bookmarkStart w:id="69"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9"/>
    </w:p>
    <w:p w14:paraId="7598D572">
      <w:pPr>
        <w:pStyle w:val="3"/>
        <w:rPr>
          <w:rFonts w:ascii="仿宋" w:hAnsi="仿宋" w:eastAsia="仿宋"/>
          <w:color w:val="000000"/>
        </w:rPr>
      </w:pPr>
      <w:bookmarkStart w:id="70"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0"/>
    </w:p>
    <w:p w14:paraId="2932F119">
      <w:pPr>
        <w:pStyle w:val="3"/>
        <w:rPr>
          <w:rFonts w:ascii="仿宋" w:hAnsi="仿宋" w:eastAsia="仿宋"/>
          <w:color w:val="000000"/>
        </w:rPr>
      </w:pPr>
      <w:bookmarkStart w:id="71"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1"/>
    </w:p>
    <w:p w14:paraId="59712420">
      <w:pPr>
        <w:pStyle w:val="3"/>
        <w:rPr>
          <w:rFonts w:ascii="仿宋" w:hAnsi="仿宋" w:eastAsia="仿宋"/>
          <w:color w:val="000000"/>
        </w:rPr>
      </w:pPr>
      <w:bookmarkStart w:id="72"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2"/>
    </w:p>
    <w:p w14:paraId="781FC928">
      <w:pPr>
        <w:pStyle w:val="3"/>
        <w:rPr>
          <w:rFonts w:ascii="仿宋" w:hAnsi="仿宋" w:eastAsia="仿宋"/>
          <w:color w:val="000000" w:themeColor="text1"/>
        </w:rPr>
      </w:pPr>
      <w:bookmarkStart w:id="73"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Himalaya">
    <w:panose1 w:val="01010100010101010101"/>
    <w:charset w:val="00"/>
    <w:family w:val="auto"/>
    <w:pitch w:val="default"/>
    <w:sig w:usb0="80000003" w:usb1="00010000" w:usb2="0000004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6A3572C">
        <w:pPr>
          <w:pStyle w:val="8"/>
          <w:jc w:val="center"/>
        </w:pPr>
        <w:r>
          <w:fldChar w:fldCharType="begin"/>
        </w:r>
        <w:r>
          <w:instrText xml:space="preserve">PAGE   \* MERGEFORMAT</w:instrText>
        </w:r>
        <w:r>
          <w:fldChar w:fldCharType="separate"/>
        </w:r>
        <w:r>
          <w:rPr>
            <w:lang w:val="zh-CN"/>
          </w:rPr>
          <w:t>19</w:t>
        </w:r>
        <w:r>
          <w:fldChar w:fldCharType="end"/>
        </w:r>
      </w:p>
    </w:sdtContent>
  </w:sdt>
  <w:p w14:paraId="24A7AB76">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D1480">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930D3C7"/>
    <w:multiLevelType w:val="singleLevel"/>
    <w:tmpl w:val="5930D3C7"/>
    <w:lvl w:ilvl="0" w:tentative="0">
      <w:start w:val="3"/>
      <w:numFmt w:val="chineseCounting"/>
      <w:suff w:val="nothing"/>
      <w:lvlText w:val="%1、"/>
      <w:lvlJc w:val="left"/>
    </w:lvl>
  </w:abstractNum>
  <w:abstractNum w:abstractNumId="7">
    <w:nsid w:val="63E78AEE"/>
    <w:multiLevelType w:val="singleLevel"/>
    <w:tmpl w:val="63E78AEE"/>
    <w:lvl w:ilvl="0" w:tentative="0">
      <w:start w:val="1"/>
      <w:numFmt w:val="chineseCounting"/>
      <w:suff w:val="nothing"/>
      <w:lvlText w:val="（%1）"/>
      <w:lvlJc w:val="left"/>
      <w:rPr>
        <w:rFonts w:hint="eastAsia"/>
      </w:rPr>
    </w:lvl>
  </w:abstractNum>
  <w:num w:numId="1">
    <w:abstractNumId w:val="4"/>
  </w:num>
  <w:num w:numId="2">
    <w:abstractNumId w:val="0"/>
  </w:num>
  <w:num w:numId="3">
    <w:abstractNumId w:val="5"/>
  </w:num>
  <w:num w:numId="4">
    <w:abstractNumId w:val="2"/>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8501E"/>
    <w:rsid w:val="006A3141"/>
    <w:rsid w:val="006A5E34"/>
    <w:rsid w:val="006B2422"/>
    <w:rsid w:val="006B2B9A"/>
    <w:rsid w:val="006C1937"/>
    <w:rsid w:val="006F020C"/>
    <w:rsid w:val="007127B7"/>
    <w:rsid w:val="007416B6"/>
    <w:rsid w:val="007457ED"/>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E6F0F"/>
    <w:rsid w:val="009F1185"/>
    <w:rsid w:val="009F18CD"/>
    <w:rsid w:val="009F2A13"/>
    <w:rsid w:val="009F69E0"/>
    <w:rsid w:val="00A04EB0"/>
    <w:rsid w:val="00A13CC1"/>
    <w:rsid w:val="00A16847"/>
    <w:rsid w:val="00A237D8"/>
    <w:rsid w:val="00A268C4"/>
    <w:rsid w:val="00A307CD"/>
    <w:rsid w:val="00A40A00"/>
    <w:rsid w:val="00A4142F"/>
    <w:rsid w:val="00A41A37"/>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10C055FF"/>
    <w:rsid w:val="16BB723D"/>
    <w:rsid w:val="1EBF62A9"/>
    <w:rsid w:val="218106DB"/>
    <w:rsid w:val="240371BF"/>
    <w:rsid w:val="29FD04D3"/>
    <w:rsid w:val="3009337E"/>
    <w:rsid w:val="319F7F4E"/>
    <w:rsid w:val="39CF5396"/>
    <w:rsid w:val="54C710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6">
                  <a:lumMod val="75000"/>
                </a:schemeClr>
              </a:solidFill>
              <a:ln w="19050">
                <a:solidFill>
                  <a:schemeClr val="lt1"/>
                </a:solidFill>
              </a:ln>
              <a:effectLst/>
            </c:spPr>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374.13</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8299ffbc-4758-458d-904c-554d2073b4f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369.88</c:v>
                </c:pt>
                <c:pt idx="1">
                  <c:v>0</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460d7888-6c0b-47ba-a8ee-b835c77c6c9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c:v>
                </c:pt>
                <c:pt idx="1">
                  <c:v>社会保障和就业</c:v>
                </c:pt>
                <c:pt idx="2">
                  <c:v>医疗卫生支出</c:v>
                </c:pt>
                <c:pt idx="3">
                  <c:v>住房保障支出</c:v>
                </c:pt>
              </c:strCache>
            </c:strRef>
          </c:cat>
          <c:val>
            <c:numRef>
              <c:f>Sheet1!$B$2:$B$5</c:f>
              <c:numCache>
                <c:formatCode>General</c:formatCode>
                <c:ptCount val="4"/>
                <c:pt idx="0">
                  <c:v>279.6</c:v>
                </c:pt>
                <c:pt idx="1">
                  <c:v>46.23</c:v>
                </c:pt>
                <c:pt idx="2">
                  <c:v>19.18</c:v>
                </c:pt>
                <c:pt idx="3">
                  <c:v>24.87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c172a186-6af6-4e7b-8edc-8a5f75dfc0cb}"/>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26FDF-2818-418B-AFBF-04AE79990D7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7191</Words>
  <Characters>7842</Characters>
  <Lines>64</Lines>
  <Paragraphs>18</Paragraphs>
  <TotalTime>9</TotalTime>
  <ScaleCrop>false</ScaleCrop>
  <LinksUpToDate>false</LinksUpToDate>
  <CharactersWithSpaces>7917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一个笨蛋</cp:lastModifiedBy>
  <cp:lastPrinted>2019-08-01T00:48:00Z</cp:lastPrinted>
  <dcterms:modified xsi:type="dcterms:W3CDTF">2026-08-20T02:17:25Z</dcterms:modified>
  <dc:title>四川省***</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eyJoZGlkIjoiYjllZGNkZWEzYjg0NDNmNTQ5MjkzNjk0ODlhNmVkYzAiLCJ1c2VySWQiOiI0MTAxMDQ4MDkifQ==</vt:lpwstr>
  </property>
  <property fmtid="{D5CDD505-2E9C-101B-9397-08002B2CF9AE}" pid="4" name="ICV">
    <vt:lpwstr>332B00BF3E9A4278A0A4AB694725AB64_12</vt:lpwstr>
  </property>
</Properties>
</file>