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outlineLvl w:val="0"/>
        <w:rPr>
          <w:rFonts w:ascii="黑体" w:hAnsi="黑体" w:eastAsia="黑体"/>
          <w:color w:val="000000"/>
          <w:sz w:val="72"/>
          <w:szCs w:val="72"/>
        </w:rPr>
      </w:pPr>
      <w:bookmarkStart w:id="0" w:name="_Toc15396597"/>
      <w:bookmarkStart w:id="1" w:name="_Toc15396475"/>
      <w:bookmarkStart w:id="2" w:name="_Toc15378441"/>
      <w:bookmarkStart w:id="3" w:name="_Toc15377425"/>
      <w:bookmarkStart w:id="4" w:name="_Toc15377193"/>
      <w:bookmarkStart w:id="5" w:name="_Toc15306267"/>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426"/>
      <w:bookmarkStart w:id="7" w:name="_Toc15378442"/>
      <w:bookmarkStart w:id="8" w:name="_Toc15306268"/>
      <w:bookmarkStart w:id="9" w:name="_Toc15396598"/>
      <w:bookmarkStart w:id="10" w:name="_Toc15377194"/>
      <w:bookmarkStart w:id="11" w:name="_Toc15396476"/>
      <w:r>
        <w:rPr>
          <w:rFonts w:hint="eastAsia" w:ascii="方正小标宋简体" w:hAnsi="宋体" w:eastAsia="方正小标宋简体"/>
          <w:color w:val="000000"/>
          <w:sz w:val="72"/>
          <w:szCs w:val="72"/>
        </w:rPr>
        <w:t>中共阿坝州委组织部</w:t>
      </w:r>
      <w:r>
        <w:rPr>
          <w:rFonts w:hint="eastAsia" w:ascii="方正小标宋简体" w:hAnsi="宋体" w:eastAsia="方正小标宋简体"/>
          <w:color w:val="000000"/>
          <w:sz w:val="72"/>
          <w:szCs w:val="72"/>
          <w:lang w:eastAsia="zh-CN"/>
        </w:rPr>
        <w:t>干部个人事查核和举报中心</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bookmarkEnd w:id="5"/>
    <w:p>
      <w:pPr>
        <w:spacing w:line="600" w:lineRule="exact"/>
        <w:jc w:val="center"/>
        <w:outlineLvl w:val="0"/>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公开时间：2019年</w:t>
      </w:r>
      <w:r>
        <w:t>9</w:t>
      </w:r>
      <w:r>
        <w:rPr>
          <w:rFonts w:hint="eastAsia"/>
        </w:rPr>
        <w:t>月29日</w:t>
      </w:r>
    </w:p>
    <w:p/>
    <w:p>
      <w:pPr>
        <w:pStyle w:val="10"/>
        <w:jc w:val="both"/>
        <w:rPr>
          <w:rFonts w:cstheme="minorBidi"/>
        </w:rPr>
      </w:pPr>
      <w:r>
        <w:fldChar w:fldCharType="begin"/>
      </w:r>
      <w:r>
        <w:instrText xml:space="preserve"> HYPERLINK \l "_Toc15396599" </w:instrText>
      </w:r>
      <w:r>
        <w:fldChar w:fldCharType="separate"/>
      </w:r>
      <w:r>
        <w:rPr>
          <w:rStyle w:val="16"/>
          <w:rFonts w:hint="eastAsia"/>
        </w:rPr>
        <w:t>第一部分部门概况</w:t>
      </w:r>
      <w:r>
        <w:tab/>
      </w:r>
      <w:r>
        <w:rPr>
          <w:rFonts w:hint="eastAsia"/>
        </w:rPr>
        <w:t>4</w:t>
      </w:r>
      <w:r>
        <w:rPr>
          <w:rFonts w:hint="eastAsia"/>
        </w:rPr>
        <w:fldChar w:fldCharType="end"/>
      </w:r>
    </w:p>
    <w:p>
      <w:pPr>
        <w:pStyle w:val="11"/>
        <w:ind w:left="0" w:leftChars="0" w:firstLine="0" w:firstLineChars="0"/>
        <w:jc w:val="both"/>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ind w:left="0" w:leftChars="0" w:firstLine="0" w:firstLineChars="0"/>
        <w:jc w:val="both"/>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jc w:val="both"/>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1"/>
        <w:ind w:left="0" w:leftChars="0" w:firstLine="0" w:firstLineChars="0"/>
        <w:jc w:val="both"/>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jc w:val="both"/>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jc w:val="both"/>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jc w:val="both"/>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jc w:val="both"/>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jc w:val="both"/>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jc w:val="both"/>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jc w:val="both"/>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jc w:val="both"/>
        <w:rPr>
          <w:rFonts w:ascii="仿宋" w:hAnsi="仿宋" w:eastAsia="仿宋" w:cstheme="minorBidi"/>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jc w:val="both"/>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0"/>
        <w:jc w:val="both"/>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fldChar w:fldCharType="begin"/>
      </w:r>
      <w:r>
        <w:instrText xml:space="preserve"> PAGEREF _Toc15396613 \h </w:instrText>
      </w:r>
      <w:r>
        <w:fldChar w:fldCharType="separate"/>
      </w:r>
      <w:r>
        <w:t>11</w:t>
      </w:r>
      <w:r>
        <w:fldChar w:fldCharType="end"/>
      </w:r>
      <w:r>
        <w:fldChar w:fldCharType="end"/>
      </w:r>
    </w:p>
    <w:p>
      <w:pPr>
        <w:pStyle w:val="10"/>
        <w:jc w:val="both"/>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tab/>
      </w:r>
      <w:r>
        <w:fldChar w:fldCharType="begin"/>
      </w:r>
      <w:r>
        <w:instrText xml:space="preserve"> PAGEREF _Toc15396614 \h </w:instrText>
      </w:r>
      <w:r>
        <w:fldChar w:fldCharType="separate"/>
      </w:r>
      <w:r>
        <w:t>14</w:t>
      </w:r>
      <w:r>
        <w:fldChar w:fldCharType="end"/>
      </w:r>
      <w:r>
        <w:fldChar w:fldCharType="end"/>
      </w:r>
    </w:p>
    <w:p>
      <w:pPr>
        <w:pStyle w:val="11"/>
        <w:ind w:left="0" w:leftChars="0" w:firstLine="0" w:firstLineChars="0"/>
        <w:rPr>
          <w:rFonts w:ascii="仿宋" w:hAnsi="仿宋" w:eastAsia="仿宋" w:cstheme="minorBidi"/>
          <w:sz w:val="28"/>
          <w:szCs w:val="28"/>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rPr>
          <w:rFonts w:ascii="仿宋" w:hAnsi="仿宋" w:eastAsia="仿宋" w:cstheme="minorBidi"/>
          <w:sz w:val="28"/>
          <w:szCs w:val="28"/>
        </w:rPr>
      </w:pPr>
      <w:r>
        <w:fldChar w:fldCharType="begin"/>
      </w:r>
      <w:r>
        <w:instrText xml:space="preserve"> HYPERLINK \l "_Toc15396617"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18</w:t>
      </w:r>
      <w:r>
        <w:rPr>
          <w:rFonts w:ascii="仿宋" w:hAnsi="仿宋" w:eastAsia="仿宋"/>
          <w:sz w:val="28"/>
          <w:szCs w:val="28"/>
        </w:rPr>
        <w:fldChar w:fldCharType="end"/>
      </w:r>
      <w:r>
        <w:rPr>
          <w:rFonts w:ascii="仿宋" w:hAnsi="仿宋" w:eastAsia="仿宋"/>
          <w:sz w:val="28"/>
          <w:szCs w:val="28"/>
        </w:rPr>
        <w:fldChar w:fldCharType="end"/>
      </w:r>
    </w:p>
    <w:p>
      <w:pPr>
        <w:pStyle w:val="10"/>
        <w:jc w:val="both"/>
        <w:rPr>
          <w:rFonts w:cstheme="minorBidi"/>
        </w:rPr>
      </w:pPr>
      <w:r>
        <w:rPr>
          <w:rFonts w:hint="eastAsia"/>
          <w:lang w:val="en-US" w:eastAsia="zh-CN"/>
        </w:rPr>
        <w:t xml:space="preserve"> </w:t>
      </w: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tab/>
      </w:r>
      <w:r>
        <w:fldChar w:fldCharType="begin"/>
      </w:r>
      <w:r>
        <w:instrText xml:space="preserve"> PAGEREF _Toc15396618 \h </w:instrText>
      </w:r>
      <w:r>
        <w:fldChar w:fldCharType="separate"/>
      </w:r>
      <w:r>
        <w:t>19</w:t>
      </w:r>
      <w:r>
        <w:fldChar w:fldCharType="end"/>
      </w:r>
      <w:r>
        <w:fldChar w:fldCharType="end"/>
      </w:r>
    </w:p>
    <w:p>
      <w:pPr>
        <w:pStyle w:val="11"/>
        <w:ind w:left="0" w:leftChars="0" w:firstLine="0" w:firstLineChars="0"/>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ind w:left="0" w:leftChars="0" w:firstLine="0" w:firstLineChars="0"/>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pageBreakBefore w:val="0"/>
        <w:kinsoku/>
        <w:wordWrap/>
        <w:overflowPunct/>
        <w:topLinePunct w:val="0"/>
        <w:autoSpaceDE/>
        <w:autoSpaceDN/>
        <w:bidi w:val="0"/>
        <w:spacing w:line="560" w:lineRule="exact"/>
        <w:textAlignment w:val="auto"/>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pageBreakBefore w:val="0"/>
        <w:kinsoku/>
        <w:wordWrap/>
        <w:overflowPunct/>
        <w:topLinePunct w:val="0"/>
        <w:autoSpaceDE/>
        <w:autoSpaceDN/>
        <w:bidi w:val="0"/>
        <w:adjustRightInd w:val="0"/>
        <w:snapToGrid w:val="0"/>
        <w:spacing w:before="93" w:line="560" w:lineRule="exact"/>
        <w:ind w:firstLine="675" w:firstLineChars="210"/>
        <w:textAlignment w:val="auto"/>
        <w:outlineLvl w:val="2"/>
        <w:rPr>
          <w:rFonts w:hint="eastAsia" w:ascii="楷体_GB2312" w:hAnsi="楷体_GB2312" w:eastAsia="楷体_GB2312" w:cs="楷体_GB2312"/>
          <w:b/>
          <w:bCs w:val="0"/>
          <w:color w:val="000000"/>
          <w:sz w:val="32"/>
          <w:szCs w:val="32"/>
        </w:rPr>
      </w:pPr>
      <w:bookmarkStart w:id="16" w:name="_Toc15377198"/>
      <w:bookmarkStart w:id="17" w:name="_Toc15378445"/>
      <w:bookmarkStart w:id="18" w:name="_Toc15377200"/>
      <w:bookmarkStart w:id="19" w:name="_Toc15396601"/>
      <w:r>
        <w:rPr>
          <w:rFonts w:hint="eastAsia" w:ascii="楷体_GB2312" w:hAnsi="楷体_GB2312" w:eastAsia="楷体_GB2312" w:cs="楷体_GB2312"/>
          <w:b/>
          <w:bCs w:val="0"/>
          <w:color w:val="000000"/>
          <w:sz w:val="32"/>
          <w:szCs w:val="32"/>
        </w:rPr>
        <w:t>（一）主要职能</w:t>
      </w:r>
      <w:bookmarkEnd w:id="16"/>
      <w:bookmarkEnd w:id="17"/>
    </w:p>
    <w:p>
      <w:pPr>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eastAsia="仿宋_GB2312"/>
          <w:sz w:val="32"/>
          <w:szCs w:val="32"/>
        </w:rPr>
        <w:t>承担全州涉组涉干举报信息的登记、受理、转办等工作，对州管党政领导班子和领导干部的监督、领导干部个人事项查核等职能职责。</w:t>
      </w:r>
    </w:p>
    <w:p>
      <w:pPr>
        <w:pStyle w:val="5"/>
        <w:pageBreakBefore w:val="0"/>
        <w:kinsoku/>
        <w:wordWrap/>
        <w:overflowPunct/>
        <w:topLinePunct w:val="0"/>
        <w:autoSpaceDE/>
        <w:autoSpaceDN/>
        <w:bidi w:val="0"/>
        <w:adjustRightInd w:val="0"/>
        <w:snapToGrid w:val="0"/>
        <w:spacing w:before="93" w:line="560" w:lineRule="exact"/>
        <w:ind w:firstLine="675" w:firstLineChars="210"/>
        <w:textAlignment w:val="auto"/>
        <w:outlineLvl w:val="2"/>
        <w:rPr>
          <w:rFonts w:hint="eastAsia" w:ascii="楷体_GB2312" w:hAnsi="楷体_GB2312" w:eastAsia="楷体_GB2312" w:cs="楷体_GB2312"/>
          <w:b/>
          <w:bCs w:val="0"/>
          <w:color w:val="000000"/>
          <w:sz w:val="32"/>
          <w:szCs w:val="32"/>
        </w:rPr>
      </w:pPr>
      <w:bookmarkStart w:id="20" w:name="_Toc15377199"/>
      <w:bookmarkStart w:id="21" w:name="_Toc15378446"/>
      <w:r>
        <w:rPr>
          <w:rFonts w:hint="eastAsia" w:ascii="楷体_GB2312" w:hAnsi="楷体_GB2312" w:eastAsia="楷体_GB2312" w:cs="楷体_GB2312"/>
          <w:b/>
          <w:bCs w:val="0"/>
          <w:color w:val="000000"/>
          <w:sz w:val="32"/>
          <w:szCs w:val="32"/>
        </w:rPr>
        <w:t>（二）2018年重点工作完成情况</w:t>
      </w:r>
      <w:bookmarkEnd w:id="20"/>
      <w:bookmarkEnd w:id="21"/>
    </w:p>
    <w:p>
      <w:pPr>
        <w:pageBreakBefore w:val="0"/>
        <w:kinsoku/>
        <w:wordWrap/>
        <w:overflowPunct/>
        <w:topLinePunct w:val="0"/>
        <w:autoSpaceDE/>
        <w:autoSpaceDN/>
        <w:bidi w:val="0"/>
        <w:snapToGrid w:val="0"/>
        <w:spacing w:line="56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rPr>
        <w:t>领导干部报告个人有关事</w:t>
      </w:r>
      <w:r>
        <w:rPr>
          <w:rFonts w:hint="eastAsia" w:ascii="仿宋_GB2312" w:eastAsia="仿宋_GB2312"/>
          <w:b/>
          <w:bCs/>
          <w:sz w:val="32"/>
          <w:szCs w:val="32"/>
          <w:lang w:eastAsia="zh-CN"/>
        </w:rPr>
        <w:t>项方面。</w:t>
      </w:r>
      <w:r>
        <w:rPr>
          <w:rFonts w:hint="eastAsia" w:ascii="仿宋_GB2312" w:eastAsia="仿宋_GB2312"/>
          <w:sz w:val="32"/>
          <w:szCs w:val="32"/>
          <w:lang w:eastAsia="zh-CN"/>
        </w:rPr>
        <w:t>一是</w:t>
      </w:r>
      <w:r>
        <w:rPr>
          <w:rFonts w:hint="eastAsia" w:ascii="仿宋_GB2312" w:eastAsia="仿宋_GB2312"/>
          <w:sz w:val="32"/>
          <w:szCs w:val="32"/>
          <w:lang w:val="en-US" w:eastAsia="zh-CN"/>
        </w:rPr>
        <w:t>高标准组织填报，做到学习领会“深”。印发《漫画读本》《一封信》《问题解答》和《案例通报》等学习资料5200余份，</w:t>
      </w:r>
      <w:r>
        <w:rPr>
          <w:rFonts w:hint="eastAsia" w:ascii="仿宋_GB2312" w:eastAsia="仿宋_GB2312"/>
          <w:sz w:val="32"/>
          <w:szCs w:val="32"/>
        </w:rPr>
        <w:t>各级党委</w:t>
      </w:r>
      <w:r>
        <w:rPr>
          <w:rFonts w:hint="eastAsia" w:ascii="仿宋_GB2312" w:eastAsia="仿宋_GB2312"/>
          <w:sz w:val="32"/>
          <w:szCs w:val="32"/>
          <w:lang w:eastAsia="zh-CN"/>
        </w:rPr>
        <w:t>（党组）</w:t>
      </w:r>
      <w:r>
        <w:rPr>
          <w:rFonts w:hint="eastAsia" w:ascii="仿宋_GB2312" w:eastAsia="仿宋_GB2312"/>
          <w:sz w:val="32"/>
          <w:szCs w:val="32"/>
        </w:rPr>
        <w:t>召开常委会、中心组学习会</w:t>
      </w:r>
      <w:r>
        <w:rPr>
          <w:rFonts w:hint="eastAsia" w:ascii="仿宋_GB2312" w:eastAsia="仿宋_GB2312"/>
          <w:sz w:val="32"/>
          <w:szCs w:val="32"/>
          <w:lang w:eastAsia="zh-CN"/>
        </w:rPr>
        <w:t>、专题学习会</w:t>
      </w:r>
      <w:r>
        <w:rPr>
          <w:rFonts w:hint="eastAsia" w:ascii="仿宋_GB2312" w:eastAsia="仿宋_GB2312"/>
          <w:sz w:val="32"/>
          <w:szCs w:val="32"/>
        </w:rPr>
        <w:t>等</w:t>
      </w:r>
      <w:r>
        <w:rPr>
          <w:rFonts w:hint="eastAsia" w:ascii="仿宋_GB2312" w:eastAsia="仿宋_GB2312"/>
          <w:sz w:val="32"/>
          <w:szCs w:val="32"/>
          <w:lang w:val="en-US" w:eastAsia="zh-CN"/>
        </w:rPr>
        <w:t>300余次，组织2800余人次，</w:t>
      </w:r>
      <w:r>
        <w:rPr>
          <w:rFonts w:hint="eastAsia" w:ascii="仿宋_GB2312" w:eastAsia="仿宋_GB2312"/>
          <w:sz w:val="32"/>
          <w:szCs w:val="32"/>
          <w:lang w:eastAsia="zh-CN"/>
        </w:rPr>
        <w:t>深化对</w:t>
      </w:r>
      <w:r>
        <w:rPr>
          <w:rFonts w:hint="eastAsia" w:ascii="仿宋_GB2312" w:eastAsia="仿宋_GB2312"/>
          <w:sz w:val="32"/>
          <w:szCs w:val="32"/>
        </w:rPr>
        <w:t>“两项法规”</w:t>
      </w:r>
      <w:r>
        <w:rPr>
          <w:rFonts w:hint="eastAsia" w:ascii="仿宋_GB2312" w:eastAsia="仿宋_GB2312"/>
          <w:sz w:val="32"/>
          <w:szCs w:val="32"/>
          <w:lang w:eastAsia="zh-CN"/>
        </w:rPr>
        <w:t>的学习</w:t>
      </w:r>
      <w:r>
        <w:rPr>
          <w:rFonts w:hint="eastAsia" w:ascii="仿宋_GB2312" w:eastAsia="仿宋_GB2312"/>
          <w:sz w:val="32"/>
          <w:szCs w:val="32"/>
        </w:rPr>
        <w:t>。</w:t>
      </w:r>
      <w:r>
        <w:rPr>
          <w:rFonts w:hint="eastAsia" w:ascii="仿宋_GB2312" w:eastAsia="仿宋_GB2312"/>
          <w:sz w:val="32"/>
          <w:szCs w:val="32"/>
          <w:lang w:val="en-US" w:eastAsia="zh-CN"/>
        </w:rPr>
        <w:t>开通咨询热线，</w:t>
      </w:r>
      <w:r>
        <w:rPr>
          <w:rFonts w:hint="eastAsia" w:ascii="仿宋_GB2312" w:eastAsia="仿宋_GB2312"/>
          <w:sz w:val="32"/>
          <w:szCs w:val="32"/>
        </w:rPr>
        <w:t>由专人针对</w:t>
      </w:r>
      <w:r>
        <w:rPr>
          <w:rFonts w:hint="eastAsia" w:ascii="仿宋_GB2312" w:eastAsia="仿宋_GB2312"/>
          <w:sz w:val="32"/>
          <w:szCs w:val="32"/>
          <w:lang w:eastAsia="zh-CN"/>
        </w:rPr>
        <w:t>领导干部在填报过程中遇到的问题进行解答。二是</w:t>
      </w:r>
      <w:r>
        <w:rPr>
          <w:rFonts w:hint="eastAsia" w:ascii="仿宋_GB2312" w:eastAsia="仿宋_GB2312"/>
          <w:sz w:val="32"/>
          <w:szCs w:val="32"/>
          <w:lang w:val="en-US" w:eastAsia="zh-CN"/>
        </w:rPr>
        <w:t>严要求填报，做到报告内容“实”，派专人对《报告表》进行最后审核，对填报不规范、存疑的273份及时进行反馈核实和订正，确保全州57名厅级干部、1273名县处级干部规范填报、按时填报，提前完成数据录入、汇总上报工作。三是多角度分析研判，做到查核处理“准”，</w:t>
      </w:r>
      <w:r>
        <w:rPr>
          <w:rFonts w:hint="eastAsia" w:ascii="仿宋_GB2312" w:eastAsia="仿宋_GB2312"/>
          <w:sz w:val="32"/>
          <w:szCs w:val="32"/>
          <w:lang w:eastAsia="zh-CN"/>
        </w:rPr>
        <w:t>根据查核委托情况，及时录入《重点查核工作台账》，核对查核对象信息，</w:t>
      </w:r>
      <w:r>
        <w:rPr>
          <w:rFonts w:hint="eastAsia" w:ascii="仿宋_GB2312" w:eastAsia="仿宋_GB2312"/>
          <w:sz w:val="32"/>
          <w:szCs w:val="32"/>
        </w:rPr>
        <w:t>确保信息准确无误</w:t>
      </w:r>
      <w:r>
        <w:rPr>
          <w:rFonts w:hint="eastAsia" w:ascii="仿宋_GB2312" w:eastAsia="仿宋_GB2312"/>
          <w:sz w:val="32"/>
          <w:szCs w:val="32"/>
          <w:lang w:eastAsia="zh-CN"/>
        </w:rPr>
        <w:t>后填写《查询对象基本信息表》，及时委托相关职能部门查核相关信息，</w:t>
      </w:r>
      <w:r>
        <w:rPr>
          <w:rFonts w:hint="eastAsia" w:ascii="仿宋_GB2312" w:eastAsia="仿宋_GB2312"/>
          <w:sz w:val="32"/>
          <w:szCs w:val="32"/>
        </w:rPr>
        <w:t>严格执行“两项法规”相关要求，</w:t>
      </w:r>
      <w:r>
        <w:rPr>
          <w:rFonts w:hint="eastAsia" w:ascii="仿宋_GB2312" w:eastAsia="仿宋_GB2312"/>
          <w:sz w:val="32"/>
          <w:szCs w:val="32"/>
          <w:lang w:val="en-US" w:eastAsia="zh-CN"/>
        </w:rPr>
        <w:t xml:space="preserve">  </w:t>
      </w:r>
      <w:bookmarkStart w:id="76" w:name="_GoBack"/>
      <w:bookmarkEnd w:id="76"/>
      <w:r>
        <w:rPr>
          <w:rFonts w:hint="eastAsia" w:ascii="仿宋_GB2312" w:eastAsia="仿宋_GB2312"/>
          <w:sz w:val="32"/>
          <w:szCs w:val="32"/>
          <w:lang w:val="en-US" w:eastAsia="zh-CN"/>
        </w:rPr>
        <w:t>准确</w:t>
      </w:r>
      <w:r>
        <w:rPr>
          <w:rFonts w:hint="eastAsia" w:ascii="仿宋_GB2312" w:eastAsia="仿宋_GB2312"/>
          <w:sz w:val="32"/>
          <w:szCs w:val="32"/>
        </w:rPr>
        <w:t>核实领导干部填报内容，</w:t>
      </w:r>
      <w:r>
        <w:rPr>
          <w:rFonts w:hint="eastAsia" w:ascii="仿宋_GB2312" w:eastAsia="仿宋_GB2312"/>
          <w:sz w:val="32"/>
          <w:szCs w:val="32"/>
          <w:lang w:eastAsia="zh-CN"/>
        </w:rPr>
        <w:t>根据查核结果和函询说明科学进行认定并</w:t>
      </w:r>
      <w:r>
        <w:rPr>
          <w:rFonts w:hint="eastAsia" w:ascii="仿宋_GB2312" w:eastAsia="仿宋_GB2312"/>
          <w:sz w:val="32"/>
          <w:szCs w:val="32"/>
          <w:lang w:val="en-US" w:eastAsia="zh-CN"/>
        </w:rPr>
        <w:t>提出审理意见。</w:t>
      </w:r>
    </w:p>
    <w:p>
      <w:pPr>
        <w:pageBreakBefore w:val="0"/>
        <w:kinsoku/>
        <w:wordWrap/>
        <w:overflowPunct/>
        <w:topLinePunct w:val="0"/>
        <w:autoSpaceDE/>
        <w:autoSpaceDN/>
        <w:bidi w:val="0"/>
        <w:snapToGrid w:val="0"/>
        <w:spacing w:line="56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举报工作方面。</w:t>
      </w:r>
      <w:r>
        <w:rPr>
          <w:rFonts w:hint="eastAsia" w:ascii="仿宋_GB2312" w:eastAsia="仿宋_GB2312"/>
          <w:sz w:val="32"/>
          <w:szCs w:val="32"/>
        </w:rPr>
        <w:t>通过电视、报纸、网络、手机短信、远程教育等媒介，广泛宣传“12380”举报电话</w:t>
      </w:r>
      <w:r>
        <w:rPr>
          <w:rFonts w:hint="eastAsia" w:ascii="仿宋_GB2312" w:eastAsia="仿宋_GB2312"/>
          <w:sz w:val="32"/>
          <w:szCs w:val="32"/>
          <w:lang w:eastAsia="zh-CN"/>
        </w:rPr>
        <w:t>，</w:t>
      </w:r>
      <w:r>
        <w:rPr>
          <w:rFonts w:hint="eastAsia" w:ascii="仿宋_GB2312" w:eastAsia="仿宋_GB2312"/>
          <w:sz w:val="32"/>
          <w:szCs w:val="32"/>
        </w:rPr>
        <w:t>特别在干部考察、任前公示、奖先评优等关键环节，统一对外公布“12380”举报方式，畅通干部群众表达诉求渠道，有效发挥了群众监督作用</w:t>
      </w:r>
      <w:r>
        <w:rPr>
          <w:rFonts w:hint="eastAsia" w:ascii="仿宋_GB2312" w:eastAsia="仿宋_GB2312"/>
          <w:sz w:val="32"/>
          <w:szCs w:val="32"/>
          <w:lang w:eastAsia="zh-CN"/>
        </w:rPr>
        <w:t>，</w:t>
      </w:r>
      <w:r>
        <w:rPr>
          <w:rFonts w:hint="eastAsia" w:ascii="仿宋_GB2312" w:eastAsia="仿宋_GB2312"/>
          <w:sz w:val="32"/>
          <w:szCs w:val="32"/>
        </w:rPr>
        <w:t>进一步提高了“12380”举报工作的知晓度</w:t>
      </w:r>
      <w:r>
        <w:rPr>
          <w:rFonts w:hint="eastAsia" w:ascii="仿宋_GB2312" w:eastAsia="仿宋_GB2312"/>
          <w:sz w:val="32"/>
          <w:szCs w:val="32"/>
          <w:lang w:eastAsia="zh-CN"/>
        </w:rPr>
        <w:t>。</w:t>
      </w:r>
      <w:r>
        <w:rPr>
          <w:rFonts w:hint="eastAsia" w:ascii="仿宋_GB2312" w:eastAsia="仿宋_GB2312"/>
          <w:sz w:val="32"/>
          <w:szCs w:val="32"/>
        </w:rPr>
        <w:t>严格落实“12380”电话举报、网站举报、信访举报管理专人负责制，实行专人接访、专人登记，坚持24小时专人值守举报电话，坚持对各县（市）“12380”举报电话开展每月不少于两次的监督检查，</w:t>
      </w:r>
      <w:r>
        <w:rPr>
          <w:rFonts w:hint="eastAsia" w:ascii="仿宋_GB2312" w:eastAsia="仿宋_GB2312"/>
          <w:sz w:val="32"/>
          <w:szCs w:val="32"/>
          <w:lang w:eastAsia="zh-CN"/>
        </w:rPr>
        <w:t>规范</w:t>
      </w:r>
      <w:r>
        <w:rPr>
          <w:rFonts w:hint="eastAsia" w:ascii="仿宋_GB2312" w:eastAsia="仿宋_GB2312"/>
          <w:sz w:val="32"/>
          <w:szCs w:val="32"/>
        </w:rPr>
        <w:t>“12380”举报电话文明用语</w:t>
      </w:r>
      <w:r>
        <w:rPr>
          <w:rFonts w:hint="eastAsia" w:ascii="仿宋_GB2312" w:eastAsia="仿宋_GB2312"/>
          <w:sz w:val="32"/>
          <w:szCs w:val="32"/>
          <w:lang w:eastAsia="zh-CN"/>
        </w:rPr>
        <w:t>和</w:t>
      </w:r>
      <w:r>
        <w:rPr>
          <w:rFonts w:hint="eastAsia" w:ascii="仿宋_GB2312" w:eastAsia="仿宋_GB2312"/>
          <w:sz w:val="32"/>
          <w:szCs w:val="32"/>
        </w:rPr>
        <w:t>举报受理流程，确保举报受理服务质优高效，提升“12380”举报平台的便捷度</w:t>
      </w:r>
      <w:r>
        <w:rPr>
          <w:rFonts w:hint="eastAsia" w:ascii="仿宋_GB2312" w:eastAsia="仿宋_GB2312"/>
          <w:sz w:val="32"/>
          <w:szCs w:val="32"/>
          <w:lang w:eastAsia="zh-CN"/>
        </w:rPr>
        <w:t>。</w:t>
      </w:r>
      <w:r>
        <w:rPr>
          <w:rFonts w:hint="eastAsia" w:ascii="仿宋_GB2312" w:eastAsia="仿宋_GB2312"/>
          <w:sz w:val="32"/>
          <w:szCs w:val="32"/>
        </w:rPr>
        <w:t>坚持从快从严查处，做到有举报必查、查实必处、失责必究，不让投机钻营者有机可乘，不让铤而走险者侥幸得逞，不让触犯法纪者逃脱惩处</w:t>
      </w:r>
      <w:r>
        <w:rPr>
          <w:rFonts w:hint="eastAsia" w:ascii="仿宋_GB2312" w:eastAsia="仿宋_GB2312"/>
          <w:sz w:val="32"/>
          <w:szCs w:val="32"/>
          <w:lang w:eastAsia="zh-CN"/>
        </w:rPr>
        <w:t>。</w:t>
      </w:r>
    </w:p>
    <w:p>
      <w:pPr>
        <w:pStyle w:val="5"/>
        <w:pageBreakBefore w:val="0"/>
        <w:kinsoku/>
        <w:wordWrap/>
        <w:overflowPunct/>
        <w:topLinePunct w:val="0"/>
        <w:autoSpaceDE/>
        <w:autoSpaceDN/>
        <w:bidi w:val="0"/>
        <w:adjustRightInd w:val="0"/>
        <w:snapToGrid w:val="0"/>
        <w:spacing w:before="93" w:line="560" w:lineRule="exact"/>
        <w:ind w:firstLine="630" w:firstLineChars="210"/>
        <w:textAlignment w:val="auto"/>
        <w:outlineLvl w:val="2"/>
        <w:rPr>
          <w:rStyle w:val="26"/>
        </w:rPr>
      </w:pPr>
      <w:r>
        <w:rPr>
          <w:rFonts w:hint="eastAsia" w:ascii="黑体" w:eastAsia="黑体"/>
          <w:color w:val="000000"/>
        </w:rPr>
        <w:t>二、</w:t>
      </w:r>
      <w:r>
        <w:rPr>
          <w:rFonts w:hint="eastAsia" w:ascii="黑体" w:hAnsi="黑体" w:eastAsia="黑体"/>
          <w:color w:val="000000"/>
        </w:rPr>
        <w:t>机</w:t>
      </w:r>
      <w:r>
        <w:rPr>
          <w:rStyle w:val="26"/>
          <w:rFonts w:hint="eastAsia" w:ascii="黑体" w:hAnsi="黑体" w:eastAsia="黑体"/>
        </w:rPr>
        <w:t>构设置</w:t>
      </w:r>
      <w:bookmarkEnd w:id="18"/>
      <w:bookmarkEnd w:id="19"/>
    </w:p>
    <w:p>
      <w:pPr>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州委组织部</w:t>
      </w:r>
      <w:r>
        <w:rPr>
          <w:rFonts w:hint="eastAsia" w:ascii="仿宋_GB2312" w:eastAsia="仿宋_GB2312"/>
          <w:sz w:val="32"/>
          <w:szCs w:val="32"/>
        </w:rPr>
        <w:t>干部个人事项查核和举报中心下属二级单位</w:t>
      </w:r>
      <w:r>
        <w:rPr>
          <w:rFonts w:hint="eastAsia" w:ascii="仿宋_GB2312" w:eastAsia="仿宋_GB2312"/>
          <w:sz w:val="32"/>
          <w:szCs w:val="32"/>
          <w:lang w:val="en-US" w:eastAsia="zh-CN"/>
        </w:rPr>
        <w:t>1</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1</w:t>
      </w:r>
      <w:r>
        <w:rPr>
          <w:rFonts w:hint="eastAsia" w:ascii="仿宋_GB2312" w:eastAsia="仿宋_GB2312"/>
          <w:sz w:val="32"/>
          <w:szCs w:val="32"/>
        </w:rPr>
        <w:t>个。</w:t>
      </w:r>
    </w:p>
    <w:p>
      <w:pPr>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纳入</w:t>
      </w:r>
      <w:r>
        <w:rPr>
          <w:rFonts w:hint="eastAsia" w:ascii="仿宋_GB2312" w:eastAsia="仿宋_GB2312"/>
          <w:sz w:val="32"/>
          <w:szCs w:val="32"/>
          <w:lang w:eastAsia="zh-CN"/>
        </w:rPr>
        <w:t>州委组织部</w:t>
      </w:r>
      <w:r>
        <w:rPr>
          <w:rFonts w:hint="eastAsia" w:ascii="仿宋_GB2312" w:eastAsia="仿宋_GB2312"/>
          <w:sz w:val="32"/>
          <w:szCs w:val="32"/>
        </w:rPr>
        <w:t>干部个人事项查核和举报中心2018年度部门决算编制范围的二级预算单位包括：</w:t>
      </w:r>
    </w:p>
    <w:p>
      <w:pPr>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州委组织部</w:t>
      </w:r>
      <w:r>
        <w:rPr>
          <w:rFonts w:hint="eastAsia" w:ascii="仿宋_GB2312" w:eastAsia="仿宋_GB2312"/>
          <w:sz w:val="32"/>
          <w:szCs w:val="32"/>
        </w:rPr>
        <w:t>干部个人事项查核和举报中心</w:t>
      </w:r>
    </w:p>
    <w:p>
      <w:pPr>
        <w:pageBreakBefore w:val="0"/>
        <w:widowControl/>
        <w:kinsoku/>
        <w:wordWrap/>
        <w:overflowPunct/>
        <w:topLinePunct w:val="0"/>
        <w:autoSpaceDE/>
        <w:autoSpaceDN/>
        <w:bidi w:val="0"/>
        <w:spacing w:line="560" w:lineRule="exact"/>
        <w:jc w:val="left"/>
        <w:textAlignment w:val="auto"/>
        <w:rPr>
          <w:rFonts w:ascii="仿宋" w:hAnsi="仿宋" w:eastAsia="仿宋"/>
          <w:color w:val="000000"/>
          <w:kern w:val="0"/>
          <w:sz w:val="32"/>
          <w:szCs w:val="32"/>
        </w:rPr>
      </w:pPr>
      <w:r>
        <w:rPr>
          <w:rFonts w:ascii="仿宋" w:hAnsi="仿宋" w:eastAsia="仿宋"/>
          <w:color w:val="000000"/>
          <w:sz w:val="32"/>
          <w:szCs w:val="32"/>
        </w:rPr>
        <w:br w:type="page"/>
      </w:r>
    </w:p>
    <w:p>
      <w:pPr>
        <w:pStyle w:val="2"/>
        <w:pageBreakBefore w:val="0"/>
        <w:kinsoku/>
        <w:wordWrap/>
        <w:overflowPunct/>
        <w:topLinePunct w:val="0"/>
        <w:autoSpaceDE/>
        <w:autoSpaceDN/>
        <w:bidi w:val="0"/>
        <w:spacing w:line="560" w:lineRule="exact"/>
        <w:ind w:right="440"/>
        <w:jc w:val="right"/>
        <w:textAlignment w:val="auto"/>
        <w:rPr>
          <w:rStyle w:val="25"/>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25"/>
          <w:rFonts w:hint="eastAsia" w:ascii="黑体" w:hAnsi="黑体" w:eastAsia="黑体"/>
          <w:b w:val="0"/>
          <w:bCs w:val="0"/>
        </w:rPr>
        <w:t>2018年度部门决算情况说明</w:t>
      </w:r>
      <w:bookmarkEnd w:id="22"/>
      <w:bookmarkEnd w:id="23"/>
    </w:p>
    <w:p>
      <w:pPr>
        <w:pageBreakBefore w:val="0"/>
        <w:kinsoku/>
        <w:wordWrap/>
        <w:overflowPunct/>
        <w:topLinePunct w:val="0"/>
        <w:autoSpaceDE/>
        <w:autoSpaceDN/>
        <w:bidi w:val="0"/>
        <w:spacing w:line="560" w:lineRule="exact"/>
        <w:textAlignment w:val="auto"/>
      </w:pPr>
    </w:p>
    <w:p>
      <w:pPr>
        <w:pStyle w:val="24"/>
        <w:pageBreakBefore w:val="0"/>
        <w:numPr>
          <w:ilvl w:val="0"/>
          <w:numId w:val="1"/>
        </w:numPr>
        <w:kinsoku/>
        <w:wordWrap/>
        <w:overflowPunct/>
        <w:topLinePunct w:val="0"/>
        <w:autoSpaceDE/>
        <w:autoSpaceDN/>
        <w:bidi w:val="0"/>
        <w:spacing w:line="560" w:lineRule="exact"/>
        <w:ind w:firstLineChars="0"/>
        <w:textAlignment w:val="auto"/>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2018年度收、支总计</w:t>
      </w:r>
      <w:r>
        <w:rPr>
          <w:rFonts w:hint="eastAsia" w:ascii="仿宋_GB2312" w:eastAsia="仿宋_GB2312"/>
          <w:sz w:val="32"/>
          <w:szCs w:val="32"/>
          <w:lang w:val="en-US" w:eastAsia="zh-CN"/>
        </w:rPr>
        <w:t>147.25</w:t>
      </w:r>
      <w:r>
        <w:rPr>
          <w:rFonts w:hint="eastAsia" w:ascii="仿宋_GB2312" w:eastAsia="仿宋_GB2312"/>
          <w:sz w:val="32"/>
          <w:szCs w:val="32"/>
        </w:rPr>
        <w:t>万元。</w:t>
      </w:r>
      <w:r>
        <w:rPr>
          <w:rFonts w:hint="eastAsia" w:ascii="仿宋_GB2312" w:eastAsia="仿宋_GB2312"/>
          <w:sz w:val="32"/>
          <w:szCs w:val="32"/>
          <w:lang w:val="en-US" w:eastAsia="zh-CN"/>
        </w:rPr>
        <w:t>属新增决算单位</w:t>
      </w:r>
      <w:r>
        <w:rPr>
          <w:rFonts w:hint="eastAsia" w:ascii="仿宋_GB2312" w:eastAsia="仿宋_GB2312"/>
          <w:sz w:val="32"/>
          <w:szCs w:val="32"/>
        </w:rPr>
        <w:t>。</w:t>
      </w:r>
    </w:p>
    <w:p>
      <w:pPr>
        <w:pStyle w:val="24"/>
        <w:pageBreakBefore w:val="0"/>
        <w:numPr>
          <w:ilvl w:val="0"/>
          <w:numId w:val="1"/>
        </w:numPr>
        <w:kinsoku/>
        <w:wordWrap/>
        <w:overflowPunct/>
        <w:topLinePunct w:val="0"/>
        <w:autoSpaceDE/>
        <w:autoSpaceDN/>
        <w:bidi w:val="0"/>
        <w:spacing w:line="560" w:lineRule="exact"/>
        <w:ind w:firstLineChars="0"/>
        <w:textAlignment w:val="auto"/>
        <w:outlineLvl w:val="1"/>
        <w:rPr>
          <w:rStyle w:val="2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2018年本年收入合计</w:t>
      </w:r>
      <w:r>
        <w:rPr>
          <w:rFonts w:hint="eastAsia" w:ascii="仿宋_GB2312" w:eastAsia="仿宋_GB2312"/>
          <w:sz w:val="32"/>
          <w:szCs w:val="32"/>
          <w:lang w:val="en-US" w:eastAsia="zh-CN"/>
        </w:rPr>
        <w:t>147.25</w:t>
      </w:r>
      <w:r>
        <w:rPr>
          <w:rFonts w:hint="eastAsia" w:ascii="仿宋_GB2312" w:eastAsia="仿宋_GB2312"/>
          <w:sz w:val="32"/>
          <w:szCs w:val="32"/>
        </w:rPr>
        <w:t>万元，其中：一般公共预算财政拨款收入</w:t>
      </w:r>
      <w:r>
        <w:rPr>
          <w:rFonts w:hint="eastAsia" w:ascii="仿宋_GB2312" w:eastAsia="仿宋_GB2312"/>
          <w:sz w:val="32"/>
          <w:szCs w:val="32"/>
          <w:lang w:val="en-US" w:eastAsia="zh-CN"/>
        </w:rPr>
        <w:t>147.25</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%；政府性基金预算财政拨款收入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0</w:t>
      </w:r>
      <w:r>
        <w:rPr>
          <w:rFonts w:hint="eastAsia" w:ascii="仿宋_GB2312" w:eastAsia="仿宋_GB2312"/>
          <w:sz w:val="32"/>
          <w:szCs w:val="32"/>
        </w:rPr>
        <w:t>%；国有资本经营预算财政拨款收入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0</w:t>
      </w:r>
      <w:r>
        <w:rPr>
          <w:rFonts w:hint="eastAsia" w:ascii="仿宋_GB2312" w:eastAsia="仿宋_GB2312"/>
          <w:sz w:val="32"/>
          <w:szCs w:val="32"/>
        </w:rPr>
        <w:t>%；事业收入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0</w:t>
      </w:r>
      <w:r>
        <w:rPr>
          <w:rFonts w:hint="eastAsia" w:ascii="仿宋_GB2312" w:eastAsia="仿宋_GB2312"/>
          <w:sz w:val="32"/>
          <w:szCs w:val="32"/>
        </w:rPr>
        <w:t>%；经营收入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0</w:t>
      </w:r>
      <w:r>
        <w:rPr>
          <w:rFonts w:hint="eastAsia" w:ascii="仿宋_GB2312" w:eastAsia="仿宋_GB2312"/>
          <w:sz w:val="32"/>
          <w:szCs w:val="32"/>
        </w:rPr>
        <w:t>%；附属单位上缴收入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0</w:t>
      </w:r>
      <w:r>
        <w:rPr>
          <w:rFonts w:hint="eastAsia" w:ascii="仿宋_GB2312" w:eastAsia="仿宋_GB2312"/>
          <w:sz w:val="32"/>
          <w:szCs w:val="32"/>
        </w:rPr>
        <w:t>%；其他收入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pStyle w:val="24"/>
        <w:pageBreakBefore w:val="0"/>
        <w:numPr>
          <w:ilvl w:val="0"/>
          <w:numId w:val="1"/>
        </w:numPr>
        <w:kinsoku/>
        <w:wordWrap/>
        <w:overflowPunct/>
        <w:topLinePunct w:val="0"/>
        <w:autoSpaceDE/>
        <w:autoSpaceDN/>
        <w:bidi w:val="0"/>
        <w:spacing w:line="560" w:lineRule="exact"/>
        <w:ind w:firstLineChars="0"/>
        <w:textAlignment w:val="auto"/>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2018年本年支出合计</w:t>
      </w:r>
      <w:r>
        <w:rPr>
          <w:rFonts w:hint="eastAsia" w:ascii="仿宋_GB2312" w:eastAsia="仿宋_GB2312"/>
          <w:sz w:val="32"/>
          <w:szCs w:val="32"/>
          <w:lang w:val="en-US" w:eastAsia="zh-CN"/>
        </w:rPr>
        <w:t>145.57</w:t>
      </w:r>
      <w:r>
        <w:rPr>
          <w:rFonts w:hint="eastAsia" w:ascii="仿宋_GB2312" w:eastAsia="仿宋_GB2312"/>
          <w:sz w:val="32"/>
          <w:szCs w:val="32"/>
        </w:rPr>
        <w:t>万元，其中：基本支出</w:t>
      </w:r>
      <w:r>
        <w:rPr>
          <w:rFonts w:hint="eastAsia" w:ascii="仿宋_GB2312" w:eastAsia="仿宋_GB2312"/>
          <w:sz w:val="32"/>
          <w:szCs w:val="32"/>
          <w:lang w:val="en-US" w:eastAsia="zh-CN"/>
        </w:rPr>
        <w:t>145.57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0</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0</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pageBreakBefore w:val="0"/>
        <w:kinsoku/>
        <w:wordWrap/>
        <w:overflowPunct/>
        <w:topLinePunct w:val="0"/>
        <w:autoSpaceDE/>
        <w:autoSpaceDN/>
        <w:bidi w:val="0"/>
        <w:spacing w:line="560" w:lineRule="exact"/>
        <w:ind w:firstLine="640" w:firstLineChars="200"/>
        <w:textAlignment w:val="auto"/>
        <w:outlineLvl w:val="1"/>
        <w:rPr>
          <w:rStyle w:val="26"/>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2018年财政拨款收、支总计</w:t>
      </w:r>
      <w:r>
        <w:rPr>
          <w:rFonts w:hint="eastAsia" w:ascii="仿宋_GB2312" w:eastAsia="仿宋_GB2312"/>
          <w:sz w:val="32"/>
          <w:szCs w:val="32"/>
          <w:lang w:val="en-US" w:eastAsia="zh-CN"/>
        </w:rPr>
        <w:t>147.25</w:t>
      </w:r>
      <w:r>
        <w:rPr>
          <w:rFonts w:hint="eastAsia" w:ascii="仿宋_GB2312" w:eastAsia="仿宋_GB2312"/>
          <w:sz w:val="32"/>
          <w:szCs w:val="32"/>
        </w:rPr>
        <w:t>万元。</w:t>
      </w:r>
      <w:r>
        <w:rPr>
          <w:rFonts w:hint="eastAsia" w:ascii="仿宋_GB2312" w:eastAsia="仿宋_GB2312"/>
          <w:sz w:val="32"/>
          <w:szCs w:val="32"/>
          <w:lang w:val="en-US" w:eastAsia="zh-CN"/>
        </w:rPr>
        <w:t>属新增决算单位</w:t>
      </w:r>
      <w:r>
        <w:rPr>
          <w:rFonts w:hint="eastAsia" w:ascii="仿宋_GB2312" w:eastAsia="仿宋_GB2312"/>
          <w:sz w:val="32"/>
          <w:szCs w:val="32"/>
          <w:lang w:eastAsia="zh-CN"/>
        </w:rPr>
        <w:t>。</w:t>
      </w:r>
    </w:p>
    <w:p>
      <w:pPr>
        <w:pageBreakBefore w:val="0"/>
        <w:kinsoku/>
        <w:wordWrap/>
        <w:overflowPunct/>
        <w:topLinePunct w:val="0"/>
        <w:autoSpaceDE/>
        <w:autoSpaceDN/>
        <w:bidi w:val="0"/>
        <w:spacing w:line="560" w:lineRule="exact"/>
        <w:ind w:firstLine="640" w:firstLineChars="200"/>
        <w:textAlignment w:val="auto"/>
        <w:outlineLvl w:val="1"/>
        <w:rPr>
          <w:rStyle w:val="26"/>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pStyle w:val="5"/>
        <w:pageBreakBefore w:val="0"/>
        <w:kinsoku/>
        <w:wordWrap/>
        <w:overflowPunct/>
        <w:topLinePunct w:val="0"/>
        <w:autoSpaceDE/>
        <w:autoSpaceDN/>
        <w:bidi w:val="0"/>
        <w:adjustRightInd w:val="0"/>
        <w:snapToGrid w:val="0"/>
        <w:spacing w:before="93" w:line="560" w:lineRule="exact"/>
        <w:ind w:firstLine="675" w:firstLineChars="210"/>
        <w:textAlignment w:val="auto"/>
        <w:outlineLvl w:val="2"/>
        <w:rPr>
          <w:rFonts w:hint="eastAsia" w:ascii="楷体_GB2312" w:hAnsi="楷体_GB2312" w:eastAsia="楷体_GB2312" w:cs="楷体_GB2312"/>
          <w:b/>
          <w:bCs w:val="0"/>
          <w:color w:val="000000"/>
          <w:sz w:val="32"/>
          <w:szCs w:val="32"/>
        </w:rPr>
      </w:pPr>
      <w:bookmarkStart w:id="34" w:name="_Toc15377210"/>
      <w:r>
        <w:rPr>
          <w:rFonts w:hint="eastAsia" w:ascii="楷体_GB2312" w:hAnsi="楷体_GB2312" w:eastAsia="楷体_GB2312" w:cs="楷体_GB2312"/>
          <w:b/>
          <w:bCs w:val="0"/>
          <w:color w:val="000000"/>
          <w:sz w:val="32"/>
          <w:szCs w:val="32"/>
        </w:rPr>
        <w:t>（一）一般公共预算财政拨款支出决算总体情况</w:t>
      </w:r>
      <w:bookmarkEnd w:id="34"/>
    </w:p>
    <w:p>
      <w:pPr>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2018年一般公共预算财政拨款支出</w:t>
      </w:r>
      <w:r>
        <w:rPr>
          <w:rFonts w:hint="eastAsia" w:ascii="仿宋_GB2312" w:eastAsia="仿宋_GB2312"/>
          <w:sz w:val="32"/>
          <w:szCs w:val="32"/>
          <w:lang w:val="en-US" w:eastAsia="zh-CN"/>
        </w:rPr>
        <w:t>145.57</w:t>
      </w:r>
      <w:r>
        <w:rPr>
          <w:rFonts w:hint="eastAsia" w:ascii="仿宋_GB2312" w:eastAsia="仿宋_GB2312"/>
          <w:sz w:val="32"/>
          <w:szCs w:val="32"/>
        </w:rPr>
        <w:t>万元，占本年支出合计的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val="en-US" w:eastAsia="zh-CN"/>
        </w:rPr>
        <w:t>属新增决算单位。</w:t>
      </w:r>
    </w:p>
    <w:p>
      <w:pPr>
        <w:pStyle w:val="5"/>
        <w:pageBreakBefore w:val="0"/>
        <w:kinsoku/>
        <w:wordWrap/>
        <w:overflowPunct/>
        <w:topLinePunct w:val="0"/>
        <w:autoSpaceDE/>
        <w:autoSpaceDN/>
        <w:bidi w:val="0"/>
        <w:adjustRightInd w:val="0"/>
        <w:snapToGrid w:val="0"/>
        <w:spacing w:before="93" w:line="560" w:lineRule="exact"/>
        <w:ind w:firstLine="675" w:firstLineChars="210"/>
        <w:textAlignment w:val="auto"/>
        <w:outlineLvl w:val="2"/>
        <w:rPr>
          <w:rFonts w:hint="eastAsia" w:ascii="楷体_GB2312" w:hAnsi="楷体_GB2312" w:eastAsia="楷体_GB2312" w:cs="楷体_GB2312"/>
          <w:b/>
          <w:bCs w:val="0"/>
          <w:color w:val="000000"/>
          <w:sz w:val="32"/>
          <w:szCs w:val="32"/>
        </w:rPr>
      </w:pPr>
      <w:bookmarkStart w:id="35" w:name="_Toc15377211"/>
      <w:r>
        <w:rPr>
          <w:rFonts w:hint="eastAsia" w:ascii="楷体_GB2312" w:hAnsi="楷体_GB2312" w:eastAsia="楷体_GB2312" w:cs="楷体_GB2312"/>
          <w:b/>
          <w:bCs w:val="0"/>
          <w:color w:val="000000"/>
          <w:sz w:val="32"/>
          <w:szCs w:val="32"/>
        </w:rPr>
        <w:t>（二）一般公共预算财政拨款支出决算结构情况</w:t>
      </w:r>
      <w:bookmarkEnd w:id="35"/>
    </w:p>
    <w:p>
      <w:pPr>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2018年一般公共预算财</w:t>
      </w:r>
      <w:r>
        <w:rPr>
          <w:rFonts w:hint="eastAsia" w:ascii="仿宋_GB2312" w:hAnsi="仿宋_GB2312" w:eastAsia="仿宋_GB2312" w:cs="仿宋_GB2312"/>
          <w:color w:val="000000" w:themeColor="text1"/>
          <w:sz w:val="32"/>
          <w:szCs w:val="32"/>
          <w14:textFill>
            <w14:solidFill>
              <w14:schemeClr w14:val="tx1"/>
            </w14:solidFill>
          </w14:textFill>
        </w:rPr>
        <w:t>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145.57</w:t>
      </w:r>
      <w:r>
        <w:rPr>
          <w:rFonts w:hint="eastAsia" w:ascii="仿宋_GB2312" w:hAnsi="仿宋_GB2312" w:eastAsia="仿宋_GB2312" w:cs="仿宋_GB2312"/>
          <w:color w:val="000000" w:themeColor="text1"/>
          <w:sz w:val="32"/>
          <w:szCs w:val="32"/>
          <w14:textFill>
            <w14:solidFill>
              <w14:schemeClr w14:val="tx1"/>
            </w14:solidFill>
          </w14:textFill>
        </w:rPr>
        <w:t>万元，主要用于以下方面:</w:t>
      </w:r>
      <w:r>
        <w:rPr>
          <w:rFonts w:hint="eastAsia" w:ascii="仿宋_GB2312" w:hAnsi="仿宋_GB2312" w:eastAsia="仿宋_GB2312" w:cs="仿宋_GB2312"/>
          <w:b/>
          <w:color w:val="000000" w:themeColor="text1"/>
          <w:sz w:val="32"/>
          <w:szCs w:val="32"/>
          <w14:textFill>
            <w14:solidFill>
              <w14:schemeClr w14:val="tx1"/>
            </w14:solidFill>
          </w14:textFill>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109.34</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75.11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教育支出（类）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科学技术（类）</w:t>
      </w:r>
      <w:r>
        <w:rPr>
          <w:rFonts w:hint="eastAsia" w:ascii="仿宋_GB2312" w:hAnsi="仿宋_GB2312" w:eastAsia="仿宋_GB2312" w:cs="仿宋_GB2312"/>
          <w:color w:val="000000" w:themeColor="text1"/>
          <w:sz w:val="32"/>
          <w:szCs w:val="32"/>
          <w14:textFill>
            <w14:solidFill>
              <w14:schemeClr w14:val="tx1"/>
            </w14:solidFill>
          </w14:textFill>
        </w:rPr>
        <w:t>支出0.00万元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社会保障和就业（类）</w:t>
      </w:r>
      <w:r>
        <w:rPr>
          <w:rFonts w:hint="eastAsia" w:ascii="仿宋_GB2312" w:hAnsi="仿宋_GB2312" w:eastAsia="仿宋_GB2312" w:cs="仿宋_GB2312"/>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18.93</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医疗卫生支出</w:t>
      </w:r>
      <w:r>
        <w:rPr>
          <w:rFonts w:hint="eastAsia" w:ascii="仿宋_GB2312" w:hAnsi="仿宋_GB2312" w:eastAsia="仿宋_GB2312" w:cs="仿宋_GB2312"/>
          <w:b/>
          <w:color w:val="000000" w:themeColor="text1"/>
          <w:sz w:val="32"/>
          <w:szCs w:val="32"/>
          <w:lang w:eastAsia="zh-CN"/>
          <w14:textFill>
            <w14:solidFill>
              <w14:schemeClr w14:val="tx1"/>
            </w14:solidFill>
          </w14:textFill>
        </w:rPr>
        <w:t>（类）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6.84</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4.70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住房保障支出</w:t>
      </w:r>
      <w:r>
        <w:rPr>
          <w:rFonts w:hint="eastAsia" w:ascii="仿宋_GB2312" w:hAnsi="仿宋_GB2312" w:eastAsia="仿宋_GB2312" w:cs="仿宋_GB2312"/>
          <w:b/>
          <w:color w:val="000000" w:themeColor="text1"/>
          <w:sz w:val="32"/>
          <w:szCs w:val="32"/>
          <w:lang w:eastAsia="zh-CN"/>
          <w14:textFill>
            <w14:solidFill>
              <w14:schemeClr w14:val="tx1"/>
            </w14:solidFill>
          </w14:textFill>
        </w:rPr>
        <w:t>（类）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10.46</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7.19</w:t>
      </w:r>
      <w:r>
        <w:rPr>
          <w:rFonts w:hint="eastAsia" w:ascii="仿宋_GB2312" w:hAnsi="仿宋_GB2312" w:eastAsia="仿宋_GB2312" w:cs="仿宋_GB2312"/>
          <w:color w:val="000000" w:themeColor="text1"/>
          <w:sz w:val="32"/>
          <w:szCs w:val="32"/>
          <w14:textFill>
            <w14:solidFill>
              <w14:schemeClr w14:val="tx1"/>
            </w14:solidFill>
          </w14:textFill>
        </w:rPr>
        <w:t>%。</w:t>
      </w:r>
    </w:p>
    <w:p>
      <w:pPr>
        <w:pageBreakBefore w:val="0"/>
        <w:kinsoku/>
        <w:wordWrap/>
        <w:overflowPunct/>
        <w:topLinePunct w:val="0"/>
        <w:autoSpaceDE/>
        <w:autoSpaceDN/>
        <w:bidi w:val="0"/>
        <w:spacing w:line="560" w:lineRule="exact"/>
        <w:jc w:val="left"/>
        <w:textAlignment w:val="auto"/>
        <w:rPr>
          <w:rFonts w:ascii="仿宋" w:hAnsi="仿宋" w:eastAsia="仿宋"/>
          <w:color w:val="000000"/>
          <w:sz w:val="32"/>
          <w:szCs w:val="32"/>
        </w:rPr>
      </w:pPr>
      <w:r>
        <w:rPr>
          <w:rFonts w:hint="eastAsia" w:ascii="仿宋" w:hAnsi="仿宋" w:eastAsia="仿宋"/>
          <w:b/>
          <w:color w:val="000000" w:themeColor="text1"/>
          <w:sz w:val="32"/>
          <w:szCs w:val="32"/>
          <w:lang w:eastAsia="zh-CN"/>
          <w14:textFill>
            <w14:solidFill>
              <w14:schemeClr w14:val="tx1"/>
            </w14:solidFill>
          </w14:textFill>
        </w:rPr>
        <w:drawing>
          <wp:anchor distT="0" distB="0" distL="114300" distR="114300" simplePos="0" relativeHeight="251665408" behindDoc="0" locked="0" layoutInCell="1" allowOverlap="1">
            <wp:simplePos x="0" y="0"/>
            <wp:positionH relativeFrom="column">
              <wp:posOffset>76200</wp:posOffset>
            </wp:positionH>
            <wp:positionV relativeFrom="paragraph">
              <wp:posOffset>123190</wp:posOffset>
            </wp:positionV>
            <wp:extent cx="4479290" cy="2252345"/>
            <wp:effectExtent l="4445" t="4445" r="12065" b="1016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000000"/>
          <w:sz w:val="32"/>
          <w:szCs w:val="32"/>
        </w:rPr>
        <w:t>（图6：一般公共预算财政拨款支出决算结构）</w:t>
      </w:r>
      <w:r>
        <w:rPr>
          <w:rFonts w:hint="eastAsia" w:ascii="仿宋" w:hAnsi="仿宋" w:eastAsia="仿宋"/>
          <w:color w:val="000000"/>
          <w:sz w:val="32"/>
          <w:szCs w:val="32"/>
          <w:lang w:eastAsia="zh-CN"/>
        </w:rPr>
        <w:t>（单位：万元）</w:t>
      </w:r>
    </w:p>
    <w:p>
      <w:pPr>
        <w:keepNext w:val="0"/>
        <w:keepLines w:val="0"/>
        <w:pageBreakBefore w:val="0"/>
        <w:kinsoku/>
        <w:wordWrap/>
        <w:overflowPunct/>
        <w:topLinePunct w:val="0"/>
        <w:bidi w:val="0"/>
        <w:snapToGrid/>
        <w:spacing w:line="560" w:lineRule="exact"/>
        <w:ind w:firstLine="643" w:firstLineChars="200"/>
        <w:textAlignment w:val="auto"/>
        <w:outlineLvl w:val="2"/>
        <w:rPr>
          <w:rFonts w:hint="eastAsia" w:ascii="楷体_GB2312" w:hAnsi="楷体_GB2312" w:eastAsia="楷体_GB2312" w:cs="楷体_GB2312"/>
          <w:b/>
          <w:color w:val="000000"/>
          <w:sz w:val="32"/>
          <w:szCs w:val="32"/>
        </w:rPr>
      </w:pPr>
      <w:bookmarkStart w:id="36" w:name="_Toc15377212"/>
      <w:r>
        <w:rPr>
          <w:rFonts w:hint="eastAsia" w:ascii="楷体_GB2312" w:hAnsi="楷体_GB2312" w:eastAsia="楷体_GB2312" w:cs="楷体_GB2312"/>
          <w:b/>
          <w:color w:val="000000"/>
          <w:sz w:val="32"/>
          <w:szCs w:val="32"/>
        </w:rPr>
        <w:t>（三）一般公共预算财政拨款支出决算具体情况</w:t>
      </w:r>
      <w:bookmarkEnd w:id="36"/>
    </w:p>
    <w:p>
      <w:pPr>
        <w:keepNext w:val="0"/>
        <w:keepLines w:val="0"/>
        <w:pageBreakBefore w:val="0"/>
        <w:kinsoku/>
        <w:wordWrap/>
        <w:overflowPunct/>
        <w:topLinePunct w:val="0"/>
        <w:bidi w:val="0"/>
        <w:snapToGrid/>
        <w:spacing w:line="560" w:lineRule="exact"/>
        <w:ind w:firstLine="643" w:firstLineChars="200"/>
        <w:textAlignment w:val="auto"/>
        <w:outlineLvl w:val="2"/>
        <w:rPr>
          <w:rFonts w:hint="eastAsia" w:ascii="仿宋_GB2312" w:hAnsi="仿宋_GB2312" w:eastAsia="仿宋_GB2312" w:cs="仿宋_GB2312"/>
          <w:color w:val="FF0000"/>
          <w:sz w:val="32"/>
          <w:szCs w:val="32"/>
        </w:rPr>
      </w:pPr>
      <w:bookmarkStart w:id="37" w:name="_Toc15377213"/>
      <w:bookmarkStart w:id="38" w:name="_Toc15378460"/>
      <w:bookmarkStart w:id="39" w:name="_Toc15377444"/>
      <w:r>
        <w:rPr>
          <w:rFonts w:hint="eastAsia" w:ascii="仿宋_GB2312" w:hAnsi="仿宋_GB2312" w:eastAsia="仿宋_GB2312" w:cs="仿宋_GB2312"/>
          <w:b/>
          <w:color w:val="000000" w:themeColor="text1"/>
          <w:sz w:val="32"/>
          <w:szCs w:val="32"/>
          <w14:textFill>
            <w14:solidFill>
              <w14:schemeClr w14:val="tx1"/>
            </w14:solidFill>
          </w14:textFill>
        </w:rPr>
        <w:t>2018年</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般公共预算支出决算数为</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145.57万元</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15"/>
          <w:rFonts w:hint="eastAsia" w:ascii="仿宋_GB2312" w:hAnsi="仿宋_GB2312" w:eastAsia="仿宋_GB2312" w:cs="仿宋_GB2312"/>
          <w:bCs/>
          <w:color w:val="000000" w:themeColor="text1"/>
          <w:sz w:val="32"/>
          <w:szCs w:val="32"/>
          <w14:textFill>
            <w14:solidFill>
              <w14:schemeClr w14:val="tx1"/>
            </w14:solidFill>
          </w14:textFill>
        </w:rPr>
        <w:t>完成</w:t>
      </w:r>
      <w:r>
        <w:rPr>
          <w:rStyle w:val="15"/>
          <w:rFonts w:hint="eastAsia" w:ascii="仿宋_GB2312" w:hAnsi="仿宋_GB2312" w:eastAsia="仿宋_GB2312" w:cs="仿宋_GB2312"/>
          <w:bCs/>
          <w:color w:val="000000"/>
          <w:sz w:val="32"/>
          <w:szCs w:val="32"/>
        </w:rPr>
        <w:t>预算</w:t>
      </w:r>
      <w:r>
        <w:rPr>
          <w:rStyle w:val="15"/>
          <w:rFonts w:hint="eastAsia" w:ascii="仿宋_GB2312" w:hAnsi="仿宋_GB2312" w:eastAsia="仿宋_GB2312" w:cs="仿宋_GB2312"/>
          <w:bCs/>
          <w:color w:val="000000"/>
          <w:sz w:val="32"/>
          <w:szCs w:val="32"/>
          <w:lang w:val="en-US" w:eastAsia="zh-CN"/>
        </w:rPr>
        <w:t>98.86</w:t>
      </w:r>
      <w:r>
        <w:rPr>
          <w:rStyle w:val="15"/>
          <w:rFonts w:hint="eastAsia" w:ascii="仿宋_GB2312" w:hAnsi="仿宋_GB2312" w:eastAsia="仿宋_GB2312" w:cs="仿宋_GB2312"/>
          <w:bCs/>
          <w:color w:val="000000"/>
          <w:sz w:val="32"/>
          <w:szCs w:val="32"/>
        </w:rPr>
        <w:t>%。其中：</w:t>
      </w:r>
      <w:bookmarkEnd w:id="37"/>
      <w:bookmarkEnd w:id="38"/>
      <w:bookmarkEnd w:id="39"/>
    </w:p>
    <w:p>
      <w:pPr>
        <w:keepNext w:val="0"/>
        <w:keepLines w:val="0"/>
        <w:pageBreakBefore w:val="0"/>
        <w:numPr>
          <w:ilvl w:val="0"/>
          <w:numId w:val="2"/>
        </w:numPr>
        <w:kinsoku/>
        <w:wordWrap/>
        <w:overflowPunct/>
        <w:topLinePunct w:val="0"/>
        <w:bidi w:val="0"/>
        <w:snapToGrid/>
        <w:spacing w:line="560" w:lineRule="exact"/>
        <w:ind w:firstLine="643"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一般公共服务（类）</w:t>
      </w:r>
      <w:r>
        <w:rPr>
          <w:rStyle w:val="15"/>
          <w:rFonts w:hint="eastAsia" w:ascii="仿宋_GB2312" w:hAnsi="仿宋_GB2312" w:eastAsia="仿宋_GB2312" w:cs="仿宋_GB2312"/>
          <w:bCs/>
          <w:color w:val="000000"/>
          <w:sz w:val="32"/>
          <w:szCs w:val="32"/>
          <w:lang w:eastAsia="zh-CN"/>
        </w:rPr>
        <w:t>组织事务</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eastAsia="zh-CN"/>
        </w:rPr>
        <w:t>事业运行</w:t>
      </w:r>
      <w:r>
        <w:rPr>
          <w:rStyle w:val="15"/>
          <w:rFonts w:hint="eastAsia" w:ascii="仿宋_GB2312" w:hAnsi="仿宋_GB2312" w:eastAsia="仿宋_GB2312" w:cs="仿宋_GB2312"/>
          <w:bCs/>
          <w:color w:val="000000"/>
          <w:sz w:val="32"/>
          <w:szCs w:val="32"/>
        </w:rPr>
        <w:t>（项）:</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109.34</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98.49</w:t>
      </w:r>
      <w:r>
        <w:rPr>
          <w:rStyle w:val="15"/>
          <w:rFonts w:hint="eastAsia" w:ascii="仿宋_GB2312" w:hAnsi="仿宋_GB2312" w:eastAsia="仿宋_GB2312" w:cs="仿宋_GB2312"/>
          <w:b w:val="0"/>
          <w:bCs/>
          <w:color w:val="000000"/>
          <w:sz w:val="32"/>
          <w:szCs w:val="32"/>
        </w:rPr>
        <w:t>%，决算数小于预算数的主要原因是</w:t>
      </w:r>
      <w:r>
        <w:rPr>
          <w:rStyle w:val="15"/>
          <w:rFonts w:hint="eastAsia" w:ascii="仿宋_GB2312" w:hAnsi="仿宋_GB2312" w:eastAsia="仿宋_GB2312" w:cs="仿宋_GB2312"/>
          <w:b w:val="0"/>
          <w:bCs/>
          <w:color w:val="000000"/>
          <w:sz w:val="32"/>
          <w:szCs w:val="32"/>
          <w:lang w:eastAsia="zh-CN"/>
        </w:rPr>
        <w:t>基本工资调标结转到</w:t>
      </w:r>
      <w:r>
        <w:rPr>
          <w:rStyle w:val="15"/>
          <w:rFonts w:hint="eastAsia" w:ascii="仿宋_GB2312" w:hAnsi="仿宋_GB2312" w:eastAsia="仿宋_GB2312" w:cs="仿宋_GB2312"/>
          <w:b w:val="0"/>
          <w:bCs/>
          <w:color w:val="000000"/>
          <w:sz w:val="32"/>
          <w:szCs w:val="32"/>
          <w:lang w:val="en-US" w:eastAsia="zh-CN"/>
        </w:rPr>
        <w:t>2018年支付</w:t>
      </w:r>
      <w:r>
        <w:rPr>
          <w:rStyle w:val="15"/>
          <w:rFonts w:hint="eastAsia" w:ascii="仿宋_GB2312" w:hAnsi="仿宋_GB2312" w:eastAsia="仿宋_GB2312" w:cs="仿宋_GB2312"/>
          <w:b w:val="0"/>
          <w:bCs/>
          <w:color w:val="000000"/>
          <w:sz w:val="32"/>
          <w:szCs w:val="32"/>
        </w:rPr>
        <w:t>。</w:t>
      </w:r>
    </w:p>
    <w:p>
      <w:pPr>
        <w:keepNext w:val="0"/>
        <w:keepLines w:val="0"/>
        <w:pageBreakBefore w:val="0"/>
        <w:kinsoku/>
        <w:wordWrap/>
        <w:overflowPunct/>
        <w:topLinePunct w:val="0"/>
        <w:bidi w:val="0"/>
        <w:snapToGrid/>
        <w:spacing w:line="560" w:lineRule="exact"/>
        <w:ind w:firstLine="643"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lang w:val="en-US" w:eastAsia="zh-CN"/>
        </w:rPr>
        <w:t>2</w:t>
      </w:r>
      <w:r>
        <w:rPr>
          <w:rStyle w:val="15"/>
          <w:rFonts w:hint="eastAsia" w:ascii="仿宋_GB2312" w:hAnsi="仿宋_GB2312" w:eastAsia="仿宋_GB2312" w:cs="仿宋_GB2312"/>
          <w:bCs/>
          <w:color w:val="000000"/>
          <w:sz w:val="32"/>
          <w:szCs w:val="32"/>
        </w:rPr>
        <w:t>.社会保障和就业（类）</w:t>
      </w:r>
      <w:r>
        <w:rPr>
          <w:rStyle w:val="15"/>
          <w:rFonts w:hint="eastAsia" w:ascii="仿宋_GB2312" w:hAnsi="仿宋_GB2312" w:eastAsia="仿宋_GB2312" w:cs="仿宋_GB2312"/>
          <w:bCs/>
          <w:color w:val="000000"/>
          <w:sz w:val="32"/>
          <w:szCs w:val="32"/>
          <w:lang w:eastAsia="zh-CN"/>
        </w:rPr>
        <w:t>行政事业单位离退休</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eastAsia="zh-CN"/>
        </w:rPr>
        <w:t>机关事业单位基本养老保险缴费支出</w:t>
      </w:r>
      <w:r>
        <w:rPr>
          <w:rStyle w:val="15"/>
          <w:rFonts w:hint="eastAsia" w:ascii="仿宋_GB2312" w:hAnsi="仿宋_GB2312" w:eastAsia="仿宋_GB2312" w:cs="仿宋_GB2312"/>
          <w:bCs/>
          <w:color w:val="000000"/>
          <w:sz w:val="32"/>
          <w:szCs w:val="32"/>
        </w:rPr>
        <w:t>（项）:</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13.52</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w:t>
      </w:r>
    </w:p>
    <w:p>
      <w:pPr>
        <w:keepNext w:val="0"/>
        <w:keepLines w:val="0"/>
        <w:pageBreakBefore w:val="0"/>
        <w:kinsoku/>
        <w:wordWrap/>
        <w:overflowPunct/>
        <w:topLinePunct w:val="0"/>
        <w:bidi w:val="0"/>
        <w:snapToGrid/>
        <w:spacing w:line="560" w:lineRule="exact"/>
        <w:ind w:firstLine="643"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社会保障和就业（类）</w:t>
      </w:r>
      <w:r>
        <w:rPr>
          <w:rStyle w:val="15"/>
          <w:rFonts w:hint="eastAsia" w:ascii="仿宋_GB2312" w:hAnsi="仿宋_GB2312" w:eastAsia="仿宋_GB2312" w:cs="仿宋_GB2312"/>
          <w:bCs/>
          <w:color w:val="000000"/>
          <w:sz w:val="32"/>
          <w:szCs w:val="32"/>
          <w:lang w:eastAsia="zh-CN"/>
        </w:rPr>
        <w:t>行政事业单位离退休</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eastAsia="zh-CN"/>
        </w:rPr>
        <w:t>机关事业单位职业年金缴费支出</w:t>
      </w:r>
      <w:r>
        <w:rPr>
          <w:rStyle w:val="15"/>
          <w:rFonts w:hint="eastAsia" w:ascii="仿宋_GB2312" w:hAnsi="仿宋_GB2312" w:eastAsia="仿宋_GB2312" w:cs="仿宋_GB2312"/>
          <w:bCs/>
          <w:color w:val="000000"/>
          <w:sz w:val="32"/>
          <w:szCs w:val="32"/>
        </w:rPr>
        <w:t>（项）:</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5.41</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w:t>
      </w:r>
    </w:p>
    <w:p>
      <w:pPr>
        <w:keepNext w:val="0"/>
        <w:keepLines w:val="0"/>
        <w:pageBreakBefore w:val="0"/>
        <w:kinsoku/>
        <w:wordWrap/>
        <w:overflowPunct/>
        <w:topLinePunct w:val="0"/>
        <w:bidi w:val="0"/>
        <w:snapToGrid/>
        <w:spacing w:line="560" w:lineRule="exact"/>
        <w:ind w:firstLine="643"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lang w:val="en-US" w:eastAsia="zh-CN"/>
        </w:rPr>
        <w:t>3</w:t>
      </w:r>
      <w:r>
        <w:rPr>
          <w:rStyle w:val="15"/>
          <w:rFonts w:hint="eastAsia" w:ascii="仿宋_GB2312" w:hAnsi="仿宋_GB2312" w:eastAsia="仿宋_GB2312" w:cs="仿宋_GB2312"/>
          <w:bCs/>
          <w:color w:val="000000"/>
          <w:sz w:val="32"/>
          <w:szCs w:val="32"/>
        </w:rPr>
        <w:t>.医疗卫生与计划生育（类）</w:t>
      </w:r>
      <w:r>
        <w:rPr>
          <w:rStyle w:val="15"/>
          <w:rFonts w:hint="eastAsia" w:ascii="仿宋_GB2312" w:hAnsi="仿宋_GB2312" w:eastAsia="仿宋_GB2312" w:cs="仿宋_GB2312"/>
          <w:bCs/>
          <w:color w:val="000000"/>
          <w:sz w:val="32"/>
          <w:szCs w:val="32"/>
          <w:lang w:eastAsia="zh-CN"/>
        </w:rPr>
        <w:t>行政事业单位医疗</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eastAsia="zh-CN"/>
        </w:rPr>
        <w:t>事业单位医疗</w:t>
      </w:r>
      <w:r>
        <w:rPr>
          <w:rStyle w:val="15"/>
          <w:rFonts w:hint="eastAsia" w:ascii="仿宋_GB2312" w:hAnsi="仿宋_GB2312" w:eastAsia="仿宋_GB2312" w:cs="仿宋_GB2312"/>
          <w:bCs/>
          <w:color w:val="000000"/>
          <w:sz w:val="32"/>
          <w:szCs w:val="32"/>
        </w:rPr>
        <w:t>（项）:</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5.60</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w:t>
      </w:r>
    </w:p>
    <w:p>
      <w:pPr>
        <w:keepNext w:val="0"/>
        <w:keepLines w:val="0"/>
        <w:pageBreakBefore w:val="0"/>
        <w:kinsoku/>
        <w:wordWrap/>
        <w:overflowPunct/>
        <w:topLinePunct w:val="0"/>
        <w:bidi w:val="0"/>
        <w:snapToGrid/>
        <w:spacing w:line="560" w:lineRule="exact"/>
        <w:ind w:firstLine="643"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医疗卫生与计划生育（类）</w:t>
      </w:r>
      <w:r>
        <w:rPr>
          <w:rStyle w:val="15"/>
          <w:rFonts w:hint="eastAsia" w:ascii="仿宋_GB2312" w:hAnsi="仿宋_GB2312" w:eastAsia="仿宋_GB2312" w:cs="仿宋_GB2312"/>
          <w:bCs/>
          <w:color w:val="000000"/>
          <w:sz w:val="32"/>
          <w:szCs w:val="32"/>
          <w:lang w:eastAsia="zh-CN"/>
        </w:rPr>
        <w:t>行政事业单位医疗</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eastAsia="zh-CN"/>
        </w:rPr>
        <w:t>其他行政事业单位医疗支出</w:t>
      </w:r>
      <w:r>
        <w:rPr>
          <w:rStyle w:val="15"/>
          <w:rFonts w:hint="eastAsia" w:ascii="仿宋_GB2312" w:hAnsi="仿宋_GB2312" w:eastAsia="仿宋_GB2312" w:cs="仿宋_GB2312"/>
          <w:bCs/>
          <w:color w:val="000000"/>
          <w:sz w:val="32"/>
          <w:szCs w:val="32"/>
        </w:rPr>
        <w:t>（项）:</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1.24</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w:t>
      </w:r>
    </w:p>
    <w:p>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lang w:val="en-US" w:eastAsia="zh-CN"/>
        </w:rPr>
        <w:t>4.</w:t>
      </w:r>
      <w:r>
        <w:rPr>
          <w:rStyle w:val="15"/>
          <w:rFonts w:hint="eastAsia" w:ascii="仿宋_GB2312" w:hAnsi="仿宋_GB2312" w:eastAsia="仿宋_GB2312" w:cs="仿宋_GB2312"/>
          <w:bCs/>
          <w:color w:val="000000"/>
          <w:sz w:val="32"/>
          <w:szCs w:val="32"/>
          <w:lang w:eastAsia="zh-CN"/>
        </w:rPr>
        <w:t>住房保障</w:t>
      </w:r>
      <w:r>
        <w:rPr>
          <w:rStyle w:val="15"/>
          <w:rFonts w:hint="eastAsia" w:ascii="仿宋_GB2312" w:hAnsi="仿宋_GB2312" w:eastAsia="仿宋_GB2312" w:cs="仿宋_GB2312"/>
          <w:bCs/>
          <w:color w:val="000000"/>
          <w:sz w:val="32"/>
          <w:szCs w:val="32"/>
        </w:rPr>
        <w:t>（类）</w:t>
      </w:r>
      <w:r>
        <w:rPr>
          <w:rStyle w:val="15"/>
          <w:rFonts w:hint="eastAsia" w:ascii="仿宋_GB2312" w:hAnsi="仿宋_GB2312" w:eastAsia="仿宋_GB2312" w:cs="仿宋_GB2312"/>
          <w:bCs/>
          <w:color w:val="000000"/>
          <w:sz w:val="32"/>
          <w:szCs w:val="32"/>
          <w:lang w:eastAsia="zh-CN"/>
        </w:rPr>
        <w:t>住房改革支出</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eastAsia="zh-CN"/>
        </w:rPr>
        <w:t>住房公积金</w:t>
      </w:r>
      <w:r>
        <w:rPr>
          <w:rStyle w:val="15"/>
          <w:rFonts w:hint="eastAsia" w:ascii="仿宋_GB2312" w:hAnsi="仿宋_GB2312" w:eastAsia="仿宋_GB2312" w:cs="仿宋_GB2312"/>
          <w:bCs/>
          <w:color w:val="000000"/>
          <w:sz w:val="32"/>
          <w:szCs w:val="32"/>
        </w:rPr>
        <w:t>（项）:</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10.46</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w:t>
      </w:r>
    </w:p>
    <w:p>
      <w:pPr>
        <w:keepNext w:val="0"/>
        <w:keepLines w:val="0"/>
        <w:pageBreakBefore w:val="0"/>
        <w:tabs>
          <w:tab w:val="right" w:pos="8306"/>
        </w:tabs>
        <w:kinsoku/>
        <w:wordWrap/>
        <w:overflowPunct/>
        <w:topLinePunct w:val="0"/>
        <w:bidi w:val="0"/>
        <w:snapToGrid/>
        <w:spacing w:line="560" w:lineRule="exact"/>
        <w:ind w:firstLine="640"/>
        <w:textAlignment w:val="auto"/>
        <w:outlineLvl w:val="1"/>
        <w:rPr>
          <w:rStyle w:val="26"/>
          <w:rFonts w:hint="eastAsia" w:ascii="仿宋_GB2312" w:hAnsi="仿宋_GB2312" w:eastAsia="仿宋_GB2312" w:cs="仿宋_GB2312"/>
        </w:rPr>
      </w:pPr>
      <w:bookmarkStart w:id="40" w:name="_Toc15377214"/>
      <w:bookmarkStart w:id="41" w:name="_Toc15396608"/>
      <w:r>
        <w:rPr>
          <w:rFonts w:hint="eastAsia" w:ascii="黑体" w:eastAsia="黑体"/>
          <w:color w:val="000000"/>
          <w:sz w:val="32"/>
          <w:szCs w:val="32"/>
        </w:rPr>
        <w:t>六、一般公共预算财政拨款基本支出决算情况说明</w:t>
      </w:r>
      <w:bookmarkEnd w:id="40"/>
      <w:bookmarkEnd w:id="41"/>
      <w:r>
        <w:rPr>
          <w:rStyle w:val="26"/>
          <w:rFonts w:hint="eastAsia" w:ascii="仿宋_GB2312" w:hAnsi="仿宋_GB2312" w:eastAsia="仿宋_GB2312" w:cs="仿宋_GB2312"/>
          <w:b w:val="0"/>
        </w:rPr>
        <w:tab/>
      </w:r>
    </w:p>
    <w:p>
      <w:pPr>
        <w:keepNext w:val="0"/>
        <w:keepLines w:val="0"/>
        <w:pageBreakBefore w:val="0"/>
        <w:kinsoku/>
        <w:wordWrap/>
        <w:overflowPunct/>
        <w:topLinePunct w:val="0"/>
        <w:bidi w:val="0"/>
        <w:snapToGrid/>
        <w:spacing w:line="560"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2018年一般公共预算财政拨款基本支出</w:t>
      </w:r>
      <w:r>
        <w:rPr>
          <w:rFonts w:hint="eastAsia" w:ascii="仿宋_GB2312" w:hAnsi="仿宋_GB2312" w:eastAsia="仿宋_GB2312" w:cs="仿宋_GB2312"/>
          <w:color w:val="000000"/>
          <w:sz w:val="32"/>
          <w:szCs w:val="32"/>
          <w:lang w:val="en-US" w:eastAsia="zh-CN"/>
        </w:rPr>
        <w:t>145.57</w:t>
      </w:r>
      <w:r>
        <w:rPr>
          <w:rFonts w:hint="eastAsia" w:ascii="仿宋_GB2312" w:hAnsi="仿宋_GB2312" w:eastAsia="仿宋_GB2312" w:cs="仿宋_GB2312"/>
          <w:color w:val="000000"/>
          <w:sz w:val="32"/>
          <w:szCs w:val="32"/>
        </w:rPr>
        <w:t>万元，其中：</w:t>
      </w:r>
    </w:p>
    <w:p>
      <w:pPr>
        <w:keepNext w:val="0"/>
        <w:keepLines w:val="0"/>
        <w:pageBreakBefore w:val="0"/>
        <w:kinsoku/>
        <w:wordWrap/>
        <w:overflowPunct/>
        <w:topLinePunct w:val="0"/>
        <w:bidi w:val="0"/>
        <w:snapToGrid/>
        <w:spacing w:line="560" w:lineRule="exact"/>
        <w:ind w:firstLine="645"/>
        <w:textAlignment w:val="auto"/>
        <w:rPr>
          <w:rFonts w:hint="eastAsia" w:ascii="仿宋_GB2312" w:hAnsi="仿宋_GB2312" w:eastAsia="仿宋_GB2312" w:cs="仿宋_GB2312"/>
          <w:b/>
          <w:color w:val="FF0000"/>
          <w:sz w:val="32"/>
          <w:szCs w:val="32"/>
          <w:lang w:eastAsia="zh-CN"/>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132.63</w:t>
      </w:r>
      <w:r>
        <w:rPr>
          <w:rFonts w:hint="eastAsia" w:ascii="仿宋_GB2312" w:hAnsi="仿宋_GB2312" w:eastAsia="仿宋_GB2312" w:cs="仿宋_GB2312"/>
          <w:color w:val="000000"/>
          <w:sz w:val="32"/>
          <w:szCs w:val="32"/>
        </w:rPr>
        <w:t>万元，主要包括：基本工资、津贴补贴、奖金、伙食补助费、</w:t>
      </w:r>
      <w:r>
        <w:rPr>
          <w:rFonts w:hint="eastAsia" w:ascii="仿宋_GB2312" w:hAnsi="仿宋_GB2312" w:eastAsia="仿宋_GB2312" w:cs="仿宋_GB2312"/>
          <w:color w:val="000000"/>
          <w:sz w:val="32"/>
          <w:szCs w:val="32"/>
          <w:lang w:eastAsia="zh-CN"/>
        </w:rPr>
        <w:t>绩效工资、</w:t>
      </w:r>
      <w:r>
        <w:rPr>
          <w:rFonts w:hint="eastAsia" w:ascii="仿宋_GB2312" w:hAnsi="仿宋_GB2312" w:eastAsia="仿宋_GB2312" w:cs="仿宋_GB2312"/>
          <w:color w:val="000000"/>
          <w:sz w:val="32"/>
          <w:szCs w:val="32"/>
        </w:rPr>
        <w:t>机关事业单位基本养老保险缴费、职业年金缴费、</w:t>
      </w:r>
      <w:r>
        <w:rPr>
          <w:rFonts w:hint="eastAsia" w:ascii="仿宋_GB2312" w:hAnsi="仿宋_GB2312" w:eastAsia="仿宋_GB2312" w:cs="仿宋_GB2312"/>
          <w:color w:val="000000"/>
          <w:sz w:val="32"/>
          <w:szCs w:val="32"/>
          <w:lang w:eastAsia="zh-CN"/>
        </w:rPr>
        <w:t>职工基本医疗保险缴费</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其他社会保障缴费、住房公积金。</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公用经费</w:t>
      </w:r>
      <w:r>
        <w:rPr>
          <w:rFonts w:hint="eastAsia" w:ascii="仿宋_GB2312" w:hAnsi="仿宋_GB2312" w:eastAsia="仿宋_GB2312" w:cs="仿宋_GB2312"/>
          <w:color w:val="000000"/>
          <w:sz w:val="32"/>
          <w:szCs w:val="32"/>
          <w:lang w:val="en-US" w:eastAsia="zh-CN"/>
        </w:rPr>
        <w:t>12.94</w:t>
      </w:r>
      <w:r>
        <w:rPr>
          <w:rFonts w:hint="eastAsia" w:ascii="仿宋_GB2312" w:hAnsi="仿宋_GB2312" w:eastAsia="仿宋_GB2312" w:cs="仿宋_GB2312"/>
          <w:color w:val="000000"/>
          <w:sz w:val="32"/>
          <w:szCs w:val="32"/>
        </w:rPr>
        <w:t>万元，主要包括：办公费、邮电费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差旅费、租赁费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福利费</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bidi w:val="0"/>
        <w:snapToGrid/>
        <w:spacing w:line="560" w:lineRule="exact"/>
        <w:ind w:firstLine="640"/>
        <w:textAlignment w:val="auto"/>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keepNext w:val="0"/>
        <w:keepLines w:val="0"/>
        <w:pageBreakBefore w:val="0"/>
        <w:kinsoku/>
        <w:wordWrap/>
        <w:overflowPunct/>
        <w:topLinePunct w:val="0"/>
        <w:bidi w:val="0"/>
        <w:snapToGrid/>
        <w:spacing w:line="560" w:lineRule="exact"/>
        <w:ind w:firstLine="640"/>
        <w:textAlignment w:val="auto"/>
        <w:outlineLvl w:val="2"/>
        <w:rPr>
          <w:rFonts w:hint="eastAsia" w:ascii="楷体_GB2312" w:hAnsi="楷体_GB2312" w:eastAsia="楷体_GB2312" w:cs="楷体_GB2312"/>
          <w:b/>
          <w:color w:val="000000"/>
          <w:sz w:val="32"/>
          <w:szCs w:val="32"/>
        </w:rPr>
      </w:pPr>
      <w:bookmarkStart w:id="44" w:name="_Toc15377216"/>
      <w:r>
        <w:rPr>
          <w:rFonts w:hint="eastAsia" w:ascii="楷体_GB2312" w:hAnsi="楷体_GB2312" w:eastAsia="楷体_GB2312" w:cs="楷体_GB2312"/>
          <w:b/>
          <w:color w:val="000000"/>
          <w:sz w:val="32"/>
          <w:szCs w:val="32"/>
        </w:rPr>
        <w:t>（一）“三公”经费财政拨款支出决算总体情况说明</w:t>
      </w:r>
      <w:bookmarkEnd w:id="44"/>
    </w:p>
    <w:p>
      <w:pPr>
        <w:keepNext w:val="0"/>
        <w:keepLines w:val="0"/>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2018年“三公”经费财政拨款支出决算为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kinsoku/>
        <w:wordWrap/>
        <w:overflowPunct/>
        <w:topLinePunct w:val="0"/>
        <w:bidi w:val="0"/>
        <w:snapToGrid/>
        <w:spacing w:line="560" w:lineRule="exact"/>
        <w:ind w:firstLine="640"/>
        <w:textAlignment w:val="auto"/>
        <w:outlineLvl w:val="2"/>
        <w:rPr>
          <w:rFonts w:hint="eastAsia" w:ascii="楷体_GB2312" w:hAnsi="楷体_GB2312" w:eastAsia="楷体_GB2312" w:cs="楷体_GB2312"/>
          <w:b/>
          <w:color w:val="000000"/>
          <w:sz w:val="32"/>
          <w:szCs w:val="32"/>
        </w:rPr>
      </w:pPr>
      <w:bookmarkStart w:id="45" w:name="_Toc15377217"/>
      <w:r>
        <w:rPr>
          <w:rFonts w:hint="eastAsia" w:ascii="楷体_GB2312" w:hAnsi="楷体_GB2312" w:eastAsia="楷体_GB2312" w:cs="楷体_GB2312"/>
          <w:b/>
          <w:color w:val="000000"/>
          <w:sz w:val="32"/>
          <w:szCs w:val="32"/>
        </w:rPr>
        <w:t>（二）“三公”经费财政拨款支出决算具体情况说明</w:t>
      </w:r>
      <w:bookmarkEnd w:id="45"/>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2018年“三公”经费财政拨款支出决算</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lang w:val="en-US" w:eastAsia="zh-CN"/>
        </w:rPr>
        <w:t>0元。</w:t>
      </w:r>
    </w:p>
    <w:p>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Style w:val="15"/>
          <w:rFonts w:hint="eastAsia" w:ascii="仿宋_GB2312" w:hAnsi="仿宋_GB2312" w:eastAsia="仿宋_GB2312" w:cs="仿宋_GB2312"/>
          <w:b w:val="0"/>
          <w:bCs/>
          <w:color w:val="000000"/>
          <w:sz w:val="32"/>
          <w:szCs w:val="32"/>
        </w:rPr>
        <w:t>。</w:t>
      </w:r>
    </w:p>
    <w:p>
      <w:pPr>
        <w:keepNext w:val="0"/>
        <w:keepLines w:val="0"/>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w:t>
      </w:r>
      <w:r>
        <w:rPr>
          <w:rFonts w:hint="eastAsia" w:ascii="仿宋_GB2312" w:hAnsi="仿宋_GB2312" w:eastAsia="仿宋_GB2312" w:cs="仿宋_GB2312"/>
          <w:b/>
          <w:color w:val="000000"/>
          <w:sz w:val="32"/>
          <w:szCs w:val="32"/>
          <w:lang w:eastAsia="zh-CN"/>
        </w:rPr>
        <w:t>公务</w:t>
      </w:r>
      <w:r>
        <w:rPr>
          <w:rFonts w:hint="eastAsia" w:ascii="仿宋_GB2312" w:hAnsi="仿宋_GB2312" w:eastAsia="仿宋_GB2312" w:cs="仿宋_GB2312"/>
          <w:b/>
          <w:color w:val="000000"/>
          <w:sz w:val="32"/>
          <w:szCs w:val="32"/>
        </w:rPr>
        <w:t>用车购置及运行维护费支出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kinsoku/>
        <w:wordWrap/>
        <w:overflowPunct/>
        <w:topLinePunct w:val="0"/>
        <w:bidi w:val="0"/>
        <w:snapToGrid/>
        <w:spacing w:line="560" w:lineRule="exact"/>
        <w:ind w:firstLine="640"/>
        <w:textAlignment w:val="auto"/>
        <w:outlineLvl w:val="1"/>
        <w:rPr>
          <w:rStyle w:val="26"/>
          <w:rFonts w:ascii="黑体" w:hAnsi="黑体" w:eastAsia="黑体"/>
        </w:rPr>
      </w:pPr>
      <w:bookmarkStart w:id="46" w:name="_Toc15396610"/>
      <w:bookmarkStart w:id="47" w:name="_Toc15377218"/>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keepNext w:val="0"/>
        <w:keepLines w:val="0"/>
        <w:pageBreakBefore w:val="0"/>
        <w:kinsoku/>
        <w:wordWrap/>
        <w:overflowPunct/>
        <w:topLinePunct w:val="0"/>
        <w:bidi w:val="0"/>
        <w:snapToGrid/>
        <w:spacing w:line="560" w:lineRule="exact"/>
        <w:ind w:firstLine="640"/>
        <w:textAlignment w:val="auto"/>
        <w:rPr>
          <w:rFonts w:hint="eastAsia" w:ascii="仿宋_GB2312" w:eastAsia="仿宋_GB2312"/>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keepNext w:val="0"/>
        <w:keepLines w:val="0"/>
        <w:pageBreakBefore w:val="0"/>
        <w:numPr>
          <w:ilvl w:val="0"/>
          <w:numId w:val="3"/>
        </w:numPr>
        <w:kinsoku/>
        <w:wordWrap/>
        <w:overflowPunct/>
        <w:topLinePunct w:val="0"/>
        <w:bidi w:val="0"/>
        <w:snapToGrid/>
        <w:spacing w:line="560" w:lineRule="exact"/>
        <w:ind w:firstLine="640"/>
        <w:textAlignment w:val="auto"/>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keepNext w:val="0"/>
        <w:keepLines w:val="0"/>
        <w:pageBreakBefore w:val="0"/>
        <w:kinsoku/>
        <w:wordWrap/>
        <w:overflowPunct/>
        <w:topLinePunct w:val="0"/>
        <w:bidi w:val="0"/>
        <w:snapToGrid/>
        <w:spacing w:line="560" w:lineRule="exact"/>
        <w:ind w:firstLine="640"/>
        <w:textAlignment w:val="auto"/>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24"/>
        <w:keepNext w:val="0"/>
        <w:keepLines w:val="0"/>
        <w:pageBreakBefore w:val="0"/>
        <w:numPr>
          <w:ilvl w:val="0"/>
          <w:numId w:val="4"/>
        </w:numPr>
        <w:kinsoku/>
        <w:wordWrap/>
        <w:overflowPunct/>
        <w:topLinePunct w:val="0"/>
        <w:bidi w:val="0"/>
        <w:snapToGrid/>
        <w:spacing w:line="560" w:lineRule="exact"/>
        <w:ind w:firstLineChars="0"/>
        <w:textAlignment w:val="auto"/>
        <w:rPr>
          <w:rStyle w:val="26"/>
          <w:rFonts w:ascii="黑体" w:hAnsi="黑体" w:eastAsia="黑体"/>
          <w:b w:val="0"/>
        </w:rPr>
      </w:pPr>
      <w:r>
        <w:rPr>
          <w:rStyle w:val="26"/>
          <w:rFonts w:hint="eastAsia" w:ascii="黑体" w:hAnsi="黑体" w:eastAsia="黑体"/>
          <w:b w:val="0"/>
        </w:rPr>
        <w:t>预算绩效情况说明</w:t>
      </w:r>
    </w:p>
    <w:p>
      <w:pPr>
        <w:keepNext w:val="0"/>
        <w:keepLines w:val="0"/>
        <w:pageBreakBefore w:val="0"/>
        <w:numPr>
          <w:ilvl w:val="0"/>
          <w:numId w:val="5"/>
        </w:numPr>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预算绩效管理工作开展情况</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根据预算绩效管理要求，本部门（单位）在年初预算编制阶段，</w:t>
      </w:r>
      <w:r>
        <w:rPr>
          <w:rFonts w:hint="eastAsia" w:ascii="仿宋_GB2312" w:hAnsi="仿宋_GB2312" w:eastAsia="仿宋_GB2312" w:cs="仿宋_GB2312"/>
          <w:sz w:val="32"/>
          <w:szCs w:val="32"/>
          <w:lang w:eastAsia="zh-CN"/>
        </w:rPr>
        <w:t>对经费支出开展了预算事前绩效评估，并编制了绩效目标，预算执行过程中开展绩效监控，年终执行完毕后，对支出开展了绩效目标完成情况梳理填报。</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本部门按要求对2018年部门整体支出开展绩效自评，从评价情况来看</w:t>
      </w:r>
      <w:r>
        <w:rPr>
          <w:rFonts w:hint="eastAsia" w:ascii="仿宋_GB2312" w:hAnsi="仿宋_GB2312" w:eastAsia="仿宋_GB2312" w:cs="仿宋_GB2312"/>
          <w:sz w:val="32"/>
          <w:szCs w:val="32"/>
          <w:lang w:eastAsia="zh-CN"/>
        </w:rPr>
        <w:t>，州委组织部干部个人事项查核和举报中心除需进一步提高预算编制准确度和预算执行进度外，绩效目标制定要素完整、程序规范，支出控制有力，部门整体支出绩效良好。</w:t>
      </w:r>
    </w:p>
    <w:p>
      <w:pPr>
        <w:keepNext w:val="0"/>
        <w:keepLines w:val="0"/>
        <w:pageBreakBefore w:val="0"/>
        <w:numPr>
          <w:ilvl w:val="0"/>
          <w:numId w:val="5"/>
        </w:numPr>
        <w:kinsoku/>
        <w:wordWrap/>
        <w:overflowPunct/>
        <w:topLinePunct w:val="0"/>
        <w:bidi w:val="0"/>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本部门在2018年度部门决算中</w:t>
      </w:r>
      <w:r>
        <w:rPr>
          <w:rFonts w:hint="eastAsia" w:ascii="仿宋_GB2312" w:hAnsi="仿宋_GB2312" w:eastAsia="仿宋_GB2312" w:cs="仿宋_GB2312"/>
          <w:sz w:val="32"/>
          <w:szCs w:val="32"/>
          <w:lang w:eastAsia="zh-CN"/>
        </w:rPr>
        <w:t>无项目支出。</w:t>
      </w:r>
      <w:r>
        <w:rPr>
          <w:rFonts w:hint="eastAsia" w:ascii="仿宋_GB2312" w:hAnsi="仿宋_GB2312" w:eastAsia="仿宋_GB2312" w:cs="仿宋_GB2312"/>
          <w:sz w:val="32"/>
          <w:szCs w:val="32"/>
        </w:rPr>
        <w:t xml:space="preserve">  </w:t>
      </w:r>
    </w:p>
    <w:p>
      <w:pPr>
        <w:keepNext w:val="0"/>
        <w:keepLines w:val="0"/>
        <w:pageBreakBefore w:val="0"/>
        <w:numPr>
          <w:ilvl w:val="0"/>
          <w:numId w:val="5"/>
        </w:numPr>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部门开展绩效评价结果</w:t>
      </w:r>
    </w:p>
    <w:p>
      <w:pPr>
        <w:keepNext w:val="0"/>
        <w:keepLines w:val="0"/>
        <w:pageBreakBefore w:val="0"/>
        <w:kinsoku/>
        <w:wordWrap/>
        <w:overflowPunct/>
        <w:topLinePunct w:val="0"/>
        <w:bidi w:val="0"/>
        <w:snapToGrid/>
        <w:spacing w:line="560" w:lineRule="exact"/>
        <w:ind w:firstLine="640" w:firstLineChars="200"/>
        <w:textAlignment w:val="auto"/>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本部门按要求对2018年部门整体支出绩效评价情况开展自评，《</w:t>
      </w:r>
      <w:r>
        <w:rPr>
          <w:rFonts w:hint="eastAsia" w:ascii="仿宋_GB2312" w:hAnsi="仿宋_GB2312" w:eastAsia="仿宋_GB2312" w:cs="仿宋_GB2312"/>
          <w:sz w:val="32"/>
          <w:szCs w:val="32"/>
          <w:lang w:eastAsia="zh-CN"/>
        </w:rPr>
        <w:t>州委组织部干部个人事项查核和举报中心</w:t>
      </w:r>
      <w:r>
        <w:rPr>
          <w:rFonts w:hint="eastAsia" w:ascii="仿宋_GB2312" w:hAnsi="仿宋_GB2312" w:eastAsia="仿宋_GB2312" w:cs="仿宋_GB2312"/>
          <w:sz w:val="32"/>
          <w:szCs w:val="32"/>
        </w:rPr>
        <w:t>2018年部门整体支出绩效评价报告》见附件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60" w:lineRule="exact"/>
        <w:ind w:firstLine="800" w:firstLineChars="250"/>
        <w:textAlignment w:val="auto"/>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一、</w:t>
      </w:r>
      <w:r>
        <w:rPr>
          <w:rStyle w:val="26"/>
          <w:rFonts w:hint="eastAsia" w:ascii="黑体" w:hAnsi="黑体" w:eastAsia="黑体"/>
          <w:b w:val="0"/>
        </w:rPr>
        <w:t>其他重要事项的情况说明</w:t>
      </w:r>
      <w:bookmarkEnd w:id="50"/>
      <w:bookmarkEnd w:id="51"/>
    </w:p>
    <w:p>
      <w:pPr>
        <w:keepNext w:val="0"/>
        <w:keepLines w:val="0"/>
        <w:pageBreakBefore w:val="0"/>
        <w:kinsoku/>
        <w:wordWrap/>
        <w:overflowPunct/>
        <w:topLinePunct w:val="0"/>
        <w:bidi w:val="0"/>
        <w:snapToGrid/>
        <w:spacing w:line="560" w:lineRule="exact"/>
        <w:ind w:firstLine="643" w:firstLineChars="200"/>
        <w:textAlignment w:val="auto"/>
        <w:outlineLvl w:val="2"/>
        <w:rPr>
          <w:rFonts w:hint="eastAsia" w:ascii="楷体_GB2312" w:hAnsi="楷体_GB2312" w:eastAsia="楷体_GB2312" w:cs="楷体_GB2312"/>
          <w:color w:val="000000"/>
          <w:sz w:val="32"/>
          <w:szCs w:val="32"/>
        </w:rPr>
      </w:pPr>
      <w:bookmarkStart w:id="52" w:name="_Toc15377222"/>
      <w:r>
        <w:rPr>
          <w:rFonts w:hint="eastAsia" w:ascii="楷体_GB2312" w:hAnsi="楷体_GB2312" w:eastAsia="楷体_GB2312" w:cs="楷体_GB2312"/>
          <w:b/>
          <w:color w:val="000000"/>
          <w:sz w:val="32"/>
          <w:szCs w:val="32"/>
        </w:rPr>
        <w:t>（一）机关运行经费支出情况</w:t>
      </w:r>
      <w:bookmarkEnd w:id="52"/>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b/>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中共阿坝州委组织部</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hAnsi="仿宋" w:eastAsia="仿宋_GB2312"/>
          <w:color w:val="00000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color w:val="000000"/>
          <w:sz w:val="32"/>
          <w:szCs w:val="32"/>
        </w:rPr>
      </w:pPr>
      <w:bookmarkStart w:id="53" w:name="_Toc15377223"/>
      <w:r>
        <w:rPr>
          <w:rFonts w:hint="eastAsia" w:ascii="楷体_GB2312" w:hAnsi="楷体_GB2312" w:eastAsia="楷体_GB2312" w:cs="楷体_GB2312"/>
          <w:b/>
          <w:color w:val="000000"/>
          <w:sz w:val="32"/>
          <w:szCs w:val="32"/>
        </w:rPr>
        <w:t>（二）政府采购支出情况</w:t>
      </w:r>
      <w:bookmarkEnd w:id="53"/>
    </w:p>
    <w:p>
      <w:pPr>
        <w:pStyle w:val="12"/>
        <w:keepNext w:val="0"/>
        <w:keepLines w:val="0"/>
        <w:pageBreakBefore w:val="0"/>
        <w:widowControl/>
        <w:suppressLineNumbers w:val="0"/>
        <w:kinsoku/>
        <w:wordWrap/>
        <w:overflowPunct/>
        <w:topLinePunct w:val="0"/>
        <w:bidi w:val="0"/>
        <w:snapToGrid/>
        <w:spacing w:before="0" w:beforeAutospacing="0" w:after="150" w:afterAutospacing="0" w:line="560" w:lineRule="exact"/>
        <w:ind w:right="45"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政府采购支出为</w:t>
      </w:r>
      <w:r>
        <w:rPr>
          <w:rFonts w:hint="eastAsia" w:ascii="仿宋_GB2312" w:eastAsia="仿宋_GB2312"/>
          <w:color w:val="000000"/>
          <w:sz w:val="32"/>
          <w:szCs w:val="32"/>
          <w:lang w:val="en-US" w:eastAsia="zh-CN"/>
        </w:rPr>
        <w:t>0元</w:t>
      </w:r>
      <w:r>
        <w:rPr>
          <w:rFonts w:hint="eastAsia" w:ascii="仿宋_GB2312" w:eastAsia="仿宋_GB2312"/>
          <w:color w:val="00000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color w:val="000000"/>
          <w:sz w:val="32"/>
          <w:szCs w:val="32"/>
        </w:rPr>
      </w:pPr>
      <w:bookmarkStart w:id="54" w:name="_Toc15377224"/>
      <w:r>
        <w:rPr>
          <w:rFonts w:hint="eastAsia" w:ascii="楷体_GB2312" w:hAnsi="楷体_GB2312" w:eastAsia="楷体_GB2312" w:cs="楷体_GB2312"/>
          <w:b/>
          <w:color w:val="000000"/>
          <w:sz w:val="32"/>
          <w:szCs w:val="32"/>
        </w:rPr>
        <w:t>（三）国有资产占有使用情况</w:t>
      </w:r>
      <w:bookmarkEnd w:id="54"/>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hAnsi="仿宋_GB2312" w:eastAsia="仿宋_GB2312" w:cs="仿宋_GB2312"/>
          <w:sz w:val="32"/>
          <w:szCs w:val="32"/>
          <w:lang w:eastAsia="zh-CN"/>
        </w:rPr>
        <w:t>州委组织部干部个人事项查核和举报中心无固定资产</w:t>
      </w:r>
      <w:r>
        <w:rPr>
          <w:rFonts w:hint="eastAsia" w:ascii="仿宋_GB2312" w:eastAsia="仿宋_GB2312"/>
          <w:color w:val="000000"/>
          <w:sz w:val="32"/>
          <w:szCs w:val="32"/>
          <w:lang w:eastAsia="zh-CN"/>
        </w:rPr>
        <w:t>。</w:t>
      </w:r>
      <w:r>
        <w:rPr>
          <w:rFonts w:hint="eastAsia" w:ascii="仿宋_GB2312" w:hAnsi="仿宋" w:eastAsia="仿宋_GB2312"/>
          <w:sz w:val="32"/>
          <w:szCs w:val="32"/>
          <w:lang w:eastAsia="zh-CN"/>
        </w:rPr>
        <w:t>原因为</w:t>
      </w:r>
      <w:r>
        <w:rPr>
          <w:rFonts w:hint="eastAsia" w:ascii="仿宋_GB2312" w:hAnsi="仿宋_GB2312" w:eastAsia="仿宋_GB2312" w:cs="仿宋_GB2312"/>
          <w:sz w:val="32"/>
          <w:szCs w:val="32"/>
          <w:lang w:eastAsia="zh-CN"/>
        </w:rPr>
        <w:t>州委组织部干部个人事项查核和举报中心</w:t>
      </w:r>
      <w:r>
        <w:rPr>
          <w:rFonts w:hint="eastAsia" w:ascii="仿宋_GB2312" w:hAnsi="仿宋" w:eastAsia="仿宋_GB2312"/>
          <w:sz w:val="32"/>
          <w:szCs w:val="32"/>
          <w:lang w:eastAsia="zh-CN"/>
        </w:rPr>
        <w:t>是中共阿坝州委组织部</w:t>
      </w:r>
      <w:r>
        <w:rPr>
          <w:rFonts w:hint="eastAsia" w:ascii="仿宋_GB2312" w:hAnsi="仿宋" w:eastAsia="仿宋_GB2312"/>
          <w:sz w:val="32"/>
          <w:szCs w:val="32"/>
        </w:rPr>
        <w:t>下属事业单位，办公地点和人员与</w:t>
      </w:r>
      <w:r>
        <w:rPr>
          <w:rFonts w:hint="eastAsia" w:ascii="仿宋_GB2312" w:hAnsi="仿宋" w:eastAsia="仿宋_GB2312"/>
          <w:sz w:val="32"/>
          <w:szCs w:val="32"/>
          <w:lang w:eastAsia="zh-CN"/>
        </w:rPr>
        <w:t>部机关</w:t>
      </w:r>
      <w:r>
        <w:rPr>
          <w:rFonts w:hint="eastAsia" w:ascii="仿宋_GB2312" w:hAnsi="仿宋" w:eastAsia="仿宋_GB2312"/>
          <w:sz w:val="32"/>
          <w:szCs w:val="32"/>
        </w:rPr>
        <w:t>在一起，资产未单独核算和管理。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sz w:val="32"/>
          <w:szCs w:val="32"/>
        </w:rPr>
      </w:pPr>
    </w:p>
    <w:p>
      <w:pPr>
        <w:numPr>
          <w:ilvl w:val="0"/>
          <w:numId w:val="6"/>
        </w:numPr>
        <w:spacing w:line="600" w:lineRule="exact"/>
        <w:ind w:firstLine="663"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FF"/>
          <w:sz w:val="32"/>
          <w:szCs w:val="32"/>
        </w:rPr>
      </w:pPr>
      <w:r>
        <w:rPr>
          <w:rFonts w:hint="eastAsia" w:ascii="仿宋_GB2312" w:hAnsi="Calibri" w:eastAsia="仿宋_GB2312" w:cs="仿宋"/>
          <w:color w:val="000000"/>
          <w:kern w:val="0"/>
          <w:sz w:val="32"/>
          <w:szCs w:val="32"/>
          <w:lang w:val="en-US" w:eastAsia="zh-CN" w:bidi="ar-SA"/>
        </w:rPr>
        <w:t>9.一般公共服务（类）组织事务（款）事业运行（项）：</w:t>
      </w:r>
      <w:r>
        <w:rPr>
          <w:rFonts w:hint="eastAsia" w:ascii="仿宋_GB2312" w:eastAsia="仿宋_GB2312"/>
          <w:color w:val="000000"/>
          <w:sz w:val="32"/>
          <w:szCs w:val="32"/>
        </w:rPr>
        <w:t>指</w:t>
      </w:r>
      <w:r>
        <w:rPr>
          <w:rFonts w:hint="eastAsia" w:ascii="仿宋_GB2312" w:hAnsi="仿宋_GB2312" w:eastAsia="仿宋_GB2312" w:cs="仿宋_GB2312"/>
          <w:sz w:val="32"/>
          <w:szCs w:val="32"/>
          <w:lang w:eastAsia="zh-CN"/>
        </w:rPr>
        <w:t>州委组织部干部个人事项查核和举报中心</w:t>
      </w:r>
      <w:r>
        <w:rPr>
          <w:rFonts w:hint="eastAsia" w:ascii="仿宋_GB2312" w:eastAsia="仿宋_GB2312"/>
          <w:color w:val="000000"/>
          <w:sz w:val="32"/>
          <w:szCs w:val="32"/>
        </w:rPr>
        <w:t>的基本支出</w:t>
      </w:r>
      <w:r>
        <w:rPr>
          <w:rFonts w:hint="eastAsia" w:ascii="仿宋_GB2312" w:eastAsia="仿宋_GB2312"/>
          <w:color w:val="0000FF"/>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.社会保障和就业（类）行政事业单位离退休（款）机关事业单位基本养老保险缴费支出（项）：</w:t>
      </w:r>
      <w:r>
        <w:rPr>
          <w:rFonts w:hint="eastAsia" w:ascii="仿宋_GB2312" w:eastAsia="仿宋_GB2312"/>
          <w:color w:val="000000"/>
          <w:sz w:val="32"/>
          <w:szCs w:val="32"/>
          <w:lang w:eastAsia="zh-CN"/>
        </w:rPr>
        <w:t>指</w:t>
      </w:r>
      <w:r>
        <w:rPr>
          <w:rFonts w:hint="eastAsia" w:ascii="仿宋_GB2312" w:eastAsia="仿宋_GB2312"/>
          <w:color w:val="000000"/>
          <w:sz w:val="32"/>
          <w:szCs w:val="32"/>
        </w:rPr>
        <w:t>机关事业单位实施养老保险制度由单位缴纳的基本养老保险费支出。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社会保障和就业（类）行政事业单位离退休（款）机关事业单位职业年金缴费支出（项）：</w:t>
      </w:r>
      <w:r>
        <w:rPr>
          <w:rFonts w:hint="eastAsia" w:ascii="仿宋_GB2312" w:eastAsia="仿宋_GB2312"/>
          <w:color w:val="000000"/>
          <w:sz w:val="32"/>
          <w:szCs w:val="32"/>
          <w:lang w:eastAsia="zh-CN"/>
        </w:rPr>
        <w:t>指</w:t>
      </w:r>
      <w:r>
        <w:rPr>
          <w:rFonts w:hint="eastAsia" w:ascii="仿宋_GB2312" w:eastAsia="仿宋_GB2312"/>
          <w:color w:val="000000"/>
          <w:sz w:val="32"/>
          <w:szCs w:val="32"/>
        </w:rPr>
        <w:t>机关事业单位实施养老保险制度由单位缴纳的职业年金支出。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 社会保障和就业（类）其他社会保障和就业支出（款）其他社会保障和就业支出（项）：</w:t>
      </w:r>
      <w:r>
        <w:rPr>
          <w:rFonts w:hint="eastAsia" w:ascii="仿宋_GB2312" w:eastAsia="仿宋_GB2312"/>
          <w:color w:val="000000"/>
          <w:sz w:val="32"/>
          <w:szCs w:val="32"/>
          <w:lang w:eastAsia="zh-CN"/>
        </w:rPr>
        <w:t>指</w:t>
      </w:r>
      <w:r>
        <w:rPr>
          <w:rFonts w:hint="eastAsia" w:ascii="仿宋_GB2312" w:eastAsia="仿宋_GB2312"/>
          <w:color w:val="000000"/>
          <w:sz w:val="32"/>
          <w:szCs w:val="32"/>
        </w:rPr>
        <w:t>上述项目以外其他用于社会保障和就业方面的支出。</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.医疗卫生与计划生育（类）行政事业单位医疗（款）</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单位医疗（项）：指由</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单位缴纳的医疗保险费支出</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 医疗卫生与计划生育（类）行政事业单位医疗（款）</w:t>
      </w:r>
      <w:r>
        <w:rPr>
          <w:rFonts w:hint="eastAsia" w:ascii="仿宋_GB2312" w:eastAsia="仿宋_GB2312"/>
          <w:color w:val="auto"/>
          <w:sz w:val="32"/>
          <w:szCs w:val="32"/>
          <w:lang w:eastAsia="zh-CN"/>
        </w:rPr>
        <w:t>其他行政事业单位医疗支出</w:t>
      </w:r>
      <w:r>
        <w:rPr>
          <w:rFonts w:hint="eastAsia" w:ascii="仿宋_GB2312" w:eastAsia="仿宋_GB2312"/>
          <w:color w:val="auto"/>
          <w:sz w:val="32"/>
          <w:szCs w:val="32"/>
        </w:rPr>
        <w:t>（项）：指由</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单位缴纳的</w:t>
      </w:r>
      <w:r>
        <w:rPr>
          <w:rFonts w:hint="eastAsia" w:ascii="仿宋_GB2312" w:eastAsia="仿宋_GB2312"/>
          <w:color w:val="auto"/>
          <w:sz w:val="32"/>
          <w:szCs w:val="32"/>
          <w:lang w:eastAsia="zh-CN"/>
        </w:rPr>
        <w:t>机关事业单位补充医保</w:t>
      </w:r>
      <w:r>
        <w:rPr>
          <w:rFonts w:hint="eastAsia" w:ascii="仿宋_GB2312" w:eastAsia="仿宋_GB2312"/>
          <w:color w:val="auto"/>
          <w:sz w:val="32"/>
          <w:szCs w:val="32"/>
        </w:rPr>
        <w:t>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 住房保障（类）住房改革支出（款）住房公积金（项）：</w:t>
      </w:r>
      <w:r>
        <w:rPr>
          <w:rFonts w:hint="eastAsia" w:ascii="仿宋_GB2312" w:eastAsia="仿宋_GB2312"/>
          <w:color w:val="000000"/>
          <w:sz w:val="32"/>
          <w:szCs w:val="32"/>
          <w:lang w:eastAsia="zh-CN"/>
        </w:rPr>
        <w:t>指</w:t>
      </w:r>
      <w:r>
        <w:rPr>
          <w:rFonts w:hint="eastAsia" w:ascii="仿宋_GB2312" w:eastAsia="仿宋_GB2312"/>
          <w:color w:val="000000"/>
          <w:sz w:val="32"/>
          <w:szCs w:val="32"/>
        </w:rPr>
        <w:t>行政事业单位按人力资源和社会保障部、财政部规定的基本工资和津贴补贴以及规定比例为职工缴纳的住房公积金。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.项目支出：指在基本支出之外为完成特定行政任务和事业发展目标所发生的支出。 </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rPr>
          <w:rFonts w:hint="eastAsia" w:ascii="仿宋_GB2312" w:eastAsia="仿宋_GB2312"/>
          <w:b/>
          <w:color w:val="000000"/>
          <w:sz w:val="32"/>
          <w:szCs w:val="32"/>
        </w:rPr>
      </w:pPr>
    </w:p>
    <w:p>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center"/>
        <w:outlineLvl w:val="0"/>
        <w:rPr>
          <w:rStyle w:val="25"/>
        </w:rPr>
      </w:pPr>
    </w:p>
    <w:p>
      <w:pPr>
        <w:pStyle w:val="3"/>
        <w:rPr>
          <w:rStyle w:val="25"/>
          <w:rFonts w:ascii="仿宋" w:hAnsi="仿宋" w:eastAsia="仿宋"/>
          <w:b w:val="0"/>
          <w:bCs w:val="0"/>
          <w:sz w:val="32"/>
          <w:szCs w:val="32"/>
        </w:rPr>
      </w:pPr>
      <w:bookmarkStart w:id="59" w:name="_Toc15396615"/>
      <w:r>
        <w:rPr>
          <w:rStyle w:val="25"/>
          <w:rFonts w:hint="eastAsia" w:ascii="仿宋" w:hAnsi="仿宋" w:eastAsia="仿宋"/>
          <w:b w:val="0"/>
          <w:bCs w:val="0"/>
          <w:sz w:val="32"/>
          <w:szCs w:val="32"/>
        </w:rPr>
        <w:t>附件1</w:t>
      </w:r>
      <w:bookmarkEnd w:id="59"/>
    </w:p>
    <w:p>
      <w:pPr>
        <w:spacing w:line="600" w:lineRule="exact"/>
        <w:jc w:val="center"/>
        <w:outlineLvl w:val="0"/>
        <w:rPr>
          <w:rFonts w:hint="eastAsia" w:ascii="方正小标宋简体" w:hAnsi="方正小标宋简体" w:eastAsia="方正小标宋简体" w:cs="方正小标宋简体"/>
          <w:sz w:val="44"/>
          <w:szCs w:val="44"/>
          <w:lang w:eastAsia="zh-CN"/>
        </w:rPr>
      </w:pPr>
      <w:bookmarkStart w:id="60" w:name="_Toc15396616"/>
      <w:r>
        <w:rPr>
          <w:rFonts w:hint="eastAsia" w:ascii="方正小标宋简体" w:hAnsi="方正小标宋简体" w:eastAsia="方正小标宋简体" w:cs="方正小标宋简体"/>
          <w:sz w:val="44"/>
          <w:szCs w:val="44"/>
          <w:lang w:eastAsia="zh-CN"/>
        </w:rPr>
        <w:t>州委组织部干部个人事项查核和举报中心</w:t>
      </w:r>
    </w:p>
    <w:p>
      <w:pPr>
        <w:spacing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2018年部门整体支出绩效评价报告</w:t>
      </w:r>
      <w:bookmarkEnd w:id="60"/>
    </w:p>
    <w:p>
      <w:pPr>
        <w:spacing w:line="580" w:lineRule="exact"/>
        <w:ind w:firstLine="640" w:firstLineChars="200"/>
        <w:rPr>
          <w:rFonts w:ascii="黑体" w:hAnsi="黑体" w:eastAsia="黑体" w:cs="黑体"/>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一、部门（单位）概况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（一）机构组成。</w:t>
      </w:r>
      <w:r>
        <w:rPr>
          <w:rFonts w:hint="eastAsia" w:ascii="仿宋_GB2312" w:hAnsi="仿宋_GB2312" w:eastAsia="仿宋_GB2312" w:cs="仿宋_GB2312"/>
          <w:sz w:val="32"/>
          <w:szCs w:val="32"/>
          <w:lang w:eastAsia="zh-CN"/>
        </w:rPr>
        <w:t>州委组织部干部个人事项查核和举报中心属中共阿坝</w:t>
      </w:r>
      <w:r>
        <w:rPr>
          <w:rFonts w:hint="eastAsia" w:ascii="仿宋_GB2312" w:hAnsi="仿宋_GB2312" w:eastAsia="仿宋_GB2312" w:cs="仿宋_GB2312"/>
          <w:kern w:val="2"/>
          <w:sz w:val="32"/>
          <w:szCs w:val="32"/>
          <w:lang w:val="en-US" w:eastAsia="zh-CN" w:bidi="ar-SA"/>
        </w:rPr>
        <w:t>州委组织部下属事业单位，共核事业编制10名。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（二）机构职能。</w:t>
      </w:r>
      <w:r>
        <w:rPr>
          <w:rFonts w:hint="eastAsia" w:ascii="仿宋_GB2312" w:hAnsi="仿宋_GB2312" w:eastAsia="仿宋_GB2312" w:cs="仿宋_GB2312"/>
          <w:sz w:val="32"/>
          <w:szCs w:val="32"/>
          <w:lang w:eastAsia="zh-CN"/>
        </w:rPr>
        <w:t>承担全州涉组涉干举报信息的登记、受理、转办等工作，对州管党政领导班子和领导干部的监督、领导干部个人事项查核等职能职责。</w:t>
      </w:r>
    </w:p>
    <w:p>
      <w:pPr>
        <w:pStyle w:val="12"/>
        <w:keepNext w:val="0"/>
        <w:keepLines w:val="0"/>
        <w:pageBreakBefore w:val="0"/>
        <w:widowControl/>
        <w:suppressLineNumbers w:val="0"/>
        <w:kinsoku/>
        <w:wordWrap/>
        <w:overflowPunct/>
        <w:topLinePunct w:val="0"/>
        <w:autoSpaceDE/>
        <w:autoSpaceDN/>
        <w:bidi w:val="0"/>
        <w:adjustRightInd/>
        <w:spacing w:before="0" w:beforeAutospacing="0" w:after="150" w:afterAutospacing="0" w:line="560" w:lineRule="exact"/>
        <w:ind w:left="45" w:right="45"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（三）人员概况。</w:t>
      </w:r>
      <w:r>
        <w:rPr>
          <w:rFonts w:hint="eastAsia" w:ascii="仿宋_GB2312" w:hAnsi="仿宋_GB2312" w:eastAsia="仿宋_GB2312" w:cs="仿宋_GB2312"/>
          <w:kern w:val="2"/>
          <w:sz w:val="32"/>
          <w:szCs w:val="32"/>
          <w:lang w:val="en-US" w:eastAsia="zh-CN" w:bidi="ar-SA"/>
        </w:rPr>
        <w:t>截止2018年12月31日，州委组织部干部个人事项查核和举报中心实有在职人员9人。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sz w:val="32"/>
          <w:szCs w:val="32"/>
        </w:rPr>
      </w:pPr>
      <w:r>
        <w:rPr>
          <w:rFonts w:ascii="黑体" w:hAnsi="黑体" w:eastAsia="黑体" w:cs="黑体"/>
          <w:sz w:val="32"/>
          <w:szCs w:val="32"/>
        </w:rPr>
        <w:t>二、部门财政资金收支情况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（一）部门财政资金收入情况。</w:t>
      </w:r>
      <w:r>
        <w:rPr>
          <w:rFonts w:hint="eastAsia" w:ascii="仿宋_GB2312" w:hAnsi="仿宋_GB2312" w:eastAsia="仿宋_GB2312" w:cs="仿宋_GB2312"/>
          <w:color w:val="000000"/>
          <w:sz w:val="32"/>
          <w:szCs w:val="32"/>
        </w:rPr>
        <w:t>2018年本年收入合计</w:t>
      </w:r>
      <w:r>
        <w:rPr>
          <w:rFonts w:hint="eastAsia" w:ascii="仿宋_GB2312" w:hAnsi="仿宋_GB2312" w:eastAsia="仿宋_GB2312" w:cs="仿宋_GB2312"/>
          <w:color w:val="000000"/>
          <w:sz w:val="32"/>
          <w:szCs w:val="32"/>
          <w:lang w:val="en-US" w:eastAsia="zh-CN"/>
        </w:rPr>
        <w:t>147.25</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147.25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占比100%</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（二）部门财政资金支出情况。</w:t>
      </w:r>
      <w:r>
        <w:rPr>
          <w:rFonts w:hint="eastAsia" w:ascii="仿宋_GB2312" w:hAnsi="仿宋_GB2312" w:eastAsia="仿宋_GB2312" w:cs="仿宋_GB2312"/>
          <w:color w:val="000000"/>
          <w:sz w:val="32"/>
          <w:szCs w:val="32"/>
        </w:rPr>
        <w:t>2018年本年支出合计</w:t>
      </w:r>
      <w:r>
        <w:rPr>
          <w:rFonts w:hint="eastAsia" w:ascii="仿宋_GB2312" w:hAnsi="仿宋_GB2312" w:eastAsia="仿宋_GB2312" w:cs="仿宋_GB2312"/>
          <w:color w:val="000000"/>
          <w:sz w:val="32"/>
          <w:szCs w:val="32"/>
          <w:lang w:val="en-US" w:eastAsia="zh-CN"/>
        </w:rPr>
        <w:t>145.57</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145.57</w:t>
      </w:r>
      <w:r>
        <w:rPr>
          <w:rFonts w:hint="eastAsia" w:ascii="仿宋_GB2312" w:hAnsi="仿宋_GB2312" w:eastAsia="仿宋_GB2312" w:cs="仿宋_GB2312"/>
          <w:color w:val="000000"/>
          <w:sz w:val="32"/>
          <w:szCs w:val="32"/>
        </w:rPr>
        <w:t>万元；项目支出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sz w:val="32"/>
          <w:szCs w:val="32"/>
          <w:highlight w:val="none"/>
        </w:rPr>
      </w:pPr>
      <w:r>
        <w:rPr>
          <w:rFonts w:ascii="黑体" w:hAnsi="黑体" w:eastAsia="黑体" w:cs="黑体"/>
          <w:color w:val="auto"/>
          <w:sz w:val="32"/>
          <w:szCs w:val="32"/>
          <w:highlight w:val="none"/>
        </w:rPr>
        <w:t>三、部门整体预算绩效管理情况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（一）部门预算管理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1.预算编制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_GB2312" w:hAnsi="仿宋_GB2312" w:eastAsia="仿宋_GB2312" w:cs="仿宋_GB2312"/>
          <w:sz w:val="32"/>
          <w:szCs w:val="32"/>
          <w:lang w:val="en-US" w:eastAsia="zh-CN"/>
        </w:rPr>
        <w:t>（1）目标制定。2018年，</w:t>
      </w:r>
      <w:r>
        <w:rPr>
          <w:rFonts w:hint="eastAsia" w:ascii="仿宋_GB2312" w:hAnsi="仿宋_GB2312" w:eastAsia="仿宋_GB2312" w:cs="仿宋_GB2312"/>
          <w:sz w:val="32"/>
          <w:szCs w:val="32"/>
          <w:lang w:eastAsia="zh-CN"/>
        </w:rPr>
        <w:t>州委组织部干部个人事项查核和举报中心</w:t>
      </w:r>
      <w:r>
        <w:rPr>
          <w:rFonts w:hint="eastAsia" w:ascii="仿宋_GB2312" w:hAnsi="仿宋_GB2312" w:eastAsia="仿宋_GB2312" w:cs="仿宋_GB2312"/>
          <w:sz w:val="32"/>
          <w:szCs w:val="32"/>
          <w:lang w:val="en-US" w:eastAsia="zh-CN"/>
        </w:rPr>
        <w:t>部门整体绩效目标为保障单位正常运行，只预算基本支出经费，无项目预算目标。</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（2）目标完成。2018年，</w:t>
      </w:r>
      <w:r>
        <w:rPr>
          <w:rFonts w:hint="eastAsia" w:ascii="仿宋_GB2312" w:hAnsi="仿宋_GB2312" w:eastAsia="仿宋_GB2312" w:cs="仿宋_GB2312"/>
          <w:sz w:val="32"/>
          <w:szCs w:val="32"/>
          <w:lang w:eastAsia="zh-CN"/>
        </w:rPr>
        <w:t>州委组织部干部个人事项查核和举报中心</w:t>
      </w:r>
      <w:r>
        <w:rPr>
          <w:rFonts w:hint="eastAsia" w:ascii="仿宋_GB2312" w:hAnsi="仿宋_GB2312" w:eastAsia="仿宋_GB2312" w:cs="仿宋_GB2312"/>
          <w:sz w:val="32"/>
          <w:szCs w:val="32"/>
          <w:lang w:val="en-US" w:eastAsia="zh-CN"/>
        </w:rPr>
        <w:t>9名事业人员工资福利顺利发放到位，</w:t>
      </w:r>
      <w:r>
        <w:rPr>
          <w:rFonts w:hint="eastAsia" w:ascii="仿宋_GB2312" w:hAnsi="仿宋_GB2312" w:eastAsia="仿宋_GB2312" w:cs="仿宋_GB2312"/>
          <w:sz w:val="32"/>
          <w:szCs w:val="32"/>
          <w:lang w:eastAsia="zh-CN"/>
        </w:rPr>
        <w:t>领导干部报告个人有关事项及举报</w:t>
      </w:r>
      <w:r>
        <w:rPr>
          <w:rFonts w:hint="eastAsia" w:ascii="仿宋_GB2312" w:hAnsi="仿宋_GB2312" w:eastAsia="仿宋_GB2312" w:cs="仿宋_GB2312"/>
          <w:sz w:val="32"/>
          <w:szCs w:val="32"/>
          <w:lang w:val="en-US" w:eastAsia="zh-CN"/>
        </w:rPr>
        <w:t>工作有序推进，取得较好效果。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（3）编制准确。2018年，</w:t>
      </w:r>
      <w:r>
        <w:rPr>
          <w:rFonts w:hint="eastAsia" w:ascii="仿宋_GB2312" w:hAnsi="仿宋_GB2312" w:eastAsia="仿宋_GB2312" w:cs="仿宋_GB2312"/>
          <w:sz w:val="32"/>
          <w:szCs w:val="32"/>
          <w:lang w:eastAsia="zh-CN"/>
        </w:rPr>
        <w:t>州委组织部干部个人事项查核和举报中心</w:t>
      </w:r>
      <w:r>
        <w:rPr>
          <w:rFonts w:hint="eastAsia" w:ascii="仿宋_GB2312" w:hAnsi="仿宋_GB2312" w:eastAsia="仿宋_GB2312" w:cs="仿宋_GB2312"/>
          <w:sz w:val="32"/>
          <w:szCs w:val="32"/>
          <w:lang w:val="en-US" w:eastAsia="zh-CN"/>
        </w:rPr>
        <w:t>年度预算总额147.25万元，年初预算总额138.20万元，调整预算增加9.05万元，预算编制准确率为93.85%。</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2.预算执行</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（1）支出控制。2018年，</w:t>
      </w:r>
      <w:r>
        <w:rPr>
          <w:rFonts w:hint="eastAsia" w:ascii="仿宋_GB2312" w:hAnsi="仿宋_GB2312" w:eastAsia="仿宋_GB2312" w:cs="仿宋_GB2312"/>
          <w:sz w:val="32"/>
          <w:szCs w:val="32"/>
          <w:lang w:eastAsia="zh-CN"/>
        </w:rPr>
        <w:t>州委组织部干部个人事项查核和举报中心</w:t>
      </w:r>
      <w:r>
        <w:rPr>
          <w:rFonts w:hint="eastAsia" w:ascii="仿宋_GB2312" w:hAnsi="仿宋_GB2312" w:eastAsia="仿宋_GB2312" w:cs="仿宋_GB2312"/>
          <w:sz w:val="32"/>
          <w:szCs w:val="32"/>
          <w:lang w:val="en-US" w:eastAsia="zh-CN"/>
        </w:rPr>
        <w:t>人员经费支出132.63万元，公用经费支出12.94万元，无项目支出。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（2）动态调整。因涉及目标考核奖、工资变动等年中调增人员经费预算9.05万元</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（3）执行进度。预算支出序时推进，全年预算执行进度为98.86%。</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（二）专项预算管理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无</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（三）结果应用情况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1.自评质量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该指标系评价组依据自评报告准确度打分，故自评阶段不涉及。</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2.信息公开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（1）目标公开。已及时在阿坝州人民政府网站公开部门预算信息，部门绩效目标已经同时向社会公开。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（2）自评公开。收到财政批复后，按要求对部门整体绩效自评情况和自评组织的评价情况向社会公开。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3.整改反馈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（1）结果整改。截止目前，未收到绩效目标核查、绩效监控核查和重点绩效评价提出的问题。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（2）应用反馈。因未收到提出的相关问题，也无需向财政部门反馈。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sz w:val="32"/>
          <w:szCs w:val="32"/>
        </w:rPr>
      </w:pPr>
      <w:r>
        <w:rPr>
          <w:rFonts w:ascii="黑体" w:hAnsi="黑体" w:eastAsia="黑体" w:cs="黑体"/>
          <w:sz w:val="32"/>
          <w:szCs w:val="32"/>
        </w:rPr>
        <w:t>四、评价结论及建议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lang w:eastAsia="zh-CN"/>
        </w:rPr>
        <w:t>通过自评，州委组织部干部个人事项查核和举报中心除需要进一步提高预算编制准确度和预算执行进度外，绩效目标制定要素完整、程序规范，支出控制有力，部门整体支出绩效良好。</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firstLine="614" w:firstLineChars="192"/>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存在问题</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ascii="仿宋" w:hAnsi="仿宋" w:eastAsia="仿宋" w:cs="仿宋_GB2312"/>
          <w:sz w:val="32"/>
          <w:szCs w:val="32"/>
        </w:rPr>
      </w:pPr>
      <w:r>
        <w:rPr>
          <w:rFonts w:eastAsia="仿宋_GB2312"/>
          <w:sz w:val="32"/>
          <w:szCs w:val="32"/>
        </w:rPr>
        <w:t>仍存在部门预算编制不</w:t>
      </w:r>
      <w:r>
        <w:rPr>
          <w:rFonts w:hint="eastAsia" w:eastAsia="仿宋_GB2312"/>
          <w:sz w:val="32"/>
          <w:szCs w:val="32"/>
          <w:lang w:eastAsia="zh-CN"/>
        </w:rPr>
        <w:t>够</w:t>
      </w:r>
      <w:r>
        <w:rPr>
          <w:rFonts w:eastAsia="仿宋_GB2312"/>
          <w:sz w:val="32"/>
          <w:szCs w:val="32"/>
        </w:rPr>
        <w:t>科学、不</w:t>
      </w:r>
      <w:r>
        <w:rPr>
          <w:rFonts w:hint="eastAsia" w:eastAsia="仿宋_GB2312"/>
          <w:sz w:val="32"/>
          <w:szCs w:val="32"/>
          <w:lang w:eastAsia="zh-CN"/>
        </w:rPr>
        <w:t>够</w:t>
      </w:r>
      <w:r>
        <w:rPr>
          <w:rFonts w:eastAsia="仿宋_GB2312"/>
          <w:sz w:val="32"/>
          <w:szCs w:val="32"/>
        </w:rPr>
        <w:t>完整、预算管理不</w:t>
      </w:r>
      <w:r>
        <w:rPr>
          <w:rFonts w:hint="eastAsia" w:eastAsia="仿宋_GB2312"/>
          <w:sz w:val="32"/>
          <w:szCs w:val="32"/>
          <w:lang w:eastAsia="zh-CN"/>
        </w:rPr>
        <w:t>够</w:t>
      </w:r>
      <w:r>
        <w:rPr>
          <w:rFonts w:eastAsia="仿宋_GB2312"/>
          <w:sz w:val="32"/>
          <w:szCs w:val="32"/>
        </w:rPr>
        <w:t>规范等情况</w:t>
      </w:r>
      <w:r>
        <w:rPr>
          <w:rFonts w:hint="eastAsia" w:eastAsia="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ascii="仿宋" w:hAnsi="仿宋" w:eastAsia="仿宋" w:cs="仿宋_GB2312"/>
          <w:sz w:val="32"/>
          <w:szCs w:val="32"/>
        </w:rPr>
      </w:pPr>
      <w:r>
        <w:rPr>
          <w:rFonts w:hint="eastAsia" w:ascii="仿宋_GB2312" w:hAnsi="仿宋" w:eastAsia="仿宋_GB2312" w:cs="仿宋"/>
          <w:sz w:val="32"/>
          <w:szCs w:val="32"/>
        </w:rPr>
        <w:t>为进一步提高整体绩效水平，在预算编制和预算执行过程中，切实提高资金使用绩效，找到突破口与关节点。财务工作的关节点很多，比如按照人均是什么情况；不同分类是什么情况；与其他部门相比是什么情况，每年增长率是多少。在比较中进行分析，找到问题的节点，对症下药，采取</w:t>
      </w:r>
      <w:r>
        <w:rPr>
          <w:rFonts w:hint="eastAsia" w:ascii="仿宋_GB2312" w:hAnsi="仿宋" w:eastAsia="仿宋_GB2312" w:cs="仿宋"/>
          <w:sz w:val="32"/>
          <w:szCs w:val="32"/>
          <w:lang w:eastAsia="zh-CN"/>
        </w:rPr>
        <w:t>有</w:t>
      </w:r>
      <w:r>
        <w:rPr>
          <w:rFonts w:hint="eastAsia" w:ascii="仿宋_GB2312" w:hAnsi="仿宋" w:eastAsia="仿宋_GB2312" w:cs="仿宋"/>
          <w:sz w:val="32"/>
          <w:szCs w:val="32"/>
        </w:rPr>
        <w:t>力措施，降低行政运行成本</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做到依法理财、科学理财、民主理财。</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25"/>
          <w:rFonts w:ascii="仿宋" w:hAnsi="仿宋" w:eastAsia="仿宋"/>
          <w:b w:val="0"/>
          <w:bCs w:val="0"/>
          <w:sz w:val="32"/>
          <w:szCs w:val="32"/>
        </w:rPr>
      </w:pPr>
      <w:bookmarkStart w:id="61" w:name="_Toc15396617"/>
      <w:r>
        <w:rPr>
          <w:rStyle w:val="25"/>
          <w:rFonts w:hint="eastAsia" w:ascii="仿宋" w:hAnsi="仿宋" w:eastAsia="仿宋"/>
          <w:b w:val="0"/>
          <w:bCs w:val="0"/>
          <w:sz w:val="32"/>
          <w:szCs w:val="32"/>
        </w:rPr>
        <w:t>附件2</w:t>
      </w:r>
      <w:bookmarkEnd w:id="61"/>
    </w:p>
    <w:p>
      <w:pPr>
        <w:spacing w:line="580" w:lineRule="exact"/>
        <w:jc w:val="center"/>
        <w:rPr>
          <w:rFonts w:hint="eastAsia" w:ascii="黑体" w:hAnsi="黑体" w:eastAsia="黑体" w:cs="方正小标宋简体"/>
          <w:sz w:val="44"/>
          <w:szCs w:val="44"/>
          <w:lang w:eastAsia="zh-CN"/>
        </w:rPr>
      </w:pPr>
      <w:r>
        <w:rPr>
          <w:rFonts w:hint="eastAsia" w:ascii="黑体" w:hAnsi="黑体" w:eastAsia="黑体" w:cs="方正小标宋简体"/>
          <w:sz w:val="44"/>
          <w:szCs w:val="44"/>
        </w:rPr>
        <w:t>2018年XXX项目支出绩效评价报告</w:t>
      </w:r>
      <w:r>
        <w:rPr>
          <w:rFonts w:hint="eastAsia" w:ascii="黑体" w:hAnsi="黑体" w:eastAsia="黑体" w:cs="方正小标宋简体"/>
          <w:sz w:val="44"/>
          <w:szCs w:val="44"/>
          <w:lang w:eastAsia="zh-CN"/>
        </w:rPr>
        <w:t>（无）</w:t>
      </w: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hint="eastAsia" w:ascii="黑体" w:hAnsi="黑体" w:eastAsia="黑体"/>
          <w:color w:val="000000"/>
          <w:sz w:val="44"/>
          <w:szCs w:val="44"/>
        </w:rPr>
      </w:pPr>
      <w:bookmarkStart w:id="62"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center"/>
        <w:outlineLvl w:val="0"/>
        <w:rPr>
          <w:rFonts w:ascii="仿宋" w:hAnsi="仿宋" w:eastAsia="仿宋"/>
          <w:b/>
          <w:color w:val="000000"/>
          <w:sz w:val="44"/>
          <w:szCs w:val="44"/>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62"/>
    </w:p>
    <w:p>
      <w:pPr>
        <w:pStyle w:val="3"/>
        <w:rPr>
          <w:rFonts w:ascii="仿宋" w:hAnsi="仿宋" w:eastAsia="仿宋"/>
          <w:color w:val="000000"/>
        </w:rPr>
      </w:pPr>
      <w:bookmarkStart w:id="63"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3"/>
    </w:p>
    <w:p>
      <w:pPr>
        <w:pStyle w:val="3"/>
        <w:rPr>
          <w:rFonts w:ascii="仿宋" w:hAnsi="仿宋" w:eastAsia="仿宋"/>
          <w:color w:val="000000"/>
        </w:rPr>
      </w:pPr>
      <w:bookmarkStart w:id="64"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64"/>
    </w:p>
    <w:p>
      <w:pPr>
        <w:pStyle w:val="3"/>
        <w:rPr>
          <w:rFonts w:ascii="仿宋" w:hAnsi="仿宋" w:eastAsia="仿宋"/>
          <w:color w:val="000000"/>
        </w:rPr>
      </w:pPr>
      <w:bookmarkStart w:id="65"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5"/>
    </w:p>
    <w:p>
      <w:pPr>
        <w:pStyle w:val="3"/>
        <w:rPr>
          <w:rFonts w:ascii="仿宋" w:hAnsi="仿宋" w:eastAsia="仿宋"/>
          <w:b w:val="0"/>
          <w:color w:val="000000"/>
        </w:rPr>
      </w:pPr>
      <w:bookmarkStart w:id="66"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6"/>
    </w:p>
    <w:p>
      <w:pPr>
        <w:pStyle w:val="3"/>
        <w:rPr>
          <w:rFonts w:ascii="仿宋" w:hAnsi="仿宋" w:eastAsia="仿宋"/>
          <w:color w:val="000000"/>
        </w:rPr>
      </w:pPr>
      <w:bookmarkStart w:id="67"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67"/>
    </w:p>
    <w:p>
      <w:pPr>
        <w:pStyle w:val="3"/>
        <w:rPr>
          <w:rFonts w:ascii="仿宋" w:hAnsi="仿宋" w:eastAsia="仿宋"/>
          <w:color w:val="000000"/>
        </w:rPr>
      </w:pPr>
      <w:bookmarkStart w:id="68"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8"/>
    </w:p>
    <w:p>
      <w:pPr>
        <w:pStyle w:val="3"/>
        <w:rPr>
          <w:rFonts w:ascii="仿宋" w:hAnsi="仿宋" w:eastAsia="仿宋"/>
          <w:color w:val="000000"/>
        </w:rPr>
      </w:pPr>
      <w:bookmarkStart w:id="69"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9"/>
    </w:p>
    <w:p>
      <w:pPr>
        <w:pStyle w:val="3"/>
        <w:rPr>
          <w:rFonts w:ascii="仿宋" w:hAnsi="仿宋" w:eastAsia="仿宋"/>
          <w:color w:val="000000"/>
        </w:rPr>
      </w:pPr>
      <w:bookmarkStart w:id="70"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70"/>
    </w:p>
    <w:p>
      <w:pPr>
        <w:pStyle w:val="3"/>
        <w:rPr>
          <w:rFonts w:ascii="仿宋" w:hAnsi="仿宋" w:eastAsia="仿宋"/>
          <w:color w:val="000000"/>
        </w:rPr>
      </w:pPr>
      <w:bookmarkStart w:id="71"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71"/>
    </w:p>
    <w:p>
      <w:pPr>
        <w:pStyle w:val="3"/>
        <w:rPr>
          <w:rFonts w:ascii="仿宋" w:hAnsi="仿宋" w:eastAsia="仿宋"/>
          <w:color w:val="000000"/>
        </w:rPr>
      </w:pPr>
      <w:bookmarkStart w:id="72"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72"/>
    </w:p>
    <w:p>
      <w:pPr>
        <w:pStyle w:val="3"/>
        <w:rPr>
          <w:rFonts w:ascii="仿宋" w:hAnsi="仿宋" w:eastAsia="仿宋"/>
          <w:color w:val="000000"/>
        </w:rPr>
      </w:pPr>
      <w:bookmarkStart w:id="73"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3"/>
    </w:p>
    <w:p>
      <w:pPr>
        <w:pStyle w:val="3"/>
        <w:rPr>
          <w:rFonts w:ascii="仿宋" w:hAnsi="仿宋" w:eastAsia="仿宋"/>
          <w:color w:val="000000"/>
        </w:rPr>
      </w:pPr>
      <w:bookmarkStart w:id="74"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4"/>
    </w:p>
    <w:p>
      <w:pPr>
        <w:pStyle w:val="3"/>
        <w:rPr>
          <w:rFonts w:ascii="仿宋" w:hAnsi="仿宋" w:eastAsia="仿宋"/>
          <w:color w:val="000000" w:themeColor="text1"/>
          <w14:textFill>
            <w14:solidFill>
              <w14:schemeClr w14:val="tx1"/>
            </w14:solidFill>
          </w14:textFill>
        </w:rPr>
      </w:pPr>
      <w:bookmarkStart w:id="75"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5"/>
    </w:p>
    <w:sectPr>
      <w:headerReference r:id="rId3" w:type="default"/>
      <w:footerReference r:id="rId4" w:type="default"/>
      <w:pgSz w:w="11906" w:h="16838"/>
      <w:pgMar w:top="2211" w:right="1531" w:bottom="1531" w:left="153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0127FE52"/>
    <w:multiLevelType w:val="singleLevel"/>
    <w:tmpl w:val="0127FE52"/>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59A3A4F3"/>
    <w:multiLevelType w:val="singleLevel"/>
    <w:tmpl w:val="59A3A4F3"/>
    <w:lvl w:ilvl="0" w:tentative="0">
      <w:start w:val="1"/>
      <w:numFmt w:val="decimal"/>
      <w:lvlText w:val="%1."/>
      <w:lvlJc w:val="left"/>
      <w:pPr>
        <w:tabs>
          <w:tab w:val="left" w:pos="312"/>
        </w:tabs>
      </w:pPr>
    </w:lvl>
  </w:abstractNum>
  <w:num w:numId="1">
    <w:abstractNumId w:val="4"/>
  </w:num>
  <w:num w:numId="2">
    <w:abstractNumId w:val="6"/>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41C0"/>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23647"/>
    <w:rsid w:val="00235629"/>
    <w:rsid w:val="00260C38"/>
    <w:rsid w:val="002616C0"/>
    <w:rsid w:val="002662AA"/>
    <w:rsid w:val="00280496"/>
    <w:rsid w:val="002900A4"/>
    <w:rsid w:val="00295495"/>
    <w:rsid w:val="002B2613"/>
    <w:rsid w:val="002F1818"/>
    <w:rsid w:val="002F567B"/>
    <w:rsid w:val="003216A9"/>
    <w:rsid w:val="003534E5"/>
    <w:rsid w:val="00367FD5"/>
    <w:rsid w:val="0037013F"/>
    <w:rsid w:val="00371F8B"/>
    <w:rsid w:val="00380C92"/>
    <w:rsid w:val="003A484F"/>
    <w:rsid w:val="003B0BE0"/>
    <w:rsid w:val="003B0C1B"/>
    <w:rsid w:val="003B688C"/>
    <w:rsid w:val="003C0291"/>
    <w:rsid w:val="003C39AE"/>
    <w:rsid w:val="003C4009"/>
    <w:rsid w:val="003C7B60"/>
    <w:rsid w:val="003D1FB2"/>
    <w:rsid w:val="003D66DA"/>
    <w:rsid w:val="003E1310"/>
    <w:rsid w:val="003E6F55"/>
    <w:rsid w:val="0040503F"/>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7083"/>
    <w:rsid w:val="005664BB"/>
    <w:rsid w:val="0057481D"/>
    <w:rsid w:val="0058486E"/>
    <w:rsid w:val="005D1C8B"/>
    <w:rsid w:val="005D4E88"/>
    <w:rsid w:val="005D5CED"/>
    <w:rsid w:val="005E1266"/>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759C4"/>
    <w:rsid w:val="00676A35"/>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A2E13"/>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D03A7"/>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A24B1"/>
    <w:rsid w:val="00AC3C6A"/>
    <w:rsid w:val="00AD5620"/>
    <w:rsid w:val="00AD7C1B"/>
    <w:rsid w:val="00AE16BA"/>
    <w:rsid w:val="00AE1EBE"/>
    <w:rsid w:val="00B03C9D"/>
    <w:rsid w:val="00B060AE"/>
    <w:rsid w:val="00B10517"/>
    <w:rsid w:val="00B14E76"/>
    <w:rsid w:val="00B161B8"/>
    <w:rsid w:val="00B2048C"/>
    <w:rsid w:val="00B24A2B"/>
    <w:rsid w:val="00B310B9"/>
    <w:rsid w:val="00B35F3F"/>
    <w:rsid w:val="00B36CBB"/>
    <w:rsid w:val="00B425E0"/>
    <w:rsid w:val="00B440AA"/>
    <w:rsid w:val="00B44B70"/>
    <w:rsid w:val="00B53C56"/>
    <w:rsid w:val="00B77EA6"/>
    <w:rsid w:val="00B81598"/>
    <w:rsid w:val="00B841F1"/>
    <w:rsid w:val="00B944D6"/>
    <w:rsid w:val="00BB0682"/>
    <w:rsid w:val="00BB4DF0"/>
    <w:rsid w:val="00BC289F"/>
    <w:rsid w:val="00BC5361"/>
    <w:rsid w:val="00BC5460"/>
    <w:rsid w:val="00BC6B50"/>
    <w:rsid w:val="00BD0E25"/>
    <w:rsid w:val="00BF5BD6"/>
    <w:rsid w:val="00C03E31"/>
    <w:rsid w:val="00C159EF"/>
    <w:rsid w:val="00C33916"/>
    <w:rsid w:val="00C33E72"/>
    <w:rsid w:val="00C354B2"/>
    <w:rsid w:val="00C35554"/>
    <w:rsid w:val="00C42709"/>
    <w:rsid w:val="00C533CC"/>
    <w:rsid w:val="00C5751C"/>
    <w:rsid w:val="00C61BFC"/>
    <w:rsid w:val="00C62B85"/>
    <w:rsid w:val="00C65438"/>
    <w:rsid w:val="00C91CBB"/>
    <w:rsid w:val="00CA71F4"/>
    <w:rsid w:val="00CC09B6"/>
    <w:rsid w:val="00CC666F"/>
    <w:rsid w:val="00CD1E3F"/>
    <w:rsid w:val="00CE44F6"/>
    <w:rsid w:val="00CE49DA"/>
    <w:rsid w:val="00CE7B61"/>
    <w:rsid w:val="00D00095"/>
    <w:rsid w:val="00D12650"/>
    <w:rsid w:val="00D20620"/>
    <w:rsid w:val="00D26091"/>
    <w:rsid w:val="00D34E7C"/>
    <w:rsid w:val="00D35489"/>
    <w:rsid w:val="00D46E63"/>
    <w:rsid w:val="00D51276"/>
    <w:rsid w:val="00D7035F"/>
    <w:rsid w:val="00DA0A2C"/>
    <w:rsid w:val="00DA65AC"/>
    <w:rsid w:val="00DB1913"/>
    <w:rsid w:val="00DC0901"/>
    <w:rsid w:val="00DC410D"/>
    <w:rsid w:val="00DC68CA"/>
    <w:rsid w:val="00DC7CBA"/>
    <w:rsid w:val="00DD73B7"/>
    <w:rsid w:val="00DF28BC"/>
    <w:rsid w:val="00DF34B9"/>
    <w:rsid w:val="00E01053"/>
    <w:rsid w:val="00E07ACF"/>
    <w:rsid w:val="00E25482"/>
    <w:rsid w:val="00E331A1"/>
    <w:rsid w:val="00E33202"/>
    <w:rsid w:val="00E336A9"/>
    <w:rsid w:val="00E50624"/>
    <w:rsid w:val="00E568DF"/>
    <w:rsid w:val="00E64269"/>
    <w:rsid w:val="00E82267"/>
    <w:rsid w:val="00EA010F"/>
    <w:rsid w:val="00EC60C4"/>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30438AE"/>
    <w:rsid w:val="039720A7"/>
    <w:rsid w:val="04737973"/>
    <w:rsid w:val="061A2C97"/>
    <w:rsid w:val="065C03A4"/>
    <w:rsid w:val="06714D93"/>
    <w:rsid w:val="07A212DB"/>
    <w:rsid w:val="07DB059F"/>
    <w:rsid w:val="07EC3403"/>
    <w:rsid w:val="0A047BD3"/>
    <w:rsid w:val="0B0F65BD"/>
    <w:rsid w:val="0D6001F6"/>
    <w:rsid w:val="0D8B31D4"/>
    <w:rsid w:val="0DC96F48"/>
    <w:rsid w:val="0E753A04"/>
    <w:rsid w:val="10C055FF"/>
    <w:rsid w:val="16156E97"/>
    <w:rsid w:val="16BB723D"/>
    <w:rsid w:val="18980DBA"/>
    <w:rsid w:val="197B44D0"/>
    <w:rsid w:val="1B5F3695"/>
    <w:rsid w:val="1DD90B6F"/>
    <w:rsid w:val="22A66E12"/>
    <w:rsid w:val="22E06F13"/>
    <w:rsid w:val="23EA49EC"/>
    <w:rsid w:val="240371BF"/>
    <w:rsid w:val="25636700"/>
    <w:rsid w:val="25737099"/>
    <w:rsid w:val="27B47D7B"/>
    <w:rsid w:val="29FD04D3"/>
    <w:rsid w:val="2A026E96"/>
    <w:rsid w:val="2FED3696"/>
    <w:rsid w:val="3010551D"/>
    <w:rsid w:val="310C1296"/>
    <w:rsid w:val="319F7F4E"/>
    <w:rsid w:val="31AA319F"/>
    <w:rsid w:val="323F3023"/>
    <w:rsid w:val="32D43718"/>
    <w:rsid w:val="33B82504"/>
    <w:rsid w:val="343B75B8"/>
    <w:rsid w:val="359733B6"/>
    <w:rsid w:val="35CA48C3"/>
    <w:rsid w:val="384A2040"/>
    <w:rsid w:val="39BF3F37"/>
    <w:rsid w:val="39CF2970"/>
    <w:rsid w:val="3D6D5D1B"/>
    <w:rsid w:val="3EFB7E56"/>
    <w:rsid w:val="3F5C2D05"/>
    <w:rsid w:val="3F790863"/>
    <w:rsid w:val="40674F86"/>
    <w:rsid w:val="432C374B"/>
    <w:rsid w:val="45682AAD"/>
    <w:rsid w:val="46094973"/>
    <w:rsid w:val="485A57AB"/>
    <w:rsid w:val="48B73A09"/>
    <w:rsid w:val="49313FC8"/>
    <w:rsid w:val="499F19D4"/>
    <w:rsid w:val="49B6174E"/>
    <w:rsid w:val="4A89081D"/>
    <w:rsid w:val="4C092DA9"/>
    <w:rsid w:val="4EAB3DD2"/>
    <w:rsid w:val="4F784C86"/>
    <w:rsid w:val="50C069B7"/>
    <w:rsid w:val="535A11F0"/>
    <w:rsid w:val="555E34CC"/>
    <w:rsid w:val="57A3180F"/>
    <w:rsid w:val="583F543F"/>
    <w:rsid w:val="58D93EE4"/>
    <w:rsid w:val="595270CD"/>
    <w:rsid w:val="5A6C7BD6"/>
    <w:rsid w:val="5AB13101"/>
    <w:rsid w:val="5DEA27FF"/>
    <w:rsid w:val="5DEC74D6"/>
    <w:rsid w:val="5F340922"/>
    <w:rsid w:val="5F8241BB"/>
    <w:rsid w:val="61E94B43"/>
    <w:rsid w:val="65B16B56"/>
    <w:rsid w:val="6839658F"/>
    <w:rsid w:val="69265602"/>
    <w:rsid w:val="6B155483"/>
    <w:rsid w:val="6E863BBB"/>
    <w:rsid w:val="6F163F0A"/>
    <w:rsid w:val="6F4225A8"/>
    <w:rsid w:val="72056670"/>
    <w:rsid w:val="72E95EA7"/>
    <w:rsid w:val="741065D9"/>
    <w:rsid w:val="761E6E7D"/>
    <w:rsid w:val="7736264A"/>
    <w:rsid w:val="782F4B68"/>
    <w:rsid w:val="788E7CBA"/>
    <w:rsid w:val="790B4F13"/>
    <w:rsid w:val="7D8C6B2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列出段落"/>
    <w:basedOn w:val="1"/>
    <w:qFormat/>
    <w:uiPriority w:val="34"/>
    <w:pPr>
      <w:ind w:firstLine="420" w:firstLineChars="200"/>
    </w:pPr>
  </w:style>
  <w:style w:type="paragraph" w:customStyle="1" w:styleId="31">
    <w:name w:val="无间隔"/>
    <w:qFormat/>
    <w:uiPriority w:val="1"/>
    <w:pPr>
      <w:jc w:val="both"/>
      <w:textAlignment w:val="baseline"/>
    </w:pPr>
    <w:rPr>
      <w:rFonts w:ascii="Times New Roman" w:hAnsi="Times New Roman" w:eastAsia="宋体" w:cs="Times New Roman"/>
      <w:color w:val="000000"/>
      <w:sz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038697890716"/>
          <c:y val="0.125661095832452"/>
          <c:w val="0.60587942202292"/>
          <c:h val="0.771736830971018"/>
        </c:manualLayout>
      </c:layout>
      <c:pieChart>
        <c:varyColors val="1"/>
        <c:ser>
          <c:idx val="0"/>
          <c:order val="0"/>
          <c:tx>
            <c:strRef>
              <c:f>Sheet1!$B$1</c:f>
              <c:strCache>
                <c:ptCount val="1"/>
                <c:pt idx="0">
                  <c:v>销售额</c:v>
                </c:pt>
              </c:strCache>
            </c:strRef>
          </c:tx>
          <c:spPr/>
          <c:explosion val="2"/>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住房保障支出</c:v>
                </c:pt>
                <c:pt idx="2">
                  <c:v>社会保障和就业支出</c:v>
                </c:pt>
                <c:pt idx="3">
                  <c:v>医疗卫生支出</c:v>
                </c:pt>
              </c:strCache>
            </c:strRef>
          </c:cat>
          <c:val>
            <c:numRef>
              <c:f>Sheet1!$B$2:$B$5</c:f>
              <c:numCache>
                <c:formatCode>General</c:formatCode>
                <c:ptCount val="4"/>
                <c:pt idx="0">
                  <c:v>109.34</c:v>
                </c:pt>
                <c:pt idx="1">
                  <c:v>10.46</c:v>
                </c:pt>
                <c:pt idx="2">
                  <c:v>18.93</c:v>
                </c:pt>
                <c:pt idx="3">
                  <c:v>6.84</c:v>
                </c:pt>
              </c:numCache>
            </c:numRef>
          </c:val>
        </c:ser>
        <c:dLbls>
          <c:showLegendKey val="0"/>
          <c:showVal val="1"/>
          <c:showCatName val="0"/>
          <c:showSerName val="0"/>
          <c:showPercent val="0"/>
          <c:showBubbleSize val="0"/>
          <c:showLeaderLines val="1"/>
        </c:dLbls>
        <c:firstSliceAng val="39"/>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9061F-9DEB-4A9F-88AA-EE9BD1D1E5F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1880</Words>
  <Characters>10718</Characters>
  <Lines>89</Lines>
  <Paragraphs>25</Paragraphs>
  <TotalTime>3</TotalTime>
  <ScaleCrop>false</ScaleCrop>
  <LinksUpToDate>false</LinksUpToDate>
  <CharactersWithSpaces>12573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2019-09-27T03:01:58Z</cp:lastPrinted>
  <dcterms:modified xsi:type="dcterms:W3CDTF">2019-09-27T03:11:35Z</dcterms:modified>
  <dc:title>四川省***</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