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8441"/>
      <w:bookmarkStart w:id="2" w:name="_Toc15377193"/>
      <w:bookmarkStart w:id="3" w:name="_Toc15396597"/>
      <w:bookmarkStart w:id="4" w:name="_Toc15396475"/>
      <w:bookmarkStart w:id="5" w:name="_Toc15306267"/>
    </w:p>
    <w:p w14:paraId="2B81399B">
      <w:pPr>
        <w:pStyle w:val="6"/>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6"/>
        <w:rPr>
          <w:rFonts w:hint="eastAsia" w:ascii="Times New Roman" w:hAnsi="Times New Roman" w:eastAsia="方正小标宋简体" w:cs="Times New Roman"/>
          <w:color w:val="auto"/>
          <w:kern w:val="2"/>
          <w:sz w:val="72"/>
          <w:szCs w:val="72"/>
          <w:highlight w:val="none"/>
          <w:lang w:val="en-US" w:eastAsia="zh-CN" w:bidi="ar-SA"/>
        </w:rPr>
      </w:pPr>
    </w:p>
    <w:p w14:paraId="21C59E44">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中共四川省阿坝州委统战部（本级）</w:t>
      </w:r>
    </w:p>
    <w:p w14:paraId="3E179DAE">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4C9B97CC">
      <w:pPr>
        <w:spacing w:line="600" w:lineRule="exact"/>
        <w:jc w:val="center"/>
        <w:outlineLvl w:val="0"/>
        <w:rPr>
          <w:rFonts w:ascii="Times New Roman" w:hAnsi="Times New Roman" w:eastAsia="方正小标宋简体"/>
          <w:color w:val="auto"/>
          <w:sz w:val="72"/>
          <w:szCs w:val="72"/>
          <w:highlight w:val="none"/>
        </w:rPr>
      </w:pPr>
    </w:p>
    <w:p w14:paraId="2201A393">
      <w:pPr>
        <w:pStyle w:val="20"/>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3"/>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20</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7D48B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4"/>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47360B2C">
      <w:pPr>
        <w:pStyle w:val="2"/>
        <w:jc w:val="center"/>
        <w:outlineLvl w:val="0"/>
        <w:rPr>
          <w:rFonts w:ascii="Times New Roman" w:hAnsi="Times New Roman" w:eastAsia="黑体"/>
          <w:color w:val="auto"/>
          <w:sz w:val="32"/>
          <w:szCs w:val="32"/>
          <w:highlight w:val="none"/>
        </w:rPr>
      </w:pPr>
      <w:bookmarkStart w:id="8" w:name="_Toc11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val="en-US" w:eastAsia="zh-CN"/>
        </w:rPr>
        <w:t>单位</w:t>
      </w:r>
      <w:r>
        <w:rPr>
          <w:rStyle w:val="29"/>
          <w:rFonts w:hint="eastAsia" w:ascii="Times New Roman" w:hAnsi="Times New Roman" w:eastAsia="方正小标宋简体" w:cs="方正小标宋简体"/>
          <w:b w:val="0"/>
          <w:bCs w:val="0"/>
          <w:color w:val="auto"/>
          <w:highlight w:val="none"/>
        </w:rPr>
        <w:t>概况</w:t>
      </w:r>
      <w:bookmarkEnd w:id="6"/>
      <w:bookmarkEnd w:id="7"/>
      <w:bookmarkEnd w:id="8"/>
    </w:p>
    <w:p w14:paraId="71FFFD2B">
      <w:pPr>
        <w:pStyle w:val="3"/>
        <w:outlineLvl w:val="1"/>
        <w:rPr>
          <w:rFonts w:hint="eastAsia" w:ascii="Times New Roman" w:hAnsi="Times New Roman" w:eastAsia="黑体"/>
          <w:b w:val="0"/>
          <w:color w:val="auto"/>
          <w:highlight w:val="none"/>
          <w:lang w:eastAsia="zh-CN"/>
        </w:rPr>
      </w:pPr>
      <w:bookmarkStart w:id="9" w:name="_Toc15377197"/>
      <w:bookmarkStart w:id="10" w:name="_Toc15396600"/>
      <w:bookmarkStart w:id="11" w:name="_Toc13880"/>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bookmarkEnd w:id="11"/>
    </w:p>
    <w:p w14:paraId="158E8887">
      <w:pPr>
        <w:ind w:firstLine="800" w:firstLineChars="250"/>
        <w:outlineLvl w:val="9"/>
        <w:rPr>
          <w:rFonts w:hint="eastAsia" w:ascii="Times New Roman" w:hAnsi="Times New Roman" w:eastAsia="仿宋_GB2312" w:cs="仿宋_GB2312"/>
          <w:color w:val="auto"/>
          <w:sz w:val="32"/>
          <w:szCs w:val="32"/>
          <w:highlight w:val="none"/>
          <w:lang w:eastAsia="zh-CN"/>
        </w:rPr>
      </w:pPr>
      <w:bookmarkStart w:id="12" w:name="_Toc1296"/>
      <w:bookmarkStart w:id="13" w:name="_Toc15377200"/>
      <w:bookmarkStart w:id="14" w:name="_Toc15396601"/>
      <w:r>
        <w:rPr>
          <w:rFonts w:hint="default" w:ascii="Times New Roman" w:hAnsi="Times New Roman" w:eastAsia="仿宋_GB2312" w:cs="仿宋_GB2312"/>
          <w:color w:val="auto"/>
          <w:sz w:val="32"/>
          <w:szCs w:val="32"/>
          <w:highlight w:val="none"/>
        </w:rPr>
        <w:t>州委统战部主要职责是：组织贯彻执行中央、省委、州委关于统一战线的方针政策，调查研究统一战线的理论和政策，负责协调监督检查全州统一战线工作，检查统战政策执行情况，牵头协调处理统战工作中的重大问题和组织统一战线和重大活动；负责调查研究协调全州有关民族和宗教工作重大方针政策的贯彻执行，联系少数民族和宗教界代表人物，协助做好少数民族干部的培养和举荐工作；负责联系全州党外代表人士及党外知识分子工作，负责党外人士的政治安排，做好党外后备干部和新的代表人物队伍的建设工作，指导有关统战团体和人民团体的统战工作；调查研究并反映我州非公有制经济代表人士的情况，团结、帮助、引导、教育非公有制经济代表人士，领导州工商联党组，指导州工商联工作；负责海内外统一战线的宣传工作，指导各县统战工作和统战系统的干部培训；贯彻和执行中央、省州关于对国外藏胞工作的方针政策，结合我州实际提出实施意见并组织实施。</w:t>
      </w:r>
    </w:p>
    <w:p w14:paraId="25D58AC6">
      <w:pPr>
        <w:pStyle w:val="3"/>
        <w:outlineLvl w:val="1"/>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2"/>
      <w:bookmarkEnd w:id="13"/>
      <w:bookmarkEnd w:id="14"/>
    </w:p>
    <w:p w14:paraId="3DE87EA1">
      <w:pPr>
        <w:ind w:firstLine="800" w:firstLineChars="25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中共四川省阿坝州委统战部（本级）下属二级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49CDDB14">
      <w:pPr>
        <w:pStyle w:val="6"/>
        <w:adjustRightInd w:val="0"/>
        <w:snapToGrid w:val="0"/>
        <w:spacing w:before="93" w:line="600" w:lineRule="exact"/>
        <w:ind w:firstLine="672" w:firstLineChars="21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纳入中共四川省阿坝州委统战部（本级）</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426D8746">
      <w:pPr>
        <w:widowControl/>
        <w:ind w:firstLine="640" w:firstLineChars="200"/>
        <w:jc w:val="left"/>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无。</w:t>
      </w:r>
      <w:r>
        <w:rPr>
          <w:rFonts w:ascii="Times New Roman" w:hAnsi="Times New Roman" w:eastAsia="仿宋"/>
          <w:color w:val="auto"/>
          <w:sz w:val="32"/>
          <w:szCs w:val="32"/>
          <w:highlight w:val="none"/>
        </w:rPr>
        <w:br w:type="page"/>
      </w:r>
    </w:p>
    <w:p w14:paraId="232534A1">
      <w:pPr>
        <w:pStyle w:val="2"/>
        <w:jc w:val="center"/>
        <w:outlineLvl w:val="0"/>
        <w:rPr>
          <w:rFonts w:hint="eastAsia" w:ascii="Times New Roman" w:hAnsi="Times New Roman" w:eastAsia="方正小标宋简体" w:cs="方正小标宋简体"/>
          <w:b w:val="0"/>
          <w:color w:val="auto"/>
          <w:highlight w:val="none"/>
        </w:rPr>
      </w:pPr>
      <w:bookmarkStart w:id="15" w:name="_Toc19438"/>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val="en-US" w:eastAsia="zh-CN"/>
        </w:rPr>
        <w:t>单位</w:t>
      </w:r>
      <w:r>
        <w:rPr>
          <w:rFonts w:hint="eastAsia" w:ascii="Times New Roman" w:hAnsi="Times New Roman" w:eastAsia="方正小标宋简体" w:cs="方正小标宋简体"/>
          <w:b w:val="0"/>
          <w:color w:val="auto"/>
          <w:highlight w:val="none"/>
        </w:rPr>
        <w:t>决算情况说明</w:t>
      </w:r>
      <w:bookmarkEnd w:id="15"/>
      <w:bookmarkEnd w:id="16"/>
      <w:bookmarkEnd w:id="17"/>
    </w:p>
    <w:p w14:paraId="7545F8D8">
      <w:pPr>
        <w:rPr>
          <w:rFonts w:ascii="Times New Roman" w:hAnsi="Times New Roman"/>
          <w:color w:val="auto"/>
          <w:highlight w:val="none"/>
        </w:rPr>
      </w:pPr>
    </w:p>
    <w:p w14:paraId="08D37E5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15377205"/>
      <w:bookmarkStart w:id="20" w:name="_Toc3131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bookmarkEnd w:id="20"/>
    </w:p>
    <w:p w14:paraId="0047674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2126.48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680.43</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47.05</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highlight w:val="none"/>
          <w:lang w:val="en-US" w:eastAsia="zh-CN"/>
        </w:rPr>
        <w:t>单位资金随人员经费基数及项目变化。</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77206"/>
      <w:bookmarkStart w:id="22" w:name="_Toc20121"/>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2126.48</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1529.36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72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其他</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sz w:val="32"/>
          <w:szCs w:val="32"/>
          <w:highlight w:val="none"/>
          <w:lang w:val="en-US" w:eastAsia="zh-CN"/>
        </w:rPr>
        <w:t>597.13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28</w:t>
      </w:r>
      <w:r>
        <w:rPr>
          <w:rFonts w:hint="eastAsia" w:ascii="仿宋_GB2312" w:hAnsi="仿宋_GB2312" w:eastAsia="仿宋_GB2312" w:cs="仿宋_GB2312"/>
          <w:color w:val="auto"/>
          <w:sz w:val="32"/>
          <w:szCs w:val="32"/>
          <w:highlight w:val="none"/>
          <w:lang w:eastAsia="zh-CN"/>
        </w:rPr>
        <w:t>%。</w:t>
      </w:r>
    </w:p>
    <w:p w14:paraId="0BC7893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4877"/>
      <w:bookmarkStart w:id="25" w:name="_Toc15377207"/>
      <w:bookmarkStart w:id="2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bookmarkEnd w:id="26"/>
    </w:p>
    <w:p w14:paraId="265AC5D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2249.58</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1193.34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53</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1056.24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47</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0"/>
          <w:rFonts w:ascii="Times New Roman" w:hAnsi="Times New Roman" w:eastAsia="黑体"/>
          <w:b w:val="0"/>
          <w:color w:val="auto"/>
          <w:highlight w:val="none"/>
        </w:rPr>
      </w:pPr>
      <w:bookmarkStart w:id="27" w:name="_Toc15396606"/>
      <w:bookmarkStart w:id="28" w:name="_Toc15377208"/>
      <w:bookmarkStart w:id="29" w:name="_Toc27251"/>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7"/>
      <w:bookmarkEnd w:id="28"/>
      <w:bookmarkEnd w:id="29"/>
    </w:p>
    <w:p w14:paraId="06E577E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2126.48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680.43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47.05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单位资金随人员经费基数及项目变化。</w:t>
      </w:r>
    </w:p>
    <w:p w14:paraId="47B10279">
      <w:pPr>
        <w:pStyle w:val="14"/>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0"/>
          <w:rFonts w:ascii="Times New Roman" w:hAnsi="Times New Roman" w:eastAsia="黑体"/>
          <w:b w:val="0"/>
          <w:color w:val="auto"/>
          <w:highlight w:val="none"/>
        </w:rPr>
      </w:pPr>
      <w:bookmarkStart w:id="30" w:name="_Toc15614"/>
      <w:bookmarkStart w:id="31" w:name="_Toc15396607"/>
      <w:bookmarkStart w:id="3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2B99C60C">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1529.36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72</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83.31</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5.76</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单位资金随人员经费基数及项目变化。</w:t>
      </w:r>
    </w:p>
    <w:p w14:paraId="0911C3F2">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33DBE715">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6AE4BCB4">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5EA93293">
      <w:pP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76ACCA">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371B2A61">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1529.36万元，主要用于以下方面：一般公共服务支出1282.1万元，占83.83%；教育支出0.2万元，占0.01%；社会保障和就业支出131.74万元，占8.61%；卫生健康支出48.58万元，占3.18%；住房保障支出66.74万元，占4.36%。</w:t>
      </w:r>
    </w:p>
    <w:p w14:paraId="023760CE">
      <w:pPr>
        <w:spacing w:line="600" w:lineRule="exact"/>
        <w:ind w:firstLine="640"/>
        <w:outlineLvl w:val="9"/>
        <w:rPr>
          <w:rFonts w:hint="eastAsia" w:eastAsia="仿宋_GB2312" w:cs="仿宋_GB2312"/>
          <w:color w:val="auto"/>
          <w:kern w:val="2"/>
          <w:sz w:val="32"/>
          <w:szCs w:val="32"/>
          <w:highlight w:val="none"/>
          <w:lang w:val="en-US" w:eastAsia="zh-CN" w:bidi="ar-SA"/>
        </w:rPr>
      </w:pPr>
    </w:p>
    <w:p w14:paraId="7CCB5205">
      <w:pPr>
        <w:spacing w:line="600" w:lineRule="exact"/>
        <w:ind w:firstLine="640"/>
        <w:outlineLvl w:val="9"/>
        <w:rPr>
          <w:rFonts w:hint="eastAsia" w:eastAsia="仿宋_GB2312" w:cs="仿宋_GB2312"/>
          <w:color w:val="auto"/>
          <w:kern w:val="2"/>
          <w:sz w:val="32"/>
          <w:szCs w:val="32"/>
          <w:highlight w:val="none"/>
          <w:lang w:val="en-US" w:eastAsia="zh-CN" w:bidi="ar-SA"/>
        </w:rPr>
      </w:pPr>
    </w:p>
    <w:p w14:paraId="1128E98B">
      <w:pPr>
        <w:pStyle w:val="8"/>
        <w:ind w:left="0" w:leftChars="0" w:firstLine="0" w:firstLineChars="0"/>
        <w:outlineLvl w:val="9"/>
        <w:rPr>
          <w:rFonts w:hint="eastAsia"/>
          <w:highlight w:val="none"/>
          <w:lang w:val="en-US" w:eastAsia="zh-CN"/>
        </w:rPr>
      </w:pPr>
    </w:p>
    <w:p w14:paraId="373F564D">
      <w:pPr>
        <w:pStyle w:val="8"/>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0E76A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7213"/>
      <w:bookmarkStart w:id="37" w:name="_Toc15378460"/>
      <w:bookmarkStart w:id="38"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1529.36</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3A8C455C">
      <w:pPr>
        <w:numPr>
          <w:ilvl w:val="0"/>
          <w:numId w:val="1"/>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）行政运行（01）:支出决算为</w:t>
      </w:r>
      <w:r>
        <w:rPr>
          <w:rFonts w:hint="eastAsia" w:eastAsia="仿宋_GB2312" w:cs="仿宋_GB2312"/>
          <w:color w:val="auto"/>
          <w:kern w:val="2"/>
          <w:sz w:val="32"/>
          <w:szCs w:val="32"/>
          <w:highlight w:val="none"/>
          <w:lang w:val="en-US" w:eastAsia="zh-CN" w:bidi="ar-SA"/>
        </w:rPr>
        <w:t>874.07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E02B637">
      <w:pPr>
        <w:numPr>
          <w:ilvl w:val="0"/>
          <w:numId w:val="1"/>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）行政运行（0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296.86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02A332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）其他统战事务支出（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111.16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694BD655">
      <w:pPr>
        <w:pStyle w:val="14"/>
        <w:rPr>
          <w:rFonts w:hint="eastAsia"/>
          <w:highlight w:val="none"/>
          <w:lang w:val="en-US" w:eastAsia="zh-CN"/>
        </w:rPr>
      </w:pPr>
    </w:p>
    <w:p w14:paraId="2B15000D">
      <w:pPr>
        <w:numPr>
          <w:ilvl w:val="0"/>
          <w:numId w:val="1"/>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教育支出（20</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）其他教育支出（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）其他教育支出（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399FC8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w:t>
      </w:r>
      <w:r>
        <w:rPr>
          <w:rFonts w:hint="eastAsia" w:eastAsia="仿宋_GB2312" w:cs="仿宋_GB2312"/>
          <w:color w:val="auto"/>
          <w:kern w:val="2"/>
          <w:sz w:val="32"/>
          <w:szCs w:val="32"/>
          <w:highlight w:val="none"/>
          <w:lang w:val="en-US" w:eastAsia="zh-CN" w:bidi="ar-SA"/>
        </w:rPr>
        <w:t>77.44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6B3D21F">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w:t>
      </w:r>
      <w:r>
        <w:rPr>
          <w:rFonts w:hint="eastAsia" w:eastAsia="仿宋_GB2312" w:cs="仿宋_GB2312"/>
          <w:color w:val="auto"/>
          <w:kern w:val="2"/>
          <w:sz w:val="32"/>
          <w:szCs w:val="32"/>
          <w:highlight w:val="none"/>
          <w:lang w:val="en-US" w:eastAsia="zh-CN" w:bidi="ar-SA"/>
        </w:rPr>
        <w:t>38.66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2F235C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社会保障和就业支出（208）行政事业单位养老支出（05）其他行政事业单位养老支出（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15.64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64A77F5">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卫生健康支出（210）行政事业单位医疗（11）行政单位医疗（01）:支出决算为</w:t>
      </w:r>
      <w:r>
        <w:rPr>
          <w:rFonts w:hint="eastAsia" w:eastAsia="仿宋_GB2312" w:cs="仿宋_GB2312"/>
          <w:color w:val="auto"/>
          <w:kern w:val="2"/>
          <w:sz w:val="32"/>
          <w:szCs w:val="32"/>
          <w:highlight w:val="none"/>
          <w:lang w:val="en-US" w:eastAsia="zh-CN" w:bidi="ar-SA"/>
        </w:rPr>
        <w:t>41.26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CB0B9C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卫生健康支出（210）行政事业单位医疗（11）公务员医疗补助（03）:支出决算为</w:t>
      </w:r>
      <w:r>
        <w:rPr>
          <w:rFonts w:hint="eastAsia" w:eastAsia="仿宋_GB2312" w:cs="仿宋_GB2312"/>
          <w:color w:val="auto"/>
          <w:kern w:val="2"/>
          <w:sz w:val="32"/>
          <w:szCs w:val="32"/>
          <w:highlight w:val="none"/>
          <w:lang w:val="en-US" w:eastAsia="zh-CN" w:bidi="ar-SA"/>
        </w:rPr>
        <w:t>7.32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804901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w:t>
      </w:r>
      <w:r>
        <w:rPr>
          <w:rFonts w:hint="eastAsia" w:eastAsia="仿宋_GB2312" w:cs="仿宋_GB2312"/>
          <w:color w:val="auto"/>
          <w:kern w:val="2"/>
          <w:sz w:val="32"/>
          <w:szCs w:val="32"/>
          <w:highlight w:val="none"/>
          <w:lang w:val="en-US" w:eastAsia="zh-CN" w:bidi="ar-SA"/>
        </w:rPr>
        <w:t>65.54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FFAFEC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住房保障支出（221）住房改革支出（02）购房补贴（0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0"/>
          <w:rFonts w:ascii="Times New Roman" w:hAnsi="Times New Roman"/>
          <w:color w:val="auto"/>
          <w:highlight w:val="none"/>
        </w:rPr>
      </w:pPr>
      <w:bookmarkStart w:id="39" w:name="_Toc15377214"/>
      <w:bookmarkStart w:id="40" w:name="_Toc9770"/>
      <w:bookmarkStart w:id="4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9"/>
      <w:bookmarkEnd w:id="40"/>
      <w:bookmarkEnd w:id="41"/>
      <w:r>
        <w:rPr>
          <w:rStyle w:val="30"/>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1193.34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971.36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221.98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81D479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32232BB">
      <w:pPr>
        <w:spacing w:line="600" w:lineRule="exact"/>
        <w:ind w:firstLine="640"/>
        <w:outlineLvl w:val="1"/>
        <w:rPr>
          <w:rStyle w:val="30"/>
          <w:rFonts w:ascii="Times New Roman" w:hAnsi="Times New Roman" w:eastAsia="黑体"/>
          <w:b w:val="0"/>
          <w:color w:val="auto"/>
          <w:highlight w:val="none"/>
        </w:rPr>
      </w:pPr>
      <w:bookmarkStart w:id="42" w:name="_Toc15396609"/>
      <w:bookmarkStart w:id="43" w:name="_Toc26098"/>
      <w:bookmarkStart w:id="44"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157.55</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_GB2312" w:hAnsi="仿宋_GB2312" w:eastAsia="仿宋_GB2312" w:cs="仿宋_GB2312"/>
          <w:sz w:val="32"/>
          <w:szCs w:val="32"/>
          <w:highlight w:val="none"/>
          <w:lang w:val="en-US" w:eastAsia="zh-CN"/>
        </w:rPr>
        <w:t>85.02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117.23</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157.32</w:t>
      </w:r>
      <w:r>
        <w:rPr>
          <w:rFonts w:hint="eastAsia" w:ascii="仿宋_GB2312" w:hAnsi="仿宋_GB2312" w:eastAsia="仿宋_GB2312" w:cs="仿宋_GB2312"/>
          <w:color w:val="auto"/>
          <w:kern w:val="2"/>
          <w:sz w:val="32"/>
          <w:szCs w:val="32"/>
          <w:highlight w:val="none"/>
          <w:lang w:val="en-US" w:eastAsia="zh-CN" w:bidi="ar-SA"/>
        </w:rPr>
        <w:t>万元，占99.85%；公务接待费支出决算</w:t>
      </w:r>
      <w:r>
        <w:rPr>
          <w:rFonts w:hint="eastAsia" w:ascii="仿宋_GB2312" w:hAnsi="仿宋_GB2312" w:eastAsia="仿宋_GB2312" w:cs="仿宋_GB2312"/>
          <w:sz w:val="32"/>
          <w:szCs w:val="32"/>
          <w:highlight w:val="none"/>
          <w:lang w:val="en-US" w:eastAsia="zh-CN"/>
        </w:rPr>
        <w:t>0.23</w:t>
      </w:r>
      <w:r>
        <w:rPr>
          <w:rFonts w:hint="eastAsia" w:ascii="仿宋_GB2312" w:hAnsi="仿宋_GB2312" w:eastAsia="仿宋_GB2312" w:cs="仿宋_GB2312"/>
          <w:color w:val="auto"/>
          <w:kern w:val="2"/>
          <w:sz w:val="32"/>
          <w:szCs w:val="32"/>
          <w:highlight w:val="none"/>
          <w:lang w:val="en-US" w:eastAsia="zh-CN" w:bidi="ar-SA"/>
        </w:rPr>
        <w:t>万元，占0.15%。具体情况如下：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157.32</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sz w:val="32"/>
          <w:szCs w:val="32"/>
          <w:highlight w:val="none"/>
          <w:lang w:val="en-US" w:eastAsia="zh-CN"/>
        </w:rPr>
        <w:t>88.32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128.01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本年度有车辆采购导致变化。</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60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开展日常公务所需</w:t>
      </w:r>
      <w:r>
        <w:rPr>
          <w:rFonts w:hint="eastAsia" w:ascii="Times New Roman" w:hAnsi="Times New Roman" w:eastAsia="仿宋_GB2312" w:cs="仿宋_GB2312"/>
          <w:color w:val="auto"/>
          <w:kern w:val="2"/>
          <w:sz w:val="32"/>
          <w:szCs w:val="32"/>
          <w:highlight w:val="none"/>
          <w:lang w:val="en-US" w:eastAsia="zh-CN" w:bidi="ar-SA"/>
        </w:rPr>
        <w:t>。截至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7</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97.32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0.23</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减少3.53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降低93.4</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0.23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30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0.23</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77218"/>
      <w:bookmarkStart w:id="48" w:name="_Toc15396610"/>
    </w:p>
    <w:p w14:paraId="16B733E7">
      <w:pPr>
        <w:spacing w:line="600" w:lineRule="exact"/>
        <w:ind w:firstLine="640"/>
        <w:outlineLvl w:val="1"/>
        <w:rPr>
          <w:rStyle w:val="30"/>
          <w:rFonts w:ascii="Times New Roman" w:hAnsi="Times New Roman" w:eastAsia="黑体"/>
          <w:color w:val="auto"/>
          <w:highlight w:val="none"/>
        </w:rPr>
      </w:pPr>
      <w:bookmarkStart w:id="49" w:name="_Toc7073"/>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7"/>
      <w:bookmarkEnd w:id="48"/>
      <w:bookmarkEnd w:id="49"/>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0" w:name="_Toc9897"/>
      <w:bookmarkStart w:id="51" w:name="_Toc15396611"/>
      <w:bookmarkStart w:id="52"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0"/>
      <w:bookmarkEnd w:id="51"/>
      <w:bookmarkEnd w:id="52"/>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3" w:name="_Toc15396612"/>
      <w:bookmarkStart w:id="54" w:name="_Toc8130"/>
      <w:bookmarkStart w:id="5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中共四川省阿坝州委统战部（本级）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221.98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65.91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22.9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厉行节约，压缩经费。</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中共四川省阿坝州委统战部（本级）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70.07</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58.63</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11.44</w:t>
      </w:r>
      <w:r>
        <w:rPr>
          <w:rFonts w:hint="eastAsia" w:ascii="仿宋_GB2312" w:hAnsi="仿宋_GB2312" w:eastAsia="仿宋_GB2312" w:cs="仿宋_GB2312"/>
          <w:color w:val="auto"/>
          <w:kern w:val="2"/>
          <w:sz w:val="32"/>
          <w:szCs w:val="32"/>
          <w:highlight w:val="none"/>
          <w:lang w:val="en-US" w:eastAsia="zh-CN" w:bidi="ar-SA"/>
        </w:rPr>
        <w:t>万元。主要用于日常工作所需的服务采购。授予中小企业合同金额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万元，占政府采购支出总额的0%，其中：授予小微企业合同金额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万元，占政府采购支出总额的0%。</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中共四川省阿坝州委统战部（本级）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中共四川省阿坝州委统战部（本级）</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年度预算编制阶段，组织对整治工作经费</w:t>
      </w:r>
      <w:r>
        <w:rPr>
          <w:rFonts w:hint="eastAsia" w:eastAsia="仿宋_GB2312" w:cs="仿宋_GB2312"/>
          <w:color w:val="auto"/>
          <w:kern w:val="2"/>
          <w:sz w:val="32"/>
          <w:szCs w:val="32"/>
          <w:highlight w:val="none"/>
          <w:lang w:val="en-US" w:eastAsia="zh-CN" w:bidi="ar-SA"/>
        </w:rPr>
        <w:t>、统战工作培训费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BD846F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等全面开展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绩效自评，形成整治工作经费</w:t>
      </w:r>
      <w:r>
        <w:rPr>
          <w:rFonts w:hint="eastAsia" w:eastAsia="仿宋_GB2312" w:cs="仿宋_GB2312"/>
          <w:color w:val="auto"/>
          <w:kern w:val="2"/>
          <w:sz w:val="32"/>
          <w:szCs w:val="32"/>
          <w:highlight w:val="none"/>
          <w:lang w:val="en-US" w:eastAsia="zh-CN" w:bidi="ar-SA"/>
        </w:rPr>
        <w:t>、统战工作培训费</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p>
    <w:p w14:paraId="662416B3">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部门整体</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eastAsia="仿宋_GB2312" w:cs="仿宋_GB2312"/>
          <w:color w:val="auto"/>
          <w:kern w:val="2"/>
          <w:sz w:val="32"/>
          <w:szCs w:val="32"/>
          <w:highlight w:val="none"/>
          <w:lang w:val="en-US" w:eastAsia="zh-CN" w:bidi="ar-SA"/>
        </w:rPr>
        <w:t>1、</w:t>
      </w:r>
    </w:p>
    <w:p w14:paraId="35777AAA">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部门项目</w:t>
      </w:r>
      <w:r>
        <w:rPr>
          <w:rFonts w:hint="eastAsia" w:ascii="Times New Roman" w:hAnsi="Times New Roman" w:eastAsia="仿宋_GB2312" w:cs="仿宋_GB2312"/>
          <w:color w:val="auto"/>
          <w:kern w:val="2"/>
          <w:sz w:val="32"/>
          <w:szCs w:val="32"/>
          <w:highlight w:val="none"/>
          <w:lang w:val="en-US" w:eastAsia="zh-CN" w:bidi="ar-SA"/>
        </w:rPr>
        <w:t>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2。</w:t>
      </w:r>
    </w:p>
    <w:p w14:paraId="68147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432EF4">
      <w:pPr>
        <w:pStyle w:val="14"/>
        <w:rPr>
          <w:rFonts w:hint="eastAsia" w:ascii="Times New Roman" w:hAnsi="Times New Roman" w:eastAsia="仿宋_GB2312" w:cs="仿宋_GB2312"/>
          <w:color w:val="auto"/>
          <w:kern w:val="2"/>
          <w:sz w:val="32"/>
          <w:szCs w:val="32"/>
          <w:highlight w:val="none"/>
          <w:lang w:val="en-US" w:eastAsia="zh-CN" w:bidi="ar-SA"/>
        </w:rPr>
      </w:pPr>
    </w:p>
    <w:p w14:paraId="73621C4F">
      <w:pPr>
        <w:pStyle w:val="8"/>
        <w:rPr>
          <w:rFonts w:hint="eastAsia" w:ascii="Times New Roman" w:hAnsi="Times New Roman" w:eastAsia="仿宋_GB2312" w:cs="仿宋_GB2312"/>
          <w:color w:val="auto"/>
          <w:kern w:val="2"/>
          <w:sz w:val="32"/>
          <w:szCs w:val="32"/>
          <w:highlight w:val="none"/>
          <w:lang w:val="en-US" w:eastAsia="zh-CN" w:bidi="ar-SA"/>
        </w:rPr>
      </w:pPr>
    </w:p>
    <w:p w14:paraId="156CDA8A">
      <w:pPr>
        <w:pStyle w:val="8"/>
        <w:rPr>
          <w:rFonts w:hint="eastAsia" w:ascii="Times New Roman" w:hAnsi="Times New Roman" w:eastAsia="仿宋_GB2312" w:cs="仿宋_GB2312"/>
          <w:color w:val="auto"/>
          <w:kern w:val="2"/>
          <w:sz w:val="32"/>
          <w:szCs w:val="32"/>
          <w:highlight w:val="none"/>
          <w:lang w:val="en-US" w:eastAsia="zh-CN" w:bidi="ar-SA"/>
        </w:rPr>
      </w:pPr>
    </w:p>
    <w:p w14:paraId="43788B64">
      <w:pPr>
        <w:pStyle w:val="8"/>
        <w:rPr>
          <w:rFonts w:hint="eastAsia" w:ascii="Times New Roman" w:hAnsi="Times New Roman" w:eastAsia="仿宋_GB2312" w:cs="仿宋_GB2312"/>
          <w:color w:val="auto"/>
          <w:kern w:val="2"/>
          <w:sz w:val="32"/>
          <w:szCs w:val="32"/>
          <w:highlight w:val="none"/>
          <w:lang w:val="en-US" w:eastAsia="zh-CN" w:bidi="ar-SA"/>
        </w:rPr>
      </w:pPr>
    </w:p>
    <w:p w14:paraId="3BB19C87">
      <w:pPr>
        <w:pStyle w:val="8"/>
        <w:rPr>
          <w:rFonts w:hint="eastAsia" w:ascii="Times New Roman" w:hAnsi="Times New Roman" w:eastAsia="仿宋_GB2312" w:cs="仿宋_GB2312"/>
          <w:color w:val="auto"/>
          <w:kern w:val="2"/>
          <w:sz w:val="32"/>
          <w:szCs w:val="32"/>
          <w:highlight w:val="none"/>
          <w:lang w:val="en-US" w:eastAsia="zh-CN" w:bidi="ar-SA"/>
        </w:rPr>
      </w:pPr>
    </w:p>
    <w:p w14:paraId="3C5966BB">
      <w:pPr>
        <w:pStyle w:val="8"/>
        <w:rPr>
          <w:rFonts w:hint="eastAsia" w:ascii="Times New Roman" w:hAnsi="Times New Roman" w:eastAsia="仿宋_GB2312" w:cs="仿宋_GB2312"/>
          <w:color w:val="auto"/>
          <w:kern w:val="2"/>
          <w:sz w:val="32"/>
          <w:szCs w:val="32"/>
          <w:highlight w:val="none"/>
          <w:lang w:val="en-US" w:eastAsia="zh-CN" w:bidi="ar-SA"/>
        </w:rPr>
      </w:pPr>
    </w:p>
    <w:p w14:paraId="14573093">
      <w:pPr>
        <w:pStyle w:val="8"/>
        <w:rPr>
          <w:rFonts w:hint="eastAsia" w:ascii="Times New Roman" w:hAnsi="Times New Roman" w:eastAsia="仿宋_GB2312" w:cs="仿宋_GB2312"/>
          <w:color w:val="auto"/>
          <w:kern w:val="2"/>
          <w:sz w:val="32"/>
          <w:szCs w:val="32"/>
          <w:highlight w:val="none"/>
          <w:lang w:val="en-US" w:eastAsia="zh-CN" w:bidi="ar-SA"/>
        </w:rPr>
      </w:pPr>
    </w:p>
    <w:p w14:paraId="4DEF709E">
      <w:pPr>
        <w:pStyle w:val="8"/>
        <w:rPr>
          <w:rFonts w:hint="eastAsia" w:ascii="Times New Roman" w:hAnsi="Times New Roman" w:eastAsia="仿宋_GB2312" w:cs="仿宋_GB2312"/>
          <w:color w:val="auto"/>
          <w:kern w:val="2"/>
          <w:sz w:val="32"/>
          <w:szCs w:val="32"/>
          <w:highlight w:val="none"/>
          <w:lang w:val="en-US" w:eastAsia="zh-CN" w:bidi="ar-SA"/>
        </w:rPr>
      </w:pPr>
    </w:p>
    <w:p w14:paraId="6A3018E1">
      <w:pPr>
        <w:pStyle w:val="8"/>
        <w:rPr>
          <w:rFonts w:hint="eastAsia" w:ascii="Times New Roman" w:hAnsi="Times New Roman" w:eastAsia="仿宋_GB2312" w:cs="仿宋_GB2312"/>
          <w:color w:val="auto"/>
          <w:kern w:val="2"/>
          <w:sz w:val="32"/>
          <w:szCs w:val="32"/>
          <w:highlight w:val="none"/>
          <w:lang w:val="en-US" w:eastAsia="zh-CN" w:bidi="ar-SA"/>
        </w:rPr>
      </w:pPr>
    </w:p>
    <w:p w14:paraId="687EEDB6">
      <w:pPr>
        <w:pStyle w:val="8"/>
        <w:rPr>
          <w:rFonts w:hint="eastAsia" w:ascii="Times New Roman" w:hAnsi="Times New Roman" w:eastAsia="仿宋_GB2312" w:cs="仿宋_GB2312"/>
          <w:color w:val="auto"/>
          <w:kern w:val="2"/>
          <w:sz w:val="32"/>
          <w:szCs w:val="32"/>
          <w:highlight w:val="none"/>
          <w:lang w:val="en-US" w:eastAsia="zh-CN" w:bidi="ar-SA"/>
        </w:rPr>
      </w:pPr>
    </w:p>
    <w:p w14:paraId="12E84698">
      <w:pPr>
        <w:pStyle w:val="8"/>
        <w:rPr>
          <w:rFonts w:hint="eastAsia" w:ascii="Times New Roman" w:hAnsi="Times New Roman" w:eastAsia="仿宋_GB2312" w:cs="仿宋_GB2312"/>
          <w:color w:val="auto"/>
          <w:kern w:val="2"/>
          <w:sz w:val="32"/>
          <w:szCs w:val="32"/>
          <w:highlight w:val="none"/>
          <w:lang w:val="en-US" w:eastAsia="zh-CN" w:bidi="ar-SA"/>
        </w:rPr>
      </w:pPr>
    </w:p>
    <w:p w14:paraId="156CE851">
      <w:pPr>
        <w:pStyle w:val="8"/>
        <w:rPr>
          <w:rFonts w:hint="eastAsia" w:ascii="Times New Roman" w:hAnsi="Times New Roman" w:eastAsia="仿宋_GB2312" w:cs="仿宋_GB2312"/>
          <w:color w:val="auto"/>
          <w:kern w:val="2"/>
          <w:sz w:val="32"/>
          <w:szCs w:val="32"/>
          <w:highlight w:val="none"/>
          <w:lang w:val="en-US" w:eastAsia="zh-CN" w:bidi="ar-SA"/>
        </w:rPr>
      </w:pPr>
    </w:p>
    <w:p w14:paraId="3FAF232A">
      <w:pPr>
        <w:pStyle w:val="8"/>
        <w:rPr>
          <w:rFonts w:hint="eastAsia" w:ascii="Times New Roman" w:hAnsi="Times New Roman" w:eastAsia="仿宋_GB2312" w:cs="仿宋_GB2312"/>
          <w:color w:val="auto"/>
          <w:kern w:val="2"/>
          <w:sz w:val="32"/>
          <w:szCs w:val="32"/>
          <w:highlight w:val="none"/>
          <w:lang w:val="en-US" w:eastAsia="zh-CN" w:bidi="ar-SA"/>
        </w:rPr>
      </w:pPr>
    </w:p>
    <w:p w14:paraId="792F7DEC">
      <w:pPr>
        <w:pStyle w:val="8"/>
        <w:rPr>
          <w:rFonts w:hint="eastAsia" w:ascii="Times New Roman" w:hAnsi="Times New Roman" w:eastAsia="仿宋_GB2312" w:cs="仿宋_GB2312"/>
          <w:color w:val="auto"/>
          <w:kern w:val="2"/>
          <w:sz w:val="32"/>
          <w:szCs w:val="32"/>
          <w:highlight w:val="none"/>
          <w:lang w:val="en-US" w:eastAsia="zh-CN" w:bidi="ar-SA"/>
        </w:rPr>
      </w:pPr>
    </w:p>
    <w:p w14:paraId="24528359">
      <w:pPr>
        <w:pStyle w:val="8"/>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59" w:name="_Toc15377225"/>
      <w:bookmarkStart w:id="60" w:name="_Toc19091"/>
      <w:bookmarkStart w:id="6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16E288E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3FECE6D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31B6BEE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6974A8A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25F5998A">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04CD65F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405970A6">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00286F3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7B281E4B">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）行政运行（01）:反映行政单位(包括实行公务员管理的事业单位)的基本支出</w:t>
      </w:r>
      <w:r>
        <w:rPr>
          <w:rFonts w:hint="eastAsia" w:eastAsia="仿宋_GB2312" w:cs="仿宋_GB2312"/>
          <w:color w:val="auto"/>
          <w:kern w:val="2"/>
          <w:sz w:val="32"/>
          <w:szCs w:val="32"/>
          <w:highlight w:val="none"/>
          <w:lang w:val="en-US" w:eastAsia="zh-CN" w:bidi="ar-SA"/>
        </w:rPr>
        <w:t>。</w:t>
      </w:r>
    </w:p>
    <w:p w14:paraId="4CF3F907">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）行政运行（0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）:反映行政单位(包括实行公务员管理的事业单位)未单独设置项级科目的其他项目支出</w:t>
      </w:r>
      <w:r>
        <w:rPr>
          <w:rFonts w:hint="eastAsia" w:eastAsia="仿宋_GB2312" w:cs="仿宋_GB2312"/>
          <w:color w:val="auto"/>
          <w:kern w:val="2"/>
          <w:sz w:val="32"/>
          <w:szCs w:val="32"/>
          <w:highlight w:val="none"/>
          <w:lang w:val="en-US" w:eastAsia="zh-CN" w:bidi="ar-SA"/>
        </w:rPr>
        <w:t>。</w:t>
      </w:r>
    </w:p>
    <w:p w14:paraId="4D06EC64">
      <w:pPr>
        <w:numPr>
          <w:ilvl w:val="0"/>
          <w:numId w:val="2"/>
        </w:numPr>
        <w:spacing w:line="600" w:lineRule="exact"/>
        <w:ind w:left="0" w:leftChars="0" w:firstLine="400" w:firstLineChars="0"/>
        <w:rPr>
          <w:rFonts w:hint="eastAsia"/>
          <w:color w:val="auto"/>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）统战事务（</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）其他统战事务支出（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）:反映除上述项目以外其他用于中国共产党统战部门的事务支出</w:t>
      </w:r>
      <w:r>
        <w:rPr>
          <w:rFonts w:hint="eastAsia" w:eastAsia="仿宋_GB2312" w:cs="仿宋_GB2312"/>
          <w:color w:val="auto"/>
          <w:kern w:val="2"/>
          <w:sz w:val="32"/>
          <w:szCs w:val="32"/>
          <w:highlight w:val="none"/>
          <w:lang w:val="en-US" w:eastAsia="zh-CN" w:bidi="ar-SA"/>
        </w:rPr>
        <w:t>。</w:t>
      </w:r>
    </w:p>
    <w:p w14:paraId="47B2326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教育支出（20</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）其他教育支出（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）其他教育支出（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）:反映除上述项目以外其他用于教育方面的支出</w:t>
      </w:r>
      <w:r>
        <w:rPr>
          <w:rFonts w:hint="eastAsia" w:eastAsia="仿宋_GB2312" w:cs="仿宋_GB2312"/>
          <w:color w:val="auto"/>
          <w:kern w:val="2"/>
          <w:sz w:val="32"/>
          <w:szCs w:val="32"/>
          <w:highlight w:val="none"/>
          <w:lang w:val="en-US" w:eastAsia="zh-CN" w:bidi="ar-SA"/>
        </w:rPr>
        <w:t>。</w:t>
      </w:r>
    </w:p>
    <w:p w14:paraId="3B2A33E6">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487BE26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6CA74BFA">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社会保障和就业支出（208）行政事业单位养老支出（05）其他行政事业单位养老支出（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）:反映除上述项目以外其他用于社会保障和就业方面的支出</w:t>
      </w:r>
      <w:r>
        <w:rPr>
          <w:rFonts w:hint="eastAsia" w:eastAsia="仿宋_GB2312" w:cs="仿宋_GB2312"/>
          <w:color w:val="auto"/>
          <w:kern w:val="2"/>
          <w:sz w:val="32"/>
          <w:szCs w:val="32"/>
          <w:highlight w:val="none"/>
          <w:lang w:val="en-US" w:eastAsia="zh-CN" w:bidi="ar-SA"/>
        </w:rPr>
        <w:t>。</w:t>
      </w:r>
    </w:p>
    <w:p w14:paraId="71E0F486">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14:paraId="2FCDCA9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卫生健康支出（210）行政事业单位医疗（11）公务员医疗补助（03）:反映财政部门安排的公务员医疗补助经费。</w:t>
      </w:r>
    </w:p>
    <w:p w14:paraId="3DF4BB8E">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76CF9F31">
      <w:pPr>
        <w:numPr>
          <w:ilvl w:val="0"/>
          <w:numId w:val="2"/>
        </w:numPr>
        <w:spacing w:line="600" w:lineRule="exact"/>
        <w:ind w:left="0" w:leftChars="0" w:firstLine="400" w:firstLineChars="0"/>
        <w:rPr>
          <w:rFonts w:hint="eastAsia"/>
          <w:color w:val="auto"/>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住房保障支出（221）住房改革支出（02）购房补贴（0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）:反映按房改政策规定,行政事业单位向符合条件职工(含离退体人员》、军队(含武警)向转役复员离退体人员发放的用于购买住房的补贴</w:t>
      </w:r>
      <w:r>
        <w:rPr>
          <w:rFonts w:hint="eastAsia" w:eastAsia="仿宋_GB2312" w:cs="仿宋_GB2312"/>
          <w:color w:val="auto"/>
          <w:kern w:val="2"/>
          <w:sz w:val="32"/>
          <w:szCs w:val="32"/>
          <w:highlight w:val="none"/>
          <w:lang w:val="en-US" w:eastAsia="zh-CN" w:bidi="ar-SA"/>
        </w:rPr>
        <w:t>。</w:t>
      </w:r>
    </w:p>
    <w:p w14:paraId="62B4CC8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C4F186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C69585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52EA86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02B81A9">
      <w:pPr>
        <w:numPr>
          <w:ilvl w:val="0"/>
          <w:numId w:val="2"/>
        </w:numPr>
        <w:spacing w:line="600" w:lineRule="exact"/>
        <w:ind w:left="0" w:leftChars="0" w:firstLine="400" w:firstLineChars="0"/>
        <w:jc w:val="both"/>
        <w:rPr>
          <w:rFonts w:hint="eastAsia" w:ascii="Times New Roman" w:hAnsi="Times New Roman" w:eastAsia="黑体" w:cs="黑体"/>
          <w:color w:val="FF000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bookmarkStart w:id="63" w:name="_Toc15396614"/>
      <w:bookmarkStart w:id="64" w:name="_Toc6590"/>
    </w:p>
    <w:p w14:paraId="2525DCDB">
      <w:pPr>
        <w:numPr>
          <w:numId w:val="0"/>
        </w:numPr>
        <w:spacing w:line="600" w:lineRule="exact"/>
        <w:jc w:val="center"/>
        <w:rPr>
          <w:rFonts w:hint="eastAsia" w:ascii="Times New Roman" w:hAnsi="Times New Roman" w:eastAsia="黑体" w:cs="黑体"/>
          <w:color w:val="FF0000"/>
          <w:sz w:val="32"/>
          <w:szCs w:val="32"/>
          <w:highlight w:val="none"/>
        </w:rPr>
      </w:pPr>
      <w:bookmarkStart w:id="94" w:name="_GoBack"/>
      <w:bookmarkEnd w:id="9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12ABF7D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65" w:name="_Hlk110546638"/>
      <w:r>
        <w:rPr>
          <w:rFonts w:hint="eastAsia" w:eastAsia="方正小标宋简体" w:cs="Times New Roman"/>
          <w:b w:val="0"/>
          <w:bCs/>
          <w:sz w:val="44"/>
          <w:szCs w:val="44"/>
          <w:highlight w:val="none"/>
          <w:shd w:val="clear" w:color="auto" w:fill="FFFFFF"/>
          <w:lang w:val="en-US" w:eastAsia="zh-CN"/>
        </w:rPr>
        <w:t>我单位不涉及</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p>
    <w:bookmarkEnd w:id="65"/>
    <w:p w14:paraId="5D392FD5">
      <w:pPr>
        <w:pStyle w:val="8"/>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eastAsia="仿宋_GB2312" w:cs="Times New Roman"/>
          <w:kern w:val="2"/>
          <w:sz w:val="32"/>
          <w:szCs w:val="32"/>
          <w:highlight w:val="none"/>
          <w:u w:val="none"/>
          <w:lang w:val="zh-CN" w:eastAsia="zh-CN" w:bidi="ar"/>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p w14:paraId="6E967CA5">
      <w:pPr>
        <w:pStyle w:val="8"/>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cs="Times New Roman"/>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r>
        <w:rPr>
          <w:rFonts w:hint="eastAsia" w:ascii="Times New Roman" w:hAnsi="Times New Roman" w:eastAsia="仿宋_GB2312" w:cs="Times New Roman"/>
          <w:kern w:val="2"/>
          <w:sz w:val="32"/>
          <w:szCs w:val="32"/>
          <w:highlight w:val="none"/>
          <w:u w:val="none"/>
          <w:lang w:val="en-US" w:eastAsia="zh-CN" w:bidi="ar"/>
        </w:rPr>
        <w:t>涉密</w:t>
      </w:r>
    </w:p>
    <w:p w14:paraId="72F6FFC3">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D024B45">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方正小标宋简体" w:cs="方正小标宋简体"/>
          <w:color w:val="auto"/>
          <w:kern w:val="2"/>
          <w:sz w:val="44"/>
          <w:szCs w:val="44"/>
          <w:highlight w:val="none"/>
          <w:lang w:val="en-US" w:eastAsia="zh-CN"/>
        </w:rPr>
        <w:t>我单位不涉及专项预算项目绩效评价</w:t>
      </w:r>
    </w:p>
    <w:p w14:paraId="6D1411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6C28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44B5A96">
      <w:pPr>
        <w:widowControl/>
        <w:jc w:val="center"/>
        <w:outlineLvl w:val="0"/>
        <w:rPr>
          <w:rFonts w:hint="eastAsia" w:ascii="Times New Roman" w:hAnsi="Times New Roman" w:eastAsia="仿宋_GB2312" w:cs="仿宋_GB2312"/>
          <w:color w:val="auto"/>
          <w:sz w:val="32"/>
          <w:szCs w:val="32"/>
          <w:highlight w:val="none"/>
        </w:rPr>
      </w:pPr>
      <w:bookmarkStart w:id="67" w:name="_Toc1832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 xml:space="preserve">五部分 </w:t>
      </w:r>
      <w:r>
        <w:rPr>
          <w:rStyle w:val="29"/>
          <w:rFonts w:hint="eastAsia" w:eastAsia="黑体"/>
          <w:b w:val="0"/>
          <w:color w:val="auto"/>
          <w:highlight w:val="none"/>
          <w:lang w:val="en-US" w:eastAsia="zh-CN"/>
        </w:rPr>
        <w:t xml:space="preserve"> </w:t>
      </w:r>
      <w:r>
        <w:rPr>
          <w:rStyle w:val="29"/>
          <w:rFonts w:hint="eastAsia" w:ascii="Times New Roman" w:hAnsi="Times New Roman" w:eastAsia="黑体"/>
          <w:b w:val="0"/>
          <w:color w:val="auto"/>
          <w:highlight w:val="none"/>
        </w:rPr>
        <w:t>附表</w:t>
      </w:r>
      <w:bookmarkEnd w:id="62"/>
      <w:bookmarkEnd w:id="66"/>
      <w:bookmarkEnd w:id="67"/>
      <w:bookmarkStart w:id="68" w:name="_Toc15396619"/>
    </w:p>
    <w:p w14:paraId="5B76F9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9" w:name="_Toc3436"/>
      <w:r>
        <w:rPr>
          <w:rFonts w:hint="eastAsia" w:ascii="Times New Roman" w:hAnsi="Times New Roman" w:eastAsia="仿宋_GB2312" w:cs="仿宋_GB2312"/>
          <w:color w:val="auto"/>
          <w:sz w:val="32"/>
          <w:szCs w:val="32"/>
          <w:highlight w:val="none"/>
        </w:rPr>
        <w:t>一、收入支出决算总表</w:t>
      </w:r>
      <w:bookmarkEnd w:id="68"/>
      <w:bookmarkEnd w:id="69"/>
    </w:p>
    <w:p w14:paraId="585E52D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0" w:name="_Toc10614"/>
      <w:bookmarkStart w:id="71" w:name="_Toc15396620"/>
      <w:r>
        <w:rPr>
          <w:rFonts w:hint="eastAsia" w:ascii="Times New Roman" w:hAnsi="Times New Roman" w:eastAsia="仿宋_GB2312" w:cs="仿宋_GB2312"/>
          <w:color w:val="auto"/>
          <w:sz w:val="32"/>
          <w:szCs w:val="32"/>
          <w:highlight w:val="none"/>
        </w:rPr>
        <w:t>二、收入决算表</w:t>
      </w:r>
      <w:bookmarkEnd w:id="70"/>
      <w:bookmarkEnd w:id="71"/>
    </w:p>
    <w:p w14:paraId="61C5EB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14774"/>
      <w:bookmarkStart w:id="73" w:name="_Toc15396621"/>
      <w:r>
        <w:rPr>
          <w:rFonts w:hint="eastAsia" w:ascii="Times New Roman" w:hAnsi="Times New Roman" w:eastAsia="仿宋_GB2312" w:cs="仿宋_GB2312"/>
          <w:color w:val="auto"/>
          <w:sz w:val="32"/>
          <w:szCs w:val="32"/>
          <w:highlight w:val="none"/>
        </w:rPr>
        <w:t>三、支出决算表</w:t>
      </w:r>
      <w:bookmarkEnd w:id="72"/>
      <w:bookmarkEnd w:id="73"/>
    </w:p>
    <w:p w14:paraId="2B40FB6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15396622"/>
      <w:bookmarkStart w:id="75" w:name="_Toc5392"/>
      <w:r>
        <w:rPr>
          <w:rFonts w:hint="eastAsia" w:ascii="Times New Roman" w:hAnsi="Times New Roman" w:eastAsia="仿宋_GB2312" w:cs="仿宋_GB2312"/>
          <w:color w:val="auto"/>
          <w:sz w:val="32"/>
          <w:szCs w:val="32"/>
          <w:highlight w:val="none"/>
        </w:rPr>
        <w:t>四、财政拨款收入支出决算总表</w:t>
      </w:r>
      <w:bookmarkEnd w:id="74"/>
      <w:bookmarkEnd w:id="75"/>
    </w:p>
    <w:p w14:paraId="0221BCA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29475"/>
      <w:bookmarkStart w:id="77" w:name="_Toc15396623"/>
      <w:r>
        <w:rPr>
          <w:rFonts w:hint="eastAsia" w:ascii="Times New Roman" w:hAnsi="Times New Roman" w:eastAsia="仿宋_GB2312" w:cs="仿宋_GB2312"/>
          <w:color w:val="auto"/>
          <w:sz w:val="32"/>
          <w:szCs w:val="32"/>
          <w:highlight w:val="none"/>
        </w:rPr>
        <w:t>五、财政拨款支出决算明细表</w:t>
      </w:r>
      <w:bookmarkEnd w:id="76"/>
      <w:bookmarkEnd w:id="77"/>
      <w:bookmarkStart w:id="78" w:name="_Toc15396624"/>
    </w:p>
    <w:p w14:paraId="53FD6F5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2870"/>
      <w:r>
        <w:rPr>
          <w:rFonts w:hint="eastAsia" w:ascii="Times New Roman" w:hAnsi="Times New Roman" w:eastAsia="仿宋_GB2312" w:cs="仿宋_GB2312"/>
          <w:color w:val="auto"/>
          <w:sz w:val="32"/>
          <w:szCs w:val="32"/>
          <w:highlight w:val="none"/>
        </w:rPr>
        <w:t>六、一般公共预算财政拨款支出决算表</w:t>
      </w:r>
      <w:bookmarkEnd w:id="78"/>
      <w:bookmarkEnd w:id="79"/>
    </w:p>
    <w:p w14:paraId="2B8EE2E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25605"/>
      <w:bookmarkStart w:id="81" w:name="_Toc15396625"/>
      <w:r>
        <w:rPr>
          <w:rFonts w:hint="eastAsia" w:ascii="Times New Roman" w:hAnsi="Times New Roman" w:eastAsia="仿宋_GB2312" w:cs="仿宋_GB2312"/>
          <w:color w:val="auto"/>
          <w:sz w:val="32"/>
          <w:szCs w:val="32"/>
          <w:highlight w:val="none"/>
        </w:rPr>
        <w:t>七、一般公共预算财政拨款支出决算明细表</w:t>
      </w:r>
      <w:bookmarkEnd w:id="80"/>
      <w:bookmarkEnd w:id="81"/>
    </w:p>
    <w:p w14:paraId="7A3EDB4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15396626"/>
      <w:bookmarkStart w:id="83" w:name="_Toc3760"/>
      <w:r>
        <w:rPr>
          <w:rFonts w:hint="eastAsia" w:ascii="Times New Roman" w:hAnsi="Times New Roman" w:eastAsia="仿宋_GB2312" w:cs="仿宋_GB2312"/>
          <w:color w:val="auto"/>
          <w:sz w:val="32"/>
          <w:szCs w:val="32"/>
          <w:highlight w:val="none"/>
        </w:rPr>
        <w:t>八、一般公共预算财政拨款基本支出决算表</w:t>
      </w:r>
      <w:bookmarkEnd w:id="82"/>
      <w:bookmarkEnd w:id="83"/>
    </w:p>
    <w:p w14:paraId="71633B3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26330"/>
      <w:bookmarkStart w:id="85" w:name="_Toc15396627"/>
      <w:r>
        <w:rPr>
          <w:rFonts w:hint="eastAsia" w:ascii="Times New Roman" w:hAnsi="Times New Roman" w:eastAsia="仿宋_GB2312" w:cs="仿宋_GB2312"/>
          <w:color w:val="auto"/>
          <w:sz w:val="32"/>
          <w:szCs w:val="32"/>
          <w:highlight w:val="none"/>
        </w:rPr>
        <w:t>九、一般公共预算财政拨款项目支出决算表</w:t>
      </w:r>
      <w:bookmarkEnd w:id="84"/>
      <w:bookmarkEnd w:id="85"/>
    </w:p>
    <w:p w14:paraId="5C8191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8"/>
      <w:bookmarkStart w:id="87" w:name="_Toc12171"/>
      <w:r>
        <w:rPr>
          <w:rFonts w:hint="eastAsia" w:ascii="Times New Roman" w:hAnsi="Times New Roman" w:eastAsia="仿宋_GB2312" w:cs="仿宋_GB2312"/>
          <w:color w:val="auto"/>
          <w:sz w:val="32"/>
          <w:szCs w:val="32"/>
          <w:highlight w:val="none"/>
        </w:rPr>
        <w:t>十、</w:t>
      </w:r>
      <w:bookmarkEnd w:id="86"/>
      <w:r>
        <w:rPr>
          <w:rFonts w:hint="eastAsia" w:ascii="Times New Roman" w:hAnsi="Times New Roman" w:eastAsia="仿宋_GB2312" w:cs="仿宋_GB2312"/>
          <w:color w:val="auto"/>
          <w:sz w:val="32"/>
          <w:szCs w:val="32"/>
          <w:highlight w:val="none"/>
        </w:rPr>
        <w:t>政府性基金预算财政拨款收入支出决算表</w:t>
      </w:r>
      <w:bookmarkEnd w:id="87"/>
    </w:p>
    <w:p w14:paraId="2554C6A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29"/>
      <w:bookmarkStart w:id="89" w:name="_Toc5335"/>
      <w:r>
        <w:rPr>
          <w:rFonts w:hint="eastAsia" w:ascii="Times New Roman" w:hAnsi="Times New Roman" w:eastAsia="仿宋_GB2312" w:cs="仿宋_GB2312"/>
          <w:color w:val="auto"/>
          <w:sz w:val="32"/>
          <w:szCs w:val="32"/>
          <w:highlight w:val="none"/>
        </w:rPr>
        <w:t>十一、</w:t>
      </w:r>
      <w:bookmarkEnd w:id="8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9"/>
    </w:p>
    <w:p w14:paraId="54F8AF3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30"/>
      <w:bookmarkStart w:id="91" w:name="_Toc19972"/>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bookmarkEnd w:id="91"/>
    </w:p>
    <w:p w14:paraId="4790827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2" w:name="_Toc15396631"/>
      <w:bookmarkStart w:id="93" w:name="_Toc12736"/>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bookmarkEnd w:id="93"/>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05043C-01A2-47BD-B101-1C4170D2D8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3ED7081-4325-4BB1-A098-1884A32989BC}"/>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1310A6AF-FF5E-46EE-9B95-38BDABA49B85}"/>
  </w:font>
  <w:font w:name="仿宋">
    <w:panose1 w:val="02010609060101010101"/>
    <w:charset w:val="86"/>
    <w:family w:val="modern"/>
    <w:pitch w:val="default"/>
    <w:sig w:usb0="800002BF" w:usb1="38CF7CFA" w:usb2="00000016" w:usb3="00000000" w:csb0="00040001" w:csb1="00000000"/>
    <w:embedRegular r:id="rId4" w:fontKey="{3545E2B4-A5DE-43AC-80FE-887CE45900F5}"/>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C599DE36-9CFB-4C5A-8ED9-4D429FAA46A7}"/>
  </w:font>
  <w:font w:name="楷体_GB2312">
    <w:altName w:val="楷体"/>
    <w:panose1 w:val="02010609030101010101"/>
    <w:charset w:val="86"/>
    <w:family w:val="auto"/>
    <w:pitch w:val="default"/>
    <w:sig w:usb0="00000000" w:usb1="00000000" w:usb2="00000000" w:usb3="00000000" w:csb0="00040000" w:csb1="00000000"/>
    <w:embedRegular r:id="rId6" w:fontKey="{1462A0BB-A58F-4249-A891-31A38C9CEE71}"/>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1"/>
      <w:jc w:val="center"/>
    </w:pPr>
  </w:p>
  <w:p w14:paraId="3777894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1"/>
      <w:jc w:val="center"/>
    </w:pPr>
  </w:p>
  <w:p w14:paraId="031821C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F538B"/>
    <w:multiLevelType w:val="singleLevel"/>
    <w:tmpl w:val="834F538B"/>
    <w:lvl w:ilvl="0" w:tentative="0">
      <w:start w:val="1"/>
      <w:numFmt w:val="decimal"/>
      <w:suff w:val="nothing"/>
      <w:lvlText w:val="%1．"/>
      <w:lvlJc w:val="left"/>
      <w:pPr>
        <w:ind w:left="0" w:firstLine="400"/>
      </w:pPr>
      <w:rPr>
        <w:rFonts w:hint="default"/>
        <w:sz w:val="32"/>
        <w:szCs w:val="32"/>
      </w:rPr>
    </w:lvl>
  </w:abstractNum>
  <w:abstractNum w:abstractNumId="1">
    <w:nsid w:val="A7A94854"/>
    <w:multiLevelType w:val="singleLevel"/>
    <w:tmpl w:val="A7A94854"/>
    <w:lvl w:ilvl="0" w:tentative="0">
      <w:start w:val="1"/>
      <w:numFmt w:val="decimal"/>
      <w:suff w:val="nothing"/>
      <w:lvlText w:val="%1．"/>
      <w:lvlJc w:val="left"/>
      <w:pPr>
        <w:ind w:left="0" w:firstLine="400"/>
      </w:pPr>
      <w:rPr>
        <w:rFonts w:hint="default"/>
        <w:color w:val="auto"/>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4916F1E"/>
    <w:rsid w:val="04DB26FC"/>
    <w:rsid w:val="057228FE"/>
    <w:rsid w:val="061E35DE"/>
    <w:rsid w:val="06523F87"/>
    <w:rsid w:val="066E0107"/>
    <w:rsid w:val="070C63F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5C0BBE"/>
    <w:rsid w:val="12E24EE2"/>
    <w:rsid w:val="13390EFF"/>
    <w:rsid w:val="13D50BC4"/>
    <w:rsid w:val="14B17F78"/>
    <w:rsid w:val="15397A06"/>
    <w:rsid w:val="15945E76"/>
    <w:rsid w:val="165E0673"/>
    <w:rsid w:val="16AB2E5D"/>
    <w:rsid w:val="16B831D5"/>
    <w:rsid w:val="16BB723D"/>
    <w:rsid w:val="175400B6"/>
    <w:rsid w:val="175B488E"/>
    <w:rsid w:val="17E50567"/>
    <w:rsid w:val="186504BB"/>
    <w:rsid w:val="188744BB"/>
    <w:rsid w:val="19A445FC"/>
    <w:rsid w:val="1A81247C"/>
    <w:rsid w:val="1B9C027D"/>
    <w:rsid w:val="1BE8440E"/>
    <w:rsid w:val="1C1147C7"/>
    <w:rsid w:val="1CBF06C7"/>
    <w:rsid w:val="1CC6347C"/>
    <w:rsid w:val="1D155CEE"/>
    <w:rsid w:val="1D1638FE"/>
    <w:rsid w:val="1DE657E0"/>
    <w:rsid w:val="1DEA3522"/>
    <w:rsid w:val="1E312DEB"/>
    <w:rsid w:val="1E740ACF"/>
    <w:rsid w:val="1F413615"/>
    <w:rsid w:val="1FF35744"/>
    <w:rsid w:val="1FF6BC77"/>
    <w:rsid w:val="208642F4"/>
    <w:rsid w:val="2186353C"/>
    <w:rsid w:val="21DE16AF"/>
    <w:rsid w:val="22791318"/>
    <w:rsid w:val="23311D6D"/>
    <w:rsid w:val="23540202"/>
    <w:rsid w:val="23860B96"/>
    <w:rsid w:val="240371BF"/>
    <w:rsid w:val="241E5CD3"/>
    <w:rsid w:val="244F3473"/>
    <w:rsid w:val="24C97D99"/>
    <w:rsid w:val="24D63021"/>
    <w:rsid w:val="250E6DEB"/>
    <w:rsid w:val="25697422"/>
    <w:rsid w:val="25A718F0"/>
    <w:rsid w:val="25BB59F6"/>
    <w:rsid w:val="260F557C"/>
    <w:rsid w:val="261E020C"/>
    <w:rsid w:val="26970054"/>
    <w:rsid w:val="26FF46C4"/>
    <w:rsid w:val="27316648"/>
    <w:rsid w:val="277F117F"/>
    <w:rsid w:val="27FA446F"/>
    <w:rsid w:val="281408E2"/>
    <w:rsid w:val="293F7112"/>
    <w:rsid w:val="29656152"/>
    <w:rsid w:val="29FD04D3"/>
    <w:rsid w:val="2ABD43F8"/>
    <w:rsid w:val="2BFF7BC6"/>
    <w:rsid w:val="2C715B69"/>
    <w:rsid w:val="2C8A61B5"/>
    <w:rsid w:val="2D305A3B"/>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8C5799"/>
    <w:rsid w:val="319F7F4E"/>
    <w:rsid w:val="31AB4AC2"/>
    <w:rsid w:val="32BD1EF1"/>
    <w:rsid w:val="3304709D"/>
    <w:rsid w:val="33A773CB"/>
    <w:rsid w:val="345935E5"/>
    <w:rsid w:val="34665331"/>
    <w:rsid w:val="349D6851"/>
    <w:rsid w:val="3521172E"/>
    <w:rsid w:val="35D755E7"/>
    <w:rsid w:val="36637A9D"/>
    <w:rsid w:val="368F0CB2"/>
    <w:rsid w:val="36AA5135"/>
    <w:rsid w:val="36BE0DA7"/>
    <w:rsid w:val="36DD2F4E"/>
    <w:rsid w:val="376B6AA6"/>
    <w:rsid w:val="376D39B2"/>
    <w:rsid w:val="37C678CF"/>
    <w:rsid w:val="37E16F03"/>
    <w:rsid w:val="37F53A3B"/>
    <w:rsid w:val="389B6C89"/>
    <w:rsid w:val="38D469F0"/>
    <w:rsid w:val="3913458B"/>
    <w:rsid w:val="393A4D47"/>
    <w:rsid w:val="39627CCD"/>
    <w:rsid w:val="397BAF1F"/>
    <w:rsid w:val="39C80763"/>
    <w:rsid w:val="3AB79AF3"/>
    <w:rsid w:val="3AD81A2B"/>
    <w:rsid w:val="3AE834C0"/>
    <w:rsid w:val="3AFB2473"/>
    <w:rsid w:val="3B7EF35A"/>
    <w:rsid w:val="3B9FDB6C"/>
    <w:rsid w:val="3BF5BC2F"/>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2C5F25"/>
    <w:rsid w:val="44E268DA"/>
    <w:rsid w:val="450B04AC"/>
    <w:rsid w:val="450D13D7"/>
    <w:rsid w:val="454C31E3"/>
    <w:rsid w:val="45506656"/>
    <w:rsid w:val="45B7168C"/>
    <w:rsid w:val="463902F3"/>
    <w:rsid w:val="48131E90"/>
    <w:rsid w:val="48313923"/>
    <w:rsid w:val="483C5908"/>
    <w:rsid w:val="486A6C7A"/>
    <w:rsid w:val="4A627F82"/>
    <w:rsid w:val="4B0E749A"/>
    <w:rsid w:val="4B2477C4"/>
    <w:rsid w:val="4B4F25DA"/>
    <w:rsid w:val="4BE068DB"/>
    <w:rsid w:val="4D510618"/>
    <w:rsid w:val="4D577224"/>
    <w:rsid w:val="4DBA7040"/>
    <w:rsid w:val="4DBF1CEB"/>
    <w:rsid w:val="4DF0007C"/>
    <w:rsid w:val="4EAB630A"/>
    <w:rsid w:val="4ECE2238"/>
    <w:rsid w:val="4F477F24"/>
    <w:rsid w:val="4F833267"/>
    <w:rsid w:val="4FB862CC"/>
    <w:rsid w:val="4FE9BD67"/>
    <w:rsid w:val="4FFB052F"/>
    <w:rsid w:val="52D47D21"/>
    <w:rsid w:val="533B7DA0"/>
    <w:rsid w:val="537E6D0A"/>
    <w:rsid w:val="53A828E9"/>
    <w:rsid w:val="53F74C96"/>
    <w:rsid w:val="53FD0BB2"/>
    <w:rsid w:val="55170BA8"/>
    <w:rsid w:val="553218C9"/>
    <w:rsid w:val="55772500"/>
    <w:rsid w:val="55CB540B"/>
    <w:rsid w:val="567E1AA5"/>
    <w:rsid w:val="56E47B74"/>
    <w:rsid w:val="57175D52"/>
    <w:rsid w:val="57511940"/>
    <w:rsid w:val="57906374"/>
    <w:rsid w:val="57A7338F"/>
    <w:rsid w:val="57BD3DD4"/>
    <w:rsid w:val="584E2B8F"/>
    <w:rsid w:val="5A0D6898"/>
    <w:rsid w:val="5A3B68D8"/>
    <w:rsid w:val="5A9F6E67"/>
    <w:rsid w:val="5AF92295"/>
    <w:rsid w:val="5B250254"/>
    <w:rsid w:val="5BDD79E6"/>
    <w:rsid w:val="5BF561CA"/>
    <w:rsid w:val="5BFF5DFC"/>
    <w:rsid w:val="5C7779C1"/>
    <w:rsid w:val="5C8D7611"/>
    <w:rsid w:val="5C941ABA"/>
    <w:rsid w:val="5CD71FC4"/>
    <w:rsid w:val="5D1F11B5"/>
    <w:rsid w:val="5D695134"/>
    <w:rsid w:val="5D8272F5"/>
    <w:rsid w:val="5DAE1B18"/>
    <w:rsid w:val="5DE7D9E5"/>
    <w:rsid w:val="5ECEC941"/>
    <w:rsid w:val="5FBF9FF3"/>
    <w:rsid w:val="5FCD4E2C"/>
    <w:rsid w:val="5FEF394A"/>
    <w:rsid w:val="5FF67715"/>
    <w:rsid w:val="5FFB68ED"/>
    <w:rsid w:val="60BB7E2A"/>
    <w:rsid w:val="612E2892"/>
    <w:rsid w:val="62BF3928"/>
    <w:rsid w:val="632C3261"/>
    <w:rsid w:val="63B3701E"/>
    <w:rsid w:val="647F5392"/>
    <w:rsid w:val="651951E5"/>
    <w:rsid w:val="65527BDD"/>
    <w:rsid w:val="65E66580"/>
    <w:rsid w:val="664B1D71"/>
    <w:rsid w:val="664B4E8E"/>
    <w:rsid w:val="66547382"/>
    <w:rsid w:val="66B477F6"/>
    <w:rsid w:val="66D206EE"/>
    <w:rsid w:val="67277B67"/>
    <w:rsid w:val="674A63AC"/>
    <w:rsid w:val="675F3C06"/>
    <w:rsid w:val="678E7ECB"/>
    <w:rsid w:val="67AA3209"/>
    <w:rsid w:val="67D90194"/>
    <w:rsid w:val="698D0931"/>
    <w:rsid w:val="6A6F3CED"/>
    <w:rsid w:val="6A7FE5F3"/>
    <w:rsid w:val="6AD541DF"/>
    <w:rsid w:val="6B053271"/>
    <w:rsid w:val="6B555ED8"/>
    <w:rsid w:val="6BDD78B3"/>
    <w:rsid w:val="6C4A05C8"/>
    <w:rsid w:val="6C7D4523"/>
    <w:rsid w:val="6C8742B8"/>
    <w:rsid w:val="6D013069"/>
    <w:rsid w:val="6D056FFD"/>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05363EE"/>
    <w:rsid w:val="712A28F1"/>
    <w:rsid w:val="715C0E4B"/>
    <w:rsid w:val="71992E7C"/>
    <w:rsid w:val="72233669"/>
    <w:rsid w:val="72734D90"/>
    <w:rsid w:val="72925101"/>
    <w:rsid w:val="73160E6D"/>
    <w:rsid w:val="7332FE48"/>
    <w:rsid w:val="73AB61DA"/>
    <w:rsid w:val="73AD73D5"/>
    <w:rsid w:val="73B6EB34"/>
    <w:rsid w:val="73FA497D"/>
    <w:rsid w:val="74343D24"/>
    <w:rsid w:val="744731E5"/>
    <w:rsid w:val="74BBD01D"/>
    <w:rsid w:val="74ED5379"/>
    <w:rsid w:val="75DEEEC2"/>
    <w:rsid w:val="75E32345"/>
    <w:rsid w:val="76595CC4"/>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6E4791"/>
    <w:rsid w:val="7A894339"/>
    <w:rsid w:val="7AD284E8"/>
    <w:rsid w:val="7AFF7572"/>
    <w:rsid w:val="7B264BB7"/>
    <w:rsid w:val="7B6C7DFB"/>
    <w:rsid w:val="7B8C6B3B"/>
    <w:rsid w:val="7BBFBED0"/>
    <w:rsid w:val="7BC3E394"/>
    <w:rsid w:val="7C1F3737"/>
    <w:rsid w:val="7CBFC87B"/>
    <w:rsid w:val="7CE8640F"/>
    <w:rsid w:val="7CFE0F48"/>
    <w:rsid w:val="7D272ABC"/>
    <w:rsid w:val="7D7EC23E"/>
    <w:rsid w:val="7DE70964"/>
    <w:rsid w:val="7DF84014"/>
    <w:rsid w:val="7E8ADEBF"/>
    <w:rsid w:val="7EEF11D3"/>
    <w:rsid w:val="7EFE4840"/>
    <w:rsid w:val="7F0971A6"/>
    <w:rsid w:val="7F1B454B"/>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1446.05</c:v>
                </c:pt>
                <c:pt idx="1">
                  <c:v>2126.48</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其他收入</c:v>
                </c:pt>
              </c:strCache>
            </c:strRef>
          </c:cat>
          <c:val>
            <c:numRef>
              <c:f>Sheet1!$B$2:$B$3</c:f>
              <c:numCache>
                <c:formatCode>General</c:formatCode>
                <c:ptCount val="2"/>
                <c:pt idx="0">
                  <c:v>1529.36</c:v>
                </c:pt>
                <c:pt idx="1">
                  <c:v>597.13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1193.34</c:v>
                </c:pt>
                <c:pt idx="1">
                  <c:v>1056.24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1446.05</c:v>
                </c:pt>
                <c:pt idx="1">
                  <c:v>2126.48</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1446.05</c:v>
                </c:pt>
                <c:pt idx="1">
                  <c:v>1529.36</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教育支出</c:v>
                </c:pt>
                <c:pt idx="2">
                  <c:v>社会保障和就业支出</c:v>
                </c:pt>
                <c:pt idx="3">
                  <c:v>卫生健康支出</c:v>
                </c:pt>
                <c:pt idx="4">
                  <c:v>住房保障支出</c:v>
                </c:pt>
              </c:strCache>
            </c:strRef>
          </c:cat>
          <c:val>
            <c:numRef>
              <c:f>Sheet1!$B$2:$B$6</c:f>
              <c:numCache>
                <c:formatCode>General</c:formatCode>
                <c:ptCount val="5"/>
                <c:pt idx="0">
                  <c:v>1282.1</c:v>
                </c:pt>
                <c:pt idx="1">
                  <c:v>0.2</c:v>
                </c:pt>
                <c:pt idx="2">
                  <c:v>131.74</c:v>
                </c:pt>
                <c:pt idx="3">
                  <c:v>48.58</c:v>
                </c:pt>
                <c:pt idx="4">
                  <c:v>66.74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157.32</c:v>
                </c:pt>
                <c:pt idx="2">
                  <c:v>0.23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5875</Words>
  <Characters>6451</Characters>
  <Lines>61</Lines>
  <Paragraphs>17</Paragraphs>
  <TotalTime>3</TotalTime>
  <ScaleCrop>false</ScaleCrop>
  <LinksUpToDate>false</LinksUpToDate>
  <CharactersWithSpaces>6511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Tong</cp:lastModifiedBy>
  <cp:lastPrinted>2025-08-06T17:34:00Z</cp:lastPrinted>
  <dcterms:modified xsi:type="dcterms:W3CDTF">2026-09-17T04:47:52Z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DE9763C24EB8420DB1A58BC5CA77425E_13</vt:lpwstr>
  </property>
  <property fmtid="{D5CDD505-2E9C-101B-9397-08002B2CF9AE}" pid="4" name="KSOTemplateDocerSaveRecord">
    <vt:lpwstr>eyJoZGlkIjoiYzE2MDBlMDAzMTNhMThlOTQzMDNjNjFlZWI4YmVjZjAiLCJ1c2VySWQiOiI1MTQ3MzUwMTcifQ==</vt:lpwstr>
  </property>
</Properties>
</file>