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00589A">
      <w:pPr>
        <w:pStyle w:val="6"/>
        <w:shd w:val="clear"/>
        <w:rPr>
          <w:rFonts w:hint="eastAsia" w:ascii="Times New Roman" w:hAnsi="Times New Roman" w:eastAsia="方正小标宋简体" w:cs="Times New Roman"/>
          <w:color w:val="auto"/>
          <w:kern w:val="2"/>
          <w:sz w:val="72"/>
          <w:szCs w:val="72"/>
          <w:highlight w:val="none"/>
          <w:lang w:val="en-US" w:eastAsia="zh-CN" w:bidi="ar-SA"/>
        </w:rPr>
      </w:pPr>
      <w:bookmarkStart w:id="0" w:name="_Toc15377425"/>
      <w:bookmarkStart w:id="1" w:name="_Toc15396475"/>
      <w:bookmarkStart w:id="2" w:name="_Toc15377193"/>
      <w:bookmarkStart w:id="3" w:name="_Toc15378441"/>
      <w:bookmarkStart w:id="4" w:name="_Toc15306267"/>
      <w:bookmarkStart w:id="5" w:name="_Toc15396597"/>
    </w:p>
    <w:p w14:paraId="2B81399B">
      <w:pPr>
        <w:pStyle w:val="6"/>
        <w:shd w:val="clear"/>
        <w:rPr>
          <w:rFonts w:hint="eastAsia" w:ascii="Times New Roman" w:hAnsi="Times New Roman" w:eastAsia="方正小标宋简体" w:cs="Times New Roman"/>
          <w:color w:val="auto"/>
          <w:kern w:val="2"/>
          <w:sz w:val="72"/>
          <w:szCs w:val="72"/>
          <w:highlight w:val="none"/>
          <w:lang w:val="en-US" w:eastAsia="zh-CN" w:bidi="ar-SA"/>
        </w:rPr>
      </w:pPr>
    </w:p>
    <w:p w14:paraId="017D3EFE">
      <w:pPr>
        <w:pStyle w:val="6"/>
        <w:shd w:val="clear"/>
        <w:rPr>
          <w:rFonts w:hint="eastAsia" w:ascii="Times New Roman" w:hAnsi="Times New Roman" w:eastAsia="方正小标宋简体" w:cs="Times New Roman"/>
          <w:color w:val="auto"/>
          <w:kern w:val="2"/>
          <w:sz w:val="72"/>
          <w:szCs w:val="72"/>
          <w:highlight w:val="none"/>
          <w:lang w:val="en-US" w:eastAsia="zh-CN" w:bidi="ar-SA"/>
        </w:rPr>
      </w:pPr>
    </w:p>
    <w:p w14:paraId="21C59E44">
      <w:pPr>
        <w:pStyle w:val="6"/>
        <w:shd w:val="clear"/>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w:t>
      </w:r>
      <w:r>
        <w:rPr>
          <w:rFonts w:hint="eastAsia" w:ascii="Times New Roman" w:hAnsi="Times New Roman" w:eastAsia="方正小标宋简体" w:cs="Times New Roman"/>
          <w:color w:val="auto"/>
          <w:kern w:val="2"/>
          <w:sz w:val="44"/>
          <w:szCs w:val="44"/>
          <w:highlight w:val="none"/>
          <w:lang w:val="en-US" w:eastAsia="zh-CN" w:bidi="ar-SA"/>
        </w:rPr>
        <w:t>年度</w:t>
      </w:r>
      <w:r>
        <w:rPr>
          <w:rFonts w:hint="eastAsia" w:ascii="Times New Roman" w:eastAsia="方正小标宋简体" w:cs="Times New Roman"/>
          <w:color w:val="auto"/>
          <w:kern w:val="2"/>
          <w:sz w:val="44"/>
          <w:szCs w:val="44"/>
          <w:highlight w:val="none"/>
          <w:lang w:val="en-US" w:eastAsia="zh-CN" w:bidi="ar-SA"/>
        </w:rPr>
        <w:t>四川省阿坝州归国华侨联合会</w:t>
      </w:r>
    </w:p>
    <w:p w14:paraId="3E179DAE">
      <w:pPr>
        <w:pStyle w:val="6"/>
        <w:shd w:val="clear"/>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单位决算公开</w:t>
      </w:r>
    </w:p>
    <w:p w14:paraId="4C9B97CC">
      <w:pPr>
        <w:shd w:val="clear"/>
        <w:spacing w:line="600" w:lineRule="exact"/>
        <w:jc w:val="center"/>
        <w:outlineLvl w:val="0"/>
        <w:rPr>
          <w:rFonts w:ascii="Times New Roman" w:hAnsi="Times New Roman" w:eastAsia="方正小标宋简体"/>
          <w:color w:val="auto"/>
          <w:sz w:val="72"/>
          <w:szCs w:val="72"/>
          <w:highlight w:val="none"/>
        </w:rPr>
      </w:pPr>
    </w:p>
    <w:p w14:paraId="2201A393">
      <w:pPr>
        <w:pStyle w:val="20"/>
        <w:shd w:val="clear"/>
        <w:rPr>
          <w:rFonts w:ascii="Times New Roman" w:hAnsi="Times New Roman"/>
          <w:color w:val="auto"/>
          <w:highlight w:val="none"/>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14:paraId="2E99E7A6">
      <w:pPr>
        <w:widowControl/>
        <w:shd w:val="clear"/>
        <w:jc w:val="center"/>
        <w:rPr>
          <w:rFonts w:ascii="Times New Roman" w:hAnsi="Times New Roman" w:eastAsia="黑体" w:cstheme="minorBidi"/>
          <w:color w:val="auto"/>
          <w:sz w:val="28"/>
          <w:szCs w:val="28"/>
          <w:highlight w:val="none"/>
        </w:rPr>
      </w:pPr>
      <w:r>
        <w:rPr>
          <w:rFonts w:hint="eastAsia" w:ascii="Times New Roman" w:hAnsi="Times New Roman" w:eastAsia="黑体"/>
          <w:color w:val="auto"/>
          <w:sz w:val="48"/>
          <w:szCs w:val="48"/>
          <w:highlight w:val="none"/>
        </w:rPr>
        <w:t>目录</w:t>
      </w:r>
    </w:p>
    <w:p w14:paraId="7E8FCCD0">
      <w:pPr>
        <w:pStyle w:val="13"/>
        <w:shd w:val="clear"/>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8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26 </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color w:val="auto"/>
          <w:kern w:val="2"/>
          <w:sz w:val="21"/>
          <w:szCs w:val="24"/>
          <w:highlight w:val="none"/>
          <w:lang w:val="en-US" w:eastAsia="zh-CN" w:bidi="ar-SA"/>
        </w:rPr>
        <w:id w:val="147468918"/>
        <w15:color w:val="DBDBDB"/>
        <w:docPartObj>
          <w:docPartGallery w:val="Table of Contents"/>
          <w:docPartUnique/>
        </w:docPartObj>
      </w:sdtPr>
      <w:sdtEndPr>
        <w:rPr>
          <w:rFonts w:ascii="Times New Roman" w:hAnsi="Times New Roman" w:eastAsia="宋体" w:cs="Times New Roman"/>
          <w:color w:val="auto"/>
          <w:kern w:val="2"/>
          <w:sz w:val="21"/>
          <w:szCs w:val="24"/>
          <w:highlight w:val="none"/>
          <w:lang w:val="en-US" w:eastAsia="zh-CN" w:bidi="ar-SA"/>
        </w:rPr>
      </w:sdtEndPr>
      <w:sdtContent>
        <w:p w14:paraId="30222DBC">
          <w:pPr>
            <w:shd w:val="clear"/>
            <w:spacing w:before="0" w:beforeLines="0" w:after="0" w:afterLines="0" w:line="240" w:lineRule="auto"/>
            <w:ind w:left="0" w:leftChars="0" w:right="0" w:rightChars="0" w:firstLine="0" w:firstLineChars="0"/>
            <w:jc w:val="both"/>
            <w:rPr>
              <w:color w:val="auto"/>
              <w:highlight w:val="none"/>
            </w:rPr>
          </w:pPr>
        </w:p>
        <w:p w14:paraId="317749BC">
          <w:pPr>
            <w:pStyle w:val="13"/>
            <w:shd w:val="clear"/>
            <w:tabs>
              <w:tab w:val="right" w:leader="dot" w:pos="8306"/>
              <w:tab w:val="clear" w:pos="8296"/>
            </w:tabs>
            <w:jc w:val="both"/>
            <w:rPr>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TOC \o "1-2" \h \u </w:instrText>
          </w:r>
          <w:r>
            <w:rPr>
              <w:rFonts w:ascii="Times New Roman" w:hAnsi="Times New Roman"/>
              <w:color w:val="auto"/>
              <w:highlight w:val="none"/>
            </w:rPr>
            <w:fldChar w:fldCharType="separate"/>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_Toc1108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第一部分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 xml:space="preserve"> </w:t>
          </w:r>
          <w:r>
            <w:rPr>
              <w:rFonts w:hint="eastAsia" w:ascii="Times New Roman" w:hAnsi="Times New Roman" w:eastAsia="黑体" w:cs="黑体"/>
              <w:color w:val="auto"/>
              <w:sz w:val="32"/>
              <w:szCs w:val="32"/>
              <w:highlight w:val="none"/>
              <w:lang w:val="en-US" w:eastAsia="zh-CN"/>
            </w:rPr>
            <w:t>单位</w:t>
          </w:r>
          <w:r>
            <w:rPr>
              <w:rFonts w:hint="eastAsia" w:ascii="Times New Roman" w:hAnsi="Times New Roman" w:eastAsia="黑体" w:cs="黑体"/>
              <w:color w:val="auto"/>
              <w:sz w:val="32"/>
              <w:szCs w:val="32"/>
              <w:highlight w:val="none"/>
            </w:rPr>
            <w:t>概况</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_Toc1108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3</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698AC64F">
          <w:pPr>
            <w:pStyle w:val="15"/>
            <w:keepNext w:val="0"/>
            <w:keepLines w:val="0"/>
            <w:pageBreakBefore w:val="0"/>
            <w:widowControl w:val="0"/>
            <w:shd w:val="clear"/>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_Toc13880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一、</w:t>
          </w:r>
          <w:r>
            <w:rPr>
              <w:rFonts w:hint="eastAsia" w:eastAsia="仿宋_GB2312" w:cs="仿宋_GB2312"/>
              <w:color w:val="auto"/>
              <w:sz w:val="32"/>
              <w:szCs w:val="32"/>
              <w:highlight w:val="none"/>
              <w:lang w:val="en-US" w:eastAsia="zh-CN"/>
            </w:rPr>
            <w:t>单位</w:t>
          </w:r>
          <w:r>
            <w:rPr>
              <w:rFonts w:hint="eastAsia" w:ascii="Times New Roman" w:hAnsi="Times New Roman" w:eastAsia="仿宋_GB2312" w:cs="仿宋_GB2312"/>
              <w:color w:val="auto"/>
              <w:sz w:val="32"/>
              <w:szCs w:val="32"/>
              <w:highlight w:val="none"/>
              <w:lang w:eastAsia="zh-CN"/>
            </w:rPr>
            <w:t>职责</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_Toc13880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3</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012E37C9">
          <w:pPr>
            <w:pStyle w:val="15"/>
            <w:keepNext w:val="0"/>
            <w:keepLines w:val="0"/>
            <w:pageBreakBefore w:val="0"/>
            <w:widowControl w:val="0"/>
            <w:shd w:val="clear"/>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_Toc1296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二、机构设置</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_Toc1296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3</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0DA23601">
          <w:pPr>
            <w:pStyle w:val="13"/>
            <w:keepNext w:val="0"/>
            <w:keepLines w:val="0"/>
            <w:pageBreakBefore w:val="0"/>
            <w:shd w:val="clear"/>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_Toc19438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 xml:space="preserve"> </w:t>
          </w:r>
          <w:r>
            <w:rPr>
              <w:rFonts w:hint="eastAsia" w:ascii="Times New Roman" w:hAnsi="Times New Roman" w:eastAsia="黑体" w:cs="黑体"/>
              <w:color w:val="auto"/>
              <w:sz w:val="32"/>
              <w:szCs w:val="32"/>
              <w:highlight w:val="none"/>
              <w:lang w:val="en-US" w:eastAsia="zh-CN"/>
            </w:rPr>
            <w:t>2025年度单位</w:t>
          </w:r>
          <w:r>
            <w:rPr>
              <w:rFonts w:hint="eastAsia" w:ascii="Times New Roman" w:hAnsi="Times New Roman" w:eastAsia="黑体" w:cs="黑体"/>
              <w:color w:val="auto"/>
              <w:sz w:val="32"/>
              <w:szCs w:val="32"/>
              <w:highlight w:val="none"/>
            </w:rPr>
            <w:t>决算情况说明</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_Toc19438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4</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7A10BC39">
          <w:pPr>
            <w:pStyle w:val="15"/>
            <w:keepNext w:val="0"/>
            <w:keepLines w:val="0"/>
            <w:pageBreakBefore w:val="0"/>
            <w:widowControl w:val="0"/>
            <w:shd w:val="clear"/>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_Toc31314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一、</w:t>
          </w:r>
          <w:r>
            <w:rPr>
              <w:rFonts w:hint="eastAsia" w:ascii="Times New Roman" w:hAnsi="Times New Roman" w:eastAsia="仿宋_GB2312" w:cs="仿宋_GB2312"/>
              <w:color w:val="auto"/>
              <w:sz w:val="32"/>
              <w:szCs w:val="32"/>
              <w:highlight w:val="none"/>
            </w:rPr>
            <w:t>收入支出决算总体情况说明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_Toc31314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3CC131CF">
          <w:pPr>
            <w:pStyle w:val="15"/>
            <w:keepNext w:val="0"/>
            <w:keepLines w:val="0"/>
            <w:pageBreakBefore w:val="0"/>
            <w:widowControl w:val="0"/>
            <w:shd w:val="clear"/>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_Toc20121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二、收入决算情况说明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_Toc20121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581A3989">
          <w:pPr>
            <w:pStyle w:val="15"/>
            <w:keepNext w:val="0"/>
            <w:keepLines w:val="0"/>
            <w:pageBreakBefore w:val="0"/>
            <w:widowControl w:val="0"/>
            <w:shd w:val="clear"/>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_Toc14877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三、</w:t>
          </w:r>
          <w:r>
            <w:rPr>
              <w:rFonts w:hint="eastAsia" w:ascii="Times New Roman" w:hAnsi="Times New Roman" w:eastAsia="仿宋_GB2312" w:cs="仿宋_GB2312"/>
              <w:color w:val="auto"/>
              <w:sz w:val="32"/>
              <w:szCs w:val="32"/>
              <w:highlight w:val="none"/>
            </w:rPr>
            <w:t>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_Toc14877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5</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7E9AE40">
          <w:pPr>
            <w:pStyle w:val="15"/>
            <w:keepNext w:val="0"/>
            <w:keepLines w:val="0"/>
            <w:pageBreakBefore w:val="0"/>
            <w:widowControl w:val="0"/>
            <w:shd w:val="clear"/>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_Toc27251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四、财政拨款收入支出决算总体情况说明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_Toc27251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5</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04987E09">
          <w:pPr>
            <w:pStyle w:val="15"/>
            <w:keepNext w:val="0"/>
            <w:keepLines w:val="0"/>
            <w:pageBreakBefore w:val="0"/>
            <w:widowControl w:val="0"/>
            <w:shd w:val="clear"/>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_Toc15614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五、一般公共预算财政拨款支出决算情况说明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_Toc15614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6</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3180EAC9">
          <w:pPr>
            <w:pStyle w:val="15"/>
            <w:keepNext w:val="0"/>
            <w:keepLines w:val="0"/>
            <w:pageBreakBefore w:val="0"/>
            <w:widowControl w:val="0"/>
            <w:shd w:val="clear"/>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_Toc9770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_Toc9770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9</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1298928F">
          <w:pPr>
            <w:pStyle w:val="15"/>
            <w:keepNext w:val="0"/>
            <w:keepLines w:val="0"/>
            <w:pageBreakBefore w:val="0"/>
            <w:widowControl w:val="0"/>
            <w:shd w:val="clear"/>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_Toc26098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七、财政拨款“三公”经费支出决算情况说明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_Toc26098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10</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5BBD2C78">
          <w:pPr>
            <w:pStyle w:val="15"/>
            <w:keepNext w:val="0"/>
            <w:keepLines w:val="0"/>
            <w:pageBreakBefore w:val="0"/>
            <w:widowControl w:val="0"/>
            <w:shd w:val="clear"/>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_Toc7073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八、政府性基金预算支出决算情况说明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_Toc7073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11</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289E0B8">
          <w:pPr>
            <w:pStyle w:val="15"/>
            <w:keepNext w:val="0"/>
            <w:keepLines w:val="0"/>
            <w:pageBreakBefore w:val="0"/>
            <w:widowControl w:val="0"/>
            <w:shd w:val="clear"/>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_Toc9897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九、</w:t>
          </w:r>
          <w:r>
            <w:rPr>
              <w:rFonts w:hint="eastAsia" w:ascii="Times New Roman" w:hAnsi="Times New Roman" w:eastAsia="仿宋_GB2312" w:cs="仿宋_GB2312"/>
              <w:color w:val="auto"/>
              <w:sz w:val="32"/>
              <w:szCs w:val="32"/>
              <w:highlight w:val="none"/>
            </w:rPr>
            <w:t>国有资本经营预算支出决算情况说明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_Toc9897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11</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3387671">
          <w:pPr>
            <w:pStyle w:val="15"/>
            <w:keepNext w:val="0"/>
            <w:keepLines w:val="0"/>
            <w:pageBreakBefore w:val="0"/>
            <w:widowControl w:val="0"/>
            <w:shd w:val="clear"/>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_Toc8130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_Toc8130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11</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3B1181B5">
          <w:pPr>
            <w:pStyle w:val="13"/>
            <w:keepNext w:val="0"/>
            <w:keepLines w:val="0"/>
            <w:pageBreakBefore w:val="0"/>
            <w:shd w:val="clear"/>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_Toc19091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w:t>
          </w:r>
          <w:r>
            <w:rPr>
              <w:rFonts w:hint="eastAsia" w:ascii="Times New Roman" w:hAnsi="Times New Roman" w:eastAsia="黑体" w:cs="黑体"/>
              <w:color w:val="auto"/>
              <w:sz w:val="32"/>
              <w:szCs w:val="32"/>
              <w:highlight w:val="none"/>
              <w:lang w:eastAsia="zh-CN"/>
            </w:rPr>
            <w:t>三</w:t>
          </w:r>
          <w:r>
            <w:rPr>
              <w:rFonts w:hint="eastAsia" w:ascii="Times New Roman" w:hAnsi="Times New Roman" w:eastAsia="黑体" w:cs="黑体"/>
              <w:color w:val="auto"/>
              <w:sz w:val="32"/>
              <w:szCs w:val="32"/>
              <w:highlight w:val="none"/>
            </w:rPr>
            <w:t>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名词解释</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_Toc19091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14</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0BA4C220">
          <w:pPr>
            <w:pStyle w:val="13"/>
            <w:keepNext w:val="0"/>
            <w:keepLines w:val="0"/>
            <w:pageBreakBefore w:val="0"/>
            <w:shd w:val="clear"/>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_Toc6590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第四部分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 xml:space="preserve"> 附件</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_Toc6590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17</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68290521">
          <w:pPr>
            <w:pStyle w:val="13"/>
            <w:keepNext w:val="0"/>
            <w:keepLines w:val="0"/>
            <w:pageBreakBefore w:val="0"/>
            <w:shd w:val="clear"/>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_Toc18328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 xml:space="preserve">第五部分 </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附表</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_Toc18328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20</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7980F689">
          <w:pPr>
            <w:pStyle w:val="15"/>
            <w:keepNext w:val="0"/>
            <w:keepLines w:val="0"/>
            <w:pageBreakBefore w:val="0"/>
            <w:widowControl w:val="0"/>
            <w:shd w:val="clear"/>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_Toc3436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一、收入支出决算总表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_Toc3436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20</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3FA5E7D">
          <w:pPr>
            <w:pStyle w:val="15"/>
            <w:keepNext w:val="0"/>
            <w:keepLines w:val="0"/>
            <w:pageBreakBefore w:val="0"/>
            <w:widowControl w:val="0"/>
            <w:shd w:val="clear"/>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_Toc10614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二、收入决算表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_Toc10614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20</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61E0465F">
          <w:pPr>
            <w:pStyle w:val="15"/>
            <w:keepNext w:val="0"/>
            <w:keepLines w:val="0"/>
            <w:pageBreakBefore w:val="0"/>
            <w:widowControl w:val="0"/>
            <w:shd w:val="clear"/>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_Toc14774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三、支出决算表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_Toc14774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20</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669ED753">
          <w:pPr>
            <w:pStyle w:val="15"/>
            <w:keepNext w:val="0"/>
            <w:keepLines w:val="0"/>
            <w:pageBreakBefore w:val="0"/>
            <w:widowControl w:val="0"/>
            <w:shd w:val="clear"/>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_Toc5392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四、财政拨款收入支出决算总表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_Toc5392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20</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697D48B3">
          <w:pPr>
            <w:pStyle w:val="15"/>
            <w:keepNext w:val="0"/>
            <w:keepLines w:val="0"/>
            <w:pageBreakBefore w:val="0"/>
            <w:widowControl w:val="0"/>
            <w:shd w:val="clear"/>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_Toc29475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五、财政拨款支出决算明细表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_Toc29475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20</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1EA6C735">
          <w:pPr>
            <w:pStyle w:val="15"/>
            <w:keepNext w:val="0"/>
            <w:keepLines w:val="0"/>
            <w:pageBreakBefore w:val="0"/>
            <w:widowControl w:val="0"/>
            <w:shd w:val="clear"/>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_Toc2870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六、一般公共预算财政拨款支出决算表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_Toc2870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20</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371C2FC">
          <w:pPr>
            <w:pStyle w:val="15"/>
            <w:keepNext w:val="0"/>
            <w:keepLines w:val="0"/>
            <w:pageBreakBefore w:val="0"/>
            <w:widowControl w:val="0"/>
            <w:shd w:val="clear"/>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_Toc25605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七、一般公共预算财政拨款支出决算明细表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_Toc25605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20</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1237E438">
          <w:pPr>
            <w:pStyle w:val="15"/>
            <w:keepNext w:val="0"/>
            <w:keepLines w:val="0"/>
            <w:pageBreakBefore w:val="0"/>
            <w:widowControl w:val="0"/>
            <w:shd w:val="clear"/>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_Toc3760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八、一般公共预算财政拨款基本支出决算表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_Toc3760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20</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7EE31675">
          <w:pPr>
            <w:pStyle w:val="15"/>
            <w:keepNext w:val="0"/>
            <w:keepLines w:val="0"/>
            <w:pageBreakBefore w:val="0"/>
            <w:widowControl w:val="0"/>
            <w:shd w:val="clear"/>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_Toc26330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九、一般公共预算财政拨款项目支出决算表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_Toc26330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20</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6FAF1CF1">
          <w:pPr>
            <w:pStyle w:val="15"/>
            <w:keepNext w:val="0"/>
            <w:keepLines w:val="0"/>
            <w:pageBreakBefore w:val="0"/>
            <w:widowControl w:val="0"/>
            <w:shd w:val="clear"/>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_Toc12171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十、政府性基金预算财政拨款收入支出决算表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_Toc12171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20</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4B5B1C0F">
          <w:pPr>
            <w:pStyle w:val="15"/>
            <w:keepNext w:val="0"/>
            <w:keepLines w:val="0"/>
            <w:pageBreakBefore w:val="0"/>
            <w:widowControl w:val="0"/>
            <w:shd w:val="clear"/>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_Toc5335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十一、国有资本经营预算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_Toc5335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20</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799EDF0A">
          <w:pPr>
            <w:pStyle w:val="15"/>
            <w:keepNext w:val="0"/>
            <w:keepLines w:val="0"/>
            <w:pageBreakBefore w:val="0"/>
            <w:widowControl w:val="0"/>
            <w:shd w:val="clear"/>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_Toc19972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eastAsia="zh-CN"/>
            </w:rPr>
            <w:t>国有资本经营预算财政拨款支出决算表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_Toc19972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20</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49D3AC4C">
          <w:pPr>
            <w:pStyle w:val="15"/>
            <w:keepNext w:val="0"/>
            <w:keepLines w:val="0"/>
            <w:pageBreakBefore w:val="0"/>
            <w:widowControl w:val="0"/>
            <w:shd w:val="clear"/>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_Toc12736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十三、</w:t>
          </w:r>
          <w:r>
            <w:rPr>
              <w:rFonts w:hint="eastAsia" w:ascii="Times New Roman" w:hAnsi="Times New Roman" w:eastAsia="仿宋_GB2312" w:cs="仿宋_GB2312"/>
              <w:color w:val="auto"/>
              <w:sz w:val="32"/>
              <w:szCs w:val="32"/>
              <w:highlight w:val="none"/>
              <w:lang w:eastAsia="zh-CN"/>
            </w:rPr>
            <w:t>财政拨款“三公”经费支出决算表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_Toc12736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20</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1667E591">
          <w:pPr>
            <w:shd w:val="clear"/>
            <w:rPr>
              <w:rFonts w:ascii="Times New Roman" w:hAnsi="Times New Roman" w:eastAsia="宋体" w:cs="Times New Roman"/>
              <w:color w:val="auto"/>
              <w:kern w:val="2"/>
              <w:sz w:val="21"/>
              <w:szCs w:val="24"/>
              <w:highlight w:val="none"/>
              <w:lang w:val="en-US" w:eastAsia="zh-CN" w:bidi="ar-SA"/>
            </w:rPr>
          </w:pPr>
          <w:r>
            <w:rPr>
              <w:rFonts w:ascii="Times New Roman" w:hAnsi="Times New Roman"/>
              <w:color w:val="auto"/>
              <w:highlight w:val="none"/>
            </w:rPr>
            <w:fldChar w:fldCharType="end"/>
          </w:r>
        </w:p>
      </w:sdtContent>
    </w:sdt>
    <w:p w14:paraId="316C60DE">
      <w:pPr>
        <w:pStyle w:val="14"/>
        <w:shd w:val="clear"/>
        <w:rPr>
          <w:color w:val="auto"/>
          <w:highlight w:val="none"/>
        </w:rPr>
      </w:pPr>
    </w:p>
    <w:p w14:paraId="742A448F">
      <w:pPr>
        <w:keepNext w:val="0"/>
        <w:keepLines w:val="0"/>
        <w:pageBreakBefore w:val="0"/>
        <w:widowControl/>
        <w:shd w:val="clear"/>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p w14:paraId="47360B2C">
      <w:pPr>
        <w:pStyle w:val="2"/>
        <w:shd w:val="clear"/>
        <w:jc w:val="center"/>
        <w:outlineLvl w:val="0"/>
        <w:rPr>
          <w:rFonts w:ascii="Times New Roman" w:hAnsi="Times New Roman" w:eastAsia="黑体"/>
          <w:color w:val="auto"/>
          <w:sz w:val="32"/>
          <w:szCs w:val="32"/>
          <w:highlight w:val="none"/>
        </w:rPr>
      </w:pPr>
      <w:bookmarkStart w:id="8" w:name="_Toc1108"/>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eastAsia="方正小标宋简体" w:cs="方正小标宋简体"/>
          <w:b w:val="0"/>
          <w:bCs w:val="0"/>
          <w:color w:val="auto"/>
          <w:highlight w:val="none"/>
          <w:lang w:val="en-US" w:eastAsia="zh-CN"/>
        </w:rPr>
        <w:t>单位</w:t>
      </w:r>
      <w:r>
        <w:rPr>
          <w:rStyle w:val="29"/>
          <w:rFonts w:hint="eastAsia" w:ascii="Times New Roman" w:hAnsi="Times New Roman" w:eastAsia="方正小标宋简体" w:cs="方正小标宋简体"/>
          <w:b w:val="0"/>
          <w:bCs w:val="0"/>
          <w:color w:val="auto"/>
          <w:highlight w:val="none"/>
        </w:rPr>
        <w:t>概况</w:t>
      </w:r>
      <w:bookmarkEnd w:id="6"/>
      <w:bookmarkEnd w:id="7"/>
      <w:bookmarkEnd w:id="8"/>
    </w:p>
    <w:p w14:paraId="71FFFD2B">
      <w:pPr>
        <w:pStyle w:val="3"/>
        <w:shd w:val="clear"/>
        <w:outlineLvl w:val="1"/>
        <w:rPr>
          <w:rFonts w:hint="eastAsia" w:ascii="Times New Roman" w:hAnsi="Times New Roman" w:eastAsia="黑体"/>
          <w:b w:val="0"/>
          <w:color w:val="auto"/>
          <w:highlight w:val="none"/>
          <w:lang w:eastAsia="zh-CN"/>
        </w:rPr>
      </w:pPr>
      <w:bookmarkStart w:id="9" w:name="_Toc15377197"/>
      <w:bookmarkStart w:id="10" w:name="_Toc15396600"/>
      <w:bookmarkStart w:id="11" w:name="_Toc13880"/>
      <w:r>
        <w:rPr>
          <w:rFonts w:hint="eastAsia" w:ascii="Times New Roman" w:hAnsi="Times New Roman" w:eastAsia="黑体"/>
          <w:b w:val="0"/>
          <w:color w:val="auto"/>
          <w:highlight w:val="none"/>
        </w:rPr>
        <w:t>一、</w:t>
      </w:r>
      <w:bookmarkEnd w:id="9"/>
      <w:bookmarkEnd w:id="10"/>
      <w:r>
        <w:rPr>
          <w:rFonts w:hint="eastAsia" w:ascii="Times New Roman" w:hAnsi="Times New Roman" w:eastAsia="黑体"/>
          <w:b w:val="0"/>
          <w:color w:val="auto"/>
          <w:highlight w:val="none"/>
          <w:lang w:val="en-US" w:eastAsia="zh-CN"/>
        </w:rPr>
        <w:t>单位</w:t>
      </w:r>
      <w:r>
        <w:rPr>
          <w:rFonts w:hint="eastAsia" w:ascii="Times New Roman" w:hAnsi="Times New Roman" w:eastAsia="黑体"/>
          <w:b w:val="0"/>
          <w:color w:val="auto"/>
          <w:highlight w:val="none"/>
          <w:lang w:eastAsia="zh-CN"/>
        </w:rPr>
        <w:t>职责</w:t>
      </w:r>
      <w:bookmarkEnd w:id="11"/>
    </w:p>
    <w:p w14:paraId="5D70F85C">
      <w:pPr>
        <w:shd w:val="clear"/>
        <w:ind w:firstLine="640" w:firstLineChars="200"/>
        <w:rPr>
          <w:rFonts w:hint="eastAsia"/>
          <w:color w:val="auto"/>
          <w:highlight w:val="none"/>
          <w:lang w:eastAsia="zh-CN"/>
        </w:rPr>
      </w:pPr>
      <w:bookmarkStart w:id="12" w:name="_Toc15377200"/>
      <w:bookmarkStart w:id="13" w:name="_Toc1296"/>
      <w:bookmarkStart w:id="14" w:name="_Toc15396601"/>
      <w:r>
        <w:rPr>
          <w:rFonts w:hint="default" w:ascii="Times New Roman" w:hAnsi="Times New Roman" w:eastAsia="仿宋_GB2312" w:cs="仿宋_GB2312"/>
          <w:color w:val="auto"/>
          <w:sz w:val="32"/>
          <w:szCs w:val="32"/>
          <w:highlight w:val="none"/>
          <w:lang w:eastAsia="zh-CN"/>
        </w:rPr>
        <w:t>阿坝州归国华侨联合会主要职责是：依法维护归侨侨眷的合法权益；协助有关部门和单位开展引进海外侨胞的资金、技术、人才工作；开展对归侨侨眷、基层侨联组织和海外华侨、华人及其社团的联系、团结工作；配合有关部门和单位开展对外经济、文化、教育等方面的交流与合作；做好相关联络、宣传和接待服务工作；开展有关专题调研；参与涉侨部门组织的侨法调研；开展涉侨法律、法规、规章、政策咨询服务；承办涉侨信访工作；配合有关部门推荐侨界人大代表、政协委员人选等</w:t>
      </w:r>
      <w:r>
        <w:rPr>
          <w:rFonts w:hint="eastAsia" w:ascii="Times New Roman" w:hAnsi="Times New Roman" w:eastAsia="仿宋_GB2312" w:cs="仿宋_GB2312"/>
          <w:color w:val="auto"/>
          <w:sz w:val="32"/>
          <w:szCs w:val="32"/>
          <w:highlight w:val="none"/>
          <w:lang w:eastAsia="zh-CN"/>
        </w:rPr>
        <w:t>。</w:t>
      </w:r>
    </w:p>
    <w:p w14:paraId="25D58AC6">
      <w:pPr>
        <w:pStyle w:val="3"/>
        <w:shd w:val="clear"/>
        <w:outlineLvl w:val="1"/>
        <w:rPr>
          <w:rStyle w:val="30"/>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2"/>
      <w:bookmarkEnd w:id="13"/>
      <w:bookmarkEnd w:id="14"/>
    </w:p>
    <w:p w14:paraId="3DE87EA1">
      <w:pPr>
        <w:shd w:val="clear"/>
        <w:ind w:firstLine="800" w:firstLineChars="250"/>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四川省阿坝州归国华侨联合会下属二级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p>
    <w:p w14:paraId="49CDDB14">
      <w:pPr>
        <w:pStyle w:val="6"/>
        <w:shd w:val="clear"/>
        <w:adjustRightInd w:val="0"/>
        <w:snapToGrid w:val="0"/>
        <w:spacing w:before="93" w:line="600" w:lineRule="exact"/>
        <w:ind w:firstLine="672" w:firstLineChars="210"/>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纳入四川省阿坝州归国华侨联合会</w:t>
      </w:r>
      <w:r>
        <w:rPr>
          <w:rFonts w:hint="eastAsia" w:ascii="Times New Roman" w:cs="仿宋_GB2312"/>
          <w:color w:val="auto"/>
          <w:sz w:val="32"/>
          <w:szCs w:val="32"/>
          <w:highlight w:val="none"/>
          <w:lang w:eastAsia="zh-CN"/>
        </w:rPr>
        <w:t>2025</w:t>
      </w:r>
      <w:r>
        <w:rPr>
          <w:rFonts w:hint="eastAsia" w:ascii="Times New Roman" w:hAnsi="Times New Roman"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rPr>
        <w:t>部门决算编制范围的二级预算单位包括：</w:t>
      </w:r>
    </w:p>
    <w:p w14:paraId="426D8746">
      <w:pPr>
        <w:widowControl/>
        <w:shd w:val="clear"/>
        <w:ind w:firstLine="640" w:firstLineChars="200"/>
        <w:jc w:val="left"/>
        <w:rPr>
          <w:rFonts w:ascii="Times New Roman" w:hAnsi="Times New Roman" w:eastAsia="仿宋"/>
          <w:color w:val="auto"/>
          <w:kern w:val="0"/>
          <w:sz w:val="32"/>
          <w:szCs w:val="32"/>
          <w:highlight w:val="none"/>
        </w:rPr>
      </w:pPr>
      <w:r>
        <w:rPr>
          <w:rFonts w:hint="eastAsia" w:eastAsia="仿宋_GB2312" w:cs="仿宋_GB2312"/>
          <w:color w:val="auto"/>
          <w:sz w:val="32"/>
          <w:szCs w:val="32"/>
          <w:highlight w:val="none"/>
          <w:lang w:val="en-US" w:eastAsia="zh-CN"/>
        </w:rPr>
        <w:t>无。</w:t>
      </w:r>
      <w:r>
        <w:rPr>
          <w:rFonts w:ascii="Times New Roman" w:hAnsi="Times New Roman" w:eastAsia="仿宋"/>
          <w:color w:val="auto"/>
          <w:sz w:val="32"/>
          <w:szCs w:val="32"/>
          <w:highlight w:val="none"/>
        </w:rPr>
        <w:br w:type="page"/>
      </w:r>
    </w:p>
    <w:p w14:paraId="232534A1">
      <w:pPr>
        <w:pStyle w:val="2"/>
        <w:shd w:val="clear"/>
        <w:jc w:val="center"/>
        <w:outlineLvl w:val="0"/>
        <w:rPr>
          <w:rFonts w:hint="eastAsia" w:ascii="Times New Roman" w:hAnsi="Times New Roman" w:eastAsia="方正小标宋简体" w:cs="方正小标宋简体"/>
          <w:b w:val="0"/>
          <w:color w:val="auto"/>
          <w:highlight w:val="none"/>
        </w:rPr>
      </w:pPr>
      <w:bookmarkStart w:id="15" w:name="_Toc15377204"/>
      <w:bookmarkStart w:id="16" w:name="_Toc15396602"/>
      <w:bookmarkStart w:id="17" w:name="_Toc19438"/>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w:t>
      </w:r>
      <w:r>
        <w:rPr>
          <w:rFonts w:hint="eastAsia" w:ascii="Times New Roman" w:hAnsi="Times New Roman" w:eastAsia="方正小标宋简体" w:cs="方正小标宋简体"/>
          <w:b w:val="0"/>
          <w:color w:val="auto"/>
          <w:highlight w:val="none"/>
          <w:lang w:val="en-US" w:eastAsia="zh-CN"/>
        </w:rPr>
        <w:t>年度</w:t>
      </w:r>
      <w:r>
        <w:rPr>
          <w:rFonts w:hint="eastAsia" w:eastAsia="方正小标宋简体" w:cs="方正小标宋简体"/>
          <w:b w:val="0"/>
          <w:color w:val="auto"/>
          <w:highlight w:val="none"/>
          <w:lang w:val="en-US" w:eastAsia="zh-CN"/>
        </w:rPr>
        <w:t>单位</w:t>
      </w:r>
      <w:r>
        <w:rPr>
          <w:rFonts w:hint="eastAsia" w:ascii="Times New Roman" w:hAnsi="Times New Roman" w:eastAsia="方正小标宋简体" w:cs="方正小标宋简体"/>
          <w:b w:val="0"/>
          <w:color w:val="auto"/>
          <w:highlight w:val="none"/>
        </w:rPr>
        <w:t>决算情况说明</w:t>
      </w:r>
      <w:bookmarkEnd w:id="15"/>
      <w:bookmarkEnd w:id="16"/>
      <w:bookmarkEnd w:id="17"/>
    </w:p>
    <w:p w14:paraId="7545F8D8">
      <w:pPr>
        <w:shd w:val="clear"/>
        <w:rPr>
          <w:rFonts w:ascii="Times New Roman" w:hAnsi="Times New Roman"/>
          <w:color w:val="auto"/>
          <w:highlight w:val="none"/>
        </w:rPr>
      </w:pPr>
    </w:p>
    <w:p w14:paraId="08D37E52">
      <w:pPr>
        <w:pStyle w:val="28"/>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8" w:name="_Toc15396603"/>
      <w:bookmarkStart w:id="19" w:name="_Toc31314"/>
      <w:bookmarkStart w:id="20"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8"/>
      <w:bookmarkEnd w:id="19"/>
      <w:bookmarkEnd w:id="20"/>
    </w:p>
    <w:p w14:paraId="00476742">
      <w:pPr>
        <w:pStyle w:val="28"/>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41275</wp:posOffset>
            </wp:positionH>
            <wp:positionV relativeFrom="paragraph">
              <wp:posOffset>1226820</wp:posOffset>
            </wp:positionV>
            <wp:extent cx="5256530" cy="2988310"/>
            <wp:effectExtent l="5080" t="4445" r="15240" b="17145"/>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eastAsia="仿宋_GB2312" w:cs="仿宋_GB2312"/>
          <w:color w:val="auto"/>
          <w:sz w:val="32"/>
          <w:szCs w:val="32"/>
          <w:highlight w:val="none"/>
          <w:lang w:eastAsia="zh-CN"/>
        </w:rPr>
        <w:t>2025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color w:val="auto"/>
          <w:sz w:val="32"/>
          <w:szCs w:val="32"/>
          <w:highlight w:val="none"/>
          <w:lang w:val="en-US" w:eastAsia="zh-CN"/>
        </w:rPr>
        <w:t>90.37</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2024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ascii="仿宋_GB2312" w:hAnsi="仿宋_GB2312" w:eastAsia="仿宋_GB2312" w:cs="仿宋_GB2312"/>
          <w:color w:val="auto"/>
          <w:sz w:val="32"/>
          <w:szCs w:val="32"/>
          <w:highlight w:val="none"/>
          <w:lang w:val="en-US" w:eastAsia="zh-CN"/>
        </w:rPr>
        <w:t>31.19</w:t>
      </w:r>
      <w:r>
        <w:rPr>
          <w:rFonts w:hint="eastAsia" w:ascii="Times New Roman" w:hAnsi="Times New Roman" w:eastAsia="仿宋_GB2312" w:cs="仿宋_GB2312"/>
          <w:color w:val="auto"/>
          <w:sz w:val="32"/>
          <w:szCs w:val="32"/>
          <w:highlight w:val="none"/>
        </w:rPr>
        <w:t>万元，增长</w:t>
      </w:r>
      <w:r>
        <w:rPr>
          <w:rFonts w:hint="eastAsia" w:ascii="仿宋_GB2312" w:hAnsi="仿宋_GB2312" w:eastAsia="仿宋_GB2312" w:cs="仿宋_GB2312"/>
          <w:color w:val="auto"/>
          <w:sz w:val="32"/>
          <w:szCs w:val="32"/>
          <w:highlight w:val="none"/>
          <w:lang w:val="en-US" w:eastAsia="zh-CN"/>
        </w:rPr>
        <w:t>52.69</w:t>
      </w:r>
      <w:r>
        <w:rPr>
          <w:rFonts w:hint="eastAsia" w:ascii="Times New Roman" w:hAnsi="Times New Roman" w:eastAsia="仿宋_GB2312" w:cs="仿宋_GB2312"/>
          <w:color w:val="auto"/>
          <w:sz w:val="32"/>
          <w:szCs w:val="32"/>
          <w:highlight w:val="none"/>
        </w:rPr>
        <w:t>%。主要变动原因是</w:t>
      </w:r>
      <w:r>
        <w:rPr>
          <w:rFonts w:hint="eastAsia" w:ascii="仿宋_GB2312" w:hAnsi="仿宋_GB2312" w:eastAsia="仿宋_GB2312" w:cs="仿宋_GB2312"/>
          <w:color w:val="auto"/>
          <w:sz w:val="32"/>
          <w:szCs w:val="32"/>
          <w:highlight w:val="none"/>
          <w:lang w:val="en-US" w:eastAsia="zh-CN"/>
        </w:rPr>
        <w:t>单位人员增加2人，导致变动。</w:t>
      </w:r>
    </w:p>
    <w:p w14:paraId="4A78A499">
      <w:pPr>
        <w:keepNext w:val="0"/>
        <w:keepLines w:val="0"/>
        <w:pageBreakBefore w:val="0"/>
        <w:widowControl w:val="0"/>
        <w:shd w:val="clear"/>
        <w:kinsoku/>
        <w:wordWrap/>
        <w:overflowPunct/>
        <w:topLinePunct w:val="0"/>
        <w:autoSpaceDE/>
        <w:autoSpaceDN/>
        <w:bidi w:val="0"/>
        <w:adjustRightInd/>
        <w:snapToGrid/>
        <w:jc w:val="center"/>
        <w:textAlignment w:val="auto"/>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0506EA68">
      <w:pPr>
        <w:pStyle w:val="28"/>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1" w:name="_Toc15396604"/>
      <w:bookmarkStart w:id="22" w:name="_Toc15377206"/>
      <w:bookmarkStart w:id="23" w:name="_Toc20121"/>
      <w:r>
        <w:rPr>
          <w:rFonts w:hint="eastAsia" w:ascii="Times New Roman" w:hAnsi="Times New Roman" w:eastAsia="黑体"/>
          <w:color w:val="auto"/>
          <w:sz w:val="32"/>
          <w:szCs w:val="32"/>
          <w:highlight w:val="none"/>
          <w:lang w:eastAsia="zh-CN"/>
        </w:rPr>
        <w:t>二、收入决算情况说明</w:t>
      </w:r>
      <w:bookmarkEnd w:id="21"/>
      <w:bookmarkEnd w:id="22"/>
      <w:bookmarkEnd w:id="23"/>
    </w:p>
    <w:p w14:paraId="3911322F">
      <w:pPr>
        <w:pStyle w:val="28"/>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firstLine="640" w:firstLineChars="200"/>
        <w:jc w:val="left"/>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2025年度本年收入合计</w:t>
      </w:r>
      <w:r>
        <w:rPr>
          <w:rFonts w:hint="eastAsia" w:ascii="仿宋_GB2312" w:hAnsi="仿宋_GB2312" w:eastAsia="仿宋_GB2312" w:cs="仿宋_GB2312"/>
          <w:color w:val="auto"/>
          <w:sz w:val="32"/>
          <w:szCs w:val="32"/>
          <w:highlight w:val="none"/>
          <w:lang w:val="en-US" w:eastAsia="zh-CN"/>
        </w:rPr>
        <w:t>90.37</w:t>
      </w:r>
      <w:r>
        <w:rPr>
          <w:rFonts w:hint="eastAsia" w:ascii="仿宋_GB2312" w:hAnsi="仿宋_GB2312" w:eastAsia="仿宋_GB2312" w:cs="仿宋_GB2312"/>
          <w:color w:val="auto"/>
          <w:sz w:val="32"/>
          <w:szCs w:val="32"/>
          <w:highlight w:val="none"/>
        </w:rPr>
        <w:t>万元，其中：一般公共预算财政拨款收入</w:t>
      </w:r>
      <w:r>
        <w:rPr>
          <w:rFonts w:hint="eastAsia" w:ascii="仿宋_GB2312" w:hAnsi="仿宋_GB2312" w:eastAsia="仿宋_GB2312" w:cs="仿宋_GB2312"/>
          <w:color w:val="auto"/>
          <w:sz w:val="32"/>
          <w:szCs w:val="32"/>
          <w:highlight w:val="none"/>
          <w:lang w:val="en-US" w:eastAsia="zh-CN"/>
        </w:rPr>
        <w:t>90.37</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w:t>
      </w:r>
    </w:p>
    <w:p w14:paraId="0BC78930">
      <w:pPr>
        <w:pStyle w:val="28"/>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firstLine="640" w:firstLineChars="200"/>
        <w:jc w:val="left"/>
        <w:textAlignment w:val="auto"/>
        <w:outlineLvl w:val="9"/>
        <w:rPr>
          <w:rFonts w:hint="eastAsia" w:ascii="仿宋_GB2312" w:hAnsi="仿宋_GB2312" w:eastAsia="仿宋_GB2312" w:cs="仿宋_GB2312"/>
          <w:color w:val="auto"/>
          <w:sz w:val="32"/>
          <w:szCs w:val="32"/>
          <w:highlight w:val="none"/>
          <w:lang w:eastAsia="zh-CN"/>
        </w:rPr>
      </w:pPr>
    </w:p>
    <w:p w14:paraId="620BA407">
      <w:pPr>
        <w:pStyle w:val="28"/>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仿宋_GB2312" w:cs="仿宋_GB2312"/>
          <w:color w:val="auto"/>
          <w:sz w:val="32"/>
          <w:szCs w:val="32"/>
          <w:highlight w:val="none"/>
          <w:lang w:eastAsia="zh-CN"/>
        </w:rPr>
      </w:pPr>
      <w:r>
        <w:rPr>
          <w:rFonts w:hint="default" w:ascii="仿宋" w:hAnsi="仿宋" w:eastAsia="仿宋"/>
          <w:color w:val="auto"/>
          <w:sz w:val="32"/>
          <w:szCs w:val="32"/>
          <w:highlight w:val="none"/>
          <w:lang w:val="en-US"/>
        </w:rPr>
        <w:drawing>
          <wp:anchor distT="0" distB="0" distL="114300" distR="114300" simplePos="0" relativeHeight="251661312" behindDoc="0" locked="0" layoutInCell="1" allowOverlap="1">
            <wp:simplePos x="0" y="0"/>
            <wp:positionH relativeFrom="column">
              <wp:posOffset>34290</wp:posOffset>
            </wp:positionH>
            <wp:positionV relativeFrom="paragraph">
              <wp:posOffset>33655</wp:posOffset>
            </wp:positionV>
            <wp:extent cx="5256530" cy="2988310"/>
            <wp:effectExtent l="5080" t="4445" r="15240" b="17145"/>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Times New Roman" w:hAnsi="Times New Roman" w:eastAsia="仿宋_GB2312" w:cs="仿宋_GB2312"/>
          <w:color w:val="auto"/>
          <w:sz w:val="32"/>
          <w:szCs w:val="32"/>
          <w:highlight w:val="none"/>
          <w:lang w:eastAsia="zh-CN"/>
        </w:rPr>
        <w:t>（图2：收入决算结构图）（饼状图）</w:t>
      </w:r>
    </w:p>
    <w:p w14:paraId="59AFF399">
      <w:pPr>
        <w:pStyle w:val="28"/>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4" w:name="_Toc14877"/>
      <w:bookmarkStart w:id="25" w:name="_Toc15396605"/>
      <w:bookmarkStart w:id="26"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4"/>
      <w:bookmarkEnd w:id="25"/>
      <w:bookmarkEnd w:id="26"/>
    </w:p>
    <w:p w14:paraId="265AC5DE">
      <w:pPr>
        <w:pStyle w:val="28"/>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firstLine="640" w:firstLineChars="200"/>
        <w:jc w:val="left"/>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2025年度本年支出合计</w:t>
      </w:r>
      <w:r>
        <w:rPr>
          <w:rFonts w:hint="eastAsia" w:ascii="仿宋_GB2312" w:hAnsi="仿宋_GB2312" w:eastAsia="仿宋_GB2312" w:cs="仿宋_GB2312"/>
          <w:color w:val="auto"/>
          <w:sz w:val="32"/>
          <w:szCs w:val="32"/>
          <w:highlight w:val="none"/>
          <w:lang w:val="en-US" w:eastAsia="zh-CN"/>
        </w:rPr>
        <w:t>90.37</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color w:val="auto"/>
          <w:sz w:val="32"/>
          <w:szCs w:val="32"/>
          <w:highlight w:val="none"/>
          <w:lang w:val="en-US" w:eastAsia="zh-CN"/>
        </w:rPr>
        <w:t>90.37</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w:t>
      </w:r>
    </w:p>
    <w:p w14:paraId="21FFD143">
      <w:pPr>
        <w:shd w:val="clear"/>
        <w:jc w:val="center"/>
        <w:outlineLvl w:val="9"/>
        <w:rPr>
          <w:rFonts w:hint="eastAsia" w:ascii="Times New Roman" w:hAnsi="Times New Roman" w:eastAsia="仿宋_GB2312" w:cs="仿宋_GB2312"/>
          <w:color w:val="auto"/>
          <w:sz w:val="32"/>
          <w:szCs w:val="32"/>
          <w:highlight w:val="none"/>
          <w:lang w:eastAsia="zh-CN"/>
        </w:rPr>
      </w:pPr>
      <w:r>
        <w:rPr>
          <w:rFonts w:hint="default" w:ascii="仿宋" w:hAnsi="仿宋" w:eastAsia="仿宋"/>
          <w:color w:val="auto"/>
          <w:sz w:val="32"/>
          <w:szCs w:val="32"/>
          <w:highlight w:val="none"/>
          <w:lang w:val="en-US"/>
        </w:rPr>
        <w:drawing>
          <wp:anchor distT="0" distB="0" distL="114300" distR="114300" simplePos="0" relativeHeight="251662336" behindDoc="0" locked="0" layoutInCell="1" allowOverlap="1">
            <wp:simplePos x="0" y="0"/>
            <wp:positionH relativeFrom="column">
              <wp:posOffset>43180</wp:posOffset>
            </wp:positionH>
            <wp:positionV relativeFrom="paragraph">
              <wp:posOffset>76200</wp:posOffset>
            </wp:positionV>
            <wp:extent cx="5256530" cy="2988310"/>
            <wp:effectExtent l="5080" t="4445" r="15240" b="1714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Times New Roman" w:hAnsi="Times New Roman" w:eastAsia="仿宋_GB2312" w:cs="仿宋_GB2312"/>
          <w:color w:val="auto"/>
          <w:sz w:val="32"/>
          <w:szCs w:val="32"/>
          <w:highlight w:val="none"/>
          <w:lang w:eastAsia="zh-CN"/>
        </w:rPr>
        <w:t>（图3：支出决算结构图）（饼状图）</w:t>
      </w:r>
    </w:p>
    <w:p w14:paraId="5A01262A">
      <w:pPr>
        <w:shd w:val="clear"/>
        <w:spacing w:line="600" w:lineRule="exact"/>
        <w:ind w:firstLine="640" w:firstLineChars="200"/>
        <w:outlineLvl w:val="1"/>
        <w:rPr>
          <w:rStyle w:val="30"/>
          <w:rFonts w:ascii="Times New Roman" w:hAnsi="Times New Roman" w:eastAsia="黑体"/>
          <w:b w:val="0"/>
          <w:color w:val="auto"/>
          <w:highlight w:val="none"/>
        </w:rPr>
      </w:pPr>
      <w:bookmarkStart w:id="27" w:name="_Toc27251"/>
      <w:bookmarkStart w:id="28" w:name="_Toc15377208"/>
      <w:bookmarkStart w:id="29"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7"/>
      <w:bookmarkEnd w:id="28"/>
      <w:bookmarkEnd w:id="29"/>
    </w:p>
    <w:p w14:paraId="06E577E6">
      <w:pPr>
        <w:shd w:val="clea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ascii="仿宋_GB2312" w:hAnsi="仿宋_GB2312" w:eastAsia="仿宋_GB2312" w:cs="仿宋_GB2312"/>
          <w:color w:val="auto"/>
          <w:sz w:val="32"/>
          <w:szCs w:val="32"/>
          <w:highlight w:val="none"/>
          <w:lang w:val="en-US" w:eastAsia="zh-CN"/>
        </w:rPr>
        <w:t>90.37</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年度相比，财政拨款收入总计、支出总计各增加</w:t>
      </w:r>
      <w:r>
        <w:rPr>
          <w:rFonts w:hint="eastAsia" w:ascii="仿宋_GB2312" w:hAnsi="仿宋_GB2312" w:eastAsia="仿宋_GB2312" w:cs="仿宋_GB2312"/>
          <w:color w:val="auto"/>
          <w:sz w:val="32"/>
          <w:szCs w:val="32"/>
          <w:highlight w:val="none"/>
          <w:lang w:val="en-US" w:eastAsia="zh-CN"/>
        </w:rPr>
        <w:t>31.19</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color w:val="auto"/>
          <w:sz w:val="32"/>
          <w:szCs w:val="32"/>
          <w:highlight w:val="none"/>
          <w:lang w:val="en-US" w:eastAsia="zh-CN"/>
        </w:rPr>
        <w:t>52.69</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color w:val="auto"/>
          <w:sz w:val="32"/>
          <w:szCs w:val="32"/>
          <w:highlight w:val="none"/>
          <w:lang w:val="en-US" w:eastAsia="zh-CN"/>
        </w:rPr>
        <w:t>单位人员增加2人，导致变动。</w:t>
      </w:r>
    </w:p>
    <w:p w14:paraId="47B10279">
      <w:pPr>
        <w:pStyle w:val="14"/>
        <w:shd w:val="clear"/>
        <w:outlineLvl w:val="9"/>
        <w:rPr>
          <w:rFonts w:hint="eastAsia"/>
          <w:color w:val="auto"/>
          <w:highlight w:val="none"/>
          <w:lang w:val="en-US" w:eastAsia="zh-CN"/>
        </w:rPr>
      </w:pPr>
    </w:p>
    <w:p w14:paraId="5774FC8E">
      <w:pPr>
        <w:shd w:val="clear"/>
        <w:spacing w:line="600" w:lineRule="exact"/>
        <w:jc w:val="center"/>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3360" behindDoc="0" locked="0" layoutInCell="1" allowOverlap="1">
            <wp:simplePos x="0" y="0"/>
            <wp:positionH relativeFrom="column">
              <wp:posOffset>43815</wp:posOffset>
            </wp:positionH>
            <wp:positionV relativeFrom="paragraph">
              <wp:posOffset>10795</wp:posOffset>
            </wp:positionV>
            <wp:extent cx="5256530" cy="2988310"/>
            <wp:effectExtent l="5080" t="4445" r="15240" b="17145"/>
            <wp:wrapTopAndBottom/>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56DC149D">
      <w:pPr>
        <w:shd w:val="clear"/>
        <w:spacing w:line="600" w:lineRule="exact"/>
        <w:ind w:firstLine="640" w:firstLineChars="200"/>
        <w:outlineLvl w:val="1"/>
        <w:rPr>
          <w:rStyle w:val="30"/>
          <w:rFonts w:ascii="Times New Roman" w:hAnsi="Times New Roman" w:eastAsia="黑体"/>
          <w:b w:val="0"/>
          <w:color w:val="auto"/>
          <w:highlight w:val="none"/>
        </w:rPr>
      </w:pPr>
      <w:bookmarkStart w:id="30" w:name="_Toc15614"/>
      <w:bookmarkStart w:id="31" w:name="_Toc15377209"/>
      <w:bookmarkStart w:id="32"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30"/>
      <w:bookmarkEnd w:id="31"/>
      <w:bookmarkEnd w:id="32"/>
    </w:p>
    <w:p w14:paraId="48CD862A">
      <w:pPr>
        <w:shd w:val="clea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3"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3"/>
    </w:p>
    <w:p w14:paraId="2B99C60C">
      <w:pPr>
        <w:shd w:val="clear"/>
        <w:spacing w:line="600" w:lineRule="exact"/>
        <w:ind w:firstLine="640"/>
        <w:outlineLvl w:val="9"/>
        <w:rPr>
          <w:rFonts w:hint="default"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color w:val="auto"/>
          <w:sz w:val="32"/>
          <w:szCs w:val="32"/>
          <w:highlight w:val="none"/>
          <w:lang w:val="en-US" w:eastAsia="zh-CN"/>
        </w:rPr>
        <w:t>90.37</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%。与2024年度相比，一般公共预算财政拨款支出增加</w:t>
      </w:r>
      <w:r>
        <w:rPr>
          <w:rFonts w:hint="eastAsia" w:ascii="仿宋_GB2312" w:hAnsi="仿宋_GB2312" w:eastAsia="仿宋_GB2312" w:cs="仿宋_GB2312"/>
          <w:color w:val="auto"/>
          <w:sz w:val="32"/>
          <w:szCs w:val="32"/>
          <w:highlight w:val="none"/>
          <w:lang w:val="en-US" w:eastAsia="zh-CN"/>
        </w:rPr>
        <w:t>31.19</w:t>
      </w:r>
      <w:r>
        <w:rPr>
          <w:rFonts w:hint="eastAsia" w:ascii="仿宋_GB2312" w:hAnsi="仿宋_GB2312"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color w:val="auto"/>
          <w:sz w:val="32"/>
          <w:szCs w:val="32"/>
          <w:highlight w:val="none"/>
          <w:lang w:val="en-US" w:eastAsia="zh-CN"/>
        </w:rPr>
        <w:t>52.69</w:t>
      </w:r>
      <w:r>
        <w:rPr>
          <w:rFonts w:hint="eastAsia" w:ascii="仿宋_GB2312" w:hAnsi="仿宋_GB2312"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color w:val="auto"/>
          <w:sz w:val="32"/>
          <w:szCs w:val="32"/>
          <w:highlight w:val="none"/>
          <w:lang w:val="en-US" w:eastAsia="zh-CN"/>
        </w:rPr>
        <w:t>单位人员增加2人，导致变动。</w:t>
      </w:r>
    </w:p>
    <w:p w14:paraId="0911C3F2">
      <w:pPr>
        <w:shd w:val="clea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p>
    <w:p w14:paraId="33DBE715">
      <w:pPr>
        <w:shd w:val="clear"/>
        <w:spacing w:line="600" w:lineRule="exact"/>
        <w:jc w:val="center"/>
        <w:outlineLvl w:val="9"/>
        <w:rPr>
          <w:rFonts w:hint="eastAsia" w:ascii="Times New Roman" w:hAnsi="Times New Roman" w:eastAsia="仿宋_GB2312" w:cs="仿宋_GB2312"/>
          <w:color w:val="auto"/>
          <w:kern w:val="2"/>
          <w:sz w:val="32"/>
          <w:szCs w:val="32"/>
          <w:highlight w:val="none"/>
          <w:lang w:val="en-US" w:eastAsia="zh-CN" w:bidi="ar-SA"/>
        </w:rPr>
      </w:pPr>
    </w:p>
    <w:p w14:paraId="6AE4BCB4">
      <w:pPr>
        <w:shd w:val="clear"/>
        <w:spacing w:line="600" w:lineRule="exact"/>
        <w:jc w:val="center"/>
        <w:outlineLvl w:val="9"/>
        <w:rPr>
          <w:rFonts w:hint="eastAsia" w:ascii="Times New Roman" w:hAnsi="Times New Roman" w:eastAsia="仿宋_GB2312" w:cs="仿宋_GB2312"/>
          <w:color w:val="auto"/>
          <w:kern w:val="2"/>
          <w:sz w:val="32"/>
          <w:szCs w:val="32"/>
          <w:highlight w:val="none"/>
          <w:lang w:val="en-US" w:eastAsia="zh-CN" w:bidi="ar-SA"/>
        </w:rPr>
      </w:pPr>
    </w:p>
    <w:p w14:paraId="5EA93293">
      <w:pPr>
        <w:shd w:val="clear"/>
        <w:spacing w:line="600" w:lineRule="exact"/>
        <w:jc w:val="both"/>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4384" behindDoc="0" locked="0" layoutInCell="1" allowOverlap="1">
            <wp:simplePos x="0" y="0"/>
            <wp:positionH relativeFrom="column">
              <wp:posOffset>61595</wp:posOffset>
            </wp:positionH>
            <wp:positionV relativeFrom="paragraph">
              <wp:posOffset>42545</wp:posOffset>
            </wp:positionV>
            <wp:extent cx="5256530" cy="2988310"/>
            <wp:effectExtent l="5080" t="4445" r="15240" b="17145"/>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5176ACCA">
      <w:pPr>
        <w:shd w:val="clea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p>
    <w:p w14:paraId="628C330E">
      <w:pPr>
        <w:shd w:val="clea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4"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4"/>
    </w:p>
    <w:p w14:paraId="5010D191">
      <w:pPr>
        <w:shd w:val="clea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2025年度一般公共预算财政拨款支出90.37万元，主要用于以下方面：一般公共服务支出67.61万元，占74.81%；社会保障和就业支出11.5万元，占12.73%；卫生健康支出4.7万元，占5.20%；住房保障支出6.56万元，占7.26%。</w:t>
      </w:r>
    </w:p>
    <w:p w14:paraId="1B60AAEC">
      <w:pPr>
        <w:shd w:val="clear"/>
        <w:spacing w:line="600" w:lineRule="exact"/>
        <w:ind w:firstLine="640"/>
        <w:outlineLvl w:val="9"/>
        <w:rPr>
          <w:rFonts w:hint="eastAsia" w:eastAsia="仿宋_GB2312" w:cs="仿宋_GB2312"/>
          <w:color w:val="auto"/>
          <w:kern w:val="2"/>
          <w:sz w:val="32"/>
          <w:szCs w:val="32"/>
          <w:highlight w:val="none"/>
          <w:lang w:val="en-US" w:eastAsia="zh-CN" w:bidi="ar-SA"/>
        </w:rPr>
      </w:pPr>
    </w:p>
    <w:p w14:paraId="1128E98B">
      <w:pPr>
        <w:pStyle w:val="8"/>
        <w:shd w:val="clear"/>
        <w:ind w:left="0" w:leftChars="0" w:firstLine="0" w:firstLineChars="0"/>
        <w:outlineLvl w:val="9"/>
        <w:rPr>
          <w:rFonts w:hint="eastAsia"/>
          <w:color w:val="auto"/>
          <w:highlight w:val="none"/>
          <w:lang w:val="en-US" w:eastAsia="zh-CN"/>
        </w:rPr>
      </w:pPr>
    </w:p>
    <w:p w14:paraId="373F564D">
      <w:pPr>
        <w:pStyle w:val="8"/>
        <w:shd w:val="clear"/>
        <w:ind w:left="0" w:leftChars="0" w:firstLine="0" w:firstLineChars="0"/>
        <w:jc w:val="center"/>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s="仿宋"/>
          <w:color w:val="auto"/>
          <w:sz w:val="32"/>
          <w:szCs w:val="32"/>
          <w:highlight w:val="none"/>
          <w:lang w:val="zh-CN" w:eastAsia="zh-CN"/>
        </w:rPr>
        <w:drawing>
          <wp:inline distT="0" distB="0" distL="114300" distR="114300">
            <wp:extent cx="5256530" cy="2988310"/>
            <wp:effectExtent l="5080" t="4445" r="15240" b="171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360E76A0">
      <w:pPr>
        <w:shd w:val="clea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p>
    <w:p w14:paraId="57FBB1A0">
      <w:pPr>
        <w:shd w:val="clea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5"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5"/>
    </w:p>
    <w:p w14:paraId="32C683C3">
      <w:pPr>
        <w:shd w:val="clea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bookmarkStart w:id="36" w:name="_Toc15378460"/>
      <w:bookmarkStart w:id="37" w:name="_Toc15377444"/>
      <w:bookmarkStart w:id="38" w:name="_Toc15377213"/>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color w:val="auto"/>
          <w:sz w:val="32"/>
          <w:szCs w:val="32"/>
          <w:highlight w:val="none"/>
          <w:lang w:val="en-US" w:eastAsia="zh-CN"/>
        </w:rPr>
        <w:t>90.37</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6"/>
      <w:bookmarkEnd w:id="37"/>
      <w:bookmarkEnd w:id="38"/>
    </w:p>
    <w:p w14:paraId="7880CD78">
      <w:pPr>
        <w:numPr>
          <w:ilvl w:val="0"/>
          <w:numId w:val="1"/>
        </w:numPr>
        <w:shd w:val="clear"/>
        <w:spacing w:line="600" w:lineRule="exact"/>
        <w:ind w:left="0" w:leftChars="0" w:firstLine="400" w:firstLineChars="0"/>
        <w:rPr>
          <w:rFonts w:hint="eastAsia"/>
          <w:color w:val="auto"/>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一般公共服务支出（20</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）统战事务（</w:t>
      </w:r>
      <w:r>
        <w:rPr>
          <w:rFonts w:hint="eastAsia" w:eastAsia="仿宋_GB2312" w:cs="仿宋_GB2312"/>
          <w:color w:val="auto"/>
          <w:kern w:val="2"/>
          <w:sz w:val="32"/>
          <w:szCs w:val="32"/>
          <w:highlight w:val="none"/>
          <w:lang w:val="en-US" w:eastAsia="zh-CN" w:bidi="ar-SA"/>
        </w:rPr>
        <w:t>34</w:t>
      </w:r>
      <w:r>
        <w:rPr>
          <w:rFonts w:hint="eastAsia" w:ascii="Times New Roman" w:hAnsi="Times New Roman" w:eastAsia="仿宋_GB2312" w:cs="仿宋_GB2312"/>
          <w:color w:val="auto"/>
          <w:kern w:val="2"/>
          <w:sz w:val="32"/>
          <w:szCs w:val="32"/>
          <w:highlight w:val="none"/>
          <w:lang w:val="en-US" w:eastAsia="zh-CN" w:bidi="ar-SA"/>
        </w:rPr>
        <w:t>）事业运行（</w:t>
      </w:r>
      <w:r>
        <w:rPr>
          <w:rFonts w:hint="eastAsia" w:eastAsia="仿宋_GB2312" w:cs="仿宋_GB2312"/>
          <w:color w:val="auto"/>
          <w:kern w:val="2"/>
          <w:sz w:val="32"/>
          <w:szCs w:val="32"/>
          <w:highlight w:val="none"/>
          <w:lang w:val="en-US" w:eastAsia="zh-CN" w:bidi="ar-SA"/>
        </w:rPr>
        <w:t>50</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67.61</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642693E7">
      <w:pPr>
        <w:numPr>
          <w:ilvl w:val="0"/>
          <w:numId w:val="1"/>
        </w:numPr>
        <w:shd w:val="clea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社会保障和就业支出（208）行政事业单位养老支出（05）机关事业单位基本养老保险缴费支出（05）:支出决算为</w:t>
      </w:r>
      <w:r>
        <w:rPr>
          <w:rFonts w:hint="eastAsia" w:eastAsia="仿宋_GB2312" w:cs="仿宋_GB2312"/>
          <w:color w:val="auto"/>
          <w:kern w:val="2"/>
          <w:sz w:val="32"/>
          <w:szCs w:val="32"/>
          <w:highlight w:val="none"/>
          <w:lang w:val="en-US" w:eastAsia="zh-CN" w:bidi="ar-SA"/>
        </w:rPr>
        <w:t>7.67</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6153036B">
      <w:pPr>
        <w:numPr>
          <w:ilvl w:val="0"/>
          <w:numId w:val="1"/>
        </w:numPr>
        <w:shd w:val="clea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社会保障和就业支出（208）行政事业单位养老支出（05）机关事业单位职业年金缴费支出（06）:支出决算为</w:t>
      </w:r>
      <w:r>
        <w:rPr>
          <w:rFonts w:hint="eastAsia" w:eastAsia="仿宋_GB2312" w:cs="仿宋_GB2312"/>
          <w:color w:val="auto"/>
          <w:kern w:val="2"/>
          <w:sz w:val="32"/>
          <w:szCs w:val="32"/>
          <w:highlight w:val="none"/>
          <w:lang w:val="en-US" w:eastAsia="zh-CN" w:bidi="ar-SA"/>
        </w:rPr>
        <w:t>3.83</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46FC252B">
      <w:pPr>
        <w:numPr>
          <w:ilvl w:val="0"/>
          <w:numId w:val="1"/>
        </w:numPr>
        <w:shd w:val="clear"/>
        <w:spacing w:line="600" w:lineRule="exact"/>
        <w:ind w:left="0" w:leftChars="0" w:firstLine="400" w:firstLineChars="0"/>
        <w:rPr>
          <w:rFonts w:hint="eastAsia"/>
          <w:color w:val="auto"/>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卫生健康支出（210）行政事业单位医疗（11）事业单位医疗（</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4.02</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63957032">
      <w:pPr>
        <w:numPr>
          <w:ilvl w:val="0"/>
          <w:numId w:val="1"/>
        </w:numPr>
        <w:shd w:val="clear"/>
        <w:spacing w:line="600" w:lineRule="exact"/>
        <w:ind w:left="0" w:leftChars="0" w:firstLine="400" w:firstLineChars="0"/>
        <w:rPr>
          <w:rFonts w:hint="eastAsia"/>
          <w:color w:val="auto"/>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卫生健康支出（210）行政事业单位医疗（11）其他行政事业单位医疗支出（</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0.68</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5F0A25B0">
      <w:pPr>
        <w:numPr>
          <w:ilvl w:val="0"/>
          <w:numId w:val="1"/>
        </w:numPr>
        <w:shd w:val="clea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住房保障支出（221）住房改革支出（02）住房公积金（01）:支出决算为</w:t>
      </w:r>
      <w:r>
        <w:rPr>
          <w:rFonts w:hint="eastAsia" w:eastAsia="仿宋_GB2312" w:cs="仿宋_GB2312"/>
          <w:color w:val="auto"/>
          <w:kern w:val="2"/>
          <w:sz w:val="32"/>
          <w:szCs w:val="32"/>
          <w:highlight w:val="none"/>
          <w:lang w:val="en-US" w:eastAsia="zh-CN" w:bidi="ar-SA"/>
        </w:rPr>
        <w:t>6.56</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0FFAFEC1">
      <w:pPr>
        <w:shd w:val="clea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92899EA">
      <w:pPr>
        <w:shd w:val="clear"/>
        <w:tabs>
          <w:tab w:val="right" w:pos="8306"/>
        </w:tabs>
        <w:spacing w:line="600" w:lineRule="exact"/>
        <w:ind w:firstLine="640"/>
        <w:outlineLvl w:val="1"/>
        <w:rPr>
          <w:rStyle w:val="30"/>
          <w:rFonts w:ascii="Times New Roman" w:hAnsi="Times New Roman"/>
          <w:color w:val="auto"/>
          <w:highlight w:val="none"/>
        </w:rPr>
      </w:pPr>
      <w:bookmarkStart w:id="39" w:name="_Toc9770"/>
      <w:bookmarkStart w:id="40" w:name="_Toc15396608"/>
      <w:bookmarkStart w:id="41"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9"/>
      <w:bookmarkEnd w:id="40"/>
      <w:bookmarkEnd w:id="41"/>
      <w:r>
        <w:rPr>
          <w:rStyle w:val="30"/>
          <w:rFonts w:ascii="Times New Roman" w:hAnsi="Times New Roman" w:eastAsia="黑体"/>
          <w:b w:val="0"/>
          <w:color w:val="auto"/>
          <w:highlight w:val="none"/>
        </w:rPr>
        <w:tab/>
      </w:r>
    </w:p>
    <w:p w14:paraId="3F8DB63B">
      <w:pPr>
        <w:shd w:val="clea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hAnsi="仿宋_GB2312" w:eastAsia="仿宋_GB2312" w:cs="仿宋_GB2312"/>
          <w:color w:val="auto"/>
          <w:sz w:val="32"/>
          <w:szCs w:val="32"/>
          <w:highlight w:val="none"/>
          <w:lang w:val="en-US" w:eastAsia="zh-CN"/>
        </w:rPr>
        <w:t>90.37</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652D97BC">
      <w:pPr>
        <w:shd w:val="clea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color w:val="auto"/>
          <w:sz w:val="32"/>
          <w:szCs w:val="32"/>
          <w:highlight w:val="none"/>
          <w:lang w:val="en-US" w:eastAsia="zh-CN"/>
        </w:rPr>
        <w:t>77.63</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主要包括：基本工资、津贴补贴、奖金、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color w:val="auto"/>
          <w:sz w:val="32"/>
          <w:szCs w:val="32"/>
          <w:highlight w:val="none"/>
          <w:lang w:val="en-US" w:eastAsia="zh-CN"/>
        </w:rPr>
        <w:t>12.74</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主要包括：办公费、印刷费、咨询费、手续费、水费、电费、邮电费、物业管理费、差旅费、维修（护）费、租赁费、会议费、培训费、公务接待费、劳务费、委托业务费、工会经费、福利费、公务用车运行维护费、其他交通费、其他商品和服务支出、办公设备购置、专用设备购置、信息网络及软件购置更新等。</w:t>
      </w:r>
    </w:p>
    <w:p w14:paraId="081D479E">
      <w:pPr>
        <w:shd w:val="clea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032232BB">
      <w:pPr>
        <w:shd w:val="clear"/>
        <w:spacing w:line="600" w:lineRule="exact"/>
        <w:ind w:firstLine="640"/>
        <w:outlineLvl w:val="1"/>
        <w:rPr>
          <w:rStyle w:val="30"/>
          <w:rFonts w:ascii="Times New Roman" w:hAnsi="Times New Roman" w:eastAsia="黑体"/>
          <w:b w:val="0"/>
          <w:color w:val="auto"/>
          <w:highlight w:val="none"/>
        </w:rPr>
      </w:pPr>
      <w:bookmarkStart w:id="42" w:name="_Toc15377215"/>
      <w:bookmarkStart w:id="43" w:name="_Toc15396609"/>
      <w:bookmarkStart w:id="44" w:name="_Toc26098"/>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42"/>
      <w:bookmarkEnd w:id="43"/>
      <w:bookmarkEnd w:id="44"/>
    </w:p>
    <w:p w14:paraId="3CCB4AC1">
      <w:pPr>
        <w:shd w:val="clea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45"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45"/>
    </w:p>
    <w:p w14:paraId="2370DED8">
      <w:pPr>
        <w:shd w:val="clea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ascii="仿宋_GB2312" w:hAnsi="仿宋_GB2312" w:eastAsia="仿宋_GB2312" w:cs="仿宋_GB2312"/>
          <w:color w:val="auto"/>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color w:val="auto"/>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%。决算数与预算数持平</w:t>
      </w:r>
      <w:r>
        <w:rPr>
          <w:rFonts w:hint="eastAsia" w:ascii="仿宋_GB2312" w:hAnsi="仿宋_GB2312" w:eastAsia="仿宋_GB2312" w:cs="仿宋_GB2312"/>
          <w:color w:val="auto"/>
          <w:sz w:val="32"/>
          <w:szCs w:val="32"/>
          <w:highlight w:val="none"/>
          <w:lang w:val="en-US" w:eastAsia="zh-CN"/>
        </w:rPr>
        <w:t>。</w:t>
      </w:r>
    </w:p>
    <w:p w14:paraId="46323A85">
      <w:pPr>
        <w:shd w:val="clea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46"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46"/>
    </w:p>
    <w:p w14:paraId="73ED10F1">
      <w:pPr>
        <w:shd w:val="clear"/>
        <w:spacing w:line="600" w:lineRule="exact"/>
        <w:ind w:firstLine="640"/>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万元，占0%；公务接待费支出决算</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万元，占0%。具体情况如下：</w:t>
      </w:r>
    </w:p>
    <w:p w14:paraId="67DF90F9">
      <w:pPr>
        <w:shd w:val="clea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color w:val="auto"/>
          <w:highlight w:val="none"/>
          <w:lang w:val="en-US" w:eastAsia="zh-CN"/>
        </w:rPr>
        <w:drawing>
          <wp:anchor distT="0" distB="0" distL="114300" distR="114300" simplePos="0" relativeHeight="251659264" behindDoc="0" locked="0" layoutInCell="1" allowOverlap="1">
            <wp:simplePos x="0" y="0"/>
            <wp:positionH relativeFrom="column">
              <wp:posOffset>71755</wp:posOffset>
            </wp:positionH>
            <wp:positionV relativeFrom="paragraph">
              <wp:posOffset>90170</wp:posOffset>
            </wp:positionV>
            <wp:extent cx="5256530" cy="2988310"/>
            <wp:effectExtent l="5080" t="4445" r="15240" b="1714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Times New Roman" w:hAnsi="Times New Roman" w:eastAsia="仿宋_GB2312" w:cs="仿宋_GB2312"/>
          <w:color w:val="auto"/>
          <w:kern w:val="2"/>
          <w:sz w:val="32"/>
          <w:szCs w:val="32"/>
          <w:highlight w:val="none"/>
          <w:lang w:val="en-US" w:eastAsia="zh-CN" w:bidi="ar-SA"/>
        </w:rPr>
        <w:t>（图7：“三公”经费财政拨款支出结构）（饼状图）</w:t>
      </w:r>
    </w:p>
    <w:p w14:paraId="5F9EB77E">
      <w:pPr>
        <w:shd w:val="clea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color w:val="auto"/>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0A53B0D3">
      <w:pPr>
        <w:shd w:val="clea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ascii="仿宋_GB2312" w:hAnsi="仿宋_GB2312" w:eastAsia="仿宋_GB2312" w:cs="仿宋_GB2312"/>
          <w:color w:val="auto"/>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color w:val="auto"/>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color w:val="auto"/>
          <w:sz w:val="32"/>
          <w:szCs w:val="32"/>
          <w:highlight w:val="none"/>
          <w:lang w:val="en-US" w:eastAsia="zh-CN"/>
        </w:rPr>
        <w:t>单位无车辆。</w:t>
      </w:r>
    </w:p>
    <w:p w14:paraId="4A38F644">
      <w:pPr>
        <w:shd w:val="clea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color w:val="auto"/>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ascii="仿宋_GB2312" w:hAnsi="仿宋_GB2312" w:eastAsia="仿宋_GB2312" w:cs="仿宋_GB2312"/>
          <w:color w:val="auto"/>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辆。截至</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ascii="仿宋_GB2312" w:hAnsi="仿宋_GB2312" w:eastAsia="仿宋_GB2312" w:cs="仿宋_GB2312"/>
          <w:color w:val="auto"/>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425EFF96">
      <w:pPr>
        <w:shd w:val="clea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color w:val="auto"/>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日常公务</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5A264BEB">
      <w:pPr>
        <w:shd w:val="clea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w:t>
      </w:r>
    </w:p>
    <w:p w14:paraId="4D9B6310">
      <w:pPr>
        <w:shd w:val="clea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color w:val="auto"/>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ascii="仿宋_GB2312" w:hAnsi="仿宋_GB2312" w:eastAsia="仿宋_GB2312" w:cs="仿宋_GB2312"/>
          <w:color w:val="auto"/>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w:t>
      </w:r>
    </w:p>
    <w:p w14:paraId="609F30AC">
      <w:pPr>
        <w:shd w:val="clea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w:t>
      </w:r>
      <w:r>
        <w:rPr>
          <w:rFonts w:hint="eastAsia" w:ascii="Times New Roman" w:hAnsi="Times New Roman" w:eastAsia="仿宋_GB2312" w:cs="仿宋_GB2312"/>
          <w:color w:val="auto"/>
          <w:kern w:val="2"/>
          <w:sz w:val="32"/>
          <w:szCs w:val="32"/>
          <w:highlight w:val="none"/>
          <w:lang w:val="en-US" w:eastAsia="zh-CN" w:bidi="ar-SA"/>
        </w:rPr>
        <w:t>元。</w:t>
      </w:r>
      <w:bookmarkStart w:id="47" w:name="_Toc15377218"/>
      <w:bookmarkStart w:id="48" w:name="_Toc15396610"/>
    </w:p>
    <w:p w14:paraId="16B733E7">
      <w:pPr>
        <w:shd w:val="clear"/>
        <w:spacing w:line="600" w:lineRule="exact"/>
        <w:ind w:firstLine="640"/>
        <w:outlineLvl w:val="1"/>
        <w:rPr>
          <w:rStyle w:val="30"/>
          <w:rFonts w:ascii="Times New Roman" w:hAnsi="Times New Roman" w:eastAsia="黑体"/>
          <w:color w:val="auto"/>
          <w:highlight w:val="none"/>
        </w:rPr>
      </w:pPr>
      <w:bookmarkStart w:id="49" w:name="_Toc7073"/>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7"/>
      <w:bookmarkEnd w:id="48"/>
      <w:bookmarkEnd w:id="49"/>
    </w:p>
    <w:p w14:paraId="05B5037C">
      <w:pPr>
        <w:shd w:val="clea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ascii="仿宋_GB2312" w:hAnsi="仿宋_GB2312" w:eastAsia="仿宋_GB2312" w:cs="仿宋_GB2312"/>
          <w:color w:val="auto"/>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color w:val="auto"/>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w:t>
      </w:r>
    </w:p>
    <w:p w14:paraId="0116953A">
      <w:pPr>
        <w:numPr>
          <w:ilvl w:val="0"/>
          <w:numId w:val="0"/>
        </w:numPr>
        <w:shd w:val="clear"/>
        <w:spacing w:line="600" w:lineRule="exact"/>
        <w:ind w:left="630" w:leftChars="0"/>
        <w:outlineLvl w:val="1"/>
        <w:rPr>
          <w:rStyle w:val="30"/>
          <w:rFonts w:ascii="Times New Roman" w:hAnsi="Times New Roman" w:eastAsia="黑体"/>
          <w:b w:val="0"/>
          <w:color w:val="auto"/>
          <w:highlight w:val="none"/>
        </w:rPr>
      </w:pPr>
      <w:bookmarkStart w:id="50" w:name="_Toc9897"/>
      <w:bookmarkStart w:id="51" w:name="_Toc15396611"/>
      <w:bookmarkStart w:id="52"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50"/>
      <w:bookmarkEnd w:id="51"/>
      <w:bookmarkEnd w:id="52"/>
    </w:p>
    <w:p w14:paraId="10E1E4CF">
      <w:pPr>
        <w:shd w:val="clea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4370398F">
      <w:pPr>
        <w:numPr>
          <w:ilvl w:val="0"/>
          <w:numId w:val="0"/>
        </w:numPr>
        <w:shd w:val="clear"/>
        <w:spacing w:line="600" w:lineRule="exact"/>
        <w:ind w:left="630" w:leftChars="0"/>
        <w:outlineLvl w:val="1"/>
        <w:rPr>
          <w:rStyle w:val="30"/>
          <w:rFonts w:hint="eastAsia" w:ascii="Times New Roman" w:hAnsi="Times New Roman" w:eastAsia="黑体"/>
          <w:b w:val="0"/>
          <w:color w:val="auto"/>
          <w:highlight w:val="none"/>
        </w:rPr>
      </w:pPr>
      <w:bookmarkStart w:id="53" w:name="_Toc15377221"/>
      <w:bookmarkStart w:id="54" w:name="_Toc8130"/>
      <w:bookmarkStart w:id="55" w:name="_Toc15396612"/>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53"/>
      <w:bookmarkEnd w:id="54"/>
      <w:bookmarkEnd w:id="55"/>
    </w:p>
    <w:p w14:paraId="0DCF67A4">
      <w:pPr>
        <w:shd w:val="clea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56" w:name="_Toc15377222"/>
      <w:r>
        <w:rPr>
          <w:rFonts w:hint="eastAsia" w:ascii="Times New Roman" w:hAnsi="Times New Roman" w:eastAsia="楷体_GB2312" w:cs="楷体_GB2312"/>
          <w:b/>
          <w:color w:val="auto"/>
          <w:sz w:val="32"/>
          <w:szCs w:val="32"/>
          <w:highlight w:val="none"/>
        </w:rPr>
        <w:t>（一）机关运行经费支出情况</w:t>
      </w:r>
      <w:bookmarkEnd w:id="56"/>
    </w:p>
    <w:p w14:paraId="3AA99B37">
      <w:pPr>
        <w:shd w:val="clea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auto"/>
          <w:sz w:val="32"/>
          <w:szCs w:val="32"/>
          <w:highlight w:val="none"/>
          <w:lang w:val="en-US" w:eastAsia="zh-CN"/>
        </w:rPr>
        <w:t>四川省阿坝州归国华侨联合会</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ascii="仿宋_GB2312" w:hAnsi="仿宋_GB2312" w:eastAsia="仿宋_GB2312" w:cs="仿宋_GB2312"/>
          <w:color w:val="auto"/>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color w:val="auto"/>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color w:val="auto"/>
          <w:sz w:val="32"/>
          <w:szCs w:val="32"/>
          <w:highlight w:val="none"/>
          <w:lang w:val="en-US" w:eastAsia="zh-CN"/>
        </w:rPr>
        <w:t>事业单位，无机关运行费。</w:t>
      </w:r>
    </w:p>
    <w:p w14:paraId="22965F37">
      <w:pPr>
        <w:shd w:val="clear"/>
        <w:spacing w:line="600" w:lineRule="exact"/>
        <w:ind w:firstLine="643" w:firstLineChars="200"/>
        <w:outlineLvl w:val="9"/>
        <w:rPr>
          <w:rFonts w:hint="eastAsia" w:ascii="Times New Roman" w:hAnsi="Times New Roman" w:eastAsia="楷体_GB2312" w:cs="楷体_GB2312"/>
          <w:b/>
          <w:color w:val="auto"/>
          <w:sz w:val="32"/>
          <w:szCs w:val="32"/>
          <w:highlight w:val="none"/>
          <w:lang w:eastAsia="zh-CN"/>
        </w:rPr>
      </w:pPr>
      <w:bookmarkStart w:id="57" w:name="_Toc15377223"/>
      <w:r>
        <w:rPr>
          <w:rFonts w:hint="eastAsia" w:ascii="Times New Roman" w:hAnsi="Times New Roman" w:eastAsia="楷体_GB2312" w:cs="楷体_GB2312"/>
          <w:b/>
          <w:color w:val="auto"/>
          <w:sz w:val="32"/>
          <w:szCs w:val="32"/>
          <w:highlight w:val="none"/>
        </w:rPr>
        <w:t>（二）政府采购支出情况</w:t>
      </w:r>
      <w:bookmarkEnd w:id="57"/>
    </w:p>
    <w:p w14:paraId="75840CD0">
      <w:pPr>
        <w:shd w:val="clea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color w:val="auto"/>
          <w:sz w:val="32"/>
          <w:szCs w:val="32"/>
          <w:highlight w:val="none"/>
          <w:lang w:val="en-US" w:eastAsia="zh-CN"/>
        </w:rPr>
        <w:t>四川省阿坝州归国华侨联合会</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w:t>
      </w:r>
    </w:p>
    <w:p w14:paraId="5C24164F">
      <w:pPr>
        <w:shd w:val="clea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58" w:name="_Toc15377224"/>
      <w:r>
        <w:rPr>
          <w:rFonts w:hint="eastAsia" w:ascii="Times New Roman" w:hAnsi="Times New Roman" w:eastAsia="楷体_GB2312" w:cs="楷体_GB2312"/>
          <w:b/>
          <w:color w:val="auto"/>
          <w:sz w:val="32"/>
          <w:szCs w:val="32"/>
          <w:highlight w:val="none"/>
        </w:rPr>
        <w:t>（三）国有资产占有使用情况</w:t>
      </w:r>
      <w:bookmarkEnd w:id="58"/>
    </w:p>
    <w:p w14:paraId="7CD4817E">
      <w:pPr>
        <w:shd w:val="clea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color w:val="auto"/>
          <w:sz w:val="32"/>
          <w:szCs w:val="32"/>
          <w:highlight w:val="none"/>
          <w:lang w:val="en-US" w:eastAsia="zh-CN"/>
        </w:rPr>
        <w:t>四川省阿坝州归国华侨联合会</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辆，其他用车主要是用于日常公务用车。单价100万元（含）以上设备（不含车辆）</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00986637">
      <w:pPr>
        <w:shd w:val="clear"/>
        <w:spacing w:line="600" w:lineRule="exact"/>
        <w:ind w:firstLine="643" w:firstLineChars="200"/>
        <w:outlineLvl w:val="9"/>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26D0C606">
      <w:pPr>
        <w:shd w:val="clea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ascii="仿宋_GB2312" w:hAnsi="仿宋_GB2312" w:eastAsia="仿宋_GB2312" w:cs="仿宋_GB2312"/>
          <w:color w:val="auto"/>
          <w:sz w:val="32"/>
          <w:szCs w:val="32"/>
          <w:highlight w:val="none"/>
          <w:lang w:val="en-US" w:eastAsia="zh-CN"/>
        </w:rPr>
        <w:t>四川省阿坝州归国华侨联合会</w:t>
      </w:r>
      <w:r>
        <w:rPr>
          <w:rFonts w:hint="eastAsia" w:ascii="Times New Roman" w:hAnsi="Times New Roman" w:eastAsia="仿宋_GB2312" w:cs="仿宋_GB2312"/>
          <w:color w:val="auto"/>
          <w:kern w:val="2"/>
          <w:sz w:val="32"/>
          <w:szCs w:val="32"/>
          <w:highlight w:val="none"/>
          <w:lang w:val="en-US" w:eastAsia="zh-CN" w:bidi="ar-SA"/>
        </w:rPr>
        <w:t>在</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年度预算编制阶段，组织对</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6BD846FE">
      <w:pPr>
        <w:shd w:val="clea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我单位为二级事业单位，不涉及任何的绩效评价</w:t>
      </w:r>
      <w:r>
        <w:rPr>
          <w:rFonts w:hint="eastAsia" w:ascii="Times New Roman" w:hAnsi="Times New Roman" w:eastAsia="仿宋_GB2312" w:cs="仿宋_GB2312"/>
          <w:color w:val="auto"/>
          <w:kern w:val="2"/>
          <w:sz w:val="32"/>
          <w:szCs w:val="32"/>
          <w:highlight w:val="none"/>
          <w:lang w:val="en-US" w:eastAsia="zh-CN" w:bidi="ar-SA"/>
        </w:rPr>
        <w:t>。</w:t>
      </w:r>
    </w:p>
    <w:p w14:paraId="78144B58">
      <w:pPr>
        <w:shd w:val="clear"/>
        <w:spacing w:line="600" w:lineRule="exact"/>
        <w:ind w:firstLine="640"/>
        <w:outlineLvl w:val="9"/>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部门整体</w:t>
      </w:r>
      <w:r>
        <w:rPr>
          <w:rFonts w:hint="eastAsia" w:ascii="Times New Roman" w:hAnsi="Times New Roman" w:eastAsia="仿宋_GB2312" w:cs="仿宋_GB2312"/>
          <w:color w:val="auto"/>
          <w:kern w:val="2"/>
          <w:sz w:val="32"/>
          <w:szCs w:val="32"/>
          <w:highlight w:val="none"/>
          <w:lang w:val="en-US" w:eastAsia="zh-CN" w:bidi="ar-SA"/>
        </w:rPr>
        <w:t>绩效自评报告详见附件</w:t>
      </w:r>
      <w:r>
        <w:rPr>
          <w:rFonts w:hint="eastAsia" w:eastAsia="仿宋_GB2312" w:cs="仿宋_GB2312"/>
          <w:color w:val="auto"/>
          <w:kern w:val="2"/>
          <w:sz w:val="32"/>
          <w:szCs w:val="32"/>
          <w:highlight w:val="none"/>
          <w:lang w:val="en-US" w:eastAsia="zh-CN" w:bidi="ar-SA"/>
        </w:rPr>
        <w:t>1、</w:t>
      </w:r>
    </w:p>
    <w:p w14:paraId="35777AAA">
      <w:pPr>
        <w:shd w:val="clear"/>
        <w:spacing w:line="600" w:lineRule="exact"/>
        <w:ind w:firstLine="640"/>
        <w:outlineLvl w:val="9"/>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部门项目</w:t>
      </w:r>
      <w:r>
        <w:rPr>
          <w:rFonts w:hint="eastAsia" w:ascii="Times New Roman" w:hAnsi="Times New Roman" w:eastAsia="仿宋_GB2312" w:cs="仿宋_GB2312"/>
          <w:color w:val="auto"/>
          <w:kern w:val="2"/>
          <w:sz w:val="32"/>
          <w:szCs w:val="32"/>
          <w:highlight w:val="none"/>
          <w:lang w:val="en-US" w:eastAsia="zh-CN" w:bidi="ar-SA"/>
        </w:rPr>
        <w:t>自评</w:t>
      </w:r>
      <w:r>
        <w:rPr>
          <w:rFonts w:hint="eastAsia" w:eastAsia="仿宋_GB2312" w:cs="仿宋_GB2312"/>
          <w:color w:val="auto"/>
          <w:kern w:val="2"/>
          <w:sz w:val="32"/>
          <w:szCs w:val="32"/>
          <w:highlight w:val="none"/>
          <w:lang w:val="en-US" w:eastAsia="zh-CN" w:bidi="ar-SA"/>
        </w:rPr>
        <w:t>表</w:t>
      </w:r>
      <w:r>
        <w:rPr>
          <w:rFonts w:hint="eastAsia" w:ascii="Times New Roman" w:hAnsi="Times New Roman" w:eastAsia="仿宋_GB2312" w:cs="仿宋_GB2312"/>
          <w:color w:val="auto"/>
          <w:kern w:val="2"/>
          <w:sz w:val="32"/>
          <w:szCs w:val="32"/>
          <w:highlight w:val="none"/>
          <w:lang w:val="en-US" w:eastAsia="zh-CN" w:bidi="ar-SA"/>
        </w:rPr>
        <w:t>详见附件</w:t>
      </w:r>
      <w:r>
        <w:rPr>
          <w:rFonts w:hint="eastAsia" w:eastAsia="仿宋_GB2312" w:cs="仿宋_GB2312"/>
          <w:color w:val="auto"/>
          <w:kern w:val="2"/>
          <w:sz w:val="32"/>
          <w:szCs w:val="32"/>
          <w:highlight w:val="none"/>
          <w:lang w:val="en-US" w:eastAsia="zh-CN" w:bidi="ar-SA"/>
        </w:rPr>
        <w:t>2。</w:t>
      </w:r>
    </w:p>
    <w:p w14:paraId="6814729B">
      <w:pPr>
        <w:shd w:val="clea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0FE5553">
      <w:pPr>
        <w:shd w:val="clea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671B0BD">
      <w:pPr>
        <w:shd w:val="clea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EB8B494">
      <w:pPr>
        <w:shd w:val="clea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D432EF4">
      <w:pPr>
        <w:pStyle w:val="14"/>
        <w:shd w:val="clear"/>
        <w:rPr>
          <w:rFonts w:hint="eastAsia" w:ascii="Times New Roman" w:hAnsi="Times New Roman" w:eastAsia="仿宋_GB2312" w:cs="仿宋_GB2312"/>
          <w:color w:val="auto"/>
          <w:kern w:val="2"/>
          <w:sz w:val="32"/>
          <w:szCs w:val="32"/>
          <w:highlight w:val="none"/>
          <w:lang w:val="en-US" w:eastAsia="zh-CN" w:bidi="ar-SA"/>
        </w:rPr>
      </w:pPr>
    </w:p>
    <w:p w14:paraId="73621C4F">
      <w:pPr>
        <w:pStyle w:val="8"/>
        <w:shd w:val="clear"/>
        <w:rPr>
          <w:rFonts w:hint="eastAsia" w:ascii="Times New Roman" w:hAnsi="Times New Roman" w:eastAsia="仿宋_GB2312" w:cs="仿宋_GB2312"/>
          <w:color w:val="auto"/>
          <w:kern w:val="2"/>
          <w:sz w:val="32"/>
          <w:szCs w:val="32"/>
          <w:highlight w:val="none"/>
          <w:lang w:val="en-US" w:eastAsia="zh-CN" w:bidi="ar-SA"/>
        </w:rPr>
      </w:pPr>
    </w:p>
    <w:p w14:paraId="27F3D238">
      <w:pPr>
        <w:pStyle w:val="8"/>
        <w:shd w:val="clear"/>
        <w:rPr>
          <w:rFonts w:hint="eastAsia" w:ascii="Times New Roman" w:hAnsi="Times New Roman" w:eastAsia="仿宋_GB2312" w:cs="仿宋_GB2312"/>
          <w:color w:val="auto"/>
          <w:kern w:val="2"/>
          <w:sz w:val="32"/>
          <w:szCs w:val="32"/>
          <w:highlight w:val="none"/>
          <w:lang w:val="en-US" w:eastAsia="zh-CN" w:bidi="ar-SA"/>
        </w:rPr>
      </w:pPr>
    </w:p>
    <w:p w14:paraId="02309AF7">
      <w:pPr>
        <w:pStyle w:val="8"/>
        <w:shd w:val="clear"/>
        <w:rPr>
          <w:rFonts w:hint="eastAsia" w:ascii="Times New Roman" w:hAnsi="Times New Roman" w:eastAsia="仿宋_GB2312" w:cs="仿宋_GB2312"/>
          <w:color w:val="auto"/>
          <w:kern w:val="2"/>
          <w:sz w:val="32"/>
          <w:szCs w:val="32"/>
          <w:highlight w:val="none"/>
          <w:lang w:val="en-US" w:eastAsia="zh-CN" w:bidi="ar-SA"/>
        </w:rPr>
      </w:pPr>
    </w:p>
    <w:p w14:paraId="156CDA8A">
      <w:pPr>
        <w:pStyle w:val="8"/>
        <w:shd w:val="clear"/>
        <w:rPr>
          <w:rFonts w:hint="eastAsia" w:ascii="Times New Roman" w:hAnsi="Times New Roman" w:eastAsia="仿宋_GB2312" w:cs="仿宋_GB2312"/>
          <w:color w:val="auto"/>
          <w:kern w:val="2"/>
          <w:sz w:val="32"/>
          <w:szCs w:val="32"/>
          <w:highlight w:val="none"/>
          <w:lang w:val="en-US" w:eastAsia="zh-CN" w:bidi="ar-SA"/>
        </w:rPr>
      </w:pPr>
    </w:p>
    <w:p w14:paraId="43788B64">
      <w:pPr>
        <w:pStyle w:val="8"/>
        <w:shd w:val="clear"/>
        <w:rPr>
          <w:rFonts w:hint="eastAsia" w:ascii="Times New Roman" w:hAnsi="Times New Roman" w:eastAsia="仿宋_GB2312" w:cs="仿宋_GB2312"/>
          <w:color w:val="auto"/>
          <w:kern w:val="2"/>
          <w:sz w:val="32"/>
          <w:szCs w:val="32"/>
          <w:highlight w:val="none"/>
          <w:lang w:val="en-US" w:eastAsia="zh-CN" w:bidi="ar-SA"/>
        </w:rPr>
      </w:pPr>
    </w:p>
    <w:p w14:paraId="3BB19C87">
      <w:pPr>
        <w:pStyle w:val="8"/>
        <w:shd w:val="clear"/>
        <w:rPr>
          <w:rFonts w:hint="eastAsia" w:ascii="Times New Roman" w:hAnsi="Times New Roman" w:eastAsia="仿宋_GB2312" w:cs="仿宋_GB2312"/>
          <w:color w:val="auto"/>
          <w:kern w:val="2"/>
          <w:sz w:val="32"/>
          <w:szCs w:val="32"/>
          <w:highlight w:val="none"/>
          <w:lang w:val="en-US" w:eastAsia="zh-CN" w:bidi="ar-SA"/>
        </w:rPr>
      </w:pPr>
    </w:p>
    <w:p w14:paraId="1C1BC839">
      <w:pPr>
        <w:pStyle w:val="8"/>
        <w:shd w:val="clear"/>
        <w:rPr>
          <w:rFonts w:hint="eastAsia" w:ascii="Times New Roman" w:hAnsi="Times New Roman" w:eastAsia="仿宋_GB2312" w:cs="仿宋_GB2312"/>
          <w:color w:val="auto"/>
          <w:kern w:val="2"/>
          <w:sz w:val="32"/>
          <w:szCs w:val="32"/>
          <w:highlight w:val="none"/>
          <w:lang w:val="en-US" w:eastAsia="zh-CN" w:bidi="ar-SA"/>
        </w:rPr>
      </w:pPr>
    </w:p>
    <w:p w14:paraId="7565A96F">
      <w:pPr>
        <w:pStyle w:val="8"/>
        <w:shd w:val="clear"/>
        <w:rPr>
          <w:rFonts w:hint="eastAsia" w:ascii="Times New Roman" w:hAnsi="Times New Roman" w:eastAsia="仿宋_GB2312" w:cs="仿宋_GB2312"/>
          <w:color w:val="auto"/>
          <w:kern w:val="2"/>
          <w:sz w:val="32"/>
          <w:szCs w:val="32"/>
          <w:highlight w:val="none"/>
          <w:lang w:val="en-US" w:eastAsia="zh-CN" w:bidi="ar-SA"/>
        </w:rPr>
      </w:pPr>
    </w:p>
    <w:p w14:paraId="169B8F05">
      <w:pPr>
        <w:pStyle w:val="8"/>
        <w:shd w:val="clear"/>
        <w:rPr>
          <w:rFonts w:hint="eastAsia" w:ascii="Times New Roman" w:hAnsi="Times New Roman" w:eastAsia="仿宋_GB2312" w:cs="仿宋_GB2312"/>
          <w:color w:val="auto"/>
          <w:kern w:val="2"/>
          <w:sz w:val="32"/>
          <w:szCs w:val="32"/>
          <w:highlight w:val="none"/>
          <w:lang w:val="en-US" w:eastAsia="zh-CN" w:bidi="ar-SA"/>
        </w:rPr>
      </w:pPr>
    </w:p>
    <w:p w14:paraId="04C429E7">
      <w:pPr>
        <w:pStyle w:val="8"/>
        <w:shd w:val="clear"/>
        <w:rPr>
          <w:rFonts w:hint="eastAsia" w:ascii="Times New Roman" w:hAnsi="Times New Roman" w:eastAsia="仿宋_GB2312" w:cs="仿宋_GB2312"/>
          <w:color w:val="auto"/>
          <w:kern w:val="2"/>
          <w:sz w:val="32"/>
          <w:szCs w:val="32"/>
          <w:highlight w:val="none"/>
          <w:lang w:val="en-US" w:eastAsia="zh-CN" w:bidi="ar-SA"/>
        </w:rPr>
      </w:pPr>
    </w:p>
    <w:p w14:paraId="1A4A0E89">
      <w:pPr>
        <w:pStyle w:val="8"/>
        <w:shd w:val="clear"/>
        <w:rPr>
          <w:rFonts w:hint="eastAsia" w:ascii="Times New Roman" w:hAnsi="Times New Roman" w:eastAsia="仿宋_GB2312" w:cs="仿宋_GB2312"/>
          <w:color w:val="auto"/>
          <w:kern w:val="2"/>
          <w:sz w:val="32"/>
          <w:szCs w:val="32"/>
          <w:highlight w:val="none"/>
          <w:lang w:val="en-US" w:eastAsia="zh-CN" w:bidi="ar-SA"/>
        </w:rPr>
      </w:pPr>
    </w:p>
    <w:p w14:paraId="3C5966BB">
      <w:pPr>
        <w:pStyle w:val="8"/>
        <w:shd w:val="clear"/>
        <w:rPr>
          <w:rFonts w:hint="eastAsia" w:ascii="Times New Roman" w:hAnsi="Times New Roman" w:eastAsia="仿宋_GB2312" w:cs="仿宋_GB2312"/>
          <w:color w:val="auto"/>
          <w:kern w:val="2"/>
          <w:sz w:val="32"/>
          <w:szCs w:val="32"/>
          <w:highlight w:val="none"/>
          <w:lang w:val="en-US" w:eastAsia="zh-CN" w:bidi="ar-SA"/>
        </w:rPr>
      </w:pPr>
    </w:p>
    <w:p w14:paraId="14573093">
      <w:pPr>
        <w:pStyle w:val="8"/>
        <w:shd w:val="clear"/>
        <w:rPr>
          <w:rFonts w:hint="eastAsia" w:ascii="Times New Roman" w:hAnsi="Times New Roman" w:eastAsia="仿宋_GB2312" w:cs="仿宋_GB2312"/>
          <w:color w:val="auto"/>
          <w:kern w:val="2"/>
          <w:sz w:val="32"/>
          <w:szCs w:val="32"/>
          <w:highlight w:val="none"/>
          <w:lang w:val="en-US" w:eastAsia="zh-CN" w:bidi="ar-SA"/>
        </w:rPr>
      </w:pPr>
    </w:p>
    <w:p w14:paraId="4DEF709E">
      <w:pPr>
        <w:pStyle w:val="8"/>
        <w:shd w:val="clear"/>
        <w:rPr>
          <w:rFonts w:hint="eastAsia" w:ascii="Times New Roman" w:hAnsi="Times New Roman" w:eastAsia="仿宋_GB2312" w:cs="仿宋_GB2312"/>
          <w:color w:val="auto"/>
          <w:kern w:val="2"/>
          <w:sz w:val="32"/>
          <w:szCs w:val="32"/>
          <w:highlight w:val="none"/>
          <w:lang w:val="en-US" w:eastAsia="zh-CN" w:bidi="ar-SA"/>
        </w:rPr>
      </w:pPr>
    </w:p>
    <w:p w14:paraId="4DF8422F">
      <w:pPr>
        <w:numPr>
          <w:ilvl w:val="0"/>
          <w:numId w:val="0"/>
        </w:numPr>
        <w:shd w:val="clear"/>
        <w:spacing w:line="600" w:lineRule="exact"/>
        <w:jc w:val="center"/>
        <w:outlineLvl w:val="0"/>
        <w:rPr>
          <w:rFonts w:ascii="Times New Roman" w:hAnsi="Times New Roman"/>
          <w:b/>
          <w:color w:val="auto"/>
          <w:sz w:val="44"/>
          <w:szCs w:val="44"/>
          <w:highlight w:val="none"/>
        </w:rPr>
      </w:pPr>
      <w:bookmarkStart w:id="59" w:name="_Toc19091"/>
      <w:bookmarkStart w:id="60" w:name="_Toc15377225"/>
      <w:bookmarkStart w:id="61"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9"/>
      <w:bookmarkEnd w:id="60"/>
      <w:bookmarkEnd w:id="61"/>
    </w:p>
    <w:p w14:paraId="38E800B4">
      <w:pPr>
        <w:numPr>
          <w:ilvl w:val="0"/>
          <w:numId w:val="2"/>
        </w:numPr>
        <w:shd w:val="clea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财政拨款收入：指单位从同级财政部门取得的财政预算资金。</w:t>
      </w:r>
    </w:p>
    <w:p w14:paraId="35EA33C7">
      <w:pPr>
        <w:numPr>
          <w:ilvl w:val="0"/>
          <w:numId w:val="2"/>
        </w:numPr>
        <w:shd w:val="clea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事业收入：指事业单位开展专业业务活动及辅助活动取得的收入。</w:t>
      </w:r>
    </w:p>
    <w:p w14:paraId="309DF941">
      <w:pPr>
        <w:numPr>
          <w:ilvl w:val="0"/>
          <w:numId w:val="2"/>
        </w:numPr>
        <w:shd w:val="clea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经营收入：指事业单位在专业业务活动及其辅助活动之外开展非独立核算经营活动取得的收入。</w:t>
      </w:r>
    </w:p>
    <w:p w14:paraId="34AF7228">
      <w:pPr>
        <w:numPr>
          <w:ilvl w:val="0"/>
          <w:numId w:val="2"/>
        </w:numPr>
        <w:shd w:val="clea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其他收入：指单位取得的除上述收入以外的各项收入。</w:t>
      </w:r>
    </w:p>
    <w:p w14:paraId="00C2F49C">
      <w:pPr>
        <w:numPr>
          <w:ilvl w:val="0"/>
          <w:numId w:val="2"/>
        </w:numPr>
        <w:shd w:val="clea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使用非财政拨款结余（含专用结余）：指事业单位使用以前年度积累的非财政拨款结余弥补当年收支差额的金额。 </w:t>
      </w:r>
    </w:p>
    <w:p w14:paraId="68A44DC3">
      <w:pPr>
        <w:numPr>
          <w:ilvl w:val="0"/>
          <w:numId w:val="2"/>
        </w:numPr>
        <w:shd w:val="clea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年初结转和结余：指以前年度尚未完成、结转到本年按有关规定继续使用的资金。 </w:t>
      </w:r>
    </w:p>
    <w:p w14:paraId="75997A90">
      <w:pPr>
        <w:numPr>
          <w:ilvl w:val="0"/>
          <w:numId w:val="2"/>
        </w:numPr>
        <w:shd w:val="clea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结余分配：指事业单位按照会计制度规定缴纳的所得税、提取的专用结余以及转入非财政拨款结余的金额等。</w:t>
      </w:r>
    </w:p>
    <w:p w14:paraId="2AE9AA2A">
      <w:pPr>
        <w:numPr>
          <w:ilvl w:val="0"/>
          <w:numId w:val="2"/>
        </w:numPr>
        <w:shd w:val="clea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年末结转和结余：指单位按有关规定结转到下年或以后年度继续使用的资金。</w:t>
      </w:r>
    </w:p>
    <w:p w14:paraId="2D0845DB">
      <w:pPr>
        <w:numPr>
          <w:ilvl w:val="0"/>
          <w:numId w:val="2"/>
        </w:numPr>
        <w:shd w:val="clear"/>
        <w:spacing w:line="600" w:lineRule="exact"/>
        <w:ind w:left="0" w:leftChars="0" w:firstLine="40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一般公共服务支出（20</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）统战事务（</w:t>
      </w:r>
      <w:r>
        <w:rPr>
          <w:rFonts w:hint="eastAsia" w:eastAsia="仿宋_GB2312" w:cs="仿宋_GB2312"/>
          <w:color w:val="auto"/>
          <w:kern w:val="2"/>
          <w:sz w:val="32"/>
          <w:szCs w:val="32"/>
          <w:highlight w:val="none"/>
          <w:lang w:val="en-US" w:eastAsia="zh-CN" w:bidi="ar-SA"/>
        </w:rPr>
        <w:t>34</w:t>
      </w:r>
      <w:r>
        <w:rPr>
          <w:rFonts w:hint="eastAsia" w:ascii="Times New Roman" w:hAnsi="Times New Roman" w:eastAsia="仿宋_GB2312" w:cs="仿宋_GB2312"/>
          <w:color w:val="auto"/>
          <w:kern w:val="2"/>
          <w:sz w:val="32"/>
          <w:szCs w:val="32"/>
          <w:highlight w:val="none"/>
          <w:lang w:val="en-US" w:eastAsia="zh-CN" w:bidi="ar-SA"/>
        </w:rPr>
        <w:t>）事业运行（</w:t>
      </w:r>
      <w:r>
        <w:rPr>
          <w:rFonts w:hint="eastAsia" w:eastAsia="仿宋_GB2312" w:cs="仿宋_GB2312"/>
          <w:color w:val="auto"/>
          <w:kern w:val="2"/>
          <w:sz w:val="32"/>
          <w:szCs w:val="32"/>
          <w:highlight w:val="none"/>
          <w:lang w:val="en-US" w:eastAsia="zh-CN" w:bidi="ar-SA"/>
        </w:rPr>
        <w:t>50</w:t>
      </w:r>
      <w:r>
        <w:rPr>
          <w:rFonts w:hint="eastAsia" w:ascii="Times New Roman" w:hAnsi="Times New Roman" w:eastAsia="仿宋_GB2312" w:cs="仿宋_GB2312"/>
          <w:color w:val="auto"/>
          <w:kern w:val="2"/>
          <w:sz w:val="32"/>
          <w:szCs w:val="32"/>
          <w:highlight w:val="none"/>
          <w:lang w:val="en-US" w:eastAsia="zh-CN" w:bidi="ar-SA"/>
        </w:rPr>
        <w:t>）:反映事业单位的基本支出,不包括行政单位(包括实行公务员管理的事业单位)后勤服务中心、医务室等附属事业单位</w:t>
      </w:r>
      <w:r>
        <w:rPr>
          <w:rFonts w:hint="eastAsia" w:eastAsia="仿宋_GB2312" w:cs="仿宋_GB2312"/>
          <w:color w:val="auto"/>
          <w:kern w:val="2"/>
          <w:sz w:val="32"/>
          <w:szCs w:val="32"/>
          <w:highlight w:val="none"/>
          <w:lang w:val="en-US" w:eastAsia="zh-CN" w:bidi="ar-SA"/>
        </w:rPr>
        <w:t>。</w:t>
      </w:r>
    </w:p>
    <w:p w14:paraId="2C4DA0AD">
      <w:pPr>
        <w:numPr>
          <w:ilvl w:val="0"/>
          <w:numId w:val="2"/>
        </w:numPr>
        <w:shd w:val="clea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社会保障和就业支出（208）行政事业单位养老支出（05）机关事业单位基本养老保险缴费支出（05）:反映机关事业单位实施养老保险制度由单位缴纳的基本养老保险费支出。</w:t>
      </w:r>
    </w:p>
    <w:p w14:paraId="6191F470">
      <w:pPr>
        <w:numPr>
          <w:ilvl w:val="0"/>
          <w:numId w:val="2"/>
        </w:numPr>
        <w:shd w:val="clea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社会保障和就业支出（208）行政事业单位养老支出（05）机关事业单位职业年金缴费支出（06）:反映机关事业单位实施养老保险制度由单位实际缴纳的职业年金支出。</w:t>
      </w:r>
    </w:p>
    <w:p w14:paraId="1D7653A4">
      <w:pPr>
        <w:numPr>
          <w:ilvl w:val="0"/>
          <w:numId w:val="2"/>
        </w:numPr>
        <w:shd w:val="clear"/>
        <w:spacing w:line="600" w:lineRule="exact"/>
        <w:ind w:left="0" w:leftChars="0" w:firstLine="400" w:firstLineChars="0"/>
        <w:rPr>
          <w:rFonts w:hint="eastAsia"/>
          <w:color w:val="auto"/>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卫生健康支出（210）行政事业单位医疗（11）事业单位医疗（0</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）:反映财政部门安排的事业单位基本医疗保险缴费经费，未参加医疗保险的事业单位的公费医疗经费，按国家规定享受离休人员待遇的医疗经费。</w:t>
      </w:r>
    </w:p>
    <w:p w14:paraId="55054284">
      <w:pPr>
        <w:numPr>
          <w:ilvl w:val="0"/>
          <w:numId w:val="2"/>
        </w:numPr>
        <w:shd w:val="clea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卫生健康支出（210）行政事业单位医疗（11）其他行政事业单位医疗支出（</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）:反映除上述项目以外的其他用于行政事业单位医疗方面的</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w:t>
      </w:r>
    </w:p>
    <w:p w14:paraId="3A912973">
      <w:pPr>
        <w:numPr>
          <w:ilvl w:val="0"/>
          <w:numId w:val="2"/>
        </w:numPr>
        <w:shd w:val="clear"/>
        <w:spacing w:line="600" w:lineRule="exact"/>
        <w:ind w:left="0" w:leftChars="0" w:firstLine="40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住房保障支出（221）住房改革支出（02）住房公积金（01）:反映行政事业单位按人力资源和社会保障部、财政部规定的基本工资和津贴补贴以及规定比例为职工缴纳的住房公积金</w:t>
      </w:r>
      <w:r>
        <w:rPr>
          <w:rFonts w:hint="eastAsia" w:eastAsia="仿宋_GB2312" w:cs="仿宋_GB2312"/>
          <w:color w:val="auto"/>
          <w:kern w:val="2"/>
          <w:sz w:val="32"/>
          <w:szCs w:val="32"/>
          <w:highlight w:val="none"/>
          <w:lang w:val="en-US" w:eastAsia="zh-CN" w:bidi="ar-SA"/>
        </w:rPr>
        <w:t>。</w:t>
      </w:r>
    </w:p>
    <w:p w14:paraId="2BD6A266">
      <w:pPr>
        <w:numPr>
          <w:ilvl w:val="0"/>
          <w:numId w:val="2"/>
        </w:numPr>
        <w:shd w:val="clea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427251CC">
      <w:pPr>
        <w:numPr>
          <w:ilvl w:val="0"/>
          <w:numId w:val="2"/>
        </w:numPr>
        <w:shd w:val="clea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640EB555">
      <w:pPr>
        <w:numPr>
          <w:ilvl w:val="0"/>
          <w:numId w:val="2"/>
        </w:numPr>
        <w:shd w:val="clea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707BA0C8">
      <w:pPr>
        <w:numPr>
          <w:ilvl w:val="0"/>
          <w:numId w:val="2"/>
        </w:numPr>
        <w:shd w:val="clea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13F1420">
      <w:pPr>
        <w:numPr>
          <w:ilvl w:val="0"/>
          <w:numId w:val="2"/>
        </w:numPr>
        <w:shd w:val="clea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525DCDB">
      <w:pPr>
        <w:shd w:val="clear"/>
        <w:spacing w:line="600" w:lineRule="exact"/>
        <w:jc w:val="center"/>
        <w:outlineLvl w:val="0"/>
        <w:rPr>
          <w:rFonts w:hint="eastAsia" w:ascii="Times New Roman" w:hAnsi="Times New Roman" w:eastAsia="黑体" w:cs="黑体"/>
          <w:color w:val="auto"/>
          <w:sz w:val="32"/>
          <w:szCs w:val="32"/>
          <w:highlight w:val="none"/>
        </w:rPr>
      </w:pPr>
      <w:bookmarkStart w:id="62"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63" w:name="_Toc15396614"/>
      <w:bookmarkStart w:id="64" w:name="_Toc6590"/>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3"/>
      <w:bookmarkEnd w:id="64"/>
    </w:p>
    <w:p w14:paraId="4FD69E6C">
      <w:pPr>
        <w:keepNext w:val="0"/>
        <w:keepLines w:val="0"/>
        <w:pageBreakBefore w:val="0"/>
        <w:shd w:val="clear"/>
        <w:kinsoku/>
        <w:wordWrap/>
        <w:overflowPunct/>
        <w:topLinePunct w:val="0"/>
        <w:autoSpaceDE/>
        <w:autoSpaceDN/>
        <w:bidi w:val="0"/>
        <w:spacing w:line="572" w:lineRule="exact"/>
        <w:jc w:val="left"/>
        <w:textAlignment w:val="auto"/>
        <w:outlineLvl w:val="9"/>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18979F7C">
      <w:pPr>
        <w:keepNext w:val="0"/>
        <w:keepLines w:val="0"/>
        <w:pageBreakBefore w:val="0"/>
        <w:widowControl/>
        <w:shd w:val="clear"/>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color w:val="auto"/>
          <w:sz w:val="44"/>
          <w:szCs w:val="44"/>
          <w:highlight w:val="none"/>
          <w:shd w:val="clear" w:color="auto" w:fill="FFFFFF"/>
        </w:rPr>
      </w:pPr>
    </w:p>
    <w:p w14:paraId="12ABF7DC">
      <w:pPr>
        <w:keepNext w:val="0"/>
        <w:keepLines w:val="0"/>
        <w:pageBreakBefore w:val="0"/>
        <w:widowControl/>
        <w:shd w:val="clear"/>
        <w:kinsoku/>
        <w:wordWrap/>
        <w:overflowPunct/>
        <w:topLinePunct w:val="0"/>
        <w:autoSpaceDE/>
        <w:autoSpaceDN/>
        <w:bidi w:val="0"/>
        <w:spacing w:line="578" w:lineRule="exact"/>
        <w:contextualSpacing/>
        <w:jc w:val="center"/>
        <w:textAlignment w:val="auto"/>
        <w:outlineLvl w:val="9"/>
        <w:rPr>
          <w:rFonts w:hint="eastAsia" w:ascii="Times New Roman" w:hAnsi="Times New Roman" w:eastAsia="仿宋_GB2312" w:cs="Times New Roman"/>
          <w:color w:val="auto"/>
          <w:sz w:val="32"/>
          <w:szCs w:val="32"/>
          <w:highlight w:val="none"/>
          <w:u w:val="none"/>
          <w:lang w:val="en-US" w:eastAsia="zh-CN" w:bidi="ar"/>
        </w:rPr>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pPr>
      <w:bookmarkStart w:id="65" w:name="_Hlk110546638"/>
      <w:r>
        <w:rPr>
          <w:rFonts w:hint="eastAsia" w:eastAsia="方正小标宋简体" w:cs="Times New Roman"/>
          <w:b w:val="0"/>
          <w:bCs/>
          <w:color w:val="auto"/>
          <w:sz w:val="44"/>
          <w:szCs w:val="44"/>
          <w:highlight w:val="none"/>
          <w:shd w:val="clear" w:color="auto" w:fill="FFFFFF"/>
          <w:lang w:val="en-US" w:eastAsia="zh-CN"/>
        </w:rPr>
        <w:t>我单位不涉及</w:t>
      </w:r>
      <w:r>
        <w:rPr>
          <w:rFonts w:hint="default" w:ascii="Times New Roman" w:hAnsi="Times New Roman" w:eastAsia="方正小标宋简体" w:cs="Times New Roman"/>
          <w:b w:val="0"/>
          <w:bCs/>
          <w:color w:val="auto"/>
          <w:sz w:val="44"/>
          <w:szCs w:val="44"/>
          <w:highlight w:val="none"/>
          <w:shd w:val="clear" w:color="auto" w:fill="FFFFFF"/>
        </w:rPr>
        <w:t>部门</w:t>
      </w:r>
      <w:r>
        <w:rPr>
          <w:rFonts w:hint="default" w:ascii="Times New Roman" w:hAnsi="Times New Roman" w:eastAsia="方正小标宋简体" w:cs="Times New Roman"/>
          <w:b w:val="0"/>
          <w:bCs/>
          <w:color w:val="auto"/>
          <w:sz w:val="44"/>
          <w:szCs w:val="44"/>
          <w:highlight w:val="none"/>
          <w:shd w:val="clear" w:color="auto" w:fill="FFFFFF"/>
          <w:lang w:eastAsia="zh-CN"/>
        </w:rPr>
        <w:t>预算</w:t>
      </w:r>
      <w:r>
        <w:rPr>
          <w:rFonts w:hint="default" w:ascii="Times New Roman" w:hAnsi="Times New Roman" w:eastAsia="方正小标宋简体" w:cs="Times New Roman"/>
          <w:b w:val="0"/>
          <w:bCs/>
          <w:color w:val="auto"/>
          <w:sz w:val="44"/>
          <w:szCs w:val="44"/>
          <w:highlight w:val="none"/>
          <w:shd w:val="clear" w:color="auto" w:fill="FFFFFF"/>
        </w:rPr>
        <w:t>绩效</w:t>
      </w:r>
      <w:r>
        <w:rPr>
          <w:rFonts w:hint="eastAsia" w:ascii="Times New Roman" w:hAnsi="Times New Roman" w:eastAsia="方正小标宋简体" w:cs="Times New Roman"/>
          <w:b w:val="0"/>
          <w:bCs/>
          <w:color w:val="auto"/>
          <w:sz w:val="44"/>
          <w:szCs w:val="44"/>
          <w:highlight w:val="none"/>
          <w:shd w:val="clear" w:color="auto" w:fill="FFFFFF"/>
          <w:lang w:eastAsia="zh-CN"/>
        </w:rPr>
        <w:t>评价</w:t>
      </w:r>
    </w:p>
    <w:bookmarkEnd w:id="65"/>
    <w:p w14:paraId="2CA128AA">
      <w:pPr>
        <w:pStyle w:val="8"/>
        <w:keepNext w:val="0"/>
        <w:keepLines w:val="0"/>
        <w:pageBreakBefore w:val="0"/>
        <w:numPr>
          <w:ilvl w:val="0"/>
          <w:numId w:val="0"/>
        </w:numPr>
        <w:shd w:val="clear"/>
        <w:kinsoku/>
        <w:wordWrap/>
        <w:overflowPunct/>
        <w:topLinePunct w:val="0"/>
        <w:autoSpaceDE/>
        <w:autoSpaceDN/>
        <w:bidi w:val="0"/>
        <w:spacing w:line="560" w:lineRule="exact"/>
        <w:jc w:val="center"/>
        <w:textAlignment w:val="auto"/>
        <w:rPr>
          <w:rFonts w:hint="eastAsia" w:ascii="Times New Roman" w:hAnsi="Times New Roman" w:eastAsia="仿宋_GB2312" w:cs="Times New Roman"/>
          <w:color w:val="auto"/>
          <w:kern w:val="2"/>
          <w:sz w:val="32"/>
          <w:szCs w:val="32"/>
          <w:highlight w:val="none"/>
          <w:u w:val="none"/>
          <w:lang w:val="zh-CN" w:eastAsia="zh-CN" w:bidi="ar"/>
        </w:rPr>
      </w:pPr>
      <w:r>
        <w:rPr>
          <w:rFonts w:hint="eastAsia" w:ascii="Times New Roman" w:hAnsi="Times New Roman" w:eastAsia="仿宋_GB2312" w:cs="Times New Roman"/>
          <w:color w:val="auto"/>
          <w:kern w:val="2"/>
          <w:sz w:val="32"/>
          <w:szCs w:val="32"/>
          <w:highlight w:val="none"/>
          <w:u w:val="none"/>
          <w:lang w:val="zh-CN" w:eastAsia="zh-CN" w:bidi="ar"/>
        </w:rPr>
        <w:t>附表：</w:t>
      </w:r>
      <w:r>
        <w:rPr>
          <w:rFonts w:hint="eastAsia" w:ascii="Times New Roman" w:hAnsi="Times New Roman" w:eastAsia="仿宋_GB2312" w:cs="Times New Roman"/>
          <w:color w:val="auto"/>
          <w:kern w:val="2"/>
          <w:sz w:val="32"/>
          <w:szCs w:val="32"/>
          <w:highlight w:val="none"/>
          <w:u w:val="none"/>
          <w:lang w:val="en-US" w:eastAsia="zh-CN" w:bidi="ar"/>
        </w:rPr>
        <w:t>部门预算项目支出绩效自评表（</w:t>
      </w:r>
      <w:r>
        <w:rPr>
          <w:rFonts w:hint="eastAsia" w:ascii="Times New Roman" w:eastAsia="仿宋_GB2312" w:cs="Times New Roman"/>
          <w:color w:val="auto"/>
          <w:kern w:val="2"/>
          <w:sz w:val="32"/>
          <w:szCs w:val="32"/>
          <w:highlight w:val="none"/>
          <w:u w:val="none"/>
          <w:lang w:val="en-US" w:eastAsia="zh-CN" w:bidi="ar"/>
        </w:rPr>
        <w:t>2025</w:t>
      </w:r>
      <w:r>
        <w:rPr>
          <w:rFonts w:hint="eastAsia" w:ascii="Times New Roman" w:hAnsi="Times New Roman" w:eastAsia="仿宋_GB2312" w:cs="Times New Roman"/>
          <w:color w:val="auto"/>
          <w:kern w:val="2"/>
          <w:sz w:val="32"/>
          <w:szCs w:val="32"/>
          <w:highlight w:val="none"/>
          <w:u w:val="none"/>
          <w:lang w:val="en-US" w:eastAsia="zh-CN" w:bidi="ar"/>
        </w:rPr>
        <w:t>年度）</w:t>
      </w:r>
    </w:p>
    <w:p w14:paraId="399971ED">
      <w:pPr>
        <w:pStyle w:val="8"/>
        <w:keepNext w:val="0"/>
        <w:keepLines w:val="0"/>
        <w:pageBreakBefore w:val="0"/>
        <w:numPr>
          <w:ilvl w:val="0"/>
          <w:numId w:val="0"/>
        </w:numPr>
        <w:shd w:val="clear"/>
        <w:kinsoku/>
        <w:wordWrap/>
        <w:overflowPunct/>
        <w:topLinePunct w:val="0"/>
        <w:autoSpaceDE/>
        <w:autoSpaceDN/>
        <w:bidi w:val="0"/>
        <w:spacing w:line="560" w:lineRule="exact"/>
        <w:jc w:val="center"/>
        <w:textAlignment w:val="auto"/>
        <w:rPr>
          <w:rFonts w:hint="eastAsia" w:ascii="Times New Roman" w:hAnsi="Times New Roman" w:cs="Times New Roman"/>
          <w:color w:val="auto"/>
          <w:sz w:val="32"/>
          <w:szCs w:val="32"/>
          <w:highlight w:val="none"/>
          <w:lang w:val="zh-CN" w:eastAsia="zh-CN"/>
        </w:rPr>
        <w:sectPr>
          <w:pgSz w:w="16838" w:h="11906" w:orient="landscape"/>
          <w:pgMar w:top="1800" w:right="1440" w:bottom="1800" w:left="1440" w:header="851" w:footer="992" w:gutter="0"/>
          <w:pgNumType w:fmt="decimal"/>
          <w:cols w:space="425" w:num="1"/>
          <w:titlePg/>
          <w:docGrid w:type="lines" w:linePitch="312" w:charSpace="0"/>
        </w:sectPr>
      </w:pPr>
      <w:r>
        <w:rPr>
          <w:rFonts w:hint="eastAsia" w:ascii="Times New Roman" w:hAnsi="Times New Roman" w:eastAsia="仿宋_GB2312" w:cs="Times New Roman"/>
          <w:color w:val="auto"/>
          <w:kern w:val="2"/>
          <w:sz w:val="32"/>
          <w:szCs w:val="32"/>
          <w:highlight w:val="none"/>
          <w:u w:val="none"/>
          <w:lang w:val="en-US" w:eastAsia="zh-CN" w:bidi="ar"/>
        </w:rPr>
        <w:t>涉密</w:t>
      </w:r>
    </w:p>
    <w:p w14:paraId="72F6FFC3">
      <w:pPr>
        <w:pStyle w:val="6"/>
        <w:shd w:val="clear"/>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511EC3B7">
      <w:pPr>
        <w:pStyle w:val="35"/>
        <w:keepNext w:val="0"/>
        <w:keepLines w:val="0"/>
        <w:pageBreakBefore w:val="0"/>
        <w:widowControl w:val="0"/>
        <w:shd w:val="clear"/>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4D024B45">
      <w:pPr>
        <w:keepNext w:val="0"/>
        <w:keepLines w:val="0"/>
        <w:pageBreakBefore w:val="0"/>
        <w:widowControl w:val="0"/>
        <w:shd w:val="clear"/>
        <w:kinsoku/>
        <w:wordWrap/>
        <w:overflowPunct/>
        <w:topLinePunct w:val="0"/>
        <w:autoSpaceDE/>
        <w:autoSpaceDN/>
        <w:bidi w:val="0"/>
        <w:spacing w:line="578" w:lineRule="exact"/>
        <w:jc w:val="center"/>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方正小标宋简体" w:cs="方正小标宋简体"/>
          <w:color w:val="auto"/>
          <w:kern w:val="2"/>
          <w:sz w:val="44"/>
          <w:szCs w:val="44"/>
          <w:highlight w:val="none"/>
          <w:lang w:val="en-US" w:eastAsia="zh-CN"/>
        </w:rPr>
        <w:t>我单位不涉及专项预算项目绩效评价</w:t>
      </w:r>
    </w:p>
    <w:p w14:paraId="6D1411DF">
      <w:pPr>
        <w:keepNext w:val="0"/>
        <w:keepLines w:val="0"/>
        <w:pageBreakBefore w:val="0"/>
        <w:widowControl w:val="0"/>
        <w:shd w:val="clear"/>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p>
    <w:p w14:paraId="326C28BE">
      <w:pPr>
        <w:keepNext w:val="0"/>
        <w:keepLines w:val="0"/>
        <w:pageBreakBefore w:val="0"/>
        <w:widowControl w:val="0"/>
        <w:shd w:val="clear"/>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bookmarkStart w:id="66" w:name="_Toc15396618"/>
      <w:r>
        <w:rPr>
          <w:rFonts w:hint="eastAsia" w:ascii="Times New Roman" w:hAnsi="Times New Roman" w:eastAsia="仿宋_GB2312" w:cs="仿宋_GB2312"/>
          <w:b w:val="0"/>
          <w:bCs w:val="0"/>
          <w:color w:val="auto"/>
          <w:kern w:val="0"/>
          <w:position w:val="0"/>
          <w:sz w:val="32"/>
          <w:szCs w:val="32"/>
          <w:highlight w:val="none"/>
          <w:lang w:val="en-US" w:eastAsia="zh-CN" w:bidi="ar-SA"/>
        </w:rPr>
        <w:br w:type="page"/>
      </w:r>
      <w:bookmarkStart w:id="94" w:name="_GoBack"/>
      <w:bookmarkEnd w:id="94"/>
    </w:p>
    <w:p w14:paraId="144B5A96">
      <w:pPr>
        <w:widowControl/>
        <w:shd w:val="clear"/>
        <w:jc w:val="center"/>
        <w:outlineLvl w:val="0"/>
        <w:rPr>
          <w:rFonts w:hint="eastAsia" w:ascii="Times New Roman" w:hAnsi="Times New Roman" w:eastAsia="仿宋_GB2312" w:cs="仿宋_GB2312"/>
          <w:color w:val="auto"/>
          <w:sz w:val="32"/>
          <w:szCs w:val="32"/>
          <w:highlight w:val="none"/>
        </w:rPr>
      </w:pPr>
      <w:bookmarkStart w:id="67" w:name="_Toc18328"/>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 xml:space="preserve">五部分 </w:t>
      </w:r>
      <w:r>
        <w:rPr>
          <w:rStyle w:val="29"/>
          <w:rFonts w:hint="eastAsia" w:eastAsia="黑体"/>
          <w:b w:val="0"/>
          <w:color w:val="auto"/>
          <w:highlight w:val="none"/>
          <w:lang w:val="en-US" w:eastAsia="zh-CN"/>
        </w:rPr>
        <w:t xml:space="preserve"> </w:t>
      </w:r>
      <w:r>
        <w:rPr>
          <w:rStyle w:val="29"/>
          <w:rFonts w:hint="eastAsia" w:ascii="Times New Roman" w:hAnsi="Times New Roman" w:eastAsia="黑体"/>
          <w:b w:val="0"/>
          <w:color w:val="auto"/>
          <w:highlight w:val="none"/>
        </w:rPr>
        <w:t>附表</w:t>
      </w:r>
      <w:bookmarkEnd w:id="62"/>
      <w:bookmarkEnd w:id="66"/>
      <w:bookmarkEnd w:id="67"/>
      <w:bookmarkStart w:id="68" w:name="_Toc15396619"/>
    </w:p>
    <w:p w14:paraId="5B76F92B">
      <w:pPr>
        <w:pStyle w:val="15"/>
        <w:keepNext w:val="0"/>
        <w:keepLines w:val="0"/>
        <w:pageBreakBefore w:val="0"/>
        <w:shd w:val="clear"/>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69" w:name="_Toc3436"/>
      <w:r>
        <w:rPr>
          <w:rFonts w:hint="eastAsia" w:ascii="Times New Roman" w:hAnsi="Times New Roman" w:eastAsia="仿宋_GB2312" w:cs="仿宋_GB2312"/>
          <w:color w:val="auto"/>
          <w:sz w:val="32"/>
          <w:szCs w:val="32"/>
          <w:highlight w:val="none"/>
        </w:rPr>
        <w:t>一、收入支出决算总表</w:t>
      </w:r>
      <w:bookmarkEnd w:id="68"/>
      <w:bookmarkEnd w:id="69"/>
    </w:p>
    <w:p w14:paraId="585E52DC">
      <w:pPr>
        <w:pStyle w:val="15"/>
        <w:keepNext w:val="0"/>
        <w:keepLines w:val="0"/>
        <w:pageBreakBefore w:val="0"/>
        <w:shd w:val="clear"/>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0" w:name="_Toc15396620"/>
      <w:bookmarkStart w:id="71" w:name="_Toc10614"/>
      <w:r>
        <w:rPr>
          <w:rFonts w:hint="eastAsia" w:ascii="Times New Roman" w:hAnsi="Times New Roman" w:eastAsia="仿宋_GB2312" w:cs="仿宋_GB2312"/>
          <w:color w:val="auto"/>
          <w:sz w:val="32"/>
          <w:szCs w:val="32"/>
          <w:highlight w:val="none"/>
        </w:rPr>
        <w:t>二、收入决算表</w:t>
      </w:r>
      <w:bookmarkEnd w:id="70"/>
      <w:bookmarkEnd w:id="71"/>
    </w:p>
    <w:p w14:paraId="61C5EB46">
      <w:pPr>
        <w:pStyle w:val="15"/>
        <w:keepNext w:val="0"/>
        <w:keepLines w:val="0"/>
        <w:pageBreakBefore w:val="0"/>
        <w:shd w:val="clear"/>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2" w:name="_Toc15396621"/>
      <w:bookmarkStart w:id="73" w:name="_Toc14774"/>
      <w:r>
        <w:rPr>
          <w:rFonts w:hint="eastAsia" w:ascii="Times New Roman" w:hAnsi="Times New Roman" w:eastAsia="仿宋_GB2312" w:cs="仿宋_GB2312"/>
          <w:color w:val="auto"/>
          <w:sz w:val="32"/>
          <w:szCs w:val="32"/>
          <w:highlight w:val="none"/>
        </w:rPr>
        <w:t>三、支出决算表</w:t>
      </w:r>
      <w:bookmarkEnd w:id="72"/>
      <w:bookmarkEnd w:id="73"/>
    </w:p>
    <w:p w14:paraId="2B40FB6D">
      <w:pPr>
        <w:pStyle w:val="15"/>
        <w:keepNext w:val="0"/>
        <w:keepLines w:val="0"/>
        <w:pageBreakBefore w:val="0"/>
        <w:shd w:val="clear"/>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4" w:name="_Toc5392"/>
      <w:bookmarkStart w:id="75" w:name="_Toc15396622"/>
      <w:r>
        <w:rPr>
          <w:rFonts w:hint="eastAsia" w:ascii="Times New Roman" w:hAnsi="Times New Roman" w:eastAsia="仿宋_GB2312" w:cs="仿宋_GB2312"/>
          <w:color w:val="auto"/>
          <w:sz w:val="32"/>
          <w:szCs w:val="32"/>
          <w:highlight w:val="none"/>
        </w:rPr>
        <w:t>四、财政拨款收入支出决算总表</w:t>
      </w:r>
      <w:bookmarkEnd w:id="74"/>
      <w:bookmarkEnd w:id="75"/>
    </w:p>
    <w:p w14:paraId="0221BCAD">
      <w:pPr>
        <w:pStyle w:val="15"/>
        <w:keepNext w:val="0"/>
        <w:keepLines w:val="0"/>
        <w:pageBreakBefore w:val="0"/>
        <w:shd w:val="clear"/>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6" w:name="_Toc29475"/>
      <w:bookmarkStart w:id="77" w:name="_Toc15396623"/>
      <w:r>
        <w:rPr>
          <w:rFonts w:hint="eastAsia" w:ascii="Times New Roman" w:hAnsi="Times New Roman" w:eastAsia="仿宋_GB2312" w:cs="仿宋_GB2312"/>
          <w:color w:val="auto"/>
          <w:sz w:val="32"/>
          <w:szCs w:val="32"/>
          <w:highlight w:val="none"/>
        </w:rPr>
        <w:t>五、财政拨款支出决算明细表</w:t>
      </w:r>
      <w:bookmarkEnd w:id="76"/>
      <w:bookmarkEnd w:id="77"/>
      <w:bookmarkStart w:id="78" w:name="_Toc15396624"/>
    </w:p>
    <w:p w14:paraId="53FD6F55">
      <w:pPr>
        <w:pStyle w:val="15"/>
        <w:keepNext w:val="0"/>
        <w:keepLines w:val="0"/>
        <w:pageBreakBefore w:val="0"/>
        <w:shd w:val="clear"/>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9" w:name="_Toc2870"/>
      <w:r>
        <w:rPr>
          <w:rFonts w:hint="eastAsia" w:ascii="Times New Roman" w:hAnsi="Times New Roman" w:eastAsia="仿宋_GB2312" w:cs="仿宋_GB2312"/>
          <w:color w:val="auto"/>
          <w:sz w:val="32"/>
          <w:szCs w:val="32"/>
          <w:highlight w:val="none"/>
        </w:rPr>
        <w:t>六、一般公共预算财政拨款支出决算表</w:t>
      </w:r>
      <w:bookmarkEnd w:id="78"/>
      <w:bookmarkEnd w:id="79"/>
    </w:p>
    <w:p w14:paraId="2B8EE2E2">
      <w:pPr>
        <w:pStyle w:val="15"/>
        <w:keepNext w:val="0"/>
        <w:keepLines w:val="0"/>
        <w:pageBreakBefore w:val="0"/>
        <w:shd w:val="clear"/>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0" w:name="_Toc15396625"/>
      <w:bookmarkStart w:id="81" w:name="_Toc25605"/>
      <w:r>
        <w:rPr>
          <w:rFonts w:hint="eastAsia" w:ascii="Times New Roman" w:hAnsi="Times New Roman" w:eastAsia="仿宋_GB2312" w:cs="仿宋_GB2312"/>
          <w:color w:val="auto"/>
          <w:sz w:val="32"/>
          <w:szCs w:val="32"/>
          <w:highlight w:val="none"/>
        </w:rPr>
        <w:t>七、一般公共预算财政拨款支出决算明细表</w:t>
      </w:r>
      <w:bookmarkEnd w:id="80"/>
      <w:bookmarkEnd w:id="81"/>
    </w:p>
    <w:p w14:paraId="7A3EDB48">
      <w:pPr>
        <w:pStyle w:val="15"/>
        <w:keepNext w:val="0"/>
        <w:keepLines w:val="0"/>
        <w:pageBreakBefore w:val="0"/>
        <w:shd w:val="clear"/>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2" w:name="_Toc3760"/>
      <w:bookmarkStart w:id="83" w:name="_Toc15396626"/>
      <w:r>
        <w:rPr>
          <w:rFonts w:hint="eastAsia" w:ascii="Times New Roman" w:hAnsi="Times New Roman" w:eastAsia="仿宋_GB2312" w:cs="仿宋_GB2312"/>
          <w:color w:val="auto"/>
          <w:sz w:val="32"/>
          <w:szCs w:val="32"/>
          <w:highlight w:val="none"/>
        </w:rPr>
        <w:t>八、一般公共预算财政拨款基本支出决算表</w:t>
      </w:r>
      <w:bookmarkEnd w:id="82"/>
      <w:bookmarkEnd w:id="83"/>
    </w:p>
    <w:p w14:paraId="71633B3C">
      <w:pPr>
        <w:pStyle w:val="15"/>
        <w:keepNext w:val="0"/>
        <w:keepLines w:val="0"/>
        <w:pageBreakBefore w:val="0"/>
        <w:shd w:val="clear"/>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4" w:name="_Toc15396627"/>
      <w:bookmarkStart w:id="85" w:name="_Toc26330"/>
      <w:r>
        <w:rPr>
          <w:rFonts w:hint="eastAsia" w:ascii="Times New Roman" w:hAnsi="Times New Roman" w:eastAsia="仿宋_GB2312" w:cs="仿宋_GB2312"/>
          <w:color w:val="auto"/>
          <w:sz w:val="32"/>
          <w:szCs w:val="32"/>
          <w:highlight w:val="none"/>
        </w:rPr>
        <w:t>九、一般公共预算财政拨款项目支出决算表</w:t>
      </w:r>
      <w:bookmarkEnd w:id="84"/>
      <w:bookmarkEnd w:id="85"/>
    </w:p>
    <w:p w14:paraId="5C8191B7">
      <w:pPr>
        <w:pStyle w:val="15"/>
        <w:keepNext w:val="0"/>
        <w:keepLines w:val="0"/>
        <w:pageBreakBefore w:val="0"/>
        <w:shd w:val="clear"/>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6" w:name="_Toc15396628"/>
      <w:bookmarkStart w:id="87" w:name="_Toc12171"/>
      <w:r>
        <w:rPr>
          <w:rFonts w:hint="eastAsia" w:ascii="Times New Roman" w:hAnsi="Times New Roman" w:eastAsia="仿宋_GB2312" w:cs="仿宋_GB2312"/>
          <w:color w:val="auto"/>
          <w:sz w:val="32"/>
          <w:szCs w:val="32"/>
          <w:highlight w:val="none"/>
        </w:rPr>
        <w:t>十、</w:t>
      </w:r>
      <w:bookmarkEnd w:id="86"/>
      <w:r>
        <w:rPr>
          <w:rFonts w:hint="eastAsia" w:ascii="Times New Roman" w:hAnsi="Times New Roman" w:eastAsia="仿宋_GB2312" w:cs="仿宋_GB2312"/>
          <w:color w:val="auto"/>
          <w:sz w:val="32"/>
          <w:szCs w:val="32"/>
          <w:highlight w:val="none"/>
        </w:rPr>
        <w:t>政府性基金预算财政拨款收入支出决算表</w:t>
      </w:r>
      <w:bookmarkEnd w:id="87"/>
    </w:p>
    <w:p w14:paraId="2554C6AC">
      <w:pPr>
        <w:pStyle w:val="15"/>
        <w:keepNext w:val="0"/>
        <w:keepLines w:val="0"/>
        <w:pageBreakBefore w:val="0"/>
        <w:shd w:val="clear"/>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8" w:name="_Toc15396629"/>
      <w:bookmarkStart w:id="89" w:name="_Toc5335"/>
      <w:r>
        <w:rPr>
          <w:rFonts w:hint="eastAsia" w:ascii="Times New Roman" w:hAnsi="Times New Roman" w:eastAsia="仿宋_GB2312" w:cs="仿宋_GB2312"/>
          <w:color w:val="auto"/>
          <w:sz w:val="32"/>
          <w:szCs w:val="32"/>
          <w:highlight w:val="none"/>
        </w:rPr>
        <w:t>十一、</w:t>
      </w:r>
      <w:bookmarkEnd w:id="8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bookmarkEnd w:id="89"/>
    </w:p>
    <w:p w14:paraId="54F8AF3D">
      <w:pPr>
        <w:pStyle w:val="15"/>
        <w:keepNext w:val="0"/>
        <w:keepLines w:val="0"/>
        <w:pageBreakBefore w:val="0"/>
        <w:shd w:val="clear"/>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90" w:name="_Toc15396630"/>
      <w:bookmarkStart w:id="91" w:name="_Toc19972"/>
      <w:r>
        <w:rPr>
          <w:rFonts w:hint="eastAsia" w:ascii="Times New Roman" w:hAnsi="Times New Roman" w:eastAsia="仿宋_GB2312" w:cs="仿宋_GB2312"/>
          <w:color w:val="auto"/>
          <w:sz w:val="32"/>
          <w:szCs w:val="32"/>
          <w:highlight w:val="none"/>
        </w:rPr>
        <w:t>十二、</w:t>
      </w:r>
      <w:bookmarkEnd w:id="90"/>
      <w:r>
        <w:rPr>
          <w:rFonts w:hint="eastAsia" w:ascii="Times New Roman" w:hAnsi="Times New Roman" w:eastAsia="仿宋_GB2312" w:cs="仿宋_GB2312"/>
          <w:color w:val="auto"/>
          <w:sz w:val="32"/>
          <w:szCs w:val="32"/>
          <w:highlight w:val="none"/>
          <w:lang w:eastAsia="zh-CN"/>
        </w:rPr>
        <w:t>国有资本经营预算财政拨款支出决算表</w:t>
      </w:r>
      <w:bookmarkEnd w:id="91"/>
    </w:p>
    <w:p w14:paraId="47908272">
      <w:pPr>
        <w:pStyle w:val="15"/>
        <w:keepNext w:val="0"/>
        <w:keepLines w:val="0"/>
        <w:pageBreakBefore w:val="0"/>
        <w:shd w:val="clear"/>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lang w:eastAsia="zh-CN"/>
        </w:rPr>
      </w:pPr>
      <w:bookmarkStart w:id="92" w:name="_Toc15396631"/>
      <w:bookmarkStart w:id="93" w:name="_Toc12736"/>
      <w:r>
        <w:rPr>
          <w:rFonts w:hint="eastAsia" w:ascii="Times New Roman" w:hAnsi="Times New Roman" w:eastAsia="仿宋_GB2312" w:cs="仿宋_GB2312"/>
          <w:color w:val="auto"/>
          <w:sz w:val="32"/>
          <w:szCs w:val="32"/>
          <w:highlight w:val="none"/>
        </w:rPr>
        <w:t>十三、</w:t>
      </w:r>
      <w:bookmarkEnd w:id="92"/>
      <w:r>
        <w:rPr>
          <w:rFonts w:hint="eastAsia" w:ascii="Times New Roman" w:hAnsi="Times New Roman" w:eastAsia="仿宋_GB2312" w:cs="仿宋_GB2312"/>
          <w:color w:val="auto"/>
          <w:sz w:val="32"/>
          <w:szCs w:val="32"/>
          <w:highlight w:val="none"/>
          <w:lang w:eastAsia="zh-CN"/>
        </w:rPr>
        <w:t>财政拨款“三公”经费支出决算表</w:t>
      </w:r>
      <w:bookmarkEnd w:id="93"/>
    </w:p>
    <w:p w14:paraId="08966D4F">
      <w:pPr>
        <w:shd w:val="clear"/>
        <w:rPr>
          <w:rFonts w:hint="eastAsia" w:ascii="Times New Roman" w:hAnsi="Times New Roman"/>
          <w:color w:val="auto"/>
          <w:highlight w:val="none"/>
          <w:lang w:eastAsia="zh-CN"/>
        </w:rPr>
      </w:pPr>
    </w:p>
    <w:sectPr>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68552DF-2425-4062-8C8D-4D765E9EA36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4820C718-E57A-4E9A-821C-066F22A448F5}"/>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644D7859-4D64-4824-A3B5-9DF29CA96687}"/>
  </w:font>
  <w:font w:name="仿宋">
    <w:panose1 w:val="02010609060101010101"/>
    <w:charset w:val="86"/>
    <w:family w:val="modern"/>
    <w:pitch w:val="default"/>
    <w:sig w:usb0="800002BF" w:usb1="38CF7CFA" w:usb2="00000016" w:usb3="00000000" w:csb0="00040001" w:csb1="00000000"/>
    <w:embedRegular r:id="rId4" w:fontKey="{E8DD4623-3C82-4D1B-8235-E5B27E80AE72}"/>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5" w:fontKey="{1C3E0ECE-1B86-4738-9D62-3779714306E7}"/>
  </w:font>
  <w:font w:name="楷体_GB2312">
    <w:altName w:val="楷体"/>
    <w:panose1 w:val="02010609030101010101"/>
    <w:charset w:val="86"/>
    <w:family w:val="auto"/>
    <w:pitch w:val="default"/>
    <w:sig w:usb0="00000000" w:usb1="00000000" w:usb2="00000000" w:usb3="00000000" w:csb0="00040000" w:csb1="00000000"/>
    <w:embedRegular r:id="rId6" w:fontKey="{204C90A5-2C44-4A8F-8DAD-103BDA0E697A}"/>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124F0">
    <w:pPr>
      <w:pStyle w:val="11"/>
      <w:jc w:val="center"/>
    </w:pPr>
  </w:p>
  <w:p w14:paraId="3777894B">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46423">
    <w:pPr>
      <w:pStyle w:val="11"/>
      <w:jc w:val="center"/>
    </w:pPr>
  </w:p>
  <w:p w14:paraId="031821C6">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A7EFF">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31D20">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4F538B"/>
    <w:multiLevelType w:val="singleLevel"/>
    <w:tmpl w:val="834F538B"/>
    <w:lvl w:ilvl="0" w:tentative="0">
      <w:start w:val="1"/>
      <w:numFmt w:val="decimal"/>
      <w:suff w:val="nothing"/>
      <w:lvlText w:val="%1．"/>
      <w:lvlJc w:val="left"/>
      <w:pPr>
        <w:ind w:left="0" w:firstLine="400"/>
      </w:pPr>
      <w:rPr>
        <w:rFonts w:hint="default"/>
        <w:sz w:val="32"/>
        <w:szCs w:val="32"/>
      </w:rPr>
    </w:lvl>
  </w:abstractNum>
  <w:abstractNum w:abstractNumId="1">
    <w:nsid w:val="C4F92BB0"/>
    <w:multiLevelType w:val="singleLevel"/>
    <w:tmpl w:val="C4F92BB0"/>
    <w:lvl w:ilvl="0" w:tentative="0">
      <w:start w:val="1"/>
      <w:numFmt w:val="decimal"/>
      <w:suff w:val="nothing"/>
      <w:lvlText w:val="%1．"/>
      <w:lvlJc w:val="left"/>
      <w:pPr>
        <w:ind w:left="0" w:firstLine="400"/>
      </w:pPr>
      <w:rPr>
        <w:rFonts w:hint="default"/>
        <w:sz w:val="32"/>
        <w:szCs w:val="32"/>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E5743"/>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9C7664"/>
    <w:rsid w:val="02FEBE30"/>
    <w:rsid w:val="03030BB2"/>
    <w:rsid w:val="04916F1E"/>
    <w:rsid w:val="04DB26FC"/>
    <w:rsid w:val="057228FE"/>
    <w:rsid w:val="061E35DE"/>
    <w:rsid w:val="06523F87"/>
    <w:rsid w:val="066E0107"/>
    <w:rsid w:val="07375BAD"/>
    <w:rsid w:val="07996F6E"/>
    <w:rsid w:val="07DFD8BA"/>
    <w:rsid w:val="0841638B"/>
    <w:rsid w:val="08713341"/>
    <w:rsid w:val="09257549"/>
    <w:rsid w:val="09867E8F"/>
    <w:rsid w:val="0A2032A3"/>
    <w:rsid w:val="0A670558"/>
    <w:rsid w:val="0BA457DB"/>
    <w:rsid w:val="0C7D16A3"/>
    <w:rsid w:val="0CA8290A"/>
    <w:rsid w:val="0CBB28B8"/>
    <w:rsid w:val="0D35B1ED"/>
    <w:rsid w:val="0DF54607"/>
    <w:rsid w:val="0E063231"/>
    <w:rsid w:val="0E254B6B"/>
    <w:rsid w:val="0F98263C"/>
    <w:rsid w:val="101860EC"/>
    <w:rsid w:val="101F47CC"/>
    <w:rsid w:val="10C055FF"/>
    <w:rsid w:val="11694EBD"/>
    <w:rsid w:val="11772AA4"/>
    <w:rsid w:val="118107EC"/>
    <w:rsid w:val="125C0BBE"/>
    <w:rsid w:val="12E24EE2"/>
    <w:rsid w:val="13390EFF"/>
    <w:rsid w:val="13D50BC4"/>
    <w:rsid w:val="14B17F78"/>
    <w:rsid w:val="15397A06"/>
    <w:rsid w:val="15980968"/>
    <w:rsid w:val="165E0673"/>
    <w:rsid w:val="16AB2E5D"/>
    <w:rsid w:val="16B831D5"/>
    <w:rsid w:val="16BB723D"/>
    <w:rsid w:val="175400B6"/>
    <w:rsid w:val="175B488E"/>
    <w:rsid w:val="17E50567"/>
    <w:rsid w:val="186504BB"/>
    <w:rsid w:val="188744BB"/>
    <w:rsid w:val="19A445FC"/>
    <w:rsid w:val="1BE8440E"/>
    <w:rsid w:val="1CBF06C7"/>
    <w:rsid w:val="1CC6347C"/>
    <w:rsid w:val="1D155CEE"/>
    <w:rsid w:val="1D1638FE"/>
    <w:rsid w:val="1D7B63DC"/>
    <w:rsid w:val="1DEA3522"/>
    <w:rsid w:val="1DEE2B54"/>
    <w:rsid w:val="1E312DEB"/>
    <w:rsid w:val="1E740ACF"/>
    <w:rsid w:val="1F413615"/>
    <w:rsid w:val="1FF35744"/>
    <w:rsid w:val="1FF6BC77"/>
    <w:rsid w:val="208642F4"/>
    <w:rsid w:val="20B120D5"/>
    <w:rsid w:val="2186353C"/>
    <w:rsid w:val="21DE16AF"/>
    <w:rsid w:val="22791318"/>
    <w:rsid w:val="23540202"/>
    <w:rsid w:val="23860B96"/>
    <w:rsid w:val="240371BF"/>
    <w:rsid w:val="241E5CD3"/>
    <w:rsid w:val="244F3473"/>
    <w:rsid w:val="24C97D99"/>
    <w:rsid w:val="250E6DEB"/>
    <w:rsid w:val="25A718F0"/>
    <w:rsid w:val="25BB59F6"/>
    <w:rsid w:val="260F557C"/>
    <w:rsid w:val="261E020C"/>
    <w:rsid w:val="26970054"/>
    <w:rsid w:val="27316648"/>
    <w:rsid w:val="277F117F"/>
    <w:rsid w:val="27FA446F"/>
    <w:rsid w:val="281408E2"/>
    <w:rsid w:val="291C47AB"/>
    <w:rsid w:val="29656152"/>
    <w:rsid w:val="29FD04D3"/>
    <w:rsid w:val="2ABD43F8"/>
    <w:rsid w:val="2BFF7BC6"/>
    <w:rsid w:val="2C715B69"/>
    <w:rsid w:val="2C8A61B5"/>
    <w:rsid w:val="2D305A3B"/>
    <w:rsid w:val="2DA41CE1"/>
    <w:rsid w:val="2DC27430"/>
    <w:rsid w:val="2DF04E50"/>
    <w:rsid w:val="2E184C68"/>
    <w:rsid w:val="2E586DFA"/>
    <w:rsid w:val="2F040D46"/>
    <w:rsid w:val="2F320885"/>
    <w:rsid w:val="2F5F53F2"/>
    <w:rsid w:val="2F6B035B"/>
    <w:rsid w:val="2FAE5751"/>
    <w:rsid w:val="2FB1A395"/>
    <w:rsid w:val="2FD9A7D8"/>
    <w:rsid w:val="2FDBF714"/>
    <w:rsid w:val="30AB6865"/>
    <w:rsid w:val="311C359A"/>
    <w:rsid w:val="315C7E3B"/>
    <w:rsid w:val="316B62D0"/>
    <w:rsid w:val="319F7F4E"/>
    <w:rsid w:val="31AB4AC2"/>
    <w:rsid w:val="32BD1EF1"/>
    <w:rsid w:val="3304709D"/>
    <w:rsid w:val="33A773CB"/>
    <w:rsid w:val="34665331"/>
    <w:rsid w:val="349D6851"/>
    <w:rsid w:val="35054965"/>
    <w:rsid w:val="3521172E"/>
    <w:rsid w:val="358C1F9B"/>
    <w:rsid w:val="35D755E7"/>
    <w:rsid w:val="36637A9D"/>
    <w:rsid w:val="368F0CB2"/>
    <w:rsid w:val="36AA5135"/>
    <w:rsid w:val="36BE0DA7"/>
    <w:rsid w:val="36DD2F4E"/>
    <w:rsid w:val="376B6AA6"/>
    <w:rsid w:val="376D39B2"/>
    <w:rsid w:val="37C678CF"/>
    <w:rsid w:val="37E16F03"/>
    <w:rsid w:val="37F53A3B"/>
    <w:rsid w:val="38800011"/>
    <w:rsid w:val="389B6C89"/>
    <w:rsid w:val="38D469F0"/>
    <w:rsid w:val="3913458B"/>
    <w:rsid w:val="393A4D47"/>
    <w:rsid w:val="39627CCD"/>
    <w:rsid w:val="397BAF1F"/>
    <w:rsid w:val="39C80763"/>
    <w:rsid w:val="3AB79AF3"/>
    <w:rsid w:val="3AD81A2B"/>
    <w:rsid w:val="3AE834C0"/>
    <w:rsid w:val="3AFB2473"/>
    <w:rsid w:val="3B7EF35A"/>
    <w:rsid w:val="3B9FDB6C"/>
    <w:rsid w:val="3BF5BC2F"/>
    <w:rsid w:val="3CAB7EC8"/>
    <w:rsid w:val="3CEBA265"/>
    <w:rsid w:val="3D98207C"/>
    <w:rsid w:val="3D982857"/>
    <w:rsid w:val="3DEE7CF3"/>
    <w:rsid w:val="3E4707A5"/>
    <w:rsid w:val="3E740A63"/>
    <w:rsid w:val="3E78745D"/>
    <w:rsid w:val="3EDE0BF0"/>
    <w:rsid w:val="3EE17838"/>
    <w:rsid w:val="3F536D21"/>
    <w:rsid w:val="3F55381A"/>
    <w:rsid w:val="3F7F7599"/>
    <w:rsid w:val="3FE37CCF"/>
    <w:rsid w:val="3FF4CAE0"/>
    <w:rsid w:val="3FF7B227"/>
    <w:rsid w:val="40416B7A"/>
    <w:rsid w:val="40A47108"/>
    <w:rsid w:val="412F2E76"/>
    <w:rsid w:val="416F7D53"/>
    <w:rsid w:val="42B0448A"/>
    <w:rsid w:val="43164D0D"/>
    <w:rsid w:val="434D1CD9"/>
    <w:rsid w:val="43911BC6"/>
    <w:rsid w:val="43B4171F"/>
    <w:rsid w:val="43DE6DD5"/>
    <w:rsid w:val="44362151"/>
    <w:rsid w:val="44E268DA"/>
    <w:rsid w:val="450D13D7"/>
    <w:rsid w:val="454C31E3"/>
    <w:rsid w:val="45506656"/>
    <w:rsid w:val="45B7168C"/>
    <w:rsid w:val="463902F3"/>
    <w:rsid w:val="48131E90"/>
    <w:rsid w:val="48313923"/>
    <w:rsid w:val="483C5908"/>
    <w:rsid w:val="486A6C7A"/>
    <w:rsid w:val="4A627F82"/>
    <w:rsid w:val="4B0E749A"/>
    <w:rsid w:val="4B2477C4"/>
    <w:rsid w:val="4B4F25DA"/>
    <w:rsid w:val="4BE068DB"/>
    <w:rsid w:val="4D510618"/>
    <w:rsid w:val="4D577224"/>
    <w:rsid w:val="4DBA7040"/>
    <w:rsid w:val="4DBF1CEB"/>
    <w:rsid w:val="4DF0007C"/>
    <w:rsid w:val="4EAB630A"/>
    <w:rsid w:val="4ECE2238"/>
    <w:rsid w:val="4F3124AF"/>
    <w:rsid w:val="4F477F24"/>
    <w:rsid w:val="4F6A6B98"/>
    <w:rsid w:val="4F833267"/>
    <w:rsid w:val="4FB862CC"/>
    <w:rsid w:val="4FE9BD67"/>
    <w:rsid w:val="4FFB052F"/>
    <w:rsid w:val="52D47D21"/>
    <w:rsid w:val="533B7DA0"/>
    <w:rsid w:val="537E6D0A"/>
    <w:rsid w:val="53A828E9"/>
    <w:rsid w:val="53F74C96"/>
    <w:rsid w:val="53FD0BB2"/>
    <w:rsid w:val="55170BA8"/>
    <w:rsid w:val="553218C9"/>
    <w:rsid w:val="55772500"/>
    <w:rsid w:val="55CB540B"/>
    <w:rsid w:val="567E1AA5"/>
    <w:rsid w:val="56E47B74"/>
    <w:rsid w:val="57175D52"/>
    <w:rsid w:val="57906374"/>
    <w:rsid w:val="57A7338F"/>
    <w:rsid w:val="57BD3DD4"/>
    <w:rsid w:val="584E2B8F"/>
    <w:rsid w:val="5A0D6898"/>
    <w:rsid w:val="5A3B68D8"/>
    <w:rsid w:val="5A9F6E67"/>
    <w:rsid w:val="5AF92295"/>
    <w:rsid w:val="5B250254"/>
    <w:rsid w:val="5BDD79E6"/>
    <w:rsid w:val="5BF561CA"/>
    <w:rsid w:val="5BFF5DFC"/>
    <w:rsid w:val="5C7779C1"/>
    <w:rsid w:val="5C8D7611"/>
    <w:rsid w:val="5CD71FC4"/>
    <w:rsid w:val="5D1F11B5"/>
    <w:rsid w:val="5D695134"/>
    <w:rsid w:val="5D8272F5"/>
    <w:rsid w:val="5DAE1B18"/>
    <w:rsid w:val="5DE7D9E5"/>
    <w:rsid w:val="5ECEC941"/>
    <w:rsid w:val="5FBF9FF3"/>
    <w:rsid w:val="5FCD4E2C"/>
    <w:rsid w:val="5FEF394A"/>
    <w:rsid w:val="5FF67715"/>
    <w:rsid w:val="5FFB68ED"/>
    <w:rsid w:val="60BB7E2A"/>
    <w:rsid w:val="612E2892"/>
    <w:rsid w:val="62BF3928"/>
    <w:rsid w:val="632C3261"/>
    <w:rsid w:val="63B3701E"/>
    <w:rsid w:val="647F5392"/>
    <w:rsid w:val="651951E5"/>
    <w:rsid w:val="65E66580"/>
    <w:rsid w:val="664B1D71"/>
    <w:rsid w:val="664B4E8E"/>
    <w:rsid w:val="66547382"/>
    <w:rsid w:val="66B477F6"/>
    <w:rsid w:val="66D206EE"/>
    <w:rsid w:val="67277B67"/>
    <w:rsid w:val="674A63AC"/>
    <w:rsid w:val="675F3C06"/>
    <w:rsid w:val="678E7ECB"/>
    <w:rsid w:val="67AA3209"/>
    <w:rsid w:val="698D0931"/>
    <w:rsid w:val="6A6F3CED"/>
    <w:rsid w:val="6A7FE5F3"/>
    <w:rsid w:val="6AD541DF"/>
    <w:rsid w:val="6B053271"/>
    <w:rsid w:val="6B555ED8"/>
    <w:rsid w:val="6BDD78B3"/>
    <w:rsid w:val="6C4A05C8"/>
    <w:rsid w:val="6C8742B8"/>
    <w:rsid w:val="6D013069"/>
    <w:rsid w:val="6DBF5E93"/>
    <w:rsid w:val="6DFF077E"/>
    <w:rsid w:val="6E714EF0"/>
    <w:rsid w:val="6E7E3605"/>
    <w:rsid w:val="6E7FDCC7"/>
    <w:rsid w:val="6EC46A44"/>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734D90"/>
    <w:rsid w:val="73160E6D"/>
    <w:rsid w:val="7332FE48"/>
    <w:rsid w:val="73AB61DA"/>
    <w:rsid w:val="73AD73D5"/>
    <w:rsid w:val="73B6EB34"/>
    <w:rsid w:val="73FA497D"/>
    <w:rsid w:val="74343D24"/>
    <w:rsid w:val="744731E5"/>
    <w:rsid w:val="74BBD01D"/>
    <w:rsid w:val="74ED5379"/>
    <w:rsid w:val="759929D8"/>
    <w:rsid w:val="75DEEEC2"/>
    <w:rsid w:val="75E32345"/>
    <w:rsid w:val="76E3355F"/>
    <w:rsid w:val="76FF5125"/>
    <w:rsid w:val="776F6FFA"/>
    <w:rsid w:val="778769C8"/>
    <w:rsid w:val="77A75DCA"/>
    <w:rsid w:val="77DC22F5"/>
    <w:rsid w:val="783E271A"/>
    <w:rsid w:val="78616DE9"/>
    <w:rsid w:val="78C95383"/>
    <w:rsid w:val="78E35DB2"/>
    <w:rsid w:val="78E875D7"/>
    <w:rsid w:val="79086DAD"/>
    <w:rsid w:val="79D7FD79"/>
    <w:rsid w:val="79EE5BA4"/>
    <w:rsid w:val="7A0174D5"/>
    <w:rsid w:val="7A5779CE"/>
    <w:rsid w:val="7A894339"/>
    <w:rsid w:val="7AD284E8"/>
    <w:rsid w:val="7AFF7572"/>
    <w:rsid w:val="7B264BB7"/>
    <w:rsid w:val="7B6C7DFB"/>
    <w:rsid w:val="7B8C6B3B"/>
    <w:rsid w:val="7BBFBED0"/>
    <w:rsid w:val="7BC3E394"/>
    <w:rsid w:val="7C1F3737"/>
    <w:rsid w:val="7CBFC87B"/>
    <w:rsid w:val="7CE8640F"/>
    <w:rsid w:val="7CFE0F48"/>
    <w:rsid w:val="7D272ABC"/>
    <w:rsid w:val="7D7EC23E"/>
    <w:rsid w:val="7DE70964"/>
    <w:rsid w:val="7DF84014"/>
    <w:rsid w:val="7E8ADEBF"/>
    <w:rsid w:val="7EEF11D3"/>
    <w:rsid w:val="7EFE4840"/>
    <w:rsid w:val="7F0971A6"/>
    <w:rsid w:val="7F1B454B"/>
    <w:rsid w:val="7F1D62E7"/>
    <w:rsid w:val="7F3F679B"/>
    <w:rsid w:val="7F4FC4EF"/>
    <w:rsid w:val="7F5E4D54"/>
    <w:rsid w:val="7F6E0135"/>
    <w:rsid w:val="7F79F205"/>
    <w:rsid w:val="7FA30C79"/>
    <w:rsid w:val="7FA79C44"/>
    <w:rsid w:val="7FAF4BA7"/>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unhideWhenUsed/>
    <w:qFormat/>
    <w:uiPriority w:val="99"/>
    <w:pPr>
      <w:ind w:firstLine="680"/>
    </w:p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6.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7.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收入、支出决算总计变动（万元）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59.18</c:v>
                </c:pt>
                <c:pt idx="1">
                  <c:v>90.37</c:v>
                </c:pt>
              </c:numCache>
            </c:numRef>
          </c:val>
        </c:ser>
        <c:dLbls>
          <c:showLegendKey val="0"/>
          <c:showVal val="1"/>
          <c:showCatName val="0"/>
          <c:showSerName val="0"/>
          <c:showPercent val="0"/>
          <c:showBubbleSize val="0"/>
        </c:dLbls>
        <c:gapWidth val="150"/>
        <c:overlap val="-25"/>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extLst>
      <c:ext uri="{0b15fc19-7d7d-44ad-8c2d-2c3a37ce22c3}">
        <chartProps xmlns="https://web.wps.cn/et/2018/main" chartId="{1dcebafc-ba78-4c43-bffe-1d5cdf17d59e}"/>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一般公共预算财政收入</c:v>
                </c:pt>
                <c:pt idx="1">
                  <c:v>政府性基金收入</c:v>
                </c:pt>
              </c:strCache>
            </c:strRef>
          </c:cat>
          <c:val>
            <c:numRef>
              <c:f>Sheet1!$B$2:$B$3</c:f>
              <c:numCache>
                <c:formatCode>General</c:formatCode>
                <c:ptCount val="2"/>
                <c:pt idx="0">
                  <c:v>90.37</c:v>
                </c:pt>
                <c:pt idx="1">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c056e32-2964-45c7-a869-d26d0f6fa347}"/>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支出决算图（万元）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90.37</c:v>
                </c:pt>
                <c:pt idx="1">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c056e32-2964-45c7-a869-d26d0f6fa347}"/>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财政拨款收、支决算总计变动（万元）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59.18</c:v>
                </c:pt>
                <c:pt idx="1">
                  <c:v>90.37</c:v>
                </c:pt>
              </c:numCache>
            </c:numRef>
          </c:val>
        </c:ser>
        <c:dLbls>
          <c:showLegendKey val="0"/>
          <c:showVal val="1"/>
          <c:showCatName val="0"/>
          <c:showSerName val="0"/>
          <c:showPercent val="0"/>
          <c:showBubbleSize val="0"/>
        </c:dLbls>
        <c:gapWidth val="150"/>
        <c:overlap val="-25"/>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extLst>
      <c:ext uri="{0b15fc19-7d7d-44ad-8c2d-2c3a37ce22c3}">
        <chartProps xmlns="https://web.wps.cn/et/2018/main" chartId="{363ae6a0-7dbe-4e07-9fdd-e74f50175fe2}"/>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一般公共预算财政拨款支出（万元）</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59.18</c:v>
                </c:pt>
                <c:pt idx="1">
                  <c:v>90.37</c:v>
                </c:pt>
              </c:numCache>
            </c:numRef>
          </c:val>
        </c:ser>
        <c:dLbls>
          <c:showLegendKey val="0"/>
          <c:showVal val="1"/>
          <c:showCatName val="0"/>
          <c:showSerName val="0"/>
          <c:showPercent val="0"/>
          <c:showBubbleSize val="0"/>
        </c:dLbls>
        <c:gapWidth val="150"/>
        <c:overlap val="0"/>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extLst>
      <c:ext uri="{0b15fc19-7d7d-44ad-8c2d-2c3a37ce22c3}">
        <chartProps xmlns="https://web.wps.cn/et/2018/main" chartId="{363ae6a0-7dbe-4e07-9fdd-e74f50175fe2}"/>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ln>
                <a:noFill/>
              </a:ln>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ln>
                      <a:noFill/>
                    </a:ln>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67.61</c:v>
                </c:pt>
                <c:pt idx="1">
                  <c:v>11.5</c:v>
                </c:pt>
                <c:pt idx="2">
                  <c:v>4.7</c:v>
                </c:pt>
                <c:pt idx="3">
                  <c:v>6.56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egendEntry>
        <c:idx val="0"/>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c46a54d-594c-40f2-b5cf-af3b2d5997e8}"/>
      </c:ext>
    </c:extLst>
  </c:chart>
  <c:spPr>
    <a:solidFill>
      <a:schemeClr val="bg1"/>
    </a:solidFill>
    <a:ln w="7620" cap="flat" cmpd="sng" algn="ctr">
      <a:solidFill>
        <a:schemeClr val="tx1"/>
      </a:solidFill>
      <a:round/>
    </a:ln>
    <a:effectLst/>
  </c:spPr>
  <c:txPr>
    <a:bodyPr/>
    <a:lstStyle/>
    <a:p>
      <a:pPr>
        <a:defRPr lang="zh-CN">
          <a:ln>
            <a:noFill/>
          </a:ln>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0</c:v>
                </c:pt>
                <c:pt idx="2">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5925bff-242a-4b51-a2bb-806cb12a3a27}"/>
      </c:ext>
    </c:extLst>
  </c:chart>
  <c:spPr>
    <a:solidFill>
      <a:schemeClr val="bg1"/>
    </a:solidFill>
    <a:ln w="7620" cap="flat" cmpd="sng" algn="ctr">
      <a:solidFill>
        <a:schemeClr val="tx1"/>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21</Pages>
  <Words>4936</Words>
  <Characters>5292</Characters>
  <Lines>61</Lines>
  <Paragraphs>17</Paragraphs>
  <TotalTime>5</TotalTime>
  <ScaleCrop>false</ScaleCrop>
  <LinksUpToDate>false</LinksUpToDate>
  <CharactersWithSpaces>5412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Tong</cp:lastModifiedBy>
  <cp:lastPrinted>2025-08-06T17:34:00Z</cp:lastPrinted>
  <dcterms:modified xsi:type="dcterms:W3CDTF">2026-09-17T04:50:28Z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E89ABD26B9C6443B93C5F4BCFB3EE974_13</vt:lpwstr>
  </property>
  <property fmtid="{D5CDD505-2E9C-101B-9397-08002B2CF9AE}" pid="4" name="KSOTemplateDocerSaveRecord">
    <vt:lpwstr>eyJoZGlkIjoiYzE2MDBlMDAzMTNhMThlOTQzMDNjNjFlZWI4YmVjZjAiLCJ1c2VySWQiOiI1MTQ3MzUwMTcifQ==</vt:lpwstr>
  </property>
</Properties>
</file>