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1AFE6">
      <w:pPr>
        <w:rPr>
          <w:rFonts w:ascii="Times New Roman" w:hAnsi="Times New Roman"/>
        </w:rPr>
      </w:pPr>
      <w:bookmarkStart w:id="0" w:name="_Toc15396475"/>
      <w:bookmarkStart w:id="1" w:name="_Toc15377425"/>
      <w:bookmarkStart w:id="2" w:name="_Toc15396597"/>
      <w:bookmarkStart w:id="3" w:name="_Toc15378441"/>
      <w:bookmarkStart w:id="4" w:name="_Toc15377193"/>
      <w:bookmarkStart w:id="5" w:name="_Toc15306267"/>
    </w:p>
    <w:p w14:paraId="52D88BE9">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5FEF5AC2">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2C4FEFBB">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2A668EBB">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19B8AD5E">
      <w:pPr>
        <w:pStyle w:val="5"/>
        <w:jc w:val="center"/>
        <w:rPr>
          <w:rFonts w:hint="eastAsia" w:ascii="Times New Roman" w:eastAsia="方正小标宋简体" w:cs="Times New Roman"/>
          <w:color w:val="auto"/>
          <w:kern w:val="2"/>
          <w:sz w:val="44"/>
          <w:szCs w:val="44"/>
          <w:highlight w:val="none"/>
          <w:lang w:val="en-US" w:eastAsia="zh-CN" w:bidi="ar-SA"/>
        </w:rPr>
      </w:pPr>
      <w:bookmarkStart w:id="6" w:name="_Toc15396476"/>
      <w:bookmarkStart w:id="7" w:name="_Toc15377426"/>
      <w:bookmarkStart w:id="8" w:name="_Toc15396598"/>
      <w:bookmarkStart w:id="9" w:name="_Toc15378442"/>
      <w:bookmarkStart w:id="10" w:name="_Toc15377194"/>
      <w:r>
        <w:rPr>
          <w:rFonts w:hint="eastAsia" w:ascii="Times New Roman" w:eastAsia="方正小标宋简体" w:cs="Times New Roman"/>
          <w:color w:val="auto"/>
          <w:kern w:val="2"/>
          <w:sz w:val="44"/>
          <w:szCs w:val="44"/>
          <w:highlight w:val="none"/>
          <w:lang w:val="en-US" w:eastAsia="zh-CN" w:bidi="ar-SA"/>
        </w:rPr>
        <w:t>2025年度</w:t>
      </w:r>
    </w:p>
    <w:p w14:paraId="706A60E8">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四川藏语佛学院阿坝分院</w:t>
      </w:r>
      <w:bookmarkEnd w:id="5"/>
      <w:bookmarkStart w:id="11" w:name="_Toc15306268"/>
    </w:p>
    <w:p w14:paraId="55402312">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6624E9CA">
      <w:pPr>
        <w:widowControl/>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71E8B45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C4C5393">
      <w:pPr>
        <w:widowControl/>
        <w:jc w:val="center"/>
        <w:rPr>
          <w:rFonts w:ascii="Times New Roman" w:hAnsi="Times New Roman" w:eastAsia="黑体" w:cstheme="minorBidi"/>
          <w:color w:val="auto"/>
          <w:sz w:val="28"/>
          <w:szCs w:val="28"/>
          <w:highlight w:val="none"/>
        </w:rPr>
      </w:pPr>
    </w:p>
    <w:p w14:paraId="5E40A385">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公开时间：2026年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rPr>
        <w:t>日</w:t>
      </w:r>
    </w:p>
    <w:p w14:paraId="5404F7A0">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51770"/>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041A3914">
          <w:pPr>
            <w:spacing w:before="0" w:beforeLines="0" w:after="0" w:afterLines="0" w:line="240" w:lineRule="auto"/>
            <w:ind w:left="0" w:leftChars="0" w:right="0" w:rightChars="0" w:firstLine="0" w:firstLineChars="0"/>
            <w:jc w:val="center"/>
          </w:pPr>
        </w:p>
        <w:p w14:paraId="5C296E3A">
          <w:pPr>
            <w:pStyle w:val="12"/>
            <w:tabs>
              <w:tab w:val="right" w:leader="dot" w:pos="8306"/>
              <w:tab w:val="clear" w:pos="8296"/>
            </w:tabs>
            <w:rPr>
              <w:rFonts w:hint="default" w:ascii="Times New Roman" w:hAnsi="Times New Roman" w:eastAsia="黑体" w:cs="Times New Roman"/>
              <w:color w:val="auto"/>
              <w:sz w:val="32"/>
              <w:szCs w:val="32"/>
              <w:highlight w:val="none"/>
              <w:lang w:val="en-US" w:eastAsia="zh-CN"/>
            </w:rPr>
          </w:pPr>
          <w:r>
            <w:fldChar w:fldCharType="begin"/>
          </w:r>
          <w:r>
            <w:instrText xml:space="preserve">TOC \o "1-2" \h \u </w:instrText>
          </w:r>
          <w:r>
            <w:fldChar w:fldCharType="separate"/>
          </w: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HYPERLINK \l _Toc21476 </w:instrText>
          </w:r>
          <w:r>
            <w:rPr>
              <w:rFonts w:hint="default" w:ascii="Times New Roman" w:hAnsi="Times New Roman" w:eastAsia="黑体" w:cs="Times New Roman"/>
              <w:color w:val="auto"/>
              <w:sz w:val="32"/>
              <w:szCs w:val="32"/>
              <w:highlight w:val="none"/>
              <w:lang w:val="en-US" w:eastAsia="zh-CN"/>
            </w:rPr>
            <w:fldChar w:fldCharType="separate"/>
          </w:r>
          <w:r>
            <w:rPr>
              <w:rFonts w:hint="eastAsia" w:ascii="Times New Roman" w:hAnsi="Times New Roman" w:eastAsia="黑体" w:cs="Times New Roman"/>
              <w:color w:val="auto"/>
              <w:sz w:val="32"/>
              <w:szCs w:val="32"/>
              <w:highlight w:val="none"/>
              <w:lang w:val="en-US" w:eastAsia="zh-CN"/>
            </w:rPr>
            <w:t>第一部分  部门概况</w:t>
          </w:r>
          <w:r>
            <w:rPr>
              <w:rFonts w:hint="default" w:ascii="Times New Roman" w:hAnsi="Times New Roman" w:eastAsia="黑体" w:cs="Times New Roman"/>
              <w:color w:val="auto"/>
              <w:sz w:val="32"/>
              <w:szCs w:val="32"/>
              <w:highlight w:val="none"/>
              <w:lang w:val="en-US" w:eastAsia="zh-CN"/>
            </w:rPr>
            <w:tab/>
          </w: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PAGEREF _Toc21476 \h </w:instrText>
          </w:r>
          <w:r>
            <w:rPr>
              <w:rFonts w:hint="default" w:ascii="Times New Roman" w:hAnsi="Times New Roman" w:eastAsia="黑体" w:cs="Times New Roman"/>
              <w:color w:val="auto"/>
              <w:sz w:val="32"/>
              <w:szCs w:val="32"/>
              <w:highlight w:val="none"/>
              <w:lang w:val="en-US" w:eastAsia="zh-CN"/>
            </w:rPr>
            <w:fldChar w:fldCharType="separate"/>
          </w:r>
          <w:r>
            <w:rPr>
              <w:rFonts w:hint="default" w:ascii="Times New Roman" w:hAnsi="Times New Roman" w:eastAsia="黑体" w:cs="Times New Roman"/>
              <w:color w:val="auto"/>
              <w:sz w:val="32"/>
              <w:szCs w:val="32"/>
              <w:highlight w:val="none"/>
              <w:lang w:val="en-US" w:eastAsia="zh-CN"/>
            </w:rPr>
            <w:t>1</w:t>
          </w:r>
          <w:r>
            <w:rPr>
              <w:rFonts w:hint="default" w:ascii="Times New Roman" w:hAnsi="Times New Roman" w:eastAsia="黑体" w:cs="Times New Roman"/>
              <w:color w:val="auto"/>
              <w:sz w:val="32"/>
              <w:szCs w:val="32"/>
              <w:highlight w:val="none"/>
              <w:lang w:val="en-US" w:eastAsia="zh-CN"/>
            </w:rPr>
            <w:fldChar w:fldCharType="end"/>
          </w:r>
          <w:r>
            <w:rPr>
              <w:rFonts w:hint="default" w:ascii="Times New Roman" w:hAnsi="Times New Roman" w:eastAsia="黑体" w:cs="Times New Roman"/>
              <w:color w:val="auto"/>
              <w:sz w:val="32"/>
              <w:szCs w:val="32"/>
              <w:highlight w:val="none"/>
              <w:lang w:val="en-US" w:eastAsia="zh-CN"/>
            </w:rPr>
            <w:fldChar w:fldCharType="end"/>
          </w:r>
        </w:p>
        <w:p w14:paraId="1E56DD4A">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_Toc29155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一、部门职责</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_Toc29155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44E998F0">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_Toc24453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二、机构设置</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_Toc24453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539CCD6E">
          <w:pPr>
            <w:pStyle w:val="12"/>
            <w:tabs>
              <w:tab w:val="right" w:leader="dot" w:pos="8306"/>
              <w:tab w:val="clear" w:pos="8296"/>
            </w:tabs>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HYPERLINK \l _Toc28338 </w:instrText>
          </w:r>
          <w:r>
            <w:rPr>
              <w:rFonts w:hint="default" w:ascii="Times New Roman" w:hAnsi="Times New Roman" w:eastAsia="黑体" w:cs="Times New Roman"/>
              <w:color w:val="auto"/>
              <w:sz w:val="32"/>
              <w:szCs w:val="32"/>
              <w:highlight w:val="none"/>
              <w:lang w:val="en-US" w:eastAsia="zh-CN"/>
            </w:rPr>
            <w:fldChar w:fldCharType="separate"/>
          </w:r>
          <w:r>
            <w:rPr>
              <w:rFonts w:hint="eastAsia" w:ascii="Times New Roman" w:hAnsi="Times New Roman" w:eastAsia="黑体" w:cs="Times New Roman"/>
              <w:color w:val="auto"/>
              <w:sz w:val="32"/>
              <w:szCs w:val="32"/>
              <w:highlight w:val="none"/>
              <w:lang w:val="en-US" w:eastAsia="zh-CN"/>
            </w:rPr>
            <w:t>第二部分  2025年度部门决算情况说明</w:t>
          </w:r>
          <w:r>
            <w:rPr>
              <w:rFonts w:hint="default" w:ascii="Times New Roman" w:hAnsi="Times New Roman" w:eastAsia="黑体" w:cs="Times New Roman"/>
              <w:color w:val="auto"/>
              <w:sz w:val="32"/>
              <w:szCs w:val="32"/>
              <w:highlight w:val="none"/>
              <w:lang w:val="en-US" w:eastAsia="zh-CN"/>
            </w:rPr>
            <w:tab/>
          </w: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PAGEREF _Toc28338 \h </w:instrText>
          </w:r>
          <w:r>
            <w:rPr>
              <w:rFonts w:hint="default" w:ascii="Times New Roman" w:hAnsi="Times New Roman" w:eastAsia="黑体" w:cs="Times New Roman"/>
              <w:color w:val="auto"/>
              <w:sz w:val="32"/>
              <w:szCs w:val="32"/>
              <w:highlight w:val="none"/>
              <w:lang w:val="en-US" w:eastAsia="zh-CN"/>
            </w:rPr>
            <w:fldChar w:fldCharType="separate"/>
          </w:r>
          <w:r>
            <w:rPr>
              <w:rFonts w:hint="default" w:ascii="Times New Roman" w:hAnsi="Times New Roman" w:eastAsia="黑体" w:cs="Times New Roman"/>
              <w:color w:val="auto"/>
              <w:sz w:val="32"/>
              <w:szCs w:val="32"/>
              <w:highlight w:val="none"/>
              <w:lang w:val="en-US" w:eastAsia="zh-CN"/>
            </w:rPr>
            <w:t>2</w:t>
          </w:r>
          <w:r>
            <w:rPr>
              <w:rFonts w:hint="default" w:ascii="Times New Roman" w:hAnsi="Times New Roman" w:eastAsia="黑体" w:cs="Times New Roman"/>
              <w:color w:val="auto"/>
              <w:sz w:val="32"/>
              <w:szCs w:val="32"/>
              <w:highlight w:val="none"/>
              <w:lang w:val="en-US" w:eastAsia="zh-CN"/>
            </w:rPr>
            <w:fldChar w:fldCharType="end"/>
          </w:r>
          <w:r>
            <w:rPr>
              <w:rFonts w:hint="default" w:ascii="Times New Roman" w:hAnsi="Times New Roman" w:eastAsia="黑体" w:cs="Times New Roman"/>
              <w:color w:val="auto"/>
              <w:sz w:val="32"/>
              <w:szCs w:val="32"/>
              <w:highlight w:val="none"/>
              <w:lang w:val="en-US" w:eastAsia="zh-CN"/>
            </w:rPr>
            <w:fldChar w:fldCharType="end"/>
          </w:r>
        </w:p>
        <w:p w14:paraId="4E01DEA2">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_Toc27681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一、收入支出决算总体情况说明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_Toc27681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7A76DD8C">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_Toc6495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二、收入决算情况说明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_Toc6495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5FEA24B2">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_Toc28083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三、支出决算情况说明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_Toc28083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6F8482F5">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_Toc13949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四、财政拨款收入支出决算总体情况说明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_Toc13949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64C455FA">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_Toc15611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五、一般公共预算财政拨款支出决算情况说明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_Toc15611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6A1F3DE4">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_Toc12383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六、一般公共预算财政拨款基本支出决算情况说明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_Toc12383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8</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58582603">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_Toc1356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七、财政拨款“三公”经费支出决算情况说明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_Toc1356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9</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4105D85D">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_Toc28202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八、政府性基金预算支出决算情况说明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_Toc28202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10</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0BDEE285">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_Toc24014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九、国有资本经营预算支出决算情况说明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_Toc24014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11</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5FD60050">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_Toc11420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十、其他重要事项的情况说明</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_Toc11420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11</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7F82CC23">
          <w:pPr>
            <w:pStyle w:val="12"/>
            <w:tabs>
              <w:tab w:val="right" w:leader="dot" w:pos="8306"/>
              <w:tab w:val="clear" w:pos="8296"/>
            </w:tabs>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HYPERLINK \l _Toc20914 </w:instrText>
          </w:r>
          <w:r>
            <w:rPr>
              <w:rFonts w:hint="default" w:ascii="Times New Roman" w:hAnsi="Times New Roman" w:eastAsia="黑体" w:cs="Times New Roman"/>
              <w:color w:val="auto"/>
              <w:sz w:val="32"/>
              <w:szCs w:val="32"/>
              <w:highlight w:val="none"/>
              <w:lang w:val="en-US" w:eastAsia="zh-CN"/>
            </w:rPr>
            <w:fldChar w:fldCharType="separate"/>
          </w:r>
          <w:r>
            <w:rPr>
              <w:rFonts w:hint="eastAsia" w:ascii="Times New Roman" w:hAnsi="Times New Roman" w:eastAsia="黑体" w:cs="Times New Roman"/>
              <w:color w:val="auto"/>
              <w:sz w:val="32"/>
              <w:szCs w:val="32"/>
              <w:highlight w:val="none"/>
              <w:lang w:val="en-US" w:eastAsia="zh-CN"/>
            </w:rPr>
            <w:t>第三部分  名词解释</w:t>
          </w:r>
          <w:r>
            <w:rPr>
              <w:rFonts w:hint="default" w:ascii="Times New Roman" w:hAnsi="Times New Roman" w:eastAsia="黑体" w:cs="Times New Roman"/>
              <w:color w:val="auto"/>
              <w:sz w:val="32"/>
              <w:szCs w:val="32"/>
              <w:highlight w:val="none"/>
              <w:lang w:val="en-US" w:eastAsia="zh-CN"/>
            </w:rPr>
            <w:tab/>
          </w: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PAGEREF _Toc20914 \h </w:instrText>
          </w:r>
          <w:r>
            <w:rPr>
              <w:rFonts w:hint="default" w:ascii="Times New Roman" w:hAnsi="Times New Roman" w:eastAsia="黑体" w:cs="Times New Roman"/>
              <w:color w:val="auto"/>
              <w:sz w:val="32"/>
              <w:szCs w:val="32"/>
              <w:highlight w:val="none"/>
              <w:lang w:val="en-US" w:eastAsia="zh-CN"/>
            </w:rPr>
            <w:fldChar w:fldCharType="separate"/>
          </w:r>
          <w:r>
            <w:rPr>
              <w:rFonts w:hint="default" w:ascii="Times New Roman" w:hAnsi="Times New Roman" w:eastAsia="黑体" w:cs="Times New Roman"/>
              <w:color w:val="auto"/>
              <w:sz w:val="32"/>
              <w:szCs w:val="32"/>
              <w:highlight w:val="none"/>
              <w:lang w:val="en-US" w:eastAsia="zh-CN"/>
            </w:rPr>
            <w:t>13</w:t>
          </w:r>
          <w:r>
            <w:rPr>
              <w:rFonts w:hint="default" w:ascii="Times New Roman" w:hAnsi="Times New Roman" w:eastAsia="黑体" w:cs="Times New Roman"/>
              <w:color w:val="auto"/>
              <w:sz w:val="32"/>
              <w:szCs w:val="32"/>
              <w:highlight w:val="none"/>
              <w:lang w:val="en-US" w:eastAsia="zh-CN"/>
            </w:rPr>
            <w:fldChar w:fldCharType="end"/>
          </w:r>
          <w:r>
            <w:rPr>
              <w:rFonts w:hint="default" w:ascii="Times New Roman" w:hAnsi="Times New Roman" w:eastAsia="黑体" w:cs="Times New Roman"/>
              <w:color w:val="auto"/>
              <w:sz w:val="32"/>
              <w:szCs w:val="32"/>
              <w:highlight w:val="none"/>
              <w:lang w:val="en-US" w:eastAsia="zh-CN"/>
            </w:rPr>
            <w:fldChar w:fldCharType="end"/>
          </w:r>
        </w:p>
        <w:p w14:paraId="5F24A265">
          <w:pPr>
            <w:pStyle w:val="12"/>
            <w:tabs>
              <w:tab w:val="right" w:leader="dot" w:pos="8306"/>
              <w:tab w:val="clear" w:pos="8296"/>
            </w:tabs>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HYPERLINK \l _Toc11744 </w:instrText>
          </w:r>
          <w:r>
            <w:rPr>
              <w:rFonts w:hint="default" w:ascii="Times New Roman" w:hAnsi="Times New Roman" w:eastAsia="黑体" w:cs="Times New Roman"/>
              <w:color w:val="auto"/>
              <w:sz w:val="32"/>
              <w:szCs w:val="32"/>
              <w:highlight w:val="none"/>
              <w:lang w:val="en-US" w:eastAsia="zh-CN"/>
            </w:rPr>
            <w:fldChar w:fldCharType="separate"/>
          </w:r>
          <w:r>
            <w:rPr>
              <w:rFonts w:hint="eastAsia" w:ascii="Times New Roman" w:hAnsi="Times New Roman" w:eastAsia="黑体" w:cs="Times New Roman"/>
              <w:color w:val="auto"/>
              <w:sz w:val="32"/>
              <w:szCs w:val="32"/>
              <w:highlight w:val="none"/>
              <w:lang w:val="en-US" w:eastAsia="zh-CN"/>
            </w:rPr>
            <w:t>第四部分  附件</w:t>
          </w:r>
          <w:r>
            <w:rPr>
              <w:rFonts w:hint="default" w:ascii="Times New Roman" w:hAnsi="Times New Roman" w:eastAsia="黑体" w:cs="Times New Roman"/>
              <w:color w:val="auto"/>
              <w:sz w:val="32"/>
              <w:szCs w:val="32"/>
              <w:highlight w:val="none"/>
              <w:lang w:val="en-US" w:eastAsia="zh-CN"/>
            </w:rPr>
            <w:tab/>
          </w: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PAGEREF _Toc11744 \h </w:instrText>
          </w:r>
          <w:r>
            <w:rPr>
              <w:rFonts w:hint="default" w:ascii="Times New Roman" w:hAnsi="Times New Roman" w:eastAsia="黑体" w:cs="Times New Roman"/>
              <w:color w:val="auto"/>
              <w:sz w:val="32"/>
              <w:szCs w:val="32"/>
              <w:highlight w:val="none"/>
              <w:lang w:val="en-US" w:eastAsia="zh-CN"/>
            </w:rPr>
            <w:fldChar w:fldCharType="separate"/>
          </w:r>
          <w:r>
            <w:rPr>
              <w:rFonts w:hint="default" w:ascii="Times New Roman" w:hAnsi="Times New Roman" w:eastAsia="黑体" w:cs="Times New Roman"/>
              <w:color w:val="auto"/>
              <w:sz w:val="32"/>
              <w:szCs w:val="32"/>
              <w:highlight w:val="none"/>
              <w:lang w:val="en-US" w:eastAsia="zh-CN"/>
            </w:rPr>
            <w:t>16</w:t>
          </w:r>
          <w:r>
            <w:rPr>
              <w:rFonts w:hint="default" w:ascii="Times New Roman" w:hAnsi="Times New Roman" w:eastAsia="黑体" w:cs="Times New Roman"/>
              <w:color w:val="auto"/>
              <w:sz w:val="32"/>
              <w:szCs w:val="32"/>
              <w:highlight w:val="none"/>
              <w:lang w:val="en-US" w:eastAsia="zh-CN"/>
            </w:rPr>
            <w:fldChar w:fldCharType="end"/>
          </w:r>
          <w:r>
            <w:rPr>
              <w:rFonts w:hint="default" w:ascii="Times New Roman" w:hAnsi="Times New Roman" w:eastAsia="黑体" w:cs="Times New Roman"/>
              <w:color w:val="auto"/>
              <w:sz w:val="32"/>
              <w:szCs w:val="32"/>
              <w:highlight w:val="none"/>
              <w:lang w:val="en-US" w:eastAsia="zh-CN"/>
            </w:rPr>
            <w:fldChar w:fldCharType="end"/>
          </w:r>
        </w:p>
        <w:p w14:paraId="69ACE0A4">
          <w:pPr>
            <w:pStyle w:val="12"/>
            <w:tabs>
              <w:tab w:val="right" w:leader="dot" w:pos="8306"/>
              <w:tab w:val="clear" w:pos="8296"/>
            </w:tabs>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HYPERLINK \l _Toc30511 </w:instrText>
          </w:r>
          <w:r>
            <w:rPr>
              <w:rFonts w:hint="default" w:ascii="Times New Roman" w:hAnsi="Times New Roman" w:eastAsia="黑体" w:cs="Times New Roman"/>
              <w:color w:val="auto"/>
              <w:sz w:val="32"/>
              <w:szCs w:val="32"/>
              <w:highlight w:val="none"/>
              <w:lang w:val="en-US" w:eastAsia="zh-CN"/>
            </w:rPr>
            <w:fldChar w:fldCharType="separate"/>
          </w:r>
          <w:r>
            <w:rPr>
              <w:rFonts w:hint="eastAsia" w:ascii="Times New Roman" w:hAnsi="Times New Roman" w:eastAsia="黑体" w:cs="Times New Roman"/>
              <w:color w:val="auto"/>
              <w:sz w:val="32"/>
              <w:szCs w:val="32"/>
              <w:highlight w:val="none"/>
              <w:lang w:val="en-US" w:eastAsia="zh-CN"/>
            </w:rPr>
            <w:t>第五部分 附表</w:t>
          </w:r>
          <w:r>
            <w:rPr>
              <w:rFonts w:hint="default" w:ascii="Times New Roman" w:hAnsi="Times New Roman" w:eastAsia="黑体" w:cs="Times New Roman"/>
              <w:color w:val="auto"/>
              <w:sz w:val="32"/>
              <w:szCs w:val="32"/>
              <w:highlight w:val="none"/>
              <w:lang w:val="en-US" w:eastAsia="zh-CN"/>
            </w:rPr>
            <w:tab/>
          </w:r>
          <w:r>
            <w:rPr>
              <w:rFonts w:hint="default" w:ascii="Times New Roman" w:hAnsi="Times New Roman" w:eastAsia="黑体" w:cs="Times New Roman"/>
              <w:color w:val="auto"/>
              <w:sz w:val="32"/>
              <w:szCs w:val="32"/>
              <w:highlight w:val="none"/>
              <w:lang w:val="en-US" w:eastAsia="zh-CN"/>
            </w:rPr>
            <w:fldChar w:fldCharType="begin"/>
          </w:r>
          <w:r>
            <w:rPr>
              <w:rFonts w:hint="default" w:ascii="Times New Roman" w:hAnsi="Times New Roman" w:eastAsia="黑体" w:cs="Times New Roman"/>
              <w:color w:val="auto"/>
              <w:sz w:val="32"/>
              <w:szCs w:val="32"/>
              <w:highlight w:val="none"/>
              <w:lang w:val="en-US" w:eastAsia="zh-CN"/>
            </w:rPr>
            <w:instrText xml:space="preserve"> PAGEREF _Toc30511 \h </w:instrText>
          </w:r>
          <w:r>
            <w:rPr>
              <w:rFonts w:hint="default" w:ascii="Times New Roman" w:hAnsi="Times New Roman" w:eastAsia="黑体" w:cs="Times New Roman"/>
              <w:color w:val="auto"/>
              <w:sz w:val="32"/>
              <w:szCs w:val="32"/>
              <w:highlight w:val="none"/>
              <w:lang w:val="en-US" w:eastAsia="zh-CN"/>
            </w:rPr>
            <w:fldChar w:fldCharType="separate"/>
          </w:r>
          <w:r>
            <w:rPr>
              <w:rFonts w:hint="default" w:ascii="Times New Roman" w:hAnsi="Times New Roman" w:eastAsia="黑体" w:cs="Times New Roman"/>
              <w:color w:val="auto"/>
              <w:sz w:val="32"/>
              <w:szCs w:val="32"/>
              <w:highlight w:val="none"/>
              <w:lang w:val="en-US" w:eastAsia="zh-CN"/>
            </w:rPr>
            <w:t>20</w:t>
          </w:r>
          <w:r>
            <w:rPr>
              <w:rFonts w:hint="default" w:ascii="Times New Roman" w:hAnsi="Times New Roman" w:eastAsia="黑体" w:cs="Times New Roman"/>
              <w:color w:val="auto"/>
              <w:sz w:val="32"/>
              <w:szCs w:val="32"/>
              <w:highlight w:val="none"/>
              <w:lang w:val="en-US" w:eastAsia="zh-CN"/>
            </w:rPr>
            <w:fldChar w:fldCharType="end"/>
          </w:r>
          <w:r>
            <w:rPr>
              <w:rFonts w:hint="default" w:ascii="Times New Roman" w:hAnsi="Times New Roman" w:eastAsia="黑体" w:cs="Times New Roman"/>
              <w:color w:val="auto"/>
              <w:sz w:val="32"/>
              <w:szCs w:val="32"/>
              <w:highlight w:val="none"/>
              <w:lang w:val="en-US" w:eastAsia="zh-CN"/>
            </w:rPr>
            <w:fldChar w:fldCharType="end"/>
          </w:r>
        </w:p>
        <w:p w14:paraId="3C66E84C">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_Toc295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一、收入支出决算总表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_Toc295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20</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251A602F">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_Toc29506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二、收入决算表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_Toc29506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21</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61E9BE0F">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_Toc26588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三、支出决算表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_Toc26588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22</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5261499F">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_Toc30848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四、财政拨款收入支出决算总表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_Toc30848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23</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6938EBF0">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_Toc19886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五、财政拨款支出决算明细表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_Toc19886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24</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3412ED4D">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_Toc390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六、一般公共预算财政拨款支出决算表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_Toc390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26</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6C175213">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_Toc12747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七、一般公共预算财政拨款支出决算明细表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_Toc12747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27</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675647CB">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_Toc19393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八、一般公共预算财政拨款基本支出决算明细表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_Toc19393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36</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522ABE30">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_Toc4859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九、一般公共预算财政拨款项目支出决算表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_Toc4859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37</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5F5B6E5D">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_Toc32171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十、政府性基金预算财政拨款收入支出决算表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_Toc32171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38</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1D055808">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_Toc15735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十一、国有资本经营预算财政拨款收入支出决算表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_Toc15735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39</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665AB1F2">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_Toc31657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十二、国有资本经营预算财政拨款支出决算表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_Toc31657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40</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328EE621">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HYPERLINK \l _Toc4285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eastAsia" w:ascii="Times New Roman" w:hAnsi="Times New Roman" w:eastAsia="仿宋_GB2312" w:cs="Times New Roman"/>
              <w:color w:val="auto"/>
              <w:kern w:val="2"/>
              <w:sz w:val="32"/>
              <w:szCs w:val="32"/>
              <w:highlight w:val="none"/>
              <w:lang w:val="en-US" w:eastAsia="zh-CN" w:bidi="ar-SA"/>
            </w:rPr>
            <w:t>十三、财政拨款“三公”经费支出决算表</w:t>
          </w:r>
          <w:r>
            <w:rPr>
              <w:rFonts w:hint="default" w:ascii="Times New Roman" w:hAnsi="Times New Roman" w:eastAsia="仿宋_GB2312" w:cs="Times New Roman"/>
              <w:color w:val="auto"/>
              <w:kern w:val="2"/>
              <w:sz w:val="32"/>
              <w:szCs w:val="32"/>
              <w:highlight w:val="none"/>
              <w:lang w:val="en-US" w:eastAsia="zh-CN" w:bidi="ar-SA"/>
            </w:rPr>
            <w:tab/>
          </w:r>
          <w:r>
            <w:rPr>
              <w:rFonts w:hint="default" w:ascii="Times New Roman" w:hAnsi="Times New Roman" w:eastAsia="仿宋_GB2312" w:cs="Times New Roman"/>
              <w:color w:val="auto"/>
              <w:kern w:val="2"/>
              <w:sz w:val="32"/>
              <w:szCs w:val="32"/>
              <w:highlight w:val="none"/>
              <w:lang w:val="en-US" w:eastAsia="zh-CN" w:bidi="ar-SA"/>
            </w:rPr>
            <w:fldChar w:fldCharType="begin"/>
          </w:r>
          <w:r>
            <w:rPr>
              <w:rFonts w:hint="default" w:ascii="Times New Roman" w:hAnsi="Times New Roman" w:eastAsia="仿宋_GB2312" w:cs="Times New Roman"/>
              <w:color w:val="auto"/>
              <w:kern w:val="2"/>
              <w:sz w:val="32"/>
              <w:szCs w:val="32"/>
              <w:highlight w:val="none"/>
              <w:lang w:val="en-US" w:eastAsia="zh-CN" w:bidi="ar-SA"/>
            </w:rPr>
            <w:instrText xml:space="preserve"> PAGEREF _Toc4285 \h </w:instrText>
          </w:r>
          <w:r>
            <w:rPr>
              <w:rFonts w:hint="default" w:ascii="Times New Roman" w:hAnsi="Times New Roman" w:eastAsia="仿宋_GB2312" w:cs="Times New Roman"/>
              <w:color w:val="auto"/>
              <w:kern w:val="2"/>
              <w:sz w:val="32"/>
              <w:szCs w:val="32"/>
              <w:highlight w:val="none"/>
              <w:lang w:val="en-US" w:eastAsia="zh-CN" w:bidi="ar-SA"/>
            </w:rPr>
            <w:fldChar w:fldCharType="separate"/>
          </w:r>
          <w:r>
            <w:rPr>
              <w:rFonts w:hint="default" w:ascii="Times New Roman" w:hAnsi="Times New Roman" w:eastAsia="仿宋_GB2312" w:cs="Times New Roman"/>
              <w:color w:val="auto"/>
              <w:kern w:val="2"/>
              <w:sz w:val="32"/>
              <w:szCs w:val="32"/>
              <w:highlight w:val="none"/>
              <w:lang w:val="en-US" w:eastAsia="zh-CN" w:bidi="ar-SA"/>
            </w:rPr>
            <w:t>41</w:t>
          </w:r>
          <w:r>
            <w:rPr>
              <w:rFonts w:hint="default" w:ascii="Times New Roman" w:hAnsi="Times New Roman" w:eastAsia="仿宋_GB2312" w:cs="Times New Roman"/>
              <w:color w:val="auto"/>
              <w:kern w:val="2"/>
              <w:sz w:val="32"/>
              <w:szCs w:val="32"/>
              <w:highlight w:val="none"/>
              <w:lang w:val="en-US" w:eastAsia="zh-CN" w:bidi="ar-SA"/>
            </w:rPr>
            <w:fldChar w:fldCharType="end"/>
          </w:r>
          <w:r>
            <w:rPr>
              <w:rFonts w:hint="default" w:ascii="Times New Roman" w:hAnsi="Times New Roman" w:eastAsia="仿宋_GB2312" w:cs="Times New Roman"/>
              <w:color w:val="auto"/>
              <w:kern w:val="2"/>
              <w:sz w:val="32"/>
              <w:szCs w:val="32"/>
              <w:highlight w:val="none"/>
              <w:lang w:val="en-US" w:eastAsia="zh-CN" w:bidi="ar-SA"/>
            </w:rPr>
            <w:fldChar w:fldCharType="end"/>
          </w:r>
        </w:p>
        <w:p w14:paraId="6F4E6411">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sectPr>
              <w:footerReference r:id="rId5" w:type="default"/>
              <w:pgSz w:w="11906" w:h="16838"/>
              <w:pgMar w:top="1440" w:right="1800" w:bottom="1440" w:left="1800" w:header="851" w:footer="992" w:gutter="0"/>
              <w:pgNumType w:fmt="decimal" w:start="1"/>
              <w:cols w:space="425" w:num="1"/>
              <w:docGrid w:type="lines" w:linePitch="312" w:charSpace="0"/>
            </w:sectPr>
          </w:pPr>
        </w:p>
        <w:p w14:paraId="1B60BDC2">
          <w:r>
            <w:fldChar w:fldCharType="end"/>
          </w:r>
        </w:p>
      </w:sdtContent>
    </w:sdt>
    <w:p w14:paraId="348D7D3C"/>
    <w:p w14:paraId="4B73D036">
      <w:pPr>
        <w:pStyle w:val="2"/>
        <w:spacing w:before="340" w:after="330" w:line="578" w:lineRule="auto"/>
        <w:ind w:leftChars="0" w:firstLineChars="0"/>
        <w:jc w:val="center"/>
        <w:rPr>
          <w:rStyle w:val="28"/>
          <w:rFonts w:hint="eastAsia" w:ascii="Times New Roman" w:hAnsi="Times New Roman" w:eastAsia="方正小标宋简体" w:cs="方正小标宋简体"/>
          <w:b/>
          <w:bCs w:val="0"/>
          <w:color w:val="auto"/>
          <w:highlight w:val="none"/>
        </w:rPr>
      </w:pPr>
      <w:bookmarkStart w:id="12" w:name="_Toc21476"/>
      <w:r>
        <w:rPr>
          <w:rFonts w:hint="eastAsia" w:ascii="方正小标宋简体" w:hAnsi="方正小标宋简体" w:eastAsia="方正小标宋简体" w:cs="方正小标宋简体"/>
          <w:b/>
          <w:color w:val="auto"/>
          <w:sz w:val="44"/>
          <w:highlight w:val="none"/>
        </w:rPr>
        <w:t>第一部分  部门概况</w:t>
      </w:r>
      <w:bookmarkEnd w:id="12"/>
    </w:p>
    <w:p w14:paraId="48486B13">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3" w:name="_Toc29155"/>
      <w:r>
        <w:rPr>
          <w:rFonts w:hint="eastAsia" w:ascii="黑体" w:hAnsi="黑体" w:eastAsia="黑体"/>
          <w:b/>
          <w:color w:val="auto"/>
          <w:sz w:val="32"/>
          <w:highlight w:val="none"/>
        </w:rPr>
        <w:t>一、部门职责</w:t>
      </w:r>
      <w:bookmarkEnd w:id="13"/>
    </w:p>
    <w:p w14:paraId="716CEB84">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四川藏语佛学院阿坝分院</w:t>
      </w:r>
      <w:r>
        <w:rPr>
          <w:rFonts w:hint="eastAsia" w:ascii="仿宋_GB2312" w:hAnsi="仿宋_GB2312" w:eastAsia="仿宋_GB2312" w:cs="仿宋_GB2312"/>
          <w:b w:val="0"/>
          <w:color w:val="auto"/>
          <w:sz w:val="32"/>
          <w:szCs w:val="32"/>
          <w:highlight w:val="none"/>
          <w:lang w:eastAsia="zh-CN"/>
        </w:rPr>
        <w:t>是</w:t>
      </w:r>
      <w:r>
        <w:rPr>
          <w:rFonts w:hint="eastAsia" w:ascii="仿宋_GB2312" w:hAnsi="仿宋_GB2312" w:eastAsia="仿宋_GB2312" w:cs="仿宋_GB2312"/>
          <w:b w:val="0"/>
          <w:color w:val="auto"/>
          <w:sz w:val="32"/>
          <w:szCs w:val="32"/>
          <w:highlight w:val="none"/>
        </w:rPr>
        <w:t>州统战部管</w:t>
      </w:r>
      <w:r>
        <w:rPr>
          <w:rFonts w:hint="eastAsia" w:ascii="仿宋_GB2312" w:hAnsi="仿宋_GB2312" w:eastAsia="仿宋_GB2312" w:cs="仿宋_GB2312"/>
          <w:b w:val="0"/>
          <w:color w:val="auto"/>
          <w:sz w:val="32"/>
          <w:szCs w:val="32"/>
          <w:highlight w:val="none"/>
          <w:lang w:eastAsia="zh-CN"/>
        </w:rPr>
        <w:t>理的</w:t>
      </w:r>
      <w:r>
        <w:rPr>
          <w:rFonts w:hint="eastAsia" w:ascii="仿宋_GB2312" w:hAnsi="仿宋_GB2312" w:eastAsia="仿宋_GB2312" w:cs="仿宋_GB2312"/>
          <w:b w:val="0"/>
          <w:color w:val="auto"/>
          <w:sz w:val="32"/>
          <w:szCs w:val="32"/>
          <w:highlight w:val="none"/>
        </w:rPr>
        <w:t>公益性一类事业单位。主要负责藏传佛教界人士学历教学和教育培训；承担藏传佛教学衔授予，承担藏传佛教文化研究，承接涉藏干部培训任务等工作。</w:t>
      </w:r>
    </w:p>
    <w:p w14:paraId="42271710">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4" w:name="_Toc24453"/>
      <w:r>
        <w:rPr>
          <w:rFonts w:hint="eastAsia" w:ascii="黑体" w:hAnsi="黑体" w:eastAsia="黑体"/>
          <w:b/>
          <w:color w:val="auto"/>
          <w:sz w:val="32"/>
          <w:highlight w:val="none"/>
        </w:rPr>
        <w:t>二、机构设置</w:t>
      </w:r>
      <w:bookmarkEnd w:id="14"/>
    </w:p>
    <w:p w14:paraId="6993C072">
      <w:pPr>
        <w:spacing w:before="93" w:after="0" w:line="600" w:lineRule="exact"/>
        <w:ind w:leftChars="0" w:firstLineChars="200"/>
        <w:jc w:val="left"/>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四川藏语佛学院阿坝分院属二级预算单位。本部门内设机构7个</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rPr>
        <w:t>分别是：办公室</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rPr>
        <w:t>教务科</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rPr>
        <w:t>培训科</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rPr>
        <w:t>后勤科、学员管理科、财务科、研究室。</w:t>
      </w:r>
    </w:p>
    <w:p w14:paraId="13D68E46">
      <w:pPr>
        <w:spacing w:before="93" w:after="0" w:line="600" w:lineRule="exact"/>
        <w:ind w:leftChars="0" w:firstLineChars="200"/>
        <w:jc w:val="left"/>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color w:val="auto"/>
          <w:sz w:val="32"/>
          <w:szCs w:val="32"/>
          <w:highlight w:val="none"/>
          <w:lang w:val="en-US" w:eastAsia="zh-CN"/>
        </w:rPr>
        <w:t>总编制30名，均属于事业编制。人员实有人数为25人。其中党委书记、第一副院长1名，党委委员、副院长2人名。</w:t>
      </w:r>
    </w:p>
    <w:p w14:paraId="523ACEFA">
      <w:r>
        <w:br w:type="page"/>
      </w:r>
    </w:p>
    <w:p w14:paraId="32E46C40">
      <w:pPr>
        <w:pStyle w:val="2"/>
        <w:spacing w:before="340" w:after="330" w:line="578" w:lineRule="auto"/>
        <w:ind w:leftChars="0" w:firstLineChars="0"/>
        <w:jc w:val="center"/>
        <w:rPr>
          <w:rStyle w:val="28"/>
          <w:rFonts w:hint="eastAsia" w:ascii="Times New Roman" w:hAnsi="Times New Roman" w:eastAsia="方正小标宋简体" w:cs="方正小标宋简体"/>
          <w:b/>
          <w:bCs w:val="0"/>
          <w:color w:val="auto"/>
          <w:highlight w:val="none"/>
        </w:rPr>
      </w:pPr>
      <w:bookmarkStart w:id="15" w:name="_Toc28338"/>
      <w:r>
        <w:rPr>
          <w:rFonts w:hint="eastAsia" w:ascii="方正小标宋简体" w:hAnsi="方正小标宋简体" w:eastAsia="方正小标宋简体" w:cs="方正小标宋简体"/>
          <w:b/>
          <w:color w:val="auto"/>
          <w:sz w:val="44"/>
          <w:highlight w:val="none"/>
        </w:rPr>
        <w:t>第二部分  2025年度部门决算情况说明</w:t>
      </w:r>
      <w:bookmarkEnd w:id="15"/>
    </w:p>
    <w:p w14:paraId="76CC2FAE">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6" w:name="_Toc27681"/>
      <w:r>
        <w:rPr>
          <w:rFonts w:hint="eastAsia" w:ascii="黑体" w:hAnsi="黑体" w:eastAsia="黑体"/>
          <w:b/>
          <w:color w:val="auto"/>
          <w:sz w:val="32"/>
          <w:highlight w:val="none"/>
        </w:rPr>
        <w:t>一、收入支出决算总体情况说明</w:t>
      </w:r>
      <w:bookmarkEnd w:id="16"/>
    </w:p>
    <w:p w14:paraId="5083AF50">
      <w:pPr>
        <w:keepNext w:val="0"/>
        <w:keepLines w:val="0"/>
        <w:pageBreakBefore w:val="0"/>
        <w:widowControl w:val="0"/>
        <w:kinsoku/>
        <w:wordWrap/>
        <w:overflowPunct/>
        <w:topLinePunct w:val="0"/>
        <w:autoSpaceDE/>
        <w:autoSpaceDN/>
        <w:bidi w:val="0"/>
        <w:adjustRightInd/>
        <w:snapToGrid/>
        <w:spacing w:before="93" w:after="0" w:line="600" w:lineRule="exact"/>
        <w:ind w:leftChars="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b w:val="0"/>
          <w:color w:val="auto"/>
          <w:sz w:val="32"/>
          <w:szCs w:val="32"/>
          <w:highlight w:val="none"/>
        </w:rPr>
        <w:t>2025年度收入、支出总计均为</w:t>
      </w:r>
      <w:r>
        <w:rPr>
          <w:rFonts w:hint="eastAsia" w:ascii="仿宋_GB2312" w:hAnsi="仿宋_GB2312" w:eastAsia="仿宋_GB2312" w:cs="仿宋_GB2312"/>
          <w:b w:val="0"/>
          <w:color w:val="auto"/>
          <w:sz w:val="32"/>
          <w:szCs w:val="32"/>
          <w:highlight w:val="none"/>
          <w:lang w:val="en-US" w:eastAsia="zh-CN"/>
        </w:rPr>
        <w:t>1354.61</w:t>
      </w:r>
      <w:r>
        <w:rPr>
          <w:rFonts w:hint="eastAsia" w:ascii="仿宋_GB2312" w:hAnsi="仿宋_GB2312" w:eastAsia="仿宋_GB2312" w:cs="仿宋_GB2312"/>
          <w:b w:val="0"/>
          <w:color w:val="auto"/>
          <w:sz w:val="32"/>
          <w:szCs w:val="32"/>
          <w:highlight w:val="none"/>
        </w:rPr>
        <w:t>万元。与上年度相比，收入、支出总计各增加</w:t>
      </w:r>
      <w:r>
        <w:rPr>
          <w:rFonts w:hint="eastAsia" w:ascii="仿宋_GB2312" w:hAnsi="仿宋_GB2312" w:eastAsia="仿宋_GB2312" w:cs="仿宋_GB2312"/>
          <w:b w:val="0"/>
          <w:color w:val="auto"/>
          <w:sz w:val="32"/>
          <w:szCs w:val="32"/>
          <w:highlight w:val="none"/>
          <w:lang w:val="en-US" w:eastAsia="zh-CN"/>
        </w:rPr>
        <w:t>63.54</w:t>
      </w:r>
      <w:r>
        <w:rPr>
          <w:rFonts w:hint="eastAsia" w:ascii="仿宋_GB2312" w:hAnsi="仿宋_GB2312" w:eastAsia="仿宋_GB2312" w:cs="仿宋_GB2312"/>
          <w:b w:val="0"/>
          <w:color w:val="auto"/>
          <w:sz w:val="32"/>
          <w:szCs w:val="32"/>
          <w:highlight w:val="none"/>
        </w:rPr>
        <w:t>万元，增长</w:t>
      </w:r>
      <w:r>
        <w:rPr>
          <w:rFonts w:hint="eastAsia" w:ascii="仿宋_GB2312" w:hAnsi="仿宋_GB2312" w:eastAsia="仿宋_GB2312" w:cs="仿宋_GB2312"/>
          <w:b w:val="0"/>
          <w:color w:val="auto"/>
          <w:sz w:val="32"/>
          <w:szCs w:val="32"/>
          <w:highlight w:val="none"/>
          <w:lang w:val="en-US" w:eastAsia="zh-CN"/>
        </w:rPr>
        <w:t>4.9</w:t>
      </w:r>
      <w:r>
        <w:rPr>
          <w:rFonts w:hint="eastAsia" w:ascii="仿宋_GB2312" w:hAnsi="仿宋_GB2312" w:eastAsia="仿宋_GB2312" w:cs="仿宋_GB2312"/>
          <w:b w:val="0"/>
          <w:color w:val="auto"/>
          <w:sz w:val="32"/>
          <w:szCs w:val="32"/>
          <w:highlight w:val="none"/>
        </w:rPr>
        <w:t>%。主要</w:t>
      </w:r>
      <w:r>
        <w:rPr>
          <w:rFonts w:hint="eastAsia" w:ascii="仿宋_GB2312" w:hAnsi="仿宋_GB2312" w:eastAsia="仿宋_GB2312" w:cs="仿宋_GB2312"/>
          <w:b w:val="0"/>
          <w:color w:val="auto"/>
          <w:sz w:val="32"/>
          <w:szCs w:val="32"/>
          <w:highlight w:val="none"/>
          <w:lang w:val="en-US" w:eastAsia="zh-CN"/>
        </w:rPr>
        <w:t>原因是</w:t>
      </w:r>
      <w:r>
        <w:rPr>
          <w:rFonts w:hint="eastAsia" w:ascii="仿宋_GB2312" w:hAnsi="仿宋_GB2312" w:eastAsia="仿宋_GB2312" w:cs="仿宋_GB2312"/>
          <w:b w:val="0"/>
          <w:color w:val="auto"/>
          <w:sz w:val="32"/>
          <w:szCs w:val="32"/>
          <w:highlight w:val="none"/>
        </w:rPr>
        <w:t>本年度事业管理人员和专业技术人员增加</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rPr>
        <w:t>导致人员经费增加</w:t>
      </w:r>
      <w:r>
        <w:rPr>
          <w:rFonts w:hint="eastAsia" w:ascii="仿宋_GB2312" w:hAnsi="仿宋_GB2312" w:eastAsia="仿宋_GB2312" w:cs="仿宋_GB2312"/>
          <w:b w:val="0"/>
          <w:color w:val="auto"/>
          <w:sz w:val="32"/>
          <w:szCs w:val="32"/>
          <w:highlight w:val="none"/>
          <w:lang w:eastAsia="zh-CN"/>
        </w:rPr>
        <w:t>。</w:t>
      </w:r>
    </w:p>
    <w:p w14:paraId="3013A9E5">
      <w:pPr>
        <w:jc w:val="center"/>
      </w:pPr>
      <w:r>
        <w:drawing>
          <wp:inline distT="0" distB="0" distL="114300" distR="114300">
            <wp:extent cx="4584700" cy="2851150"/>
            <wp:effectExtent l="0" t="0" r="0" b="6350"/>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8"/>
                    <a:stretch>
                      <a:fillRect/>
                    </a:stretch>
                  </pic:blipFill>
                  <pic:spPr>
                    <a:xfrm>
                      <a:off x="0" y="0"/>
                      <a:ext cx="4584700" cy="2851150"/>
                    </a:xfrm>
                    <a:prstGeom prst="rect">
                      <a:avLst/>
                    </a:prstGeom>
                    <a:noFill/>
                    <a:ln>
                      <a:noFill/>
                    </a:ln>
                  </pic:spPr>
                </pic:pic>
              </a:graphicData>
            </a:graphic>
          </wp:inline>
        </w:drawing>
      </w:r>
    </w:p>
    <w:p w14:paraId="02951594">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24"/>
          <w:szCs w:val="32"/>
          <w:highlight w:val="none"/>
        </w:rPr>
        <w:t>（图1：收入、支出决算总计变动情况图）</w:t>
      </w:r>
    </w:p>
    <w:p w14:paraId="25C35D57">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7" w:name="_Toc6495"/>
      <w:r>
        <w:rPr>
          <w:rFonts w:hint="eastAsia" w:ascii="黑体" w:hAnsi="黑体" w:eastAsia="黑体"/>
          <w:b/>
          <w:color w:val="auto"/>
          <w:sz w:val="32"/>
          <w:highlight w:val="none"/>
        </w:rPr>
        <w:t>二、收入决算情况说明</w:t>
      </w:r>
      <w:bookmarkEnd w:id="17"/>
    </w:p>
    <w:p w14:paraId="4169C41A">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2025年度本年收入合计1354.61万元，其中：一般公共预算财政拨款收入1354.61万元，占100%。</w:t>
      </w:r>
    </w:p>
    <w:p w14:paraId="56160727">
      <w:pPr>
        <w:jc w:val="center"/>
      </w:pPr>
      <w:r>
        <w:drawing>
          <wp:inline distT="0" distB="0" distL="114300" distR="114300">
            <wp:extent cx="5303520" cy="4111625"/>
            <wp:effectExtent l="0" t="0" r="508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5303520" cy="4111838"/>
                    </a:xfrm>
                    <a:prstGeom prst="rect">
                      <a:avLst/>
                    </a:prstGeom>
                  </pic:spPr>
                </pic:pic>
              </a:graphicData>
            </a:graphic>
          </wp:inline>
        </w:drawing>
      </w:r>
    </w:p>
    <w:p w14:paraId="78458F13">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24"/>
          <w:szCs w:val="32"/>
          <w:highlight w:val="none"/>
        </w:rPr>
        <w:t>（图2：收入决算结构图）</w:t>
      </w:r>
    </w:p>
    <w:p w14:paraId="4B09B7C8">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8" w:name="_Toc28083"/>
      <w:r>
        <w:rPr>
          <w:rFonts w:hint="eastAsia" w:ascii="黑体" w:hAnsi="黑体" w:eastAsia="黑体"/>
          <w:b/>
          <w:color w:val="auto"/>
          <w:sz w:val="32"/>
          <w:highlight w:val="none"/>
        </w:rPr>
        <w:t>三、支出决算情况说明</w:t>
      </w:r>
      <w:bookmarkEnd w:id="18"/>
    </w:p>
    <w:p w14:paraId="162EE91F">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2025年度本年支出合计1354.61万元，其中：基本支出536.25万元，占39.6%；项目支出818.36万元，占60.4%。</w:t>
      </w:r>
    </w:p>
    <w:p w14:paraId="5AFAC93E">
      <w:pPr>
        <w:jc w:val="center"/>
      </w:pPr>
      <w:r>
        <w:drawing>
          <wp:inline distT="0" distB="0" distL="114300" distR="114300">
            <wp:extent cx="5303520" cy="4111625"/>
            <wp:effectExtent l="0" t="0" r="508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5303520" cy="4111838"/>
                    </a:xfrm>
                    <a:prstGeom prst="rect">
                      <a:avLst/>
                    </a:prstGeom>
                  </pic:spPr>
                </pic:pic>
              </a:graphicData>
            </a:graphic>
          </wp:inline>
        </w:drawing>
      </w:r>
    </w:p>
    <w:p w14:paraId="3C36D23B">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24"/>
          <w:szCs w:val="32"/>
          <w:highlight w:val="none"/>
        </w:rPr>
        <w:t>（图3：支出决算结构图）</w:t>
      </w:r>
    </w:p>
    <w:p w14:paraId="6607A54B">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9" w:name="_Toc13949"/>
      <w:r>
        <w:rPr>
          <w:rFonts w:hint="eastAsia" w:ascii="黑体" w:hAnsi="黑体" w:eastAsia="黑体"/>
          <w:b/>
          <w:color w:val="auto"/>
          <w:sz w:val="32"/>
          <w:highlight w:val="none"/>
        </w:rPr>
        <w:t>四、财政拨款收入支出决算总体情况说明</w:t>
      </w:r>
      <w:bookmarkEnd w:id="19"/>
    </w:p>
    <w:p w14:paraId="345CA572">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2025年度财政拨款收入、支出总计均为1354.61万元。与上年度相比，财政拨款收入、支出总计各增加63.54万元，增长4.9%。主要变动原因是本年度事业管理人员和专业技术人员增加</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rPr>
        <w:t>导致人员经费增加。</w:t>
      </w:r>
    </w:p>
    <w:p w14:paraId="5DF24A02">
      <w:pPr>
        <w:jc w:val="center"/>
      </w:pPr>
      <w:r>
        <w:drawing>
          <wp:inline distT="0" distB="0" distL="114300" distR="114300">
            <wp:extent cx="5303520" cy="3176270"/>
            <wp:effectExtent l="0" t="0" r="5080"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stretch>
                      <a:fillRect/>
                    </a:stretch>
                  </pic:blipFill>
                  <pic:spPr>
                    <a:xfrm>
                      <a:off x="0" y="0"/>
                      <a:ext cx="5303520" cy="3176500"/>
                    </a:xfrm>
                    <a:prstGeom prst="rect">
                      <a:avLst/>
                    </a:prstGeom>
                  </pic:spPr>
                </pic:pic>
              </a:graphicData>
            </a:graphic>
          </wp:inline>
        </w:drawing>
      </w:r>
    </w:p>
    <w:p w14:paraId="33AA43C4">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24"/>
          <w:szCs w:val="32"/>
          <w:highlight w:val="none"/>
        </w:rPr>
        <w:t>（图4：财政拨款收、支决算总计变动情况）</w:t>
      </w:r>
    </w:p>
    <w:p w14:paraId="3DCD7934">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0" w:name="_Toc15611"/>
      <w:r>
        <w:rPr>
          <w:rFonts w:hint="eastAsia" w:ascii="黑体" w:hAnsi="黑体" w:eastAsia="黑体"/>
          <w:b/>
          <w:color w:val="auto"/>
          <w:sz w:val="32"/>
          <w:highlight w:val="none"/>
        </w:rPr>
        <w:t>五、一般公共预算财政拨款支出决算情况说明</w:t>
      </w:r>
      <w:bookmarkEnd w:id="20"/>
    </w:p>
    <w:p w14:paraId="2C08D0E4">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（一）一般公共预算财政拨款支出决算总体情况</w:t>
      </w:r>
    </w:p>
    <w:p w14:paraId="555723D7">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2025年度一般公共预算财政拨款支出1354.61万元，占本年支出合计的100%。与上年度相比，一般公共预算财政拨款支出增加63.54万元，增长4.9%。主要变动原因是本年度事业管理人员和专业技术人员增加</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rPr>
        <w:t>导致人员经费增加。</w:t>
      </w:r>
    </w:p>
    <w:p w14:paraId="090CB74B">
      <w:pPr>
        <w:jc w:val="center"/>
      </w:pPr>
      <w:r>
        <w:drawing>
          <wp:inline distT="0" distB="0" distL="114300" distR="114300">
            <wp:extent cx="5303520" cy="3181985"/>
            <wp:effectExtent l="0" t="0" r="508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stretch>
                      <a:fillRect/>
                    </a:stretch>
                  </pic:blipFill>
                  <pic:spPr>
                    <a:xfrm>
                      <a:off x="0" y="0"/>
                      <a:ext cx="5303520" cy="3182112"/>
                    </a:xfrm>
                    <a:prstGeom prst="rect">
                      <a:avLst/>
                    </a:prstGeom>
                  </pic:spPr>
                </pic:pic>
              </a:graphicData>
            </a:graphic>
          </wp:inline>
        </w:drawing>
      </w:r>
    </w:p>
    <w:p w14:paraId="475C138C">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24"/>
          <w:szCs w:val="32"/>
          <w:highlight w:val="none"/>
        </w:rPr>
        <w:t>（图5：一般公共预算财政拨款支出决算变动情况）</w:t>
      </w:r>
    </w:p>
    <w:p w14:paraId="28182843">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（二）一般公共预算财政拨款支出决算结构情况</w:t>
      </w:r>
    </w:p>
    <w:p w14:paraId="017D0EF7">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2025年度一般公共预算财政拨款支出1354.61万元，主要用于以下方面：一般公共服务支出1232.59万元，占91%；社会保障和就业支出63.4万元，占4.7%；卫生健康支出23.45万元，占1.7%；住房保障支出35.17万元，占2.6%。</w:t>
      </w:r>
    </w:p>
    <w:p w14:paraId="77DFE5A7">
      <w:pPr>
        <w:jc w:val="center"/>
      </w:pPr>
      <w:r>
        <w:drawing>
          <wp:inline distT="0" distB="0" distL="114300" distR="114300">
            <wp:extent cx="5303520" cy="4111625"/>
            <wp:effectExtent l="0" t="0" r="508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3"/>
                    <a:stretch>
                      <a:fillRect/>
                    </a:stretch>
                  </pic:blipFill>
                  <pic:spPr>
                    <a:xfrm>
                      <a:off x="0" y="0"/>
                      <a:ext cx="5303520" cy="4111838"/>
                    </a:xfrm>
                    <a:prstGeom prst="rect">
                      <a:avLst/>
                    </a:prstGeom>
                  </pic:spPr>
                </pic:pic>
              </a:graphicData>
            </a:graphic>
          </wp:inline>
        </w:drawing>
      </w:r>
    </w:p>
    <w:p w14:paraId="22C233FF">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24"/>
          <w:szCs w:val="32"/>
          <w:highlight w:val="none"/>
        </w:rPr>
        <w:t>（图6：一般公共预算财政拨款支出决算结构）</w:t>
      </w:r>
    </w:p>
    <w:p w14:paraId="44F20C12">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（三）一般公共预算财政拨款支出决算具体情况</w:t>
      </w:r>
    </w:p>
    <w:p w14:paraId="19D79F4F">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2025年度一般公共预算支出决算数为1354.61万元，完成预算88.4%。其中：</w:t>
      </w:r>
    </w:p>
    <w:p w14:paraId="517DB0B3">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1.一般公共服务支出（类）统战事务（款）事业运行（项）：支出决算为414.23万元，完成预算100%。</w:t>
      </w:r>
    </w:p>
    <w:p w14:paraId="18DC234A">
      <w:pPr>
        <w:spacing w:before="93" w:after="0" w:line="600" w:lineRule="exact"/>
        <w:ind w:leftChars="0" w:firstLineChars="200"/>
        <w:jc w:val="left"/>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2.一般公共服务支出（类）统战事务（款）其他统战事务支出（项）：支出决算为818.36万元，完成预算82.2%，决算数小于预算数的主要原因是</w:t>
      </w:r>
      <w:r>
        <w:rPr>
          <w:rFonts w:hint="eastAsia" w:ascii="仿宋_GB2312" w:hAnsi="仿宋_GB2312" w:eastAsia="仿宋_GB2312" w:cs="仿宋_GB2312"/>
          <w:b w:val="0"/>
          <w:color w:val="auto"/>
          <w:sz w:val="32"/>
          <w:szCs w:val="32"/>
          <w:highlight w:val="none"/>
          <w:lang w:val="en-US" w:eastAsia="zh-CN"/>
        </w:rPr>
        <w:t>招生人数未达到预算人数，教学内容因学院实际条件受限，未能如期开展</w:t>
      </w:r>
      <w:r>
        <w:rPr>
          <w:rFonts w:hint="eastAsia" w:ascii="仿宋_GB2312" w:hAnsi="仿宋_GB2312" w:eastAsia="仿宋_GB2312" w:cs="仿宋_GB2312"/>
          <w:b w:val="0"/>
          <w:color w:val="auto"/>
          <w:sz w:val="32"/>
          <w:szCs w:val="32"/>
          <w:highlight w:val="none"/>
        </w:rPr>
        <w:t>。</w:t>
      </w:r>
    </w:p>
    <w:p w14:paraId="25D194A5">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3.社会保障和就业支出（类）行政事业单位养老支出（款）机关事业单位基本养老保险缴费支出（项）：支出决算为42.27万元，完成预算100%。</w:t>
      </w:r>
    </w:p>
    <w:p w14:paraId="099B25BC">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4.社会保障和就业支出（类）行政事业单位养老支出（款）机关事业单位职业年金缴费支出（项）：支出决算为21.13万元，完成预算100%。</w:t>
      </w:r>
    </w:p>
    <w:p w14:paraId="3CE32B0C">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5.卫生健康支出（类）行政事业单位医疗（款）事业单位医疗（项）：支出决算为19.56万元，完成预算100%。</w:t>
      </w:r>
    </w:p>
    <w:p w14:paraId="19DD0A09">
      <w:pPr>
        <w:spacing w:before="93" w:after="0" w:line="600" w:lineRule="exact"/>
        <w:ind w:leftChars="0" w:firstLineChars="200"/>
        <w:jc w:val="left"/>
        <w:rPr>
          <w:rFonts w:hint="eastAsia" w:ascii="Times New Roman" w:hAnsi="Times New Roman" w:eastAsia="仿宋_GB2312" w:cs="仿宋_GB2312"/>
          <w:color w:val="auto"/>
          <w:sz w:val="32"/>
          <w:szCs w:val="32"/>
          <w:highlight w:val="yellow"/>
        </w:rPr>
      </w:pPr>
      <w:r>
        <w:rPr>
          <w:rFonts w:hint="eastAsia" w:ascii="仿宋_GB2312" w:hAnsi="仿宋_GB2312" w:eastAsia="仿宋_GB2312" w:cs="仿宋_GB2312"/>
          <w:b w:val="0"/>
          <w:color w:val="auto"/>
          <w:sz w:val="32"/>
          <w:szCs w:val="32"/>
          <w:highlight w:val="none"/>
        </w:rPr>
        <w:t>6.卫生健康支出（类）行政事业单位医疗（款）其他行政事业单位医疗（项）：支出决算为3.89万元，完成预算</w:t>
      </w:r>
      <w:r>
        <w:rPr>
          <w:rFonts w:hint="eastAsia" w:ascii="仿宋_GB2312" w:hAnsi="仿宋_GB2312" w:eastAsia="仿宋_GB2312" w:cs="仿宋_GB2312"/>
          <w:b w:val="0"/>
          <w:color w:val="auto"/>
          <w:sz w:val="32"/>
          <w:szCs w:val="32"/>
          <w:highlight w:val="none"/>
          <w:lang w:val="en-US" w:eastAsia="zh-CN"/>
        </w:rPr>
        <w:t>100</w:t>
      </w:r>
      <w:r>
        <w:rPr>
          <w:rFonts w:hint="eastAsia" w:ascii="仿宋_GB2312" w:hAnsi="仿宋_GB2312" w:eastAsia="仿宋_GB2312" w:cs="仿宋_GB2312"/>
          <w:b w:val="0"/>
          <w:color w:val="auto"/>
          <w:sz w:val="32"/>
          <w:szCs w:val="32"/>
          <w:highlight w:val="none"/>
        </w:rPr>
        <w:t>%。</w:t>
      </w:r>
    </w:p>
    <w:p w14:paraId="08DBA95D">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7.住房保障支出（类）住房改革支出（款）住房公积金（项）：支出决算为35.17万元，完成预算100%。</w:t>
      </w:r>
    </w:p>
    <w:p w14:paraId="00C98FBA">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1" w:name="_Toc12383"/>
      <w:r>
        <w:rPr>
          <w:rFonts w:hint="eastAsia" w:ascii="黑体" w:hAnsi="黑体" w:eastAsia="黑体"/>
          <w:b/>
          <w:color w:val="auto"/>
          <w:sz w:val="32"/>
          <w:highlight w:val="none"/>
        </w:rPr>
        <w:t>六、一般公共预算财政拨款基本支出决算情况说明</w:t>
      </w:r>
      <w:bookmarkEnd w:id="21"/>
    </w:p>
    <w:p w14:paraId="6529C3D1">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2025年度一般公共预算财政拨款基本支出536.25万元，其中：</w:t>
      </w:r>
    </w:p>
    <w:p w14:paraId="2F0BBDFA">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人员经费464.9万元，主要包括：基本工资、津贴补贴、奖金、绩效工资、机关事业单位基本养老保险缴费、职业年金缴费、其他社会保障缴费、住房公积金、其他工资福利支出等。</w:t>
      </w:r>
    </w:p>
    <w:p w14:paraId="21E2930F">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公用经费71.35万元，主要包括：办公费、邮电费、差旅费、培训费、福利费、公务用车运行维护费、其他交通费用、其他商品和服务支出等。</w:t>
      </w:r>
    </w:p>
    <w:p w14:paraId="44EDD2A1">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2" w:name="_Toc1356"/>
      <w:r>
        <w:rPr>
          <w:rFonts w:hint="eastAsia" w:ascii="黑体" w:hAnsi="黑体" w:eastAsia="黑体"/>
          <w:b/>
          <w:color w:val="auto"/>
          <w:sz w:val="32"/>
          <w:highlight w:val="none"/>
        </w:rPr>
        <w:t>七、财政拨款“三公”经费支出决算情况说明</w:t>
      </w:r>
      <w:bookmarkEnd w:id="22"/>
    </w:p>
    <w:p w14:paraId="6FBBEBB1">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（一）财政拨款“三公”经费支出决算总体情况说明</w:t>
      </w:r>
    </w:p>
    <w:p w14:paraId="370481B5">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2025年度财政拨款“三公”经费支出决算为17.28万元，完成预算100%，</w:t>
      </w:r>
      <w:r>
        <w:rPr>
          <w:rFonts w:hint="eastAsia" w:ascii="Times New Roman" w:hAnsi="Times New Roman" w:eastAsia="仿宋_GB2312" w:cs="仿宋_GB2312"/>
          <w:color w:val="auto"/>
          <w:sz w:val="32"/>
          <w:szCs w:val="32"/>
          <w:highlight w:val="none"/>
        </w:rPr>
        <w:t>2025年度“三公”经费支出决算较上年减少0.22万元，下降1.3%，主要原因是本年度无公务接待和培训费减少</w:t>
      </w:r>
      <w:r>
        <w:rPr>
          <w:rFonts w:hint="eastAsia" w:ascii="仿宋_GB2312" w:hAnsi="仿宋_GB2312" w:eastAsia="仿宋_GB2312" w:cs="仿宋_GB2312"/>
          <w:b w:val="0"/>
          <w:color w:val="auto"/>
          <w:sz w:val="32"/>
          <w:szCs w:val="32"/>
          <w:highlight w:val="none"/>
        </w:rPr>
        <w:t>。决算数与预算数持平。</w:t>
      </w:r>
    </w:p>
    <w:p w14:paraId="11507142">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（二）财政拨款“三公”经费支出决算具体情况说明</w:t>
      </w:r>
    </w:p>
    <w:p w14:paraId="07B146DE">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2025年度财政拨款“三公”经费支出决算中，因公出国（境）费支出决算0万元，占0%；公务用车购置及运行维护费支出决算17.28万元，占100%；公务接待费支出决算0万元，占0%。具体情况如下：</w:t>
      </w:r>
    </w:p>
    <w:p w14:paraId="583BE745">
      <w:pPr>
        <w:jc w:val="center"/>
      </w:pPr>
      <w:r>
        <w:drawing>
          <wp:inline distT="0" distB="0" distL="114300" distR="114300">
            <wp:extent cx="5303520" cy="4111625"/>
            <wp:effectExtent l="0" t="0" r="508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4"/>
                    <a:stretch>
                      <a:fillRect/>
                    </a:stretch>
                  </pic:blipFill>
                  <pic:spPr>
                    <a:xfrm>
                      <a:off x="0" y="0"/>
                      <a:ext cx="5303520" cy="4111838"/>
                    </a:xfrm>
                    <a:prstGeom prst="rect">
                      <a:avLst/>
                    </a:prstGeom>
                  </pic:spPr>
                </pic:pic>
              </a:graphicData>
            </a:graphic>
          </wp:inline>
        </w:drawing>
      </w:r>
    </w:p>
    <w:p w14:paraId="4F87E895">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24"/>
          <w:szCs w:val="32"/>
          <w:highlight w:val="none"/>
        </w:rPr>
        <w:t>（图7：财政拨款“三公”经费支出结构）</w:t>
      </w:r>
    </w:p>
    <w:p w14:paraId="0321CC9F">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1.因公出国（境）经费支出0万元，完成预算0%。全年安排因公出国（境）团组0次，出国（境）0人。因公出国（境）支出决算与上年度持平。</w:t>
      </w:r>
    </w:p>
    <w:p w14:paraId="59428EE9">
      <w:pPr>
        <w:spacing w:before="93" w:after="0" w:line="600" w:lineRule="exact"/>
        <w:ind w:leftChars="0" w:firstLineChars="200"/>
        <w:jc w:val="left"/>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2.公务用车购置及运行维护费支出17.28万元，完成预算100%。公务用车购置及运行维护费支出决算比上年度增加</w:t>
      </w:r>
      <w:r>
        <w:rPr>
          <w:rFonts w:hint="eastAsia" w:ascii="仿宋_GB2312" w:hAnsi="仿宋_GB2312" w:eastAsia="仿宋_GB2312" w:cs="仿宋_GB2312"/>
          <w:b w:val="0"/>
          <w:color w:val="auto"/>
          <w:sz w:val="32"/>
          <w:szCs w:val="32"/>
          <w:highlight w:val="none"/>
          <w:lang w:val="en-US" w:eastAsia="zh-CN"/>
        </w:rPr>
        <w:t>0</w:t>
      </w:r>
      <w:r>
        <w:rPr>
          <w:rFonts w:hint="eastAsia" w:ascii="仿宋_GB2312" w:hAnsi="仿宋_GB2312" w:eastAsia="仿宋_GB2312" w:cs="仿宋_GB2312"/>
          <w:b w:val="0"/>
          <w:color w:val="auto"/>
          <w:sz w:val="32"/>
          <w:szCs w:val="32"/>
          <w:highlight w:val="none"/>
        </w:rPr>
        <w:t>万元，增长</w:t>
      </w:r>
      <w:r>
        <w:rPr>
          <w:rFonts w:hint="eastAsia" w:ascii="仿宋_GB2312" w:hAnsi="仿宋_GB2312" w:eastAsia="仿宋_GB2312" w:cs="仿宋_GB2312"/>
          <w:b w:val="0"/>
          <w:color w:val="auto"/>
          <w:sz w:val="32"/>
          <w:szCs w:val="32"/>
          <w:highlight w:val="none"/>
          <w:lang w:val="en-US" w:eastAsia="zh-CN"/>
        </w:rPr>
        <w:t>0</w:t>
      </w:r>
      <w:r>
        <w:rPr>
          <w:rFonts w:hint="eastAsia" w:ascii="仿宋_GB2312" w:hAnsi="仿宋_GB2312" w:eastAsia="仿宋_GB2312" w:cs="仿宋_GB2312"/>
          <w:b w:val="0"/>
          <w:color w:val="auto"/>
          <w:sz w:val="32"/>
          <w:szCs w:val="32"/>
          <w:highlight w:val="none"/>
        </w:rPr>
        <w:t>%</w:t>
      </w:r>
      <w:r>
        <w:rPr>
          <w:rFonts w:hint="eastAsia" w:ascii="仿宋_GB2312" w:hAnsi="仿宋_GB2312" w:eastAsia="仿宋_GB2312" w:cs="仿宋_GB2312"/>
          <w:b w:val="0"/>
          <w:color w:val="auto"/>
          <w:sz w:val="32"/>
          <w:szCs w:val="32"/>
          <w:highlight w:val="none"/>
          <w:lang w:eastAsia="zh-CN"/>
        </w:rPr>
        <w:t>，</w:t>
      </w:r>
      <w:r>
        <w:rPr>
          <w:rFonts w:hint="eastAsia" w:ascii="仿宋_GB2312" w:hAnsi="仿宋_GB2312" w:eastAsia="仿宋_GB2312" w:cs="仿宋_GB2312"/>
          <w:b w:val="0"/>
          <w:color w:val="auto"/>
          <w:sz w:val="32"/>
          <w:szCs w:val="32"/>
          <w:highlight w:val="none"/>
          <w:lang w:val="en-US" w:eastAsia="zh-CN"/>
        </w:rPr>
        <w:t>与上年度持平</w:t>
      </w:r>
      <w:r>
        <w:rPr>
          <w:rFonts w:hint="eastAsia" w:ascii="仿宋_GB2312" w:hAnsi="仿宋_GB2312" w:eastAsia="仿宋_GB2312" w:cs="仿宋_GB2312"/>
          <w:b w:val="0"/>
          <w:color w:val="auto"/>
          <w:sz w:val="32"/>
          <w:szCs w:val="32"/>
          <w:highlight w:val="none"/>
        </w:rPr>
        <w:t>。</w:t>
      </w:r>
    </w:p>
    <w:p w14:paraId="3451D7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b w:val="0"/>
          <w:color w:val="auto"/>
          <w:sz w:val="32"/>
          <w:szCs w:val="32"/>
          <w:highlight w:val="none"/>
        </w:rPr>
        <w:t>其中：公务用车购置支出0万元。全年按规定更新购置公务用车0辆。截至2025年12月31日，单位共有公务用车3辆</w:t>
      </w:r>
      <w:r>
        <w:rPr>
          <w:rFonts w:hint="eastAsia" w:ascii="仿宋_GB2312" w:hAnsi="仿宋_GB2312" w:eastAsia="仿宋_GB2312" w:cs="仿宋_GB2312"/>
          <w:b w:val="0"/>
          <w:color w:val="auto"/>
          <w:sz w:val="32"/>
          <w:szCs w:val="32"/>
          <w:highlight w:val="none"/>
          <w:lang w:eastAsia="zh-CN"/>
        </w:rPr>
        <w:t>，</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ascii="仿宋_GB2312" w:eastAsia="仿宋_GB2312"/>
          <w:color w:val="auto"/>
          <w:sz w:val="32"/>
          <w:szCs w:val="32"/>
          <w:highlight w:val="none"/>
          <w:lang w:val="en-US" w:eastAsia="zh-CN"/>
        </w:rPr>
        <w:t>越野车2辆，其他车型1辆</w:t>
      </w:r>
      <w:r>
        <w:rPr>
          <w:rFonts w:hint="eastAsia" w:ascii="Times New Roman" w:hAnsi="Times New Roman" w:eastAsia="仿宋_GB2312" w:cs="仿宋_GB2312"/>
          <w:color w:val="auto"/>
          <w:kern w:val="2"/>
          <w:sz w:val="32"/>
          <w:szCs w:val="32"/>
          <w:highlight w:val="none"/>
          <w:lang w:val="en-US" w:eastAsia="zh-CN" w:bidi="ar-SA"/>
        </w:rPr>
        <w:t>。</w:t>
      </w:r>
    </w:p>
    <w:p w14:paraId="4FCC6695">
      <w:pPr>
        <w:spacing w:line="600" w:lineRule="exact"/>
        <w:ind w:firstLine="640"/>
        <w:rPr>
          <w:rFonts w:ascii="仿宋_GB2312" w:eastAsia="仿宋_GB2312"/>
          <w:color w:val="auto"/>
          <w:sz w:val="32"/>
          <w:szCs w:val="32"/>
          <w:highlight w:val="none"/>
        </w:rPr>
      </w:pPr>
      <w:r>
        <w:rPr>
          <w:rFonts w:hint="eastAsia" w:ascii="仿宋_GB2312" w:hAnsi="仿宋_GB2312" w:eastAsia="仿宋_GB2312" w:cs="仿宋_GB2312"/>
          <w:b w:val="0"/>
          <w:color w:val="auto"/>
          <w:sz w:val="32"/>
          <w:szCs w:val="32"/>
          <w:highlight w:val="none"/>
        </w:rPr>
        <w:t>公务用车运行维护费支出17.28万元。</w:t>
      </w:r>
      <w:r>
        <w:rPr>
          <w:rFonts w:hint="eastAsia" w:ascii="仿宋_GB2312" w:eastAsia="仿宋_GB2312"/>
          <w:color w:val="auto"/>
          <w:sz w:val="32"/>
          <w:szCs w:val="32"/>
          <w:highlight w:val="none"/>
        </w:rPr>
        <w:t>主要用于</w:t>
      </w:r>
      <w:r>
        <w:rPr>
          <w:rFonts w:hint="eastAsia" w:ascii="仿宋_GB2312" w:eastAsia="仿宋_GB2312"/>
          <w:color w:val="auto"/>
          <w:sz w:val="32"/>
          <w:szCs w:val="32"/>
          <w:highlight w:val="none"/>
          <w:lang w:val="en-US" w:eastAsia="zh-CN"/>
        </w:rPr>
        <w:t>日常工作</w:t>
      </w:r>
      <w:r>
        <w:rPr>
          <w:rFonts w:hint="eastAsia" w:ascii="仿宋_GB2312" w:eastAsia="仿宋_GB2312"/>
          <w:color w:val="auto"/>
          <w:sz w:val="32"/>
          <w:szCs w:val="32"/>
          <w:highlight w:val="none"/>
        </w:rPr>
        <w:t>所需</w:t>
      </w:r>
      <w:r>
        <w:rPr>
          <w:rFonts w:hint="eastAsia" w:ascii="仿宋_GB2312" w:eastAsia="仿宋_GB2312"/>
          <w:color w:val="auto"/>
          <w:sz w:val="32"/>
          <w:szCs w:val="32"/>
          <w:highlight w:val="none"/>
          <w:lang w:eastAsia="zh-CN"/>
        </w:rPr>
        <w:t>的</w:t>
      </w:r>
      <w:r>
        <w:rPr>
          <w:rFonts w:hint="eastAsia" w:ascii="仿宋_GB2312" w:eastAsia="仿宋_GB2312"/>
          <w:color w:val="auto"/>
          <w:sz w:val="32"/>
          <w:szCs w:val="32"/>
          <w:highlight w:val="none"/>
        </w:rPr>
        <w:t>燃料费、维修费、过路过桥费、保险费等支出。</w:t>
      </w:r>
    </w:p>
    <w:p w14:paraId="18DB30EE">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3.公务接待费支出0万元，完成预算0%。公务接待费支出决算与上年度持平。其中：</w:t>
      </w:r>
    </w:p>
    <w:p w14:paraId="5226C8A8">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国内公务接待支出0万元。国内公务接待0批次，0人次（不包括陪同人员），共计支出0万元</w:t>
      </w:r>
      <w:r>
        <w:rPr>
          <w:rFonts w:hint="eastAsia" w:ascii="仿宋_GB2312" w:hAnsi="仿宋_GB2312" w:eastAsia="仿宋_GB2312" w:cs="仿宋_GB2312"/>
          <w:b w:val="0"/>
          <w:color w:val="auto"/>
          <w:sz w:val="32"/>
          <w:szCs w:val="32"/>
          <w:highlight w:val="none"/>
          <w:lang w:eastAsia="zh-CN"/>
        </w:rPr>
        <w:t>。</w:t>
      </w:r>
    </w:p>
    <w:p w14:paraId="3608C78C">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外事接待支出0万元。外事接待0批次，0人次（不包括陪同人员），共计支出0万元。</w:t>
      </w:r>
    </w:p>
    <w:p w14:paraId="328063F7">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3" w:name="_Toc28202"/>
      <w:r>
        <w:rPr>
          <w:rFonts w:hint="eastAsia" w:ascii="黑体" w:hAnsi="黑体" w:eastAsia="黑体"/>
          <w:b/>
          <w:color w:val="auto"/>
          <w:sz w:val="32"/>
          <w:highlight w:val="none"/>
        </w:rPr>
        <w:t>八、政府性基金预算支出决算情况说明</w:t>
      </w:r>
      <w:bookmarkEnd w:id="23"/>
    </w:p>
    <w:p w14:paraId="39A4868F">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2025年度政府性基金预算财政拨款支出0万元，占本年支出合计的0%。与上年度相比，政府性基金预算财政拨款支出持平。</w:t>
      </w:r>
    </w:p>
    <w:p w14:paraId="6F885E04">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4" w:name="_Toc24014"/>
      <w:r>
        <w:rPr>
          <w:rFonts w:hint="eastAsia" w:ascii="黑体" w:hAnsi="黑体" w:eastAsia="黑体"/>
          <w:b/>
          <w:color w:val="auto"/>
          <w:sz w:val="32"/>
          <w:highlight w:val="none"/>
        </w:rPr>
        <w:t>九、国有资本经营预算支出决算情况说明</w:t>
      </w:r>
      <w:bookmarkEnd w:id="24"/>
    </w:p>
    <w:p w14:paraId="6A97117E">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2025年度国有资本经营预算财政拨款支出0万元，占本年支出合计的0%。与上年度相比，国有资本经营预算财政拨款支出持平。</w:t>
      </w:r>
    </w:p>
    <w:p w14:paraId="00046AAE">
      <w:pPr>
        <w:pStyle w:val="3"/>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5" w:name="_Toc11420"/>
      <w:r>
        <w:rPr>
          <w:rFonts w:hint="eastAsia" w:ascii="黑体" w:hAnsi="黑体" w:eastAsia="黑体"/>
          <w:b/>
          <w:color w:val="auto"/>
          <w:sz w:val="32"/>
          <w:highlight w:val="none"/>
        </w:rPr>
        <w:t>十、其他重要事项的情况说明</w:t>
      </w:r>
      <w:bookmarkEnd w:id="25"/>
    </w:p>
    <w:p w14:paraId="50DA53DF">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（一）机关运行经费支出情况</w:t>
      </w:r>
    </w:p>
    <w:p w14:paraId="551FF8C0">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2025年度，四川藏语佛学院阿坝分院机关运行经费支出0万元，与上年度持平。</w:t>
      </w:r>
    </w:p>
    <w:p w14:paraId="012F5B80">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（二）政府采购支出情况</w:t>
      </w:r>
    </w:p>
    <w:p w14:paraId="45A78AE6">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2025年度，四川藏语佛学院阿坝分院政府采购支出总额280.65万元，其中：政府采购货物支出0万元、政府采购工程支出0万元、政府采购服务支出280.65万元。</w:t>
      </w:r>
      <w:bookmarkStart w:id="42" w:name="_GoBack"/>
      <w:r>
        <w:rPr>
          <w:rFonts w:hint="eastAsia" w:ascii="仿宋_GB2312" w:eastAsia="仿宋_GB2312"/>
          <w:color w:val="auto"/>
          <w:sz w:val="32"/>
          <w:szCs w:val="32"/>
          <w:highlight w:val="none"/>
        </w:rPr>
        <w:t>主要用于</w:t>
      </w:r>
      <w:r>
        <w:rPr>
          <w:rFonts w:hint="eastAsia" w:ascii="仿宋_GB2312" w:eastAsia="仿宋_GB2312" w:cs="仿宋_GB2312"/>
          <w:kern w:val="0"/>
          <w:sz w:val="32"/>
          <w:szCs w:val="32"/>
          <w:highlight w:val="none"/>
          <w:shd w:val="clear" w:color="auto" w:fill="FFFFFF"/>
          <w:lang w:val="en-US" w:eastAsia="zh-CN" w:bidi="ar-SA"/>
        </w:rPr>
        <w:t>学院物业服务人员劳务费以及学员外出考察业务委托费等</w:t>
      </w:r>
      <w:r>
        <w:rPr>
          <w:rFonts w:hint="eastAsia" w:ascii="仿宋_GB2312" w:hAnsi="仿宋_GB2312" w:eastAsia="仿宋_GB2312" w:cs="仿宋_GB2312"/>
          <w:b w:val="0"/>
          <w:color w:val="auto"/>
          <w:sz w:val="32"/>
          <w:szCs w:val="32"/>
          <w:highlight w:val="none"/>
        </w:rPr>
        <w:t>。</w:t>
      </w:r>
      <w:bookmarkEnd w:id="42"/>
      <w:r>
        <w:rPr>
          <w:rFonts w:hint="eastAsia" w:ascii="仿宋_GB2312" w:hAnsi="仿宋_GB2312" w:eastAsia="仿宋_GB2312" w:cs="仿宋_GB2312"/>
          <w:b w:val="0"/>
          <w:color w:val="auto"/>
          <w:sz w:val="32"/>
          <w:szCs w:val="32"/>
          <w:highlight w:val="none"/>
        </w:rPr>
        <w:t>授予中小企业合同金额0万元，占政府采购支出总额的0%，其中：授予小微企业合同金额0万元，占政府采购支出总额的0%。</w:t>
      </w:r>
    </w:p>
    <w:p w14:paraId="538C3D7F">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（三）国有资产占有使用情况</w:t>
      </w:r>
    </w:p>
    <w:p w14:paraId="69F5B9B6">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截至2025年12月31日，四川藏语佛学院阿坝分院共有车辆3辆，其中：副部（省）级及以上领导用车0辆、主要负责人用车0辆、</w:t>
      </w:r>
      <w:r>
        <w:rPr>
          <w:rFonts w:hint="eastAsia" w:ascii="仿宋_GB2312" w:hAnsi="仿宋_GB2312" w:eastAsia="仿宋_GB2312" w:cs="仿宋_GB2312"/>
          <w:b w:val="0"/>
          <w:color w:val="auto"/>
          <w:sz w:val="32"/>
          <w:szCs w:val="32"/>
          <w:highlight w:val="none"/>
          <w:lang w:eastAsia="zh-CN"/>
        </w:rPr>
        <w:t>越野车2辆、其他车型1辆</w:t>
      </w:r>
      <w:r>
        <w:rPr>
          <w:rFonts w:hint="eastAsia" w:ascii="仿宋_GB2312" w:hAnsi="仿宋_GB2312" w:eastAsia="仿宋_GB2312" w:cs="仿宋_GB2312"/>
          <w:b w:val="0"/>
          <w:color w:val="auto"/>
          <w:sz w:val="32"/>
          <w:szCs w:val="32"/>
          <w:highlight w:val="none"/>
        </w:rPr>
        <w:t>、应急保障用车0辆、执法执勤用车0辆、特种专业技术用车0辆、离退休干部服务用车0辆、其他用车0辆。单价100万元（含）以上设备（不含车辆）0台（套）。</w:t>
      </w:r>
    </w:p>
    <w:p w14:paraId="1385767D">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（四）预算绩效管理情况</w:t>
      </w:r>
    </w:p>
    <w:p w14:paraId="3A70561C">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根据预算绩效管理要求，四川藏语佛学院阿坝分院在2025年度，组织对</w:t>
      </w:r>
      <w:r>
        <w:rPr>
          <w:rFonts w:hint="eastAsia" w:ascii="仿宋_GB2312" w:hAnsi="仿宋_GB2312" w:eastAsia="仿宋_GB2312" w:cs="仿宋_GB2312"/>
          <w:b w:val="0"/>
          <w:color w:val="auto"/>
          <w:sz w:val="32"/>
          <w:szCs w:val="32"/>
          <w:highlight w:val="none"/>
          <w:lang w:eastAsia="zh-CN"/>
        </w:rPr>
        <w:t>“四川藏语佛学院阿坝分院办学经费”“阿坝州重要教职人员培训班第（四</w:t>
      </w:r>
      <w:r>
        <w:rPr>
          <w:rFonts w:hint="eastAsia" w:ascii="仿宋_GB2312" w:hAnsi="仿宋_GB2312" w:eastAsia="仿宋_GB2312" w:cs="仿宋_GB2312"/>
          <w:b w:val="0"/>
          <w:color w:val="auto"/>
          <w:sz w:val="32"/>
          <w:szCs w:val="32"/>
          <w:highlight w:val="none"/>
          <w:lang w:val="en-US" w:eastAsia="zh-CN"/>
        </w:rPr>
        <w:t>--</w:t>
      </w:r>
      <w:r>
        <w:rPr>
          <w:rFonts w:hint="eastAsia" w:ascii="仿宋_GB2312" w:hAnsi="仿宋_GB2312" w:eastAsia="仿宋_GB2312" w:cs="仿宋_GB2312"/>
          <w:b w:val="0"/>
          <w:color w:val="auto"/>
          <w:sz w:val="32"/>
          <w:szCs w:val="32"/>
          <w:highlight w:val="none"/>
          <w:lang w:eastAsia="zh-CN"/>
        </w:rPr>
        <w:t>五）期”“在职职工和物业公司及临聘人员生活费”</w:t>
      </w:r>
      <w:r>
        <w:rPr>
          <w:rFonts w:hint="eastAsia" w:ascii="仿宋_GB2312" w:hAnsi="仿宋_GB2312" w:eastAsia="仿宋_GB2312" w:cs="仿宋_GB2312"/>
          <w:b w:val="0"/>
          <w:color w:val="auto"/>
          <w:sz w:val="32"/>
          <w:szCs w:val="32"/>
          <w:highlight w:val="none"/>
        </w:rPr>
        <w:t>等</w:t>
      </w:r>
      <w:r>
        <w:rPr>
          <w:rFonts w:hint="eastAsia" w:ascii="仿宋_GB2312" w:hAnsi="仿宋_GB2312" w:eastAsia="仿宋_GB2312" w:cs="仿宋_GB2312"/>
          <w:b w:val="0"/>
          <w:color w:val="auto"/>
          <w:sz w:val="32"/>
          <w:szCs w:val="32"/>
          <w:highlight w:val="none"/>
          <w:lang w:val="en-US" w:eastAsia="zh-CN"/>
        </w:rPr>
        <w:t>4</w:t>
      </w:r>
      <w:r>
        <w:rPr>
          <w:rFonts w:hint="eastAsia" w:ascii="仿宋_GB2312" w:hAnsi="仿宋_GB2312" w:eastAsia="仿宋_GB2312" w:cs="仿宋_GB2312"/>
          <w:b w:val="0"/>
          <w:color w:val="auto"/>
          <w:sz w:val="32"/>
          <w:szCs w:val="32"/>
          <w:highlight w:val="none"/>
        </w:rPr>
        <w:t>个项目涉及金额</w:t>
      </w:r>
      <w:r>
        <w:rPr>
          <w:rFonts w:hint="eastAsia" w:ascii="仿宋_GB2312" w:hAnsi="仿宋_GB2312" w:eastAsia="仿宋_GB2312" w:cs="仿宋_GB2312"/>
          <w:b w:val="0"/>
          <w:color w:val="auto"/>
          <w:sz w:val="32"/>
          <w:szCs w:val="32"/>
          <w:highlight w:val="none"/>
          <w:lang w:val="en-US" w:eastAsia="zh-CN"/>
        </w:rPr>
        <w:t>818.36</w:t>
      </w:r>
      <w:r>
        <w:rPr>
          <w:rFonts w:hint="eastAsia" w:ascii="仿宋_GB2312" w:hAnsi="仿宋_GB2312" w:eastAsia="仿宋_GB2312" w:cs="仿宋_GB2312"/>
          <w:b w:val="0"/>
          <w:color w:val="auto"/>
          <w:sz w:val="32"/>
          <w:szCs w:val="32"/>
          <w:highlight w:val="none"/>
        </w:rPr>
        <w:t>万元开展了事前绩效评估，对</w:t>
      </w:r>
      <w:r>
        <w:rPr>
          <w:rFonts w:hint="eastAsia" w:ascii="仿宋_GB2312" w:hAnsi="仿宋_GB2312" w:eastAsia="仿宋_GB2312" w:cs="仿宋_GB2312"/>
          <w:b w:val="0"/>
          <w:color w:val="auto"/>
          <w:sz w:val="32"/>
          <w:szCs w:val="32"/>
          <w:highlight w:val="none"/>
          <w:lang w:val="en-US" w:eastAsia="zh-CN"/>
        </w:rPr>
        <w:t>4</w:t>
      </w:r>
      <w:r>
        <w:rPr>
          <w:rFonts w:hint="eastAsia" w:ascii="仿宋_GB2312" w:hAnsi="仿宋_GB2312" w:eastAsia="仿宋_GB2312" w:cs="仿宋_GB2312"/>
          <w:b w:val="0"/>
          <w:color w:val="auto"/>
          <w:sz w:val="32"/>
          <w:szCs w:val="32"/>
          <w:highlight w:val="none"/>
        </w:rPr>
        <w:t>个项目编制了绩效目标</w:t>
      </w:r>
      <w:r>
        <w:rPr>
          <w:rFonts w:hint="eastAsia" w:ascii="仿宋_GB2312" w:hAnsi="仿宋_GB2312" w:eastAsia="仿宋_GB2312" w:cs="仿宋_GB2312"/>
          <w:b w:val="0"/>
          <w:color w:val="auto"/>
          <w:sz w:val="32"/>
          <w:szCs w:val="32"/>
          <w:highlight w:val="none"/>
          <w:lang w:eastAsia="zh-CN"/>
        </w:rPr>
        <w:t>，在</w:t>
      </w:r>
      <w:r>
        <w:rPr>
          <w:rFonts w:hint="eastAsia" w:ascii="仿宋_GB2312" w:hAnsi="仿宋_GB2312" w:eastAsia="仿宋_GB2312" w:cs="仿宋_GB2312"/>
          <w:b w:val="0"/>
          <w:color w:val="auto"/>
          <w:sz w:val="32"/>
          <w:szCs w:val="32"/>
          <w:highlight w:val="none"/>
        </w:rPr>
        <w:t>预算执行过程中，选取</w:t>
      </w:r>
      <w:r>
        <w:rPr>
          <w:rFonts w:hint="eastAsia" w:ascii="仿宋_GB2312" w:hAnsi="仿宋_GB2312" w:eastAsia="仿宋_GB2312" w:cs="仿宋_GB2312"/>
          <w:b w:val="0"/>
          <w:color w:val="auto"/>
          <w:sz w:val="32"/>
          <w:szCs w:val="32"/>
          <w:highlight w:val="none"/>
          <w:lang w:val="en-US" w:eastAsia="zh-CN"/>
        </w:rPr>
        <w:t>4</w:t>
      </w:r>
      <w:r>
        <w:rPr>
          <w:rFonts w:hint="eastAsia" w:ascii="仿宋_GB2312" w:hAnsi="仿宋_GB2312" w:eastAsia="仿宋_GB2312" w:cs="仿宋_GB2312"/>
          <w:b w:val="0"/>
          <w:color w:val="auto"/>
          <w:sz w:val="32"/>
          <w:szCs w:val="32"/>
          <w:highlight w:val="none"/>
        </w:rPr>
        <w:t>个项目开展绩效监控。</w:t>
      </w:r>
    </w:p>
    <w:p w14:paraId="22D8F354">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组织对2025年度一般公共预算全面开展绩效自评，形成绩效自评</w:t>
      </w:r>
      <w:r>
        <w:rPr>
          <w:rFonts w:hint="eastAsia" w:ascii="仿宋_GB2312" w:hAnsi="仿宋_GB2312" w:eastAsia="仿宋_GB2312" w:cs="仿宋_GB2312"/>
          <w:b w:val="0"/>
          <w:color w:val="auto"/>
          <w:sz w:val="32"/>
          <w:szCs w:val="32"/>
          <w:highlight w:val="none"/>
          <w:lang w:val="en-US" w:eastAsia="zh-CN"/>
        </w:rPr>
        <w:t>表</w:t>
      </w:r>
      <w:r>
        <w:rPr>
          <w:rFonts w:hint="eastAsia" w:ascii="仿宋_GB2312" w:hAnsi="仿宋_GB2312" w:eastAsia="仿宋_GB2312" w:cs="仿宋_GB2312"/>
          <w:b w:val="0"/>
          <w:color w:val="auto"/>
          <w:sz w:val="32"/>
          <w:szCs w:val="32"/>
          <w:highlight w:val="none"/>
        </w:rPr>
        <w:t>。绩效自评</w:t>
      </w:r>
      <w:r>
        <w:rPr>
          <w:rFonts w:hint="eastAsia" w:ascii="仿宋_GB2312" w:hAnsi="仿宋_GB2312" w:eastAsia="仿宋_GB2312" w:cs="仿宋_GB2312"/>
          <w:b w:val="0"/>
          <w:color w:val="auto"/>
          <w:sz w:val="32"/>
          <w:szCs w:val="32"/>
          <w:highlight w:val="none"/>
          <w:lang w:val="en-US" w:eastAsia="zh-CN"/>
        </w:rPr>
        <w:t>表详见第四部分</w:t>
      </w:r>
      <w:r>
        <w:rPr>
          <w:rFonts w:hint="eastAsia" w:ascii="仿宋_GB2312" w:hAnsi="仿宋_GB2312" w:eastAsia="仿宋_GB2312" w:cs="仿宋_GB2312"/>
          <w:b w:val="0"/>
          <w:color w:val="auto"/>
          <w:sz w:val="32"/>
          <w:szCs w:val="32"/>
          <w:highlight w:val="none"/>
        </w:rPr>
        <w:t>附件。</w:t>
      </w:r>
    </w:p>
    <w:p w14:paraId="25EF8EDE">
      <w:r>
        <w:br w:type="page"/>
      </w:r>
    </w:p>
    <w:p w14:paraId="570EB7F4">
      <w:pPr>
        <w:pStyle w:val="2"/>
        <w:spacing w:before="340" w:after="330" w:line="578" w:lineRule="auto"/>
        <w:ind w:leftChars="0" w:firstLineChars="0"/>
        <w:jc w:val="center"/>
        <w:rPr>
          <w:rStyle w:val="28"/>
          <w:rFonts w:hint="eastAsia" w:ascii="Times New Roman" w:hAnsi="Times New Roman" w:eastAsia="方正小标宋简体" w:cs="方正小标宋简体"/>
          <w:b/>
          <w:bCs w:val="0"/>
          <w:color w:val="auto"/>
          <w:highlight w:val="none"/>
        </w:rPr>
      </w:pPr>
      <w:bookmarkStart w:id="26" w:name="_Toc20914"/>
      <w:r>
        <w:rPr>
          <w:rFonts w:hint="eastAsia" w:ascii="方正小标宋简体" w:hAnsi="方正小标宋简体" w:eastAsia="方正小标宋简体" w:cs="方正小标宋简体"/>
          <w:b/>
          <w:color w:val="auto"/>
          <w:sz w:val="44"/>
          <w:highlight w:val="none"/>
        </w:rPr>
        <w:t>第三部分  名词解释</w:t>
      </w:r>
      <w:bookmarkEnd w:id="26"/>
    </w:p>
    <w:p w14:paraId="28BDC9CE">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1.财政拨款收入：指单位从同级财政部门取得的财政预算资金。</w:t>
      </w:r>
    </w:p>
    <w:p w14:paraId="0B9908B4">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2.事业收入：指事业单位开展专业业务活动及辅助活动取得的收入。</w:t>
      </w:r>
    </w:p>
    <w:p w14:paraId="60F5D4DA">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3.经营收入：指事业单位在专业业务活动及其辅助活动之外开展非独立核算经营活动取得的收入。</w:t>
      </w:r>
    </w:p>
    <w:p w14:paraId="04AC0474">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4.其他收入：指单位取得的除上述收入以外的各项收入。</w:t>
      </w:r>
    </w:p>
    <w:p w14:paraId="009154D6">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5.使用非财政拨款结余（含专用结余）：指事业单位使用以前年度积累的非财政拨款结余弥补当年收支差额的金额。</w:t>
      </w:r>
    </w:p>
    <w:p w14:paraId="48FADA18">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6.年初结转和结余：指以前年度尚未完成、结转到本年按有关规定继续使用的资金。</w:t>
      </w:r>
    </w:p>
    <w:p w14:paraId="7C7FC464">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7.结余分配：指事业单位按照会计制度规定缴纳的所得税、提取的专用结余以及转入非财政拨款结余的金额等。</w:t>
      </w:r>
    </w:p>
    <w:p w14:paraId="32A64229">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8.年末结转和结余：指单位按有关规定结转到下年或以后年度继续使用的资金。</w:t>
      </w:r>
    </w:p>
    <w:p w14:paraId="35107A15">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9.基本支出：指为保障机构正常运转、完成日常工作任务而发生的人员支出和公用支出。</w:t>
      </w:r>
    </w:p>
    <w:p w14:paraId="0B2E5BF9">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10.项目支出：指在基本支出之外为完成特定行政任务和事业发展目标所发生的支出。</w:t>
      </w:r>
    </w:p>
    <w:p w14:paraId="65695613">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11.经营支出：指事业单位在专业业务活动及其辅助活动之外开展非独立核算经营活动发生的支出。</w:t>
      </w:r>
    </w:p>
    <w:p w14:paraId="0BDBE6DE">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6CC335F">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6895295">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14.一般公共服务支出（类）统战事务（款）事业运行（项）：反映事业单位的基本支出，不包括行政单位（包括实行公务员管理的事业单位）后勤服务中心、医务室等附属事业单位。</w:t>
      </w:r>
    </w:p>
    <w:p w14:paraId="3C6D52CB">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15.一般公共服务支出（类）统战事务（款）其他统战事务支出（项）：反映除上述项目以外其他用于中国共产党统战部门的事务支出。</w:t>
      </w:r>
    </w:p>
    <w:p w14:paraId="5FD8FAF6">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16.社会保障和就业支出（类）行政事业单位养老支出（款）机关事业单位基本养老保险缴费支出（项）：反映机关事业单位实施养老保险制度由单位缴纳的基本养老保险缴费支出。</w:t>
      </w:r>
    </w:p>
    <w:p w14:paraId="6506E38A">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17.社会保障和就业支出（类）行政事业单位养老支出（款）机关事业单位职业年金缴费支出（项）：反映机关事业单位实施养老保险制度由单位实际缴纳的职业年金支出（含职业年金补记支出）。</w:t>
      </w:r>
    </w:p>
    <w:p w14:paraId="1FA7968A">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18.卫生健康支出（类）行政事业单位医疗（款）事业单位医疗（项）：反映财政部门安排的事业单位基本医疗保险缴费经费，未参加医疗保险的事业单位的公费医疗经费，按国家规定享受离休人员待遇的医疗经费。</w:t>
      </w:r>
    </w:p>
    <w:p w14:paraId="23F61168">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19.卫生健康支出（类）行政事业单位医疗（款）其他行政事业单位医疗支出（项）：反映除上述项目以外的其他用于行政事业单位医疗方面的支出。</w:t>
      </w:r>
    </w:p>
    <w:p w14:paraId="4D15F8F0">
      <w:pPr>
        <w:spacing w:before="93" w:after="0" w:line="600" w:lineRule="exact"/>
        <w:ind w:leftChars="0" w:firstLineChars="200"/>
        <w:jc w:val="left"/>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color w:val="auto"/>
          <w:sz w:val="32"/>
          <w:szCs w:val="32"/>
          <w:highlight w:val="none"/>
        </w:rPr>
        <w:t>20.住房保障支出（类）住房改革支出（款）住房公积金（项）：反映行政事业单位按人力资源和社会保障部、财政部规定的基本工资和津贴补贴以及规定比例为职工缴纳的住房公积金。</w:t>
      </w:r>
    </w:p>
    <w:p w14:paraId="1EBFF085">
      <w:r>
        <w:br w:type="page"/>
      </w:r>
    </w:p>
    <w:p w14:paraId="5303468F">
      <w:pPr>
        <w:pStyle w:val="2"/>
        <w:keepNext/>
        <w:spacing w:before="0" w:after="330" w:line="240" w:lineRule="auto"/>
        <w:ind w:leftChars="0" w:firstLineChars="0"/>
        <w:jc w:val="center"/>
        <w:rPr>
          <w:rStyle w:val="29"/>
          <w:rFonts w:hint="eastAsia" w:ascii="Times New Roman" w:hAnsi="Times New Roman" w:eastAsia="黑体"/>
          <w:b w:val="0"/>
          <w:bCs w:val="0"/>
          <w:color w:val="auto"/>
          <w:highlight w:val="none"/>
          <w:lang w:eastAsia="zh-CN"/>
        </w:rPr>
      </w:pPr>
      <w:bookmarkStart w:id="27" w:name="_Toc11744"/>
      <w:r>
        <w:rPr>
          <w:rFonts w:hint="eastAsia" w:ascii="方正小标宋简体" w:hAnsi="方正小标宋简体" w:eastAsia="方正小标宋简体" w:cs="方正小标宋简体"/>
          <w:b/>
          <w:color w:val="auto"/>
          <w:sz w:val="44"/>
          <w:highlight w:val="none"/>
        </w:rPr>
        <w:t>第四部分  附件</w:t>
      </w:r>
      <w:bookmarkEnd w:id="27"/>
    </w:p>
    <w:p w14:paraId="2E51C128">
      <w:r>
        <w:drawing>
          <wp:inline distT="0" distB="0" distL="114300" distR="114300">
            <wp:extent cx="5268595" cy="4936490"/>
            <wp:effectExtent l="0" t="0" r="1905" b="381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15"/>
                    <a:stretch>
                      <a:fillRect/>
                    </a:stretch>
                  </pic:blipFill>
                  <pic:spPr>
                    <a:xfrm>
                      <a:off x="0" y="0"/>
                      <a:ext cx="5268595" cy="4936490"/>
                    </a:xfrm>
                    <a:prstGeom prst="rect">
                      <a:avLst/>
                    </a:prstGeom>
                    <a:noFill/>
                    <a:ln>
                      <a:noFill/>
                    </a:ln>
                  </pic:spPr>
                </pic:pic>
              </a:graphicData>
            </a:graphic>
          </wp:inline>
        </w:drawing>
      </w:r>
      <w:r>
        <w:br w:type="page"/>
      </w:r>
    </w:p>
    <w:p w14:paraId="0F815517">
      <w:r>
        <w:drawing>
          <wp:inline distT="0" distB="0" distL="114300" distR="114300">
            <wp:extent cx="5268595" cy="3906520"/>
            <wp:effectExtent l="0" t="0" r="1905" b="5080"/>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16"/>
                    <a:stretch>
                      <a:fillRect/>
                    </a:stretch>
                  </pic:blipFill>
                  <pic:spPr>
                    <a:xfrm>
                      <a:off x="0" y="0"/>
                      <a:ext cx="5268595" cy="3906520"/>
                    </a:xfrm>
                    <a:prstGeom prst="rect">
                      <a:avLst/>
                    </a:prstGeom>
                    <a:noFill/>
                    <a:ln>
                      <a:noFill/>
                    </a:ln>
                  </pic:spPr>
                </pic:pic>
              </a:graphicData>
            </a:graphic>
          </wp:inline>
        </w:drawing>
      </w:r>
      <w:r>
        <w:br w:type="page"/>
      </w:r>
    </w:p>
    <w:p w14:paraId="03623175">
      <w:r>
        <w:drawing>
          <wp:inline distT="0" distB="0" distL="114300" distR="114300">
            <wp:extent cx="5268595" cy="3538855"/>
            <wp:effectExtent l="0" t="0" r="1905" b="4445"/>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17"/>
                    <a:stretch>
                      <a:fillRect/>
                    </a:stretch>
                  </pic:blipFill>
                  <pic:spPr>
                    <a:xfrm>
                      <a:off x="0" y="0"/>
                      <a:ext cx="5268595" cy="3538855"/>
                    </a:xfrm>
                    <a:prstGeom prst="rect">
                      <a:avLst/>
                    </a:prstGeom>
                    <a:noFill/>
                    <a:ln>
                      <a:noFill/>
                    </a:ln>
                  </pic:spPr>
                </pic:pic>
              </a:graphicData>
            </a:graphic>
          </wp:inline>
        </w:drawing>
      </w:r>
      <w:r>
        <w:br w:type="page"/>
      </w:r>
    </w:p>
    <w:p w14:paraId="5017279A">
      <w:r>
        <w:drawing>
          <wp:inline distT="0" distB="0" distL="114300" distR="114300">
            <wp:extent cx="5268595" cy="3590925"/>
            <wp:effectExtent l="0" t="0" r="1905" b="3175"/>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r:embed="rId18"/>
                    <a:stretch>
                      <a:fillRect/>
                    </a:stretch>
                  </pic:blipFill>
                  <pic:spPr>
                    <a:xfrm>
                      <a:off x="0" y="0"/>
                      <a:ext cx="5268595" cy="3590925"/>
                    </a:xfrm>
                    <a:prstGeom prst="rect">
                      <a:avLst/>
                    </a:prstGeom>
                    <a:noFill/>
                    <a:ln>
                      <a:noFill/>
                    </a:ln>
                  </pic:spPr>
                </pic:pic>
              </a:graphicData>
            </a:graphic>
          </wp:inline>
        </w:drawing>
      </w:r>
      <w:r>
        <w:br w:type="page"/>
      </w:r>
    </w:p>
    <w:p w14:paraId="6716B4F3">
      <w:pPr>
        <w:sectPr>
          <w:footerReference r:id="rId6" w:type="default"/>
          <w:pgSz w:w="11906" w:h="16838"/>
          <w:pgMar w:top="1440" w:right="1800" w:bottom="1440" w:left="1800" w:header="851" w:footer="992" w:gutter="0"/>
          <w:pgNumType w:fmt="decimal" w:start="1"/>
          <w:cols w:space="425" w:num="1"/>
          <w:docGrid w:type="lines" w:linePitch="312" w:charSpace="0"/>
        </w:sectPr>
      </w:pPr>
    </w:p>
    <w:p w14:paraId="0FE0CD4B">
      <w:pPr>
        <w:pStyle w:val="2"/>
        <w:keepNext/>
        <w:spacing w:before="0" w:after="330" w:line="240" w:lineRule="auto"/>
        <w:ind w:leftChars="0" w:firstLineChars="0"/>
        <w:jc w:val="center"/>
        <w:rPr>
          <w:rStyle w:val="28"/>
          <w:rFonts w:hint="eastAsia" w:ascii="Times New Roman" w:hAnsi="Times New Roman" w:eastAsia="方正小标宋简体" w:cs="方正小标宋简体"/>
          <w:b/>
          <w:bCs w:val="0"/>
          <w:color w:val="auto"/>
          <w:highlight w:val="none"/>
        </w:rPr>
      </w:pPr>
      <w:bookmarkStart w:id="28" w:name="_Toc30511"/>
      <w:r>
        <w:rPr>
          <w:rFonts w:hint="eastAsia" w:ascii="方正小标宋简体" w:hAnsi="方正小标宋简体" w:eastAsia="方正小标宋简体" w:cs="方正小标宋简体"/>
          <w:b/>
          <w:color w:val="auto"/>
          <w:sz w:val="44"/>
          <w:highlight w:val="none"/>
        </w:rPr>
        <w:t>第五部分 附表</w:t>
      </w:r>
      <w:bookmarkEnd w:id="28"/>
    </w:p>
    <w:p w14:paraId="0909E844">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29" w:name="_Toc295"/>
      <w:r>
        <w:rPr>
          <w:rFonts w:hint="eastAsia" w:ascii="黑体" w:hAnsi="黑体" w:eastAsia="黑体"/>
          <w:b/>
          <w:color w:val="auto"/>
          <w:sz w:val="32"/>
          <w:highlight w:val="none"/>
        </w:rPr>
        <w:t>一、收入支出决算总表</w:t>
      </w:r>
      <w:bookmarkEnd w:id="29"/>
    </w:p>
    <w:p w14:paraId="7795C3D2">
      <w:pPr>
        <w:keepLines/>
        <w:spacing w:before="0" w:after="0" w:line="240" w:lineRule="auto"/>
        <w:jc w:val="center"/>
      </w:pPr>
      <w:r>
        <w:rPr>
          <w:sz w:val="2"/>
        </w:rPr>
        <w:drawing>
          <wp:inline distT="0" distB="0" distL="114300" distR="114300">
            <wp:extent cx="7032625" cy="4665980"/>
            <wp:effectExtent l="0" t="0" r="3175" b="762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9"/>
                    <a:stretch>
                      <a:fillRect/>
                    </a:stretch>
                  </pic:blipFill>
                  <pic:spPr>
                    <a:xfrm>
                      <a:off x="0" y="0"/>
                      <a:ext cx="7032625" cy="4665980"/>
                    </a:xfrm>
                    <a:prstGeom prst="rect">
                      <a:avLst/>
                    </a:prstGeom>
                  </pic:spPr>
                </pic:pic>
              </a:graphicData>
            </a:graphic>
          </wp:inline>
        </w:drawing>
      </w:r>
    </w:p>
    <w:p w14:paraId="1152CB45">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0" w:name="_Toc29506"/>
      <w:r>
        <w:rPr>
          <w:rFonts w:hint="eastAsia" w:ascii="黑体" w:hAnsi="黑体" w:eastAsia="黑体"/>
          <w:b/>
          <w:color w:val="auto"/>
          <w:sz w:val="32"/>
          <w:highlight w:val="none"/>
        </w:rPr>
        <w:t>二、收入决算表</w:t>
      </w:r>
      <w:bookmarkEnd w:id="30"/>
    </w:p>
    <w:p w14:paraId="4CB54A7A">
      <w:pPr>
        <w:keepLines/>
        <w:spacing w:before="0" w:after="0" w:line="240" w:lineRule="auto"/>
        <w:jc w:val="center"/>
      </w:pPr>
      <w:r>
        <w:rPr>
          <w:sz w:val="2"/>
        </w:rPr>
        <w:drawing>
          <wp:inline distT="0" distB="0" distL="114300" distR="114300">
            <wp:extent cx="9971405" cy="3576320"/>
            <wp:effectExtent l="0" t="0" r="10795" b="508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20"/>
                    <a:stretch>
                      <a:fillRect/>
                    </a:stretch>
                  </pic:blipFill>
                  <pic:spPr>
                    <a:xfrm>
                      <a:off x="0" y="0"/>
                      <a:ext cx="9972000" cy="3576840"/>
                    </a:xfrm>
                    <a:prstGeom prst="rect">
                      <a:avLst/>
                    </a:prstGeom>
                  </pic:spPr>
                </pic:pic>
              </a:graphicData>
            </a:graphic>
          </wp:inline>
        </w:drawing>
      </w:r>
    </w:p>
    <w:p w14:paraId="1F116872">
      <w:pPr>
        <w:spacing w:before="0" w:after="0" w:line="240" w:lineRule="auto"/>
      </w:pPr>
      <w:r>
        <w:rPr>
          <w:sz w:val="2"/>
        </w:rPr>
        <w:br w:type="page"/>
      </w:r>
    </w:p>
    <w:p w14:paraId="4FB5C532">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1" w:name="_Toc26588"/>
      <w:r>
        <w:rPr>
          <w:rFonts w:hint="eastAsia" w:ascii="黑体" w:hAnsi="黑体" w:eastAsia="黑体"/>
          <w:b/>
          <w:color w:val="auto"/>
          <w:sz w:val="32"/>
          <w:highlight w:val="none"/>
        </w:rPr>
        <w:t>三、支出决算表</w:t>
      </w:r>
      <w:bookmarkEnd w:id="31"/>
    </w:p>
    <w:p w14:paraId="0394D621">
      <w:pPr>
        <w:keepLines/>
        <w:spacing w:before="0" w:after="0" w:line="240" w:lineRule="auto"/>
        <w:jc w:val="center"/>
      </w:pPr>
      <w:r>
        <w:rPr>
          <w:sz w:val="2"/>
        </w:rPr>
        <w:drawing>
          <wp:inline distT="0" distB="0" distL="114300" distR="114300">
            <wp:extent cx="9971405" cy="3925570"/>
            <wp:effectExtent l="0" t="0" r="10795" b="1143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21"/>
                    <a:stretch>
                      <a:fillRect/>
                    </a:stretch>
                  </pic:blipFill>
                  <pic:spPr>
                    <a:xfrm>
                      <a:off x="0" y="0"/>
                      <a:ext cx="9972000" cy="3925787"/>
                    </a:xfrm>
                    <a:prstGeom prst="rect">
                      <a:avLst/>
                    </a:prstGeom>
                  </pic:spPr>
                </pic:pic>
              </a:graphicData>
            </a:graphic>
          </wp:inline>
        </w:drawing>
      </w:r>
    </w:p>
    <w:p w14:paraId="5D0959B9">
      <w:pPr>
        <w:spacing w:before="0" w:after="0" w:line="240" w:lineRule="auto"/>
      </w:pPr>
      <w:r>
        <w:rPr>
          <w:sz w:val="2"/>
        </w:rPr>
        <w:br w:type="page"/>
      </w:r>
    </w:p>
    <w:p w14:paraId="01152A7E">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2" w:name="_Toc30848"/>
      <w:r>
        <w:rPr>
          <w:rFonts w:hint="eastAsia" w:ascii="黑体" w:hAnsi="黑体" w:eastAsia="黑体"/>
          <w:b/>
          <w:color w:val="auto"/>
          <w:sz w:val="32"/>
          <w:highlight w:val="none"/>
        </w:rPr>
        <w:t>四、财政拨款收入支出决算总表</w:t>
      </w:r>
      <w:bookmarkEnd w:id="32"/>
    </w:p>
    <w:p w14:paraId="3310540F">
      <w:pPr>
        <w:keepLines/>
        <w:spacing w:before="0" w:after="0" w:line="240" w:lineRule="auto"/>
        <w:jc w:val="center"/>
      </w:pPr>
      <w:r>
        <w:rPr>
          <w:sz w:val="2"/>
        </w:rPr>
        <w:drawing>
          <wp:inline distT="0" distB="0" distL="114300" distR="114300">
            <wp:extent cx="9001760" cy="5400040"/>
            <wp:effectExtent l="0" t="0" r="2540" b="1016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22"/>
                    <a:stretch>
                      <a:fillRect/>
                    </a:stretch>
                  </pic:blipFill>
                  <pic:spPr>
                    <a:xfrm>
                      <a:off x="0" y="0"/>
                      <a:ext cx="9001760" cy="5400040"/>
                    </a:xfrm>
                    <a:prstGeom prst="rect">
                      <a:avLst/>
                    </a:prstGeom>
                  </pic:spPr>
                </pic:pic>
              </a:graphicData>
            </a:graphic>
          </wp:inline>
        </w:drawing>
      </w:r>
    </w:p>
    <w:p w14:paraId="00FB3E55">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3" w:name="_Toc19886"/>
      <w:r>
        <w:rPr>
          <w:rFonts w:hint="eastAsia" w:ascii="黑体" w:hAnsi="黑体" w:eastAsia="黑体"/>
          <w:b/>
          <w:color w:val="auto"/>
          <w:sz w:val="32"/>
          <w:highlight w:val="none"/>
        </w:rPr>
        <w:t>五、财政拨款支出决算明细表</w:t>
      </w:r>
      <w:bookmarkEnd w:id="33"/>
    </w:p>
    <w:p w14:paraId="4AE7490C">
      <w:pPr>
        <w:keepLines/>
        <w:spacing w:before="0" w:after="0" w:line="240" w:lineRule="auto"/>
        <w:jc w:val="center"/>
      </w:pPr>
      <w:r>
        <w:rPr>
          <w:sz w:val="2"/>
        </w:rPr>
        <w:drawing>
          <wp:inline distT="0" distB="0" distL="114300" distR="114300">
            <wp:extent cx="7624445" cy="5400040"/>
            <wp:effectExtent l="0" t="0" r="8255" b="1016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23"/>
                    <a:stretch>
                      <a:fillRect/>
                    </a:stretch>
                  </pic:blipFill>
                  <pic:spPr>
                    <a:xfrm>
                      <a:off x="0" y="0"/>
                      <a:ext cx="7624445" cy="5400040"/>
                    </a:xfrm>
                    <a:prstGeom prst="rect">
                      <a:avLst/>
                    </a:prstGeom>
                  </pic:spPr>
                </pic:pic>
              </a:graphicData>
            </a:graphic>
          </wp:inline>
        </w:drawing>
      </w:r>
    </w:p>
    <w:p w14:paraId="3D73C117">
      <w:pPr>
        <w:keepLines/>
        <w:spacing w:before="0" w:after="0" w:line="240" w:lineRule="auto"/>
        <w:jc w:val="center"/>
      </w:pPr>
      <w:r>
        <w:rPr>
          <w:sz w:val="2"/>
        </w:rPr>
        <w:drawing>
          <wp:inline distT="0" distB="0" distL="114300" distR="114300">
            <wp:extent cx="9123045" cy="6155690"/>
            <wp:effectExtent l="0" t="0" r="8255" b="381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24"/>
                    <a:stretch>
                      <a:fillRect/>
                    </a:stretch>
                  </pic:blipFill>
                  <pic:spPr>
                    <a:xfrm>
                      <a:off x="0" y="0"/>
                      <a:ext cx="9123253" cy="6156000"/>
                    </a:xfrm>
                    <a:prstGeom prst="rect">
                      <a:avLst/>
                    </a:prstGeom>
                  </pic:spPr>
                </pic:pic>
              </a:graphicData>
            </a:graphic>
          </wp:inline>
        </w:drawing>
      </w:r>
    </w:p>
    <w:p w14:paraId="3F600FC1">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4" w:name="_Toc390"/>
      <w:r>
        <w:rPr>
          <w:rFonts w:hint="eastAsia" w:ascii="黑体" w:hAnsi="黑体" w:eastAsia="黑体"/>
          <w:b/>
          <w:color w:val="auto"/>
          <w:sz w:val="32"/>
          <w:highlight w:val="none"/>
        </w:rPr>
        <w:t>六、一般公共预算财政拨款支出决算表</w:t>
      </w:r>
      <w:bookmarkEnd w:id="34"/>
    </w:p>
    <w:p w14:paraId="60EAD39C">
      <w:pPr>
        <w:keepLines/>
        <w:spacing w:before="0" w:after="0" w:line="240" w:lineRule="auto"/>
        <w:jc w:val="center"/>
      </w:pPr>
      <w:r>
        <w:rPr>
          <w:sz w:val="2"/>
        </w:rPr>
        <w:drawing>
          <wp:inline distT="0" distB="0" distL="114300" distR="114300">
            <wp:extent cx="9450070" cy="5400040"/>
            <wp:effectExtent l="0" t="0" r="11430" b="1016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25"/>
                    <a:stretch>
                      <a:fillRect/>
                    </a:stretch>
                  </pic:blipFill>
                  <pic:spPr>
                    <a:xfrm>
                      <a:off x="0" y="0"/>
                      <a:ext cx="9450070" cy="5400040"/>
                    </a:xfrm>
                    <a:prstGeom prst="rect">
                      <a:avLst/>
                    </a:prstGeom>
                  </pic:spPr>
                </pic:pic>
              </a:graphicData>
            </a:graphic>
          </wp:inline>
        </w:drawing>
      </w:r>
    </w:p>
    <w:p w14:paraId="389F9B38">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5" w:name="_Toc12747"/>
      <w:r>
        <w:rPr>
          <w:rFonts w:hint="eastAsia" w:ascii="黑体" w:hAnsi="黑体" w:eastAsia="黑体"/>
          <w:b/>
          <w:color w:val="auto"/>
          <w:sz w:val="32"/>
          <w:highlight w:val="none"/>
        </w:rPr>
        <w:t>七、一般公共预算财政拨款支出决算明细表</w:t>
      </w:r>
      <w:bookmarkEnd w:id="35"/>
    </w:p>
    <w:p w14:paraId="7370F7A1">
      <w:pPr>
        <w:keepLines/>
        <w:spacing w:before="0" w:after="0" w:line="240" w:lineRule="auto"/>
        <w:jc w:val="center"/>
      </w:pPr>
      <w:r>
        <w:rPr>
          <w:sz w:val="2"/>
        </w:rPr>
        <w:drawing>
          <wp:inline distT="0" distB="0" distL="114300" distR="114300">
            <wp:extent cx="9971405" cy="4344670"/>
            <wp:effectExtent l="0" t="0" r="10795" b="1143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26"/>
                    <a:stretch>
                      <a:fillRect/>
                    </a:stretch>
                  </pic:blipFill>
                  <pic:spPr>
                    <a:xfrm>
                      <a:off x="0" y="0"/>
                      <a:ext cx="9972000" cy="4345204"/>
                    </a:xfrm>
                    <a:prstGeom prst="rect">
                      <a:avLst/>
                    </a:prstGeom>
                  </pic:spPr>
                </pic:pic>
              </a:graphicData>
            </a:graphic>
          </wp:inline>
        </w:drawing>
      </w:r>
    </w:p>
    <w:p w14:paraId="30807426">
      <w:pPr>
        <w:spacing w:before="0" w:after="0" w:line="240" w:lineRule="auto"/>
      </w:pPr>
      <w:r>
        <w:rPr>
          <w:sz w:val="2"/>
        </w:rPr>
        <w:br w:type="page"/>
      </w:r>
    </w:p>
    <w:p w14:paraId="209FDB83">
      <w:pPr>
        <w:keepLines/>
        <w:spacing w:before="0" w:after="0" w:line="240" w:lineRule="auto"/>
        <w:jc w:val="center"/>
      </w:pPr>
      <w:r>
        <w:rPr>
          <w:sz w:val="2"/>
        </w:rPr>
        <w:drawing>
          <wp:inline distT="0" distB="0" distL="114300" distR="114300">
            <wp:extent cx="9971405" cy="4558665"/>
            <wp:effectExtent l="0" t="0" r="10795" b="635"/>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27"/>
                    <a:stretch>
                      <a:fillRect/>
                    </a:stretch>
                  </pic:blipFill>
                  <pic:spPr>
                    <a:xfrm>
                      <a:off x="0" y="0"/>
                      <a:ext cx="9972000" cy="4558859"/>
                    </a:xfrm>
                    <a:prstGeom prst="rect">
                      <a:avLst/>
                    </a:prstGeom>
                  </pic:spPr>
                </pic:pic>
              </a:graphicData>
            </a:graphic>
          </wp:inline>
        </w:drawing>
      </w:r>
    </w:p>
    <w:p w14:paraId="119647D5">
      <w:pPr>
        <w:spacing w:before="0" w:after="0" w:line="240" w:lineRule="auto"/>
      </w:pPr>
      <w:r>
        <w:rPr>
          <w:sz w:val="2"/>
        </w:rPr>
        <w:br w:type="page"/>
      </w:r>
    </w:p>
    <w:p w14:paraId="0E29AABC">
      <w:pPr>
        <w:keepLines/>
        <w:spacing w:before="0" w:after="0" w:line="240" w:lineRule="auto"/>
        <w:jc w:val="center"/>
      </w:pPr>
      <w:r>
        <w:rPr>
          <w:sz w:val="2"/>
        </w:rPr>
        <w:drawing>
          <wp:inline distT="0" distB="0" distL="114300" distR="114300">
            <wp:extent cx="9971405" cy="4805680"/>
            <wp:effectExtent l="0" t="0" r="10795" b="762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28"/>
                    <a:stretch>
                      <a:fillRect/>
                    </a:stretch>
                  </pic:blipFill>
                  <pic:spPr>
                    <a:xfrm>
                      <a:off x="0" y="0"/>
                      <a:ext cx="9972000" cy="4805783"/>
                    </a:xfrm>
                    <a:prstGeom prst="rect">
                      <a:avLst/>
                    </a:prstGeom>
                  </pic:spPr>
                </pic:pic>
              </a:graphicData>
            </a:graphic>
          </wp:inline>
        </w:drawing>
      </w:r>
    </w:p>
    <w:p w14:paraId="545EBEF9">
      <w:pPr>
        <w:spacing w:before="0" w:after="0" w:line="240" w:lineRule="auto"/>
      </w:pPr>
      <w:r>
        <w:rPr>
          <w:sz w:val="2"/>
        </w:rPr>
        <w:br w:type="page"/>
      </w:r>
    </w:p>
    <w:p w14:paraId="49DA0425">
      <w:pPr>
        <w:keepLines/>
        <w:spacing w:before="0" w:after="0" w:line="240" w:lineRule="auto"/>
        <w:jc w:val="center"/>
      </w:pPr>
      <w:r>
        <w:rPr>
          <w:sz w:val="2"/>
        </w:rPr>
        <w:drawing>
          <wp:inline distT="0" distB="0" distL="114300" distR="114300">
            <wp:extent cx="9971405" cy="4805680"/>
            <wp:effectExtent l="0" t="0" r="10795" b="762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29"/>
                    <a:stretch>
                      <a:fillRect/>
                    </a:stretch>
                  </pic:blipFill>
                  <pic:spPr>
                    <a:xfrm>
                      <a:off x="0" y="0"/>
                      <a:ext cx="9972000" cy="4805783"/>
                    </a:xfrm>
                    <a:prstGeom prst="rect">
                      <a:avLst/>
                    </a:prstGeom>
                  </pic:spPr>
                </pic:pic>
              </a:graphicData>
            </a:graphic>
          </wp:inline>
        </w:drawing>
      </w:r>
    </w:p>
    <w:p w14:paraId="7E3E1C5E">
      <w:pPr>
        <w:spacing w:before="0" w:after="0" w:line="240" w:lineRule="auto"/>
      </w:pPr>
      <w:r>
        <w:rPr>
          <w:sz w:val="2"/>
        </w:rPr>
        <w:br w:type="page"/>
      </w:r>
    </w:p>
    <w:p w14:paraId="0FC1488A">
      <w:pPr>
        <w:keepLines/>
        <w:spacing w:before="0" w:after="0" w:line="240" w:lineRule="auto"/>
        <w:jc w:val="center"/>
      </w:pPr>
      <w:r>
        <w:rPr>
          <w:sz w:val="2"/>
        </w:rPr>
        <w:drawing>
          <wp:inline distT="0" distB="0" distL="114300" distR="114300">
            <wp:extent cx="9971405" cy="4805680"/>
            <wp:effectExtent l="0" t="0" r="10795" b="7620"/>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pic:cNvPicPr>
                      <a:picLocks noChangeAspect="1"/>
                    </pic:cNvPicPr>
                  </pic:nvPicPr>
                  <pic:blipFill>
                    <a:blip r:embed="rId30"/>
                    <a:stretch>
                      <a:fillRect/>
                    </a:stretch>
                  </pic:blipFill>
                  <pic:spPr>
                    <a:xfrm>
                      <a:off x="0" y="0"/>
                      <a:ext cx="9972000" cy="4805783"/>
                    </a:xfrm>
                    <a:prstGeom prst="rect">
                      <a:avLst/>
                    </a:prstGeom>
                  </pic:spPr>
                </pic:pic>
              </a:graphicData>
            </a:graphic>
          </wp:inline>
        </w:drawing>
      </w:r>
    </w:p>
    <w:p w14:paraId="694398C7">
      <w:pPr>
        <w:spacing w:before="0" w:after="0" w:line="240" w:lineRule="auto"/>
      </w:pPr>
      <w:r>
        <w:rPr>
          <w:sz w:val="2"/>
        </w:rPr>
        <w:br w:type="page"/>
      </w:r>
    </w:p>
    <w:p w14:paraId="6970B89D">
      <w:pPr>
        <w:keepLines/>
        <w:spacing w:before="0" w:after="0" w:line="240" w:lineRule="auto"/>
        <w:jc w:val="center"/>
      </w:pPr>
      <w:r>
        <w:rPr>
          <w:sz w:val="2"/>
        </w:rPr>
        <w:drawing>
          <wp:inline distT="0" distB="0" distL="114300" distR="114300">
            <wp:extent cx="9971405" cy="4805680"/>
            <wp:effectExtent l="0" t="0" r="10795" b="7620"/>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pic:cNvPicPr>
                      <a:picLocks noChangeAspect="1"/>
                    </pic:cNvPicPr>
                  </pic:nvPicPr>
                  <pic:blipFill>
                    <a:blip r:embed="rId31"/>
                    <a:stretch>
                      <a:fillRect/>
                    </a:stretch>
                  </pic:blipFill>
                  <pic:spPr>
                    <a:xfrm>
                      <a:off x="0" y="0"/>
                      <a:ext cx="9972000" cy="4805783"/>
                    </a:xfrm>
                    <a:prstGeom prst="rect">
                      <a:avLst/>
                    </a:prstGeom>
                  </pic:spPr>
                </pic:pic>
              </a:graphicData>
            </a:graphic>
          </wp:inline>
        </w:drawing>
      </w:r>
    </w:p>
    <w:p w14:paraId="17991A71">
      <w:pPr>
        <w:spacing w:before="0" w:after="0" w:line="240" w:lineRule="auto"/>
      </w:pPr>
      <w:r>
        <w:rPr>
          <w:sz w:val="2"/>
        </w:rPr>
        <w:br w:type="page"/>
      </w:r>
    </w:p>
    <w:p w14:paraId="7A29A989">
      <w:pPr>
        <w:keepLines/>
        <w:spacing w:before="0" w:after="0" w:line="240" w:lineRule="auto"/>
        <w:jc w:val="center"/>
      </w:pPr>
      <w:r>
        <w:rPr>
          <w:sz w:val="2"/>
        </w:rPr>
        <w:drawing>
          <wp:inline distT="0" distB="0" distL="114300" distR="114300">
            <wp:extent cx="9971405" cy="4805680"/>
            <wp:effectExtent l="0" t="0" r="10795" b="7620"/>
            <wp:docPr id="2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pic:cNvPicPr>
                      <a:picLocks noChangeAspect="1"/>
                    </pic:cNvPicPr>
                  </pic:nvPicPr>
                  <pic:blipFill>
                    <a:blip r:embed="rId32"/>
                    <a:stretch>
                      <a:fillRect/>
                    </a:stretch>
                  </pic:blipFill>
                  <pic:spPr>
                    <a:xfrm>
                      <a:off x="0" y="0"/>
                      <a:ext cx="9972000" cy="4805783"/>
                    </a:xfrm>
                    <a:prstGeom prst="rect">
                      <a:avLst/>
                    </a:prstGeom>
                  </pic:spPr>
                </pic:pic>
              </a:graphicData>
            </a:graphic>
          </wp:inline>
        </w:drawing>
      </w:r>
    </w:p>
    <w:p w14:paraId="2C422041">
      <w:pPr>
        <w:spacing w:before="0" w:after="0" w:line="240" w:lineRule="auto"/>
      </w:pPr>
      <w:r>
        <w:rPr>
          <w:sz w:val="2"/>
        </w:rPr>
        <w:br w:type="page"/>
      </w:r>
    </w:p>
    <w:p w14:paraId="61D096B9">
      <w:pPr>
        <w:keepLines/>
        <w:spacing w:before="0" w:after="0" w:line="240" w:lineRule="auto"/>
        <w:jc w:val="center"/>
      </w:pPr>
      <w:r>
        <w:rPr>
          <w:sz w:val="2"/>
        </w:rPr>
        <w:drawing>
          <wp:inline distT="0" distB="0" distL="114300" distR="114300">
            <wp:extent cx="9971405" cy="4805680"/>
            <wp:effectExtent l="0" t="0" r="10795" b="7620"/>
            <wp:docPr id="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pic:cNvPicPr>
                      <a:picLocks noChangeAspect="1"/>
                    </pic:cNvPicPr>
                  </pic:nvPicPr>
                  <pic:blipFill>
                    <a:blip r:embed="rId33"/>
                    <a:stretch>
                      <a:fillRect/>
                    </a:stretch>
                  </pic:blipFill>
                  <pic:spPr>
                    <a:xfrm>
                      <a:off x="0" y="0"/>
                      <a:ext cx="9972000" cy="4805783"/>
                    </a:xfrm>
                    <a:prstGeom prst="rect">
                      <a:avLst/>
                    </a:prstGeom>
                  </pic:spPr>
                </pic:pic>
              </a:graphicData>
            </a:graphic>
          </wp:inline>
        </w:drawing>
      </w:r>
    </w:p>
    <w:p w14:paraId="7E994DF1">
      <w:pPr>
        <w:spacing w:before="0" w:after="0" w:line="240" w:lineRule="auto"/>
      </w:pPr>
      <w:r>
        <w:rPr>
          <w:sz w:val="2"/>
        </w:rPr>
        <w:br w:type="page"/>
      </w:r>
    </w:p>
    <w:p w14:paraId="277D048E">
      <w:pPr>
        <w:keepLines/>
        <w:spacing w:before="0" w:after="0" w:line="240" w:lineRule="auto"/>
        <w:jc w:val="center"/>
      </w:pPr>
      <w:r>
        <w:rPr>
          <w:sz w:val="2"/>
        </w:rPr>
        <w:drawing>
          <wp:inline distT="0" distB="0" distL="114300" distR="114300">
            <wp:extent cx="9971405" cy="4278630"/>
            <wp:effectExtent l="0" t="0" r="10795" b="1270"/>
            <wp:docPr id="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pic:cNvPicPr>
                      <a:picLocks noChangeAspect="1"/>
                    </pic:cNvPicPr>
                  </pic:nvPicPr>
                  <pic:blipFill>
                    <a:blip r:embed="rId34"/>
                    <a:stretch>
                      <a:fillRect/>
                    </a:stretch>
                  </pic:blipFill>
                  <pic:spPr>
                    <a:xfrm>
                      <a:off x="0" y="0"/>
                      <a:ext cx="9972000" cy="4278924"/>
                    </a:xfrm>
                    <a:prstGeom prst="rect">
                      <a:avLst/>
                    </a:prstGeom>
                  </pic:spPr>
                </pic:pic>
              </a:graphicData>
            </a:graphic>
          </wp:inline>
        </w:drawing>
      </w:r>
    </w:p>
    <w:p w14:paraId="04212EAE">
      <w:pPr>
        <w:spacing w:before="0" w:after="0" w:line="240" w:lineRule="auto"/>
      </w:pPr>
      <w:r>
        <w:rPr>
          <w:sz w:val="2"/>
        </w:rPr>
        <w:br w:type="page"/>
      </w:r>
    </w:p>
    <w:p w14:paraId="4A2662E2">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6" w:name="_Toc19393"/>
      <w:r>
        <w:rPr>
          <w:rFonts w:hint="eastAsia" w:ascii="黑体" w:hAnsi="黑体" w:eastAsia="黑体"/>
          <w:b/>
          <w:color w:val="auto"/>
          <w:sz w:val="32"/>
          <w:highlight w:val="none"/>
        </w:rPr>
        <w:t>八、一般公共预算财政拨款基本支出决算明细表</w:t>
      </w:r>
      <w:bookmarkEnd w:id="36"/>
    </w:p>
    <w:p w14:paraId="01657697">
      <w:pPr>
        <w:keepLines/>
        <w:spacing w:before="0" w:after="0" w:line="240" w:lineRule="auto"/>
        <w:jc w:val="center"/>
      </w:pPr>
      <w:r>
        <w:rPr>
          <w:sz w:val="2"/>
        </w:rPr>
        <w:drawing>
          <wp:inline distT="0" distB="0" distL="114300" distR="114300">
            <wp:extent cx="8689340" cy="5400040"/>
            <wp:effectExtent l="0" t="0" r="10160" b="10160"/>
            <wp:docPr id="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a:blip r:embed="rId35"/>
                    <a:stretch>
                      <a:fillRect/>
                    </a:stretch>
                  </pic:blipFill>
                  <pic:spPr>
                    <a:xfrm>
                      <a:off x="0" y="0"/>
                      <a:ext cx="8689340" cy="5400040"/>
                    </a:xfrm>
                    <a:prstGeom prst="rect">
                      <a:avLst/>
                    </a:prstGeom>
                  </pic:spPr>
                </pic:pic>
              </a:graphicData>
            </a:graphic>
          </wp:inline>
        </w:drawing>
      </w:r>
    </w:p>
    <w:p w14:paraId="0B372022">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7" w:name="_Toc4859"/>
      <w:r>
        <w:rPr>
          <w:rFonts w:hint="eastAsia" w:ascii="黑体" w:hAnsi="黑体" w:eastAsia="黑体"/>
          <w:b/>
          <w:color w:val="auto"/>
          <w:sz w:val="32"/>
          <w:highlight w:val="none"/>
        </w:rPr>
        <w:t>九、一般公共预算财政拨款项目支出决算表</w:t>
      </w:r>
      <w:bookmarkEnd w:id="37"/>
    </w:p>
    <w:p w14:paraId="5B09E50A">
      <w:pPr>
        <w:keepLines/>
        <w:spacing w:before="0" w:after="0" w:line="240" w:lineRule="auto"/>
        <w:jc w:val="center"/>
      </w:pPr>
      <w:r>
        <w:rPr>
          <w:sz w:val="2"/>
        </w:rPr>
        <w:drawing>
          <wp:inline distT="0" distB="0" distL="114300" distR="114300">
            <wp:extent cx="9971405" cy="3065145"/>
            <wp:effectExtent l="0" t="0" r="10795" b="8255"/>
            <wp:docPr id="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pic:cNvPicPr>
                      <a:picLocks noChangeAspect="1"/>
                    </pic:cNvPicPr>
                  </pic:nvPicPr>
                  <pic:blipFill>
                    <a:blip r:embed="rId36"/>
                    <a:stretch>
                      <a:fillRect/>
                    </a:stretch>
                  </pic:blipFill>
                  <pic:spPr>
                    <a:xfrm>
                      <a:off x="0" y="0"/>
                      <a:ext cx="9972000" cy="3065753"/>
                    </a:xfrm>
                    <a:prstGeom prst="rect">
                      <a:avLst/>
                    </a:prstGeom>
                  </pic:spPr>
                </pic:pic>
              </a:graphicData>
            </a:graphic>
          </wp:inline>
        </w:drawing>
      </w:r>
    </w:p>
    <w:p w14:paraId="576508FF">
      <w:pPr>
        <w:spacing w:before="0" w:after="0" w:line="240" w:lineRule="auto"/>
      </w:pPr>
      <w:r>
        <w:rPr>
          <w:sz w:val="2"/>
        </w:rPr>
        <w:br w:type="page"/>
      </w:r>
    </w:p>
    <w:p w14:paraId="69EDE053">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8" w:name="_Toc32171"/>
      <w:r>
        <w:rPr>
          <w:rFonts w:hint="eastAsia" w:ascii="黑体" w:hAnsi="黑体" w:eastAsia="黑体"/>
          <w:b/>
          <w:color w:val="auto"/>
          <w:sz w:val="32"/>
          <w:highlight w:val="none"/>
        </w:rPr>
        <w:t>十、政府性基金预算财政拨款收入支出决算表</w:t>
      </w:r>
      <w:bookmarkEnd w:id="38"/>
    </w:p>
    <w:p w14:paraId="5E1580D3">
      <w:pPr>
        <w:keepLines/>
        <w:spacing w:before="0" w:after="0" w:line="240" w:lineRule="auto"/>
        <w:jc w:val="center"/>
      </w:pPr>
      <w:r>
        <w:rPr>
          <w:sz w:val="2"/>
        </w:rPr>
        <mc:AlternateContent>
          <mc:Choice Requires="wps">
            <w:drawing>
              <wp:anchor distT="0" distB="0" distL="114300" distR="114300" simplePos="0" relativeHeight="251659264" behindDoc="0" locked="0" layoutInCell="1" allowOverlap="1">
                <wp:simplePos x="0" y="0"/>
                <wp:positionH relativeFrom="column">
                  <wp:posOffset>74930</wp:posOffset>
                </wp:positionH>
                <wp:positionV relativeFrom="paragraph">
                  <wp:posOffset>1601470</wp:posOffset>
                </wp:positionV>
                <wp:extent cx="1143000" cy="292100"/>
                <wp:effectExtent l="0" t="0" r="0" b="0"/>
                <wp:wrapNone/>
                <wp:docPr id="36" name="文本框 36"/>
                <wp:cNvGraphicFramePr/>
                <a:graphic xmlns:a="http://schemas.openxmlformats.org/drawingml/2006/main">
                  <a:graphicData uri="http://schemas.microsoft.com/office/word/2010/wordprocessingShape">
                    <wps:wsp>
                      <wps:cNvSpPr txBox="1"/>
                      <wps:spPr>
                        <a:xfrm>
                          <a:off x="434975" y="2728595"/>
                          <a:ext cx="1143000" cy="2921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8F9158D">
                            <w:pPr>
                              <w:rPr>
                                <w:rFonts w:hint="default" w:eastAsia="宋体"/>
                                <w:lang w:val="en-US" w:eastAsia="zh-CN"/>
                              </w:rPr>
                            </w:pPr>
                            <w:r>
                              <w:rPr>
                                <w:rFonts w:hint="eastAsia"/>
                                <w:lang w:val="en-US" w:eastAsia="zh-CN"/>
                              </w:rPr>
                              <w:t>注：本表无数据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9pt;margin-top:126.1pt;height:23pt;width:90pt;z-index:251659264;mso-width-relative:page;mso-height-relative:page;" fillcolor="#FFFFFF [3201]" filled="t" stroked="f" coordsize="21600,21600" o:gfxdata="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hat4l0wAA&#10;AAoBAAAPAAAAAAAAAAEAIAAAACIAAABkcnMvZG93bnJldi54bWxQSwECFAAUAAAACACHTuJA1HU4&#10;21wCAACcBAAADgAAAAAAAAABACAAAAAiAQAAZHJzL2Uyb0RvYy54bWxQSwUGAAAAAAYABgBZAQAA&#10;8AUAAAAA&#10;">
                <v:fill on="t" focussize="0,0"/>
                <v:stroke on="f" weight="0.5pt"/>
                <v:imagedata o:title=""/>
                <o:lock v:ext="edit" aspectratio="f"/>
                <v:textbox>
                  <w:txbxContent>
                    <w:p w14:paraId="08F9158D">
                      <w:pPr>
                        <w:rPr>
                          <w:rFonts w:hint="default" w:eastAsia="宋体"/>
                          <w:lang w:val="en-US" w:eastAsia="zh-CN"/>
                        </w:rPr>
                      </w:pPr>
                      <w:r>
                        <w:rPr>
                          <w:rFonts w:hint="eastAsia"/>
                          <w:lang w:val="en-US" w:eastAsia="zh-CN"/>
                        </w:rPr>
                        <w:t>注：本表无数据</w:t>
                      </w:r>
                    </w:p>
                  </w:txbxContent>
                </v:textbox>
              </v:shape>
            </w:pict>
          </mc:Fallback>
        </mc:AlternateContent>
      </w:r>
      <w:r>
        <w:rPr>
          <w:sz w:val="2"/>
        </w:rPr>
        <w:drawing>
          <wp:inline distT="0" distB="0" distL="114300" distR="114300">
            <wp:extent cx="9971405" cy="1922145"/>
            <wp:effectExtent l="0" t="0" r="10795" b="8255"/>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a:blip r:embed="rId37"/>
                    <a:stretch>
                      <a:fillRect/>
                    </a:stretch>
                  </pic:blipFill>
                  <pic:spPr>
                    <a:xfrm>
                      <a:off x="0" y="0"/>
                      <a:ext cx="9971405" cy="1922705"/>
                    </a:xfrm>
                    <a:prstGeom prst="rect">
                      <a:avLst/>
                    </a:prstGeom>
                  </pic:spPr>
                </pic:pic>
              </a:graphicData>
            </a:graphic>
          </wp:inline>
        </w:drawing>
      </w:r>
    </w:p>
    <w:p w14:paraId="493435C5">
      <w:pPr>
        <w:spacing w:before="0" w:after="0" w:line="240" w:lineRule="auto"/>
      </w:pPr>
      <w:r>
        <w:rPr>
          <w:sz w:val="2"/>
        </w:rPr>
        <w:br w:type="page"/>
      </w:r>
    </w:p>
    <w:p w14:paraId="6B7A4C18">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39" w:name="_Toc15735"/>
      <w:r>
        <w:rPr>
          <w:rFonts w:hint="eastAsia" w:ascii="黑体" w:hAnsi="黑体" w:eastAsia="黑体"/>
          <w:b/>
          <w:color w:val="auto"/>
          <w:sz w:val="32"/>
          <w:highlight w:val="none"/>
        </w:rPr>
        <w:t>十一、国有资本经营预算财政拨款收入支出决算表</w:t>
      </w:r>
      <w:bookmarkEnd w:id="39"/>
    </w:p>
    <w:p w14:paraId="47FDCCFD">
      <w:pPr>
        <w:keepLines/>
        <w:spacing w:before="0" w:after="0" w:line="240" w:lineRule="auto"/>
        <w:jc w:val="center"/>
      </w:pPr>
      <w:r>
        <w:rPr>
          <w:sz w:val="2"/>
        </w:rPr>
        <w:drawing>
          <wp:inline distT="0" distB="0" distL="114300" distR="114300">
            <wp:extent cx="9971405" cy="2740025"/>
            <wp:effectExtent l="0" t="0" r="10795" b="3175"/>
            <wp:docPr id="2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pic:cNvPicPr>
                      <a:picLocks noChangeAspect="1"/>
                    </pic:cNvPicPr>
                  </pic:nvPicPr>
                  <pic:blipFill>
                    <a:blip r:embed="rId38"/>
                    <a:stretch>
                      <a:fillRect/>
                    </a:stretch>
                  </pic:blipFill>
                  <pic:spPr>
                    <a:xfrm>
                      <a:off x="0" y="0"/>
                      <a:ext cx="9971405" cy="2740434"/>
                    </a:xfrm>
                    <a:prstGeom prst="rect">
                      <a:avLst/>
                    </a:prstGeom>
                  </pic:spPr>
                </pic:pic>
              </a:graphicData>
            </a:graphic>
          </wp:inline>
        </w:drawing>
      </w:r>
    </w:p>
    <w:p w14:paraId="0E9D37C2">
      <w:pPr>
        <w:spacing w:before="0" w:after="0" w:line="240" w:lineRule="auto"/>
      </w:pPr>
      <w:r>
        <w:rPr>
          <w:sz w:val="2"/>
        </w:rPr>
        <w:br w:type="page"/>
      </w:r>
    </w:p>
    <w:p w14:paraId="701B8D3D">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40" w:name="_Toc31657"/>
      <w:r>
        <w:rPr>
          <w:rFonts w:hint="eastAsia" w:ascii="黑体" w:hAnsi="黑体" w:eastAsia="黑体"/>
          <w:b/>
          <w:color w:val="auto"/>
          <w:sz w:val="32"/>
          <w:highlight w:val="none"/>
        </w:rPr>
        <w:t>十二、国有资本经营预算财政拨款支出决算表</w:t>
      </w:r>
      <w:bookmarkEnd w:id="40"/>
    </w:p>
    <w:p w14:paraId="6AF37E19">
      <w:pPr>
        <w:keepLines/>
        <w:spacing w:before="0" w:after="0" w:line="240" w:lineRule="auto"/>
        <w:jc w:val="center"/>
      </w:pPr>
      <w:r>
        <w:rPr>
          <w:sz w:val="2"/>
        </w:rPr>
        <w:drawing>
          <wp:inline distT="0" distB="0" distL="114300" distR="114300">
            <wp:extent cx="9971405" cy="2734945"/>
            <wp:effectExtent l="0" t="0" r="10795" b="8255"/>
            <wp:docPr id="2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pic:cNvPicPr>
                      <a:picLocks noChangeAspect="1"/>
                    </pic:cNvPicPr>
                  </pic:nvPicPr>
                  <pic:blipFill>
                    <a:blip r:embed="rId39"/>
                    <a:stretch>
                      <a:fillRect/>
                    </a:stretch>
                  </pic:blipFill>
                  <pic:spPr>
                    <a:xfrm>
                      <a:off x="0" y="0"/>
                      <a:ext cx="9971405" cy="2735548"/>
                    </a:xfrm>
                    <a:prstGeom prst="rect">
                      <a:avLst/>
                    </a:prstGeom>
                  </pic:spPr>
                </pic:pic>
              </a:graphicData>
            </a:graphic>
          </wp:inline>
        </w:drawing>
      </w:r>
    </w:p>
    <w:p w14:paraId="51AED33E">
      <w:pPr>
        <w:spacing w:before="0" w:after="0" w:line="240" w:lineRule="auto"/>
      </w:pPr>
      <w:r>
        <w:rPr>
          <w:sz w:val="2"/>
        </w:rPr>
        <w:br w:type="page"/>
      </w:r>
    </w:p>
    <w:p w14:paraId="73C237FC">
      <w:pPr>
        <w:pStyle w:val="3"/>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41" w:name="_Toc4285"/>
      <w:r>
        <w:rPr>
          <w:rFonts w:hint="eastAsia" w:ascii="黑体" w:hAnsi="黑体" w:eastAsia="黑体"/>
          <w:b/>
          <w:color w:val="auto"/>
          <w:sz w:val="32"/>
          <w:highlight w:val="none"/>
        </w:rPr>
        <w:t>十三、财政拨款“三公”经费支出决算表</w:t>
      </w:r>
      <w:bookmarkEnd w:id="41"/>
    </w:p>
    <w:p w14:paraId="583050A5">
      <w:pPr>
        <w:keepLines/>
        <w:spacing w:before="0" w:after="0" w:line="240" w:lineRule="auto"/>
        <w:jc w:val="center"/>
      </w:pPr>
      <w:r>
        <w:rPr>
          <w:sz w:val="2"/>
        </w:rPr>
        <w:drawing>
          <wp:inline distT="0" distB="0" distL="114300" distR="114300">
            <wp:extent cx="9971405" cy="735965"/>
            <wp:effectExtent l="0" t="0" r="10795" b="635"/>
            <wp:docPr id="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pic:cNvPicPr>
                      <a:picLocks noChangeAspect="1"/>
                    </pic:cNvPicPr>
                  </pic:nvPicPr>
                  <pic:blipFill>
                    <a:blip r:embed="rId40"/>
                    <a:stretch>
                      <a:fillRect/>
                    </a:stretch>
                  </pic:blipFill>
                  <pic:spPr>
                    <a:xfrm>
                      <a:off x="0" y="0"/>
                      <a:ext cx="9972000" cy="736381"/>
                    </a:xfrm>
                    <a:prstGeom prst="rect">
                      <a:avLst/>
                    </a:prstGeom>
                  </pic:spPr>
                </pic:pic>
              </a:graphicData>
            </a:graphic>
          </wp:inline>
        </w:drawing>
      </w:r>
    </w:p>
    <w:sectPr>
      <w:pgSz w:w="16838" w:h="11906" w:orient="landscape"/>
      <w:pgMar w:top="567" w:right="567" w:bottom="567" w:left="56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793CA3-1F90-4A57-AE7E-B672458B8F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2" w:fontKey="{25C767EC-61A1-4DEE-B5A3-316D20D4DA91}"/>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00000" w:usb2="00000000" w:usb3="00000000" w:csb0="00040000" w:csb1="00000000"/>
    <w:embedRegular r:id="rId3" w:fontKey="{3CB89CD3-6A05-40D5-84E5-079D2AA1DBE9}"/>
  </w:font>
  <w:font w:name="楷体_GB2312">
    <w:altName w:val="楷体"/>
    <w:panose1 w:val="02010609030101010101"/>
    <w:charset w:val="86"/>
    <w:family w:val="auto"/>
    <w:pitch w:val="default"/>
    <w:sig w:usb0="00000000" w:usb1="00000000" w:usb2="00000000" w:usb3="00000000" w:csb0="00040000" w:csb1="00000000"/>
    <w:embedRegular r:id="rId4" w:fontKey="{F1734192-D4D1-4D1F-9DBE-4C08E293F2A8}"/>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2FAF6">
    <w:pPr>
      <w:pStyle w:val="10"/>
      <w:jc w:val="center"/>
    </w:pPr>
  </w:p>
  <w:p w14:paraId="6077C34A">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EC31B">
    <w:pPr>
      <w:pStyle w:val="10"/>
      <w:jc w:val="center"/>
    </w:pPr>
  </w:p>
  <w:p w14:paraId="31FF2C2C">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12448">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9DEF71">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0B9DEF71">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p w14:paraId="35D4921C">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AED5B">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B524BD"/>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43C0D3A"/>
    <w:rsid w:val="152F2A07"/>
    <w:rsid w:val="165E0673"/>
    <w:rsid w:val="16BB723D"/>
    <w:rsid w:val="16BF4D9E"/>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86F080A"/>
    <w:rsid w:val="29347D47"/>
    <w:rsid w:val="29FD04D3"/>
    <w:rsid w:val="2BFF7BC6"/>
    <w:rsid w:val="2C6A2652"/>
    <w:rsid w:val="2C8A61B5"/>
    <w:rsid w:val="2D2E01CF"/>
    <w:rsid w:val="2DF04E50"/>
    <w:rsid w:val="2E9545B0"/>
    <w:rsid w:val="2F040D46"/>
    <w:rsid w:val="2FAE5751"/>
    <w:rsid w:val="2FB1A395"/>
    <w:rsid w:val="2FD9A7D8"/>
    <w:rsid w:val="319F7F4E"/>
    <w:rsid w:val="321B2544"/>
    <w:rsid w:val="32D60378"/>
    <w:rsid w:val="3304709D"/>
    <w:rsid w:val="34281836"/>
    <w:rsid w:val="349D6851"/>
    <w:rsid w:val="34EF118A"/>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6F07FE"/>
    <w:rsid w:val="44E268DA"/>
    <w:rsid w:val="453F7E5B"/>
    <w:rsid w:val="486A6C7A"/>
    <w:rsid w:val="49176D9B"/>
    <w:rsid w:val="4A627F82"/>
    <w:rsid w:val="4B0E749A"/>
    <w:rsid w:val="4B4F25DA"/>
    <w:rsid w:val="4BDA0CFB"/>
    <w:rsid w:val="4BE068DB"/>
    <w:rsid w:val="4D3C0CCC"/>
    <w:rsid w:val="4D577224"/>
    <w:rsid w:val="4DBF1CEB"/>
    <w:rsid w:val="4E314F2D"/>
    <w:rsid w:val="4EAB630A"/>
    <w:rsid w:val="4ECE2238"/>
    <w:rsid w:val="4F833267"/>
    <w:rsid w:val="4FE9BD67"/>
    <w:rsid w:val="4FFB052F"/>
    <w:rsid w:val="53083A92"/>
    <w:rsid w:val="537E6D0A"/>
    <w:rsid w:val="53AF27A2"/>
    <w:rsid w:val="53BB4A3D"/>
    <w:rsid w:val="53F74C96"/>
    <w:rsid w:val="56E47B74"/>
    <w:rsid w:val="57BD3DD4"/>
    <w:rsid w:val="59DB1995"/>
    <w:rsid w:val="5AF92295"/>
    <w:rsid w:val="5BDD79E6"/>
    <w:rsid w:val="5BF561CA"/>
    <w:rsid w:val="5BFF5DFC"/>
    <w:rsid w:val="5CD71FC4"/>
    <w:rsid w:val="5CDD04E9"/>
    <w:rsid w:val="5D1F11B5"/>
    <w:rsid w:val="5DAE1B18"/>
    <w:rsid w:val="5DE7D9E5"/>
    <w:rsid w:val="5E3873B6"/>
    <w:rsid w:val="5ECEC941"/>
    <w:rsid w:val="5F493CB7"/>
    <w:rsid w:val="5FBF9FF3"/>
    <w:rsid w:val="5FCD4E2C"/>
    <w:rsid w:val="5FD15F49"/>
    <w:rsid w:val="5FEF394A"/>
    <w:rsid w:val="5FF67715"/>
    <w:rsid w:val="62BF3928"/>
    <w:rsid w:val="647F5392"/>
    <w:rsid w:val="664B1D71"/>
    <w:rsid w:val="664D59C9"/>
    <w:rsid w:val="67AA3209"/>
    <w:rsid w:val="681C4F0D"/>
    <w:rsid w:val="68856F0C"/>
    <w:rsid w:val="69046D0F"/>
    <w:rsid w:val="698D0931"/>
    <w:rsid w:val="6A993CED"/>
    <w:rsid w:val="6B053271"/>
    <w:rsid w:val="6BCE6674"/>
    <w:rsid w:val="6C4A05C8"/>
    <w:rsid w:val="6C5F3CBB"/>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B33416"/>
    <w:rsid w:val="77DC22F5"/>
    <w:rsid w:val="78CD346B"/>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2F07B5"/>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customXml" Target="../customXml/item1.xml"/><Relationship Id="rId40" Type="http://schemas.openxmlformats.org/officeDocument/2006/relationships/image" Target="media/image33.jpeg"/><Relationship Id="rId4" Type="http://schemas.openxmlformats.org/officeDocument/2006/relationships/footer" Target="footer1.xml"/><Relationship Id="rId39" Type="http://schemas.openxmlformats.org/officeDocument/2006/relationships/image" Target="media/image32.jpeg"/><Relationship Id="rId38" Type="http://schemas.openxmlformats.org/officeDocument/2006/relationships/image" Target="media/image31.jpeg"/><Relationship Id="rId37" Type="http://schemas.openxmlformats.org/officeDocument/2006/relationships/image" Target="media/image30.png"/><Relationship Id="rId36" Type="http://schemas.openxmlformats.org/officeDocument/2006/relationships/image" Target="media/image29.jpe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header" Target="header1.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7bc8f9b9-5249-4da1-8054-ef99c4ab61a0</errorID>
      <errorWord>公益性一类事业单位</errorWord>
      <group>L1_Political</group>
      <groupName>政治性问题</groupName>
      <ability>L2_Unpolitical</ability>
      <abilityName>政治敏感错误</abilityName>
      <candidateList>
        <item>公益一类事业单位</item>
      </candidateList>
      <explain/>
      <paraID>716CEB84</paraID>
      <start>19</start>
      <end>28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20ed94-71a3-4fbc-aae6-16e9a017d645}">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44</Pages>
  <Words>20</Words>
  <Characters>23</Characters>
  <Lines>61</Lines>
  <Paragraphs>17</Paragraphs>
  <TotalTime>1</TotalTime>
  <ScaleCrop>false</ScaleCrop>
  <LinksUpToDate>false</LinksUpToDate>
  <CharactersWithSpaces>23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sunshine</cp:lastModifiedBy>
  <cp:lastPrinted>2026-08-03T09:27:00Z</cp:lastPrinted>
  <dcterms:modified xsi:type="dcterms:W3CDTF">2026-09-16T02:01:47Z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AEA99B029DF14E60BA9B13955B354728_13</vt:lpwstr>
  </property>
  <property fmtid="{D5CDD505-2E9C-101B-9397-08002B2CF9AE}" pid="4" name="KSOTemplateDocerSaveRecord">
    <vt:lpwstr>eyJoZGlkIjoiMjgxZWQ0MTZmNDY0NzE0NThjMzI1YjE3NjYxYmY4ZmIiLCJ1c2VySWQiOiIyNDg0ODg3NDMifQ==</vt:lpwstr>
  </property>
</Properties>
</file>