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8"/>
        <w:rPr>
          <w:rFonts w:ascii="Times New Roman" w:eastAsia="方正小标宋简体" w:cs="Times New Roman" w:hAnsi="Times New Roman" w:hint="eastAsia"/>
          <w:color w:val="auto"/>
          <w:kern w:val="2"/>
          <w:sz w:val="72"/>
          <w:szCs w:val="72"/>
          <w:lang w:val="en-US" w:eastAsia="zh-CN" w:bidi="ar-SA"/>
          <w:highlight w:val="auto"/>
        </w:rPr>
      </w:pPr>
      <w:bookmarkStart w:id="0" w:name="_Toc15377425"/>
      <w:bookmarkStart w:id="1" w:name="_Toc15306267"/>
      <w:bookmarkStart w:id="2" w:name="_Toc15396475"/>
      <w:bookmarkStart w:id="3" w:name="_Toc15377193"/>
      <w:bookmarkStart w:id="4" w:name="_Toc15378441"/>
      <w:bookmarkStart w:id="5" w:name="_Toc15396597"/>
    </w:p>
    <w:p>
      <w:pPr>
        <w:pStyle w:val="18"/>
        <w:rPr>
          <w:rFonts w:ascii="Times New Roman" w:eastAsia="方正小标宋简体" w:cs="Times New Roman" w:hAnsi="Times New Roman" w:hint="eastAsia"/>
          <w:color w:val="auto"/>
          <w:kern w:val="2"/>
          <w:sz w:val="72"/>
          <w:szCs w:val="72"/>
          <w:lang w:val="en-US" w:eastAsia="zh-CN" w:bidi="ar-SA"/>
          <w:highlight w:val="auto"/>
        </w:rPr>
      </w:pPr>
    </w:p>
    <w:p>
      <w:pPr>
        <w:pStyle w:val="18"/>
        <w:rPr>
          <w:rFonts w:ascii="Times New Roman" w:eastAsia="方正小标宋简体" w:cs="Times New Roman" w:hAnsi="Times New Roman" w:hint="eastAsia"/>
          <w:color w:val="auto"/>
          <w:kern w:val="2"/>
          <w:sz w:val="72"/>
          <w:szCs w:val="72"/>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2025年度中共四川省阿坝州委统战部</w:t>
      </w:r>
    </w:p>
    <w:p>
      <w:pPr>
        <w:pStyle w:val="18"/>
        <w:jc w:val="center"/>
        <w:rPr>
          <w:rFonts w:ascii="Times New Roman" w:eastAsia="方正小标宋简体" w:cs="Times New Roman" w:hAnsi="Times New Roman"/>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部门决算公开</w:t>
      </w:r>
    </w:p>
    <w:p>
      <w:pPr>
        <w:spacing w:line="600" w:lineRule="exact"/>
        <w:jc w:val="center"/>
        <w:outlineLvl w:val="0"/>
        <w:rPr>
          <w:rFonts w:ascii="Times New Roman" w:eastAsia="方正小标宋简体" w:hAnsi="Times New Roman"/>
          <w:color w:val="auto"/>
          <w:sz w:val="72"/>
          <w:szCs w:val="72"/>
          <w:highlight w:val="auto"/>
        </w:rPr>
      </w:pPr>
    </w:p>
    <w:p>
      <w:pPr>
        <w:pStyle w:val="29"/>
        <w:rPr>
          <w:rFonts w:ascii="Times New Roman" w:hAnsi="Times New Roman"/>
          <w:highlight w:val="auto"/>
        </w:rPr>
        <w:sectPr>
          <w:headerReference w:type="default" r:id="rId2"/>
          <w:footerReference w:type="default" r:id="rId3"/>
          <w:pgSz w:w="11906" w:h="16838"/>
          <w:pgMar w:top="1440" w:right="1800" w:bottom="1440" w:left="1800" w:header="851" w:footer="992" w:gutter="0"/>
          <w:pgNumType w:start="1"/>
          <w:titlePg/>
          <w:docGrid w:type="lines" w:linePitch="312" w:charSpace="0"/>
        </w:sectPr>
      </w:pPr>
    </w:p>
    <w:p>
      <w:pPr>
        <w:widowControl/>
        <w:jc w:val="center"/>
        <w:rPr>
          <w:rFonts w:ascii="Times New Roman" w:eastAsia="黑体" w:cs="Arial" w:hAnsi="Times New Roman"/>
          <w:color w:val="auto"/>
          <w:sz w:val="28"/>
          <w:szCs w:val="28"/>
          <w:highlight w:val="auto"/>
        </w:rPr>
      </w:pPr>
      <w:bookmarkEnd w:id="0"/>
      <w:bookmarkEnd w:id="1"/>
      <w:bookmarkEnd w:id="2"/>
      <w:bookmarkEnd w:id="3"/>
      <w:bookmarkEnd w:id="4"/>
      <w:bookmarkEnd w:id="5"/>
      <w:r>
        <w:rPr>
          <w:rFonts w:ascii="Times New Roman" w:eastAsia="黑体" w:hAnsi="Times New Roman" w:hint="eastAsia"/>
          <w:color w:val="auto"/>
          <w:sz w:val="48"/>
          <w:szCs w:val="48"/>
          <w:highlight w:val="auto"/>
        </w:rPr>
        <w:t>目录</w:t>
      </w:r>
    </w:p>
    <w:p>
      <w:pPr>
        <w:pStyle w:val="25"/>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 xml:space="preserve"> 8 </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 xml:space="preserve"> 26 </w:t>
      </w:r>
      <w:r>
        <w:rPr>
          <w:rFonts w:ascii="Times New Roman" w:eastAsia="仿宋_GB2312" w:cs="仿宋_GB2312" w:hAnsi="Times New Roman" w:hint="eastAsia"/>
          <w:color w:val="auto"/>
          <w:sz w:val="32"/>
          <w:szCs w:val="32"/>
          <w:highlight w:val="auto"/>
        </w:rPr>
        <w:t>日</w:t>
      </w:r>
    </w:p>
    <w:sdt>
      <w:sdtPr>
        <w:rPr>
          <w:rFonts w:ascii="宋体" w:eastAsia="宋体" w:cs="Times New Roman"/>
          <w:kern w:val="2"/>
          <w:sz w:val="21"/>
          <w:szCs w:val="24"/>
          <w:lang w:val="en-US" w:eastAsia="zh-CN" w:bidi="ar-SA"/>
          <w:highlight w:val="auto"/>
        </w:rPr>
        <w:id w:val="751325319"/>
        <w15:color w:val="DBDBDB"/>
        <w:docPartObj>
          <w:docPartGallery w:val="Table of Contents"/>
          <w:docPartUnique/>
        </w:docPartObj>
      </w:sdtPr>
      <w:sdtEndPr>
        <w:rPr>
          <w:rFonts w:ascii="Times New Roman" w:hAnsi="Times New Roman"/>
          <w:color w:val="auto"/>
        </w:rPr>
      </w:sdtEndPr>
      <w:sdtContent>
        <w:p>
          <w:pPr>
            <w:spacing w:before="0" w:after="0" w:line="240" w:lineRule="auto"/>
            <w:ind w:left="0" w:right="0" w:firstLine="0"/>
            <w:jc w:val="both"/>
            <w:rPr>
              <w:highlight w:val="auto"/>
            </w:rPr>
          </w:pPr>
        </w:p>
        <w:p>
          <w:pPr>
            <w:pStyle w:val="25"/>
            <w:tabs>
              <w:tab w:val="clear" w:pos="8296"/>
              <w:tab w:val="right" w:leader="dot" w:pos="8306"/>
            </w:tabs>
            <w:jc w:val="both"/>
            <w:rPr>
              <w:highlight w:val="auto"/>
            </w:rPr>
          </w:pPr>
          <w:r>
            <w:rPr>
              <w:rFonts w:ascii="Times New Roman" w:hAnsi="Times New Roman"/>
              <w:color w:val="auto"/>
              <w:highlight w:val="auto"/>
            </w:rPr>
            <w:fldChar w:fldCharType="begin"/>
          </w:r>
          <w:r>
            <w:rPr>
              <w:rFonts w:ascii="Times New Roman" w:hAnsi="Times New Roman"/>
              <w:color w:val="auto"/>
              <w:highlight w:val="auto"/>
            </w:rPr>
            <w:instrText xml:space="preserve">TOC \o "1-2" \h \u </w:instrText>
          </w:r>
          <w:r>
            <w:rPr>
              <w:rFonts w:ascii="Times New Roman" w:hAnsi="Times New Roman"/>
              <w:color w:val="auto"/>
              <w:highlight w:val="auto"/>
            </w:rPr>
            <w:fldChar w:fldCharType="separate"/>
          </w:r>
          <w:r>
            <w:rPr>
              <w:rFonts w:ascii="Times New Roman" w:eastAsia="黑体" w:cs="黑体" w:hAnsi="Times New Roman" w:hint="eastAsia"/>
              <w:color w:val="auto"/>
              <w:sz w:val="32"/>
              <w:szCs w:val="32"/>
              <w:highlight w:val="auto"/>
            </w:rPr>
            <w:fldChar w:fldCharType="begin"/>
          </w:r>
          <w:r>
            <w:rPr>
              <w:rFonts w:ascii="Times New Roman" w:eastAsia="黑体" w:cs="黑体" w:hAnsi="Times New Roman" w:hint="eastAsia"/>
              <w:color w:val="auto"/>
              <w:sz w:val="32"/>
              <w:szCs w:val="32"/>
              <w:highlight w:val="auto"/>
            </w:rPr>
            <w:instrText xml:space="preserve"> HYPERLINK \l _Toc1108 </w:instrText>
          </w:r>
          <w:r>
            <w:rPr>
              <w:rFonts w:ascii="Times New Roman" w:eastAsia="黑体" w:cs="黑体" w:hAnsi="Times New Roman" w:hint="eastAsia"/>
              <w:color w:val="auto"/>
              <w:sz w:val="32"/>
              <w:szCs w:val="32"/>
              <w:highlight w:val="auto"/>
            </w:rPr>
            <w:fldChar w:fldCharType="separate"/>
          </w:r>
          <w:r>
            <w:rPr>
              <w:rFonts w:ascii="Times New Roman" w:eastAsia="黑体" w:cs="黑体" w:hAnsi="Times New Roman" w:hint="eastAsia"/>
              <w:color w:val="auto"/>
              <w:sz w:val="32"/>
              <w:szCs w:val="32"/>
              <w:highlight w:val="auto"/>
            </w:rPr>
            <w:t>第一部分</w:t>
          </w:r>
          <w:r>
            <w:rPr>
              <w:rFonts w:ascii="Times New Roman" w:eastAsia="黑体" w:cs="黑体" w:hAnsi="Times New Roman" w:hint="eastAsia"/>
              <w:color w:val="auto"/>
              <w:sz w:val="32"/>
              <w:szCs w:val="32"/>
              <w:lang w:val="en-US" w:eastAsia="zh-CN"/>
              <w:highlight w:val="auto"/>
            </w:rPr>
            <w:t xml:space="preserve"> </w:t>
          </w:r>
          <w:r>
            <w:rPr>
              <w:rFonts w:ascii="Times New Roman" w:eastAsia="黑体" w:cs="黑体" w:hAnsi="Times New Roman" w:hint="eastAsia"/>
              <w:color w:val="auto"/>
              <w:sz w:val="32"/>
              <w:szCs w:val="32"/>
              <w:highlight w:val="auto"/>
            </w:rPr>
            <w:t xml:space="preserve"> 部门概况</w:t>
            <w:tab/>
          </w:r>
          <w:r>
            <w:rPr>
              <w:rFonts w:ascii="Times New Roman" w:eastAsia="黑体" w:cs="黑体" w:hAnsi="Times New Roman" w:hint="eastAsia"/>
              <w:color w:val="auto"/>
              <w:sz w:val="32"/>
              <w:szCs w:val="32"/>
              <w:highlight w:val="auto"/>
            </w:rPr>
            <w:fldChar w:fldCharType="begin"/>
          </w:r>
          <w:r>
            <w:rPr>
              <w:rFonts w:ascii="Times New Roman" w:eastAsia="黑体" w:cs="黑体" w:hAnsi="Times New Roman" w:hint="eastAsia"/>
              <w:color w:val="auto"/>
              <w:sz w:val="32"/>
              <w:szCs w:val="32"/>
              <w:highlight w:val="auto"/>
            </w:rPr>
            <w:instrText xml:space="preserve"> PAGEREF _Toc1108 \h </w:instrText>
          </w:r>
          <w:r>
            <w:rPr>
              <w:rFonts w:ascii="Times New Roman" w:eastAsia="黑体" w:cs="黑体" w:hAnsi="Times New Roman" w:hint="eastAsia"/>
              <w:color w:val="auto"/>
              <w:sz w:val="32"/>
              <w:szCs w:val="32"/>
              <w:highlight w:val="auto"/>
            </w:rPr>
            <w:fldChar w:fldCharType="separate"/>
          </w:r>
          <w:r>
            <w:rPr>
              <w:rFonts w:ascii="Times New Roman" w:eastAsia="黑体" w:cs="黑体" w:hAnsi="Times New Roman" w:hint="eastAsia"/>
              <w:color w:val="auto"/>
              <w:sz w:val="32"/>
              <w:szCs w:val="32"/>
              <w:highlight w:val="auto"/>
            </w:rPr>
            <w:t>3</w:t>
          </w:r>
          <w:r>
            <w:rPr>
              <w:rFonts w:ascii="Times New Roman" w:eastAsia="黑体" w:cs="黑体" w:hAnsi="Times New Roman" w:hint="eastAsia"/>
              <w:color w:val="auto"/>
              <w:sz w:val="32"/>
              <w:szCs w:val="32"/>
              <w:highlight w:val="auto"/>
            </w:rPr>
            <w:fldChar w:fldCharType="end"/>
          </w:r>
          <w:r>
            <w:rPr>
              <w:rFonts w:ascii="Times New Roman" w:eastAsia="黑体" w:cs="黑体"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_Toc13880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一、</w:t>
          </w:r>
          <w:r>
            <w:rPr>
              <w:rFonts w:ascii="Times New Roman" w:eastAsia="仿宋_GB2312" w:cs="仿宋_GB2312" w:hAnsi="Times New Roman" w:hint="eastAsia"/>
              <w:color w:val="auto"/>
              <w:sz w:val="32"/>
              <w:szCs w:val="32"/>
              <w:lang w:eastAsia="zh-CN"/>
              <w:highlight w:val="auto"/>
            </w:rPr>
            <w:t>部门职责</w:t>
          </w:r>
          <w:r>
            <w:rPr>
              <w:rFonts w:ascii="Times New Roman" w:eastAsia="仿宋_GB2312" w:cs="仿宋_GB2312" w:hAnsi="Times New Roman" w:hint="eastAsia"/>
              <w:color w:val="auto"/>
              <w:sz w:val="32"/>
              <w:szCs w:val="32"/>
              <w:highlight w:val="auto"/>
            </w:rPr>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_Toc13880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_Toc1296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二、机构设置</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_Toc1296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4</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fldChar w:fldCharType="begin"/>
          </w:r>
          <w:r>
            <w:rPr>
              <w:rFonts w:ascii="Times New Roman" w:eastAsia="黑体" w:cs="黑体" w:hAnsi="Times New Roman" w:hint="eastAsia"/>
              <w:color w:val="auto"/>
              <w:sz w:val="32"/>
              <w:szCs w:val="32"/>
              <w:highlight w:val="auto"/>
            </w:rPr>
            <w:instrText xml:space="preserve"> HYPERLINK \l _Toc19438 </w:instrText>
          </w:r>
          <w:r>
            <w:rPr>
              <w:rFonts w:ascii="Times New Roman" w:eastAsia="黑体" w:cs="黑体" w:hAnsi="Times New Roman" w:hint="eastAsia"/>
              <w:color w:val="auto"/>
              <w:sz w:val="32"/>
              <w:szCs w:val="32"/>
              <w:highlight w:val="auto"/>
            </w:rPr>
            <w:fldChar w:fldCharType="separate"/>
          </w:r>
          <w:r>
            <w:rPr>
              <w:rFonts w:ascii="Times New Roman" w:eastAsia="黑体" w:cs="黑体" w:hAnsi="Times New Roman" w:hint="eastAsia"/>
              <w:color w:val="auto"/>
              <w:sz w:val="32"/>
              <w:szCs w:val="32"/>
              <w:highlight w:val="auto"/>
            </w:rPr>
            <w:t>第二部分</w:t>
          </w:r>
          <w:r>
            <w:rPr>
              <w:rFonts w:ascii="Times New Roman" w:eastAsia="黑体" w:cs="黑体" w:hAnsi="Times New Roman" w:hint="eastAsia"/>
              <w:color w:val="auto"/>
              <w:sz w:val="32"/>
              <w:szCs w:val="32"/>
              <w:lang w:val="en-US" w:eastAsia="zh-CN"/>
              <w:highlight w:val="auto"/>
            </w:rPr>
            <w:t xml:space="preserve"> </w:t>
          </w:r>
          <w:r>
            <w:rPr>
              <w:rFonts w:ascii="Times New Roman" w:eastAsia="黑体" w:cs="黑体" w:hAnsi="Times New Roman" w:hint="eastAsia"/>
              <w:color w:val="auto"/>
              <w:sz w:val="32"/>
              <w:szCs w:val="32"/>
              <w:highlight w:val="auto"/>
            </w:rPr>
            <w:t xml:space="preserve"> </w:t>
          </w:r>
          <w:r>
            <w:rPr>
              <w:rFonts w:ascii="Times New Roman" w:eastAsia="黑体" w:cs="黑体" w:hAnsi="Times New Roman" w:hint="eastAsia"/>
              <w:color w:val="auto"/>
              <w:sz w:val="32"/>
              <w:szCs w:val="32"/>
              <w:lang w:val="en-US" w:eastAsia="zh-CN"/>
              <w:highlight w:val="auto"/>
            </w:rPr>
            <w:t>2025年度</w:t>
          </w:r>
          <w:r>
            <w:rPr>
              <w:rFonts w:ascii="Times New Roman" w:eastAsia="黑体" w:cs="黑体" w:hAnsi="Times New Roman" w:hint="eastAsia"/>
              <w:color w:val="auto"/>
              <w:sz w:val="32"/>
              <w:szCs w:val="32"/>
              <w:highlight w:val="auto"/>
            </w:rPr>
            <w:t>部门决算情况说明</w:t>
            <w:tab/>
          </w:r>
          <w:r>
            <w:rPr>
              <w:rFonts w:ascii="Times New Roman" w:eastAsia="黑体" w:cs="黑体" w:hAnsi="Times New Roman" w:hint="eastAsia"/>
              <w:color w:val="auto"/>
              <w:sz w:val="32"/>
              <w:szCs w:val="32"/>
              <w:highlight w:val="auto"/>
            </w:rPr>
            <w:fldChar w:fldCharType="begin"/>
          </w:r>
          <w:r>
            <w:rPr>
              <w:rFonts w:ascii="Times New Roman" w:eastAsia="黑体" w:cs="黑体" w:hAnsi="Times New Roman" w:hint="eastAsia"/>
              <w:color w:val="auto"/>
              <w:sz w:val="32"/>
              <w:szCs w:val="32"/>
              <w:highlight w:val="auto"/>
            </w:rPr>
            <w:instrText xml:space="preserve"> PAGEREF _Toc19438 \h </w:instrText>
          </w:r>
          <w:r>
            <w:rPr>
              <w:rFonts w:ascii="Times New Roman" w:eastAsia="黑体" w:cs="黑体" w:hAnsi="Times New Roman" w:hint="eastAsia"/>
              <w:color w:val="auto"/>
              <w:sz w:val="32"/>
              <w:szCs w:val="32"/>
              <w:highlight w:val="auto"/>
            </w:rPr>
            <w:fldChar w:fldCharType="separate"/>
          </w:r>
          <w:r>
            <w:rPr>
              <w:rFonts w:ascii="Times New Roman" w:eastAsia="黑体" w:cs="黑体" w:hAnsi="Times New Roman" w:hint="eastAsia"/>
              <w:color w:val="auto"/>
              <w:sz w:val="32"/>
              <w:szCs w:val="32"/>
              <w:highlight w:val="auto"/>
            </w:rPr>
            <w:t>5</w:t>
          </w:r>
          <w:r>
            <w:rPr>
              <w:rFonts w:ascii="Times New Roman" w:eastAsia="黑体" w:cs="黑体" w:hAnsi="Times New Roman" w:hint="eastAsia"/>
              <w:color w:val="auto"/>
              <w:sz w:val="32"/>
              <w:szCs w:val="32"/>
              <w:highlight w:val="auto"/>
            </w:rPr>
            <w:fldChar w:fldCharType="end"/>
          </w:r>
          <w:r>
            <w:rPr>
              <w:rFonts w:ascii="Times New Roman" w:eastAsia="黑体" w:cs="黑体"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_Toc31314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lang w:eastAsia="zh-CN"/>
              <w:highlight w:val="auto"/>
            </w:rPr>
            <w:t>一、</w:t>
          </w:r>
          <w:r>
            <w:rPr>
              <w:rFonts w:ascii="Times New Roman" w:eastAsia="仿宋_GB2312" w:cs="仿宋_GB2312" w:hAnsi="Times New Roman" w:hint="eastAsia"/>
              <w:color w:val="auto"/>
              <w:sz w:val="32"/>
              <w:szCs w:val="32"/>
              <w:highlight w:val="auto"/>
            </w:rPr>
            <w:t>收入支出决算总体情况说明</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_Toc31314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5</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_Toc20121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lang w:eastAsia="zh-CN"/>
              <w:highlight w:val="auto"/>
            </w:rPr>
            <w:t>二、收入决算情况说明</w:t>
          </w:r>
          <w:r>
            <w:rPr>
              <w:rFonts w:ascii="Times New Roman" w:eastAsia="仿宋_GB2312" w:cs="仿宋_GB2312" w:hAnsi="Times New Roman" w:hint="eastAsia"/>
              <w:color w:val="auto"/>
              <w:sz w:val="32"/>
              <w:szCs w:val="32"/>
              <w:highlight w:val="auto"/>
            </w:rPr>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_Toc20121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5</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_Toc14877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lang w:eastAsia="zh-CN"/>
              <w:highlight w:val="auto"/>
            </w:rPr>
            <w:t>三、</w:t>
          </w:r>
          <w:r>
            <w:rPr>
              <w:rFonts w:ascii="Times New Roman" w:eastAsia="仿宋_GB2312" w:cs="仿宋_GB2312" w:hAnsi="Times New Roman" w:hint="eastAsia"/>
              <w:color w:val="auto"/>
              <w:sz w:val="32"/>
              <w:szCs w:val="32"/>
              <w:highlight w:val="auto"/>
            </w:rPr>
            <w:t>支出决算情况说明</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_Toc14877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6</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_Toc27251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四、财政拨款收入支出决算总体情况说明</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_Toc27251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6</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_Toc15614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五、一般公共预算财政拨款支出决算情况说明</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_Toc15614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7</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_Toc9770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六、一般公共预算财政拨款基本支出决算情况说明</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_Toc9770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11</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_Toc26098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七、财政拨款“三公”经费支出决算情况说明</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_Toc26098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12</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_Toc7073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八、政府性基金预算支出决算情况说明</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_Toc7073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13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_Toc9897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lang w:eastAsia="zh-CN"/>
              <w:highlight w:val="auto"/>
            </w:rPr>
            <w:t>九、</w:t>
          </w:r>
          <w:r>
            <w:rPr>
              <w:rFonts w:ascii="Times New Roman" w:eastAsia="仿宋_GB2312" w:cs="仿宋_GB2312" w:hAnsi="Times New Roman" w:hint="eastAsia"/>
              <w:color w:val="auto"/>
              <w:sz w:val="32"/>
              <w:szCs w:val="32"/>
              <w:highlight w:val="auto"/>
            </w:rPr>
            <w:t>国有资本经营预算支出决算情况说明</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_Toc9897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14</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_Toc8130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lang w:eastAsia="zh-CN"/>
              <w:highlight w:val="auto"/>
            </w:rPr>
            <w:t>十、</w:t>
          </w:r>
          <w:r>
            <w:rPr>
              <w:rFonts w:ascii="Times New Roman" w:eastAsia="仿宋_GB2312" w:cs="仿宋_GB2312" w:hAnsi="Times New Roman" w:hint="eastAsia"/>
              <w:color w:val="auto"/>
              <w:sz w:val="32"/>
              <w:szCs w:val="32"/>
              <w:highlight w:val="auto"/>
            </w:rPr>
            <w:t>其他重要事项的情况说明</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_Toc8130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14</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fldChar w:fldCharType="begin"/>
          </w:r>
          <w:r>
            <w:rPr>
              <w:rFonts w:ascii="Times New Roman" w:eastAsia="黑体" w:cs="黑体" w:hAnsi="Times New Roman" w:hint="eastAsia"/>
              <w:color w:val="auto"/>
              <w:sz w:val="32"/>
              <w:szCs w:val="32"/>
              <w:highlight w:val="auto"/>
            </w:rPr>
            <w:instrText xml:space="preserve"> HYPERLINK \l _Toc19091 </w:instrText>
          </w:r>
          <w:r>
            <w:rPr>
              <w:rFonts w:ascii="Times New Roman" w:eastAsia="黑体" w:cs="黑体" w:hAnsi="Times New Roman" w:hint="eastAsia"/>
              <w:color w:val="auto"/>
              <w:sz w:val="32"/>
              <w:szCs w:val="32"/>
              <w:highlight w:val="auto"/>
            </w:rPr>
            <w:fldChar w:fldCharType="separate"/>
          </w:r>
          <w:r>
            <w:rPr>
              <w:rFonts w:ascii="Times New Roman" w:eastAsia="黑体" w:cs="黑体" w:hAnsi="Times New Roman" w:hint="eastAsia"/>
              <w:color w:val="auto"/>
              <w:sz w:val="32"/>
              <w:szCs w:val="32"/>
              <w:highlight w:val="auto"/>
            </w:rPr>
            <w:t>第</w:t>
          </w:r>
          <w:r>
            <w:rPr>
              <w:rFonts w:ascii="Times New Roman" w:eastAsia="黑体" w:cs="黑体" w:hAnsi="Times New Roman" w:hint="eastAsia"/>
              <w:color w:val="auto"/>
              <w:sz w:val="32"/>
              <w:szCs w:val="32"/>
              <w:lang w:eastAsia="zh-CN"/>
              <w:highlight w:val="auto"/>
            </w:rPr>
            <w:t>三</w:t>
          </w:r>
          <w:r>
            <w:rPr>
              <w:rFonts w:ascii="Times New Roman" w:eastAsia="黑体" w:cs="黑体" w:hAnsi="Times New Roman" w:hint="eastAsia"/>
              <w:color w:val="auto"/>
              <w:sz w:val="32"/>
              <w:szCs w:val="32"/>
              <w:highlight w:val="auto"/>
            </w:rPr>
            <w:t>部分</w:t>
          </w:r>
          <w:r>
            <w:rPr>
              <w:rFonts w:ascii="Times New Roman" w:eastAsia="黑体" w:cs="黑体" w:hAnsi="Times New Roman" w:hint="eastAsia"/>
              <w:color w:val="auto"/>
              <w:sz w:val="32"/>
              <w:szCs w:val="32"/>
              <w:lang w:val="en-US" w:eastAsia="zh-CN"/>
              <w:highlight w:val="auto"/>
            </w:rPr>
            <w:t xml:space="preserve">  </w:t>
          </w:r>
          <w:r>
            <w:rPr>
              <w:rFonts w:ascii="Times New Roman" w:eastAsia="黑体" w:cs="黑体" w:hAnsi="Times New Roman" w:hint="eastAsia"/>
              <w:color w:val="auto"/>
              <w:sz w:val="32"/>
              <w:szCs w:val="32"/>
              <w:highlight w:val="auto"/>
            </w:rPr>
            <w:t>名词解释</w:t>
            <w:tab/>
          </w:r>
          <w:r>
            <w:rPr>
              <w:rFonts w:ascii="Times New Roman" w:eastAsia="黑体" w:cs="黑体" w:hAnsi="Times New Roman" w:hint="eastAsia"/>
              <w:color w:val="auto"/>
              <w:sz w:val="32"/>
              <w:szCs w:val="32"/>
              <w:highlight w:val="auto"/>
            </w:rPr>
            <w:fldChar w:fldCharType="begin"/>
          </w:r>
          <w:r>
            <w:rPr>
              <w:rFonts w:ascii="Times New Roman" w:eastAsia="黑体" w:cs="黑体" w:hAnsi="Times New Roman" w:hint="eastAsia"/>
              <w:color w:val="auto"/>
              <w:sz w:val="32"/>
              <w:szCs w:val="32"/>
              <w:highlight w:val="auto"/>
            </w:rPr>
            <w:instrText xml:space="preserve"> PAGEREF _Toc19091 \h </w:instrText>
          </w:r>
          <w:r>
            <w:rPr>
              <w:rFonts w:ascii="Times New Roman" w:eastAsia="黑体" w:cs="黑体" w:hAnsi="Times New Roman" w:hint="eastAsia"/>
              <w:color w:val="auto"/>
              <w:sz w:val="32"/>
              <w:szCs w:val="32"/>
              <w:highlight w:val="auto"/>
            </w:rPr>
            <w:fldChar w:fldCharType="separate"/>
          </w:r>
          <w:r>
            <w:rPr>
              <w:rFonts w:ascii="Times New Roman" w:eastAsia="黑体" w:cs="黑体" w:hAnsi="Times New Roman" w:hint="eastAsia"/>
              <w:color w:val="auto"/>
              <w:sz w:val="32"/>
              <w:szCs w:val="32"/>
              <w:highlight w:val="auto"/>
            </w:rPr>
            <w:t>16</w:t>
          </w:r>
          <w:r>
            <w:rPr>
              <w:rFonts w:ascii="Times New Roman" w:eastAsia="黑体" w:cs="黑体" w:hAnsi="Times New Roman" w:hint="eastAsia"/>
              <w:color w:val="auto"/>
              <w:sz w:val="32"/>
              <w:szCs w:val="32"/>
              <w:highlight w:val="auto"/>
            </w:rPr>
            <w:fldChar w:fldCharType="end"/>
          </w:r>
          <w:r>
            <w:rPr>
              <w:rFonts w:ascii="Times New Roman" w:eastAsia="黑体" w:cs="黑体" w:hAnsi="Times New Roman" w:hint="eastAsia"/>
              <w:color w:val="auto"/>
              <w:sz w:val="32"/>
              <w:szCs w:val="32"/>
              <w:highlight w:val="auto"/>
            </w:rPr>
            <w:fldChar w:fldCharType="end"/>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fldChar w:fldCharType="begin"/>
          </w:r>
          <w:r>
            <w:rPr>
              <w:rFonts w:ascii="Times New Roman" w:eastAsia="黑体" w:cs="黑体" w:hAnsi="Times New Roman" w:hint="eastAsia"/>
              <w:color w:val="auto"/>
              <w:sz w:val="32"/>
              <w:szCs w:val="32"/>
              <w:highlight w:val="auto"/>
            </w:rPr>
            <w:instrText xml:space="preserve"> HYPERLINK \l _Toc6590 </w:instrText>
          </w:r>
          <w:r>
            <w:rPr>
              <w:rFonts w:ascii="Times New Roman" w:eastAsia="黑体" w:cs="黑体" w:hAnsi="Times New Roman" w:hint="eastAsia"/>
              <w:color w:val="auto"/>
              <w:sz w:val="32"/>
              <w:szCs w:val="32"/>
              <w:highlight w:val="auto"/>
            </w:rPr>
            <w:fldChar w:fldCharType="separate"/>
          </w:r>
          <w:r>
            <w:rPr>
              <w:rFonts w:ascii="Times New Roman" w:eastAsia="黑体" w:cs="黑体" w:hAnsi="Times New Roman" w:hint="eastAsia"/>
              <w:color w:val="auto"/>
              <w:sz w:val="32"/>
              <w:szCs w:val="32"/>
              <w:highlight w:val="auto"/>
            </w:rPr>
            <w:t>第四部分</w:t>
          </w:r>
          <w:r>
            <w:rPr>
              <w:rFonts w:ascii="Times New Roman" w:eastAsia="黑体" w:cs="黑体" w:hAnsi="Times New Roman" w:hint="eastAsia"/>
              <w:color w:val="auto"/>
              <w:sz w:val="32"/>
              <w:szCs w:val="32"/>
              <w:lang w:val="en-US" w:eastAsia="zh-CN"/>
              <w:highlight w:val="auto"/>
            </w:rPr>
            <w:t xml:space="preserve"> </w:t>
          </w:r>
          <w:r>
            <w:rPr>
              <w:rFonts w:ascii="Times New Roman" w:eastAsia="黑体" w:cs="黑体" w:hAnsi="Times New Roman" w:hint="eastAsia"/>
              <w:color w:val="auto"/>
              <w:sz w:val="32"/>
              <w:szCs w:val="32"/>
              <w:highlight w:val="auto"/>
            </w:rPr>
            <w:t xml:space="preserve"> 附件</w:t>
            <w:tab/>
          </w:r>
          <w:r>
            <w:rPr>
              <w:rFonts w:ascii="Times New Roman" w:eastAsia="黑体" w:cs="黑体" w:hAnsi="Times New Roman" w:hint="eastAsia"/>
              <w:color w:val="auto"/>
              <w:sz w:val="32"/>
              <w:szCs w:val="32"/>
              <w:highlight w:val="auto"/>
            </w:rPr>
            <w:fldChar w:fldCharType="begin"/>
          </w:r>
          <w:r>
            <w:rPr>
              <w:rFonts w:ascii="Times New Roman" w:eastAsia="黑体" w:cs="黑体" w:hAnsi="Times New Roman" w:hint="eastAsia"/>
              <w:color w:val="auto"/>
              <w:sz w:val="32"/>
              <w:szCs w:val="32"/>
              <w:highlight w:val="auto"/>
            </w:rPr>
            <w:instrText xml:space="preserve"> PAGEREF _Toc6590 \h </w:instrText>
          </w:r>
          <w:r>
            <w:rPr>
              <w:rFonts w:ascii="Times New Roman" w:eastAsia="黑体" w:cs="黑体" w:hAnsi="Times New Roman" w:hint="eastAsia"/>
              <w:color w:val="auto"/>
              <w:sz w:val="32"/>
              <w:szCs w:val="32"/>
              <w:highlight w:val="auto"/>
            </w:rPr>
            <w:fldChar w:fldCharType="separate"/>
          </w:r>
          <w:r>
            <w:rPr>
              <w:rFonts w:ascii="Times New Roman" w:eastAsia="黑体" w:cs="黑体" w:hAnsi="Times New Roman" w:hint="eastAsia"/>
              <w:color w:val="auto"/>
              <w:sz w:val="32"/>
              <w:szCs w:val="32"/>
              <w:highlight w:val="auto"/>
            </w:rPr>
            <w:t>20</w:t>
          </w:r>
          <w:r>
            <w:rPr>
              <w:rFonts w:ascii="Times New Roman" w:eastAsia="黑体" w:cs="黑体" w:hAnsi="Times New Roman" w:hint="eastAsia"/>
              <w:color w:val="auto"/>
              <w:sz w:val="32"/>
              <w:szCs w:val="32"/>
              <w:highlight w:val="auto"/>
            </w:rPr>
            <w:fldChar w:fldCharType="end"/>
          </w:r>
          <w:r>
            <w:rPr>
              <w:rFonts w:ascii="Times New Roman" w:eastAsia="黑体" w:cs="黑体" w:hAnsi="Times New Roman" w:hint="eastAsia"/>
              <w:color w:val="auto"/>
              <w:sz w:val="32"/>
              <w:szCs w:val="32"/>
              <w:highlight w:val="auto"/>
            </w:rPr>
            <w:fldChar w:fldCharType="end"/>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highlight w:val="auto"/>
            </w:rPr>
          </w:pPr>
          <w:r>
            <w:rPr>
              <w:rFonts w:ascii="Times New Roman" w:eastAsia="黑体" w:cs="黑体" w:hAnsi="Times New Roman" w:hint="eastAsia"/>
              <w:color w:val="auto"/>
              <w:sz w:val="32"/>
              <w:szCs w:val="32"/>
              <w:highlight w:val="auto"/>
            </w:rPr>
            <w:fldChar w:fldCharType="begin"/>
          </w:r>
          <w:r>
            <w:rPr>
              <w:rFonts w:ascii="Times New Roman" w:eastAsia="黑体" w:cs="黑体" w:hAnsi="Times New Roman" w:hint="eastAsia"/>
              <w:color w:val="auto"/>
              <w:sz w:val="32"/>
              <w:szCs w:val="32"/>
              <w:highlight w:val="auto"/>
            </w:rPr>
            <w:instrText xml:space="preserve"> HYPERLINK \l _Toc18328 </w:instrText>
          </w:r>
          <w:r>
            <w:rPr>
              <w:rFonts w:ascii="Times New Roman" w:eastAsia="黑体" w:cs="黑体" w:hAnsi="Times New Roman" w:hint="eastAsia"/>
              <w:color w:val="auto"/>
              <w:sz w:val="32"/>
              <w:szCs w:val="32"/>
              <w:highlight w:val="auto"/>
            </w:rPr>
            <w:fldChar w:fldCharType="separate"/>
          </w:r>
          <w:r>
            <w:rPr>
              <w:rFonts w:ascii="Times New Roman" w:eastAsia="黑体" w:cs="黑体" w:hAnsi="Times New Roman" w:hint="eastAsia"/>
              <w:color w:val="auto"/>
              <w:sz w:val="32"/>
              <w:szCs w:val="32"/>
              <w:highlight w:val="auto"/>
            </w:rPr>
            <w:t xml:space="preserve">第五部分 </w:t>
          </w:r>
          <w:r>
            <w:rPr>
              <w:rFonts w:ascii="Times New Roman" w:eastAsia="黑体" w:cs="黑体" w:hAnsi="Times New Roman" w:hint="eastAsia"/>
              <w:color w:val="auto"/>
              <w:sz w:val="32"/>
              <w:szCs w:val="32"/>
              <w:lang w:val="en-US" w:eastAsia="zh-CN"/>
              <w:highlight w:val="auto"/>
            </w:rPr>
            <w:t xml:space="preserve"> </w:t>
          </w:r>
          <w:r>
            <w:rPr>
              <w:rFonts w:ascii="Times New Roman" w:eastAsia="黑体" w:cs="黑体" w:hAnsi="Times New Roman" w:hint="eastAsia"/>
              <w:color w:val="auto"/>
              <w:sz w:val="32"/>
              <w:szCs w:val="32"/>
              <w:highlight w:val="auto"/>
            </w:rPr>
            <w:t>附表</w:t>
            <w:tab/>
          </w:r>
          <w:r>
            <w:rPr>
              <w:rFonts w:ascii="Times New Roman" w:eastAsia="黑体" w:cs="黑体" w:hAnsi="Times New Roman" w:hint="eastAsia"/>
              <w:color w:val="auto"/>
              <w:sz w:val="32"/>
              <w:szCs w:val="32"/>
              <w:highlight w:val="auto"/>
            </w:rPr>
            <w:fldChar w:fldCharType="begin"/>
          </w:r>
          <w:r>
            <w:rPr>
              <w:rFonts w:ascii="Times New Roman" w:eastAsia="黑体" w:cs="黑体" w:hAnsi="Times New Roman" w:hint="eastAsia"/>
              <w:color w:val="auto"/>
              <w:sz w:val="32"/>
              <w:szCs w:val="32"/>
              <w:highlight w:val="auto"/>
            </w:rPr>
            <w:instrText xml:space="preserve"> PAGEREF _Toc18328 \h </w:instrText>
          </w:r>
          <w:r>
            <w:rPr>
              <w:rFonts w:ascii="Times New Roman" w:eastAsia="黑体" w:cs="黑体" w:hAnsi="Times New Roman" w:hint="eastAsia"/>
              <w:color w:val="auto"/>
              <w:sz w:val="32"/>
              <w:szCs w:val="32"/>
              <w:highlight w:val="auto"/>
            </w:rPr>
            <w:fldChar w:fldCharType="separate"/>
          </w:r>
          <w:r>
            <w:rPr>
              <w:rFonts w:ascii="Times New Roman" w:eastAsia="黑体" w:cs="黑体" w:hAnsi="Times New Roman" w:hint="eastAsia"/>
              <w:color w:val="auto"/>
              <w:sz w:val="32"/>
              <w:szCs w:val="32"/>
              <w:highlight w:val="auto"/>
            </w:rPr>
            <w:t>33</w:t>
          </w:r>
          <w:r>
            <w:rPr>
              <w:rFonts w:ascii="Times New Roman" w:eastAsia="黑体" w:cs="黑体" w:hAnsi="Times New Roman" w:hint="eastAsia"/>
              <w:color w:val="auto"/>
              <w:sz w:val="32"/>
              <w:szCs w:val="32"/>
              <w:highlight w:val="auto"/>
            </w:rPr>
            <w:fldChar w:fldCharType="end"/>
          </w:r>
          <w:r>
            <w:rPr>
              <w:rFonts w:ascii="Times New Roman" w:eastAsia="黑体" w:cs="黑体"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_Toc3436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一、收入支出决算总表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_Toc3436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_Toc10614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二、收入决算表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_Toc10614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_Toc14774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三、支出决算表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_Toc14774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_Toc5392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四、财政拨款收入支出决算总表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_Toc5392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_Toc29475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五、财政拨款支出决算明细表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_Toc29475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_Toc2870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六、一般公共预算财政拨款支出决算表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_Toc2870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_Toc25605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七、一般公共预算财政拨款支出决算明细表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_Toc25605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_Toc3760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八、一般公共预算财政拨款基本支出决算表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_Toc3760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_Toc26330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九、一般公共预算财政拨款项目支出决算表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_Toc26330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_Toc12171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十、政府性基金预算财政拨款收入支出决算表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_Toc12171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_Toc5335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十一、国有资本经营预算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_Toc5335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_Toc19972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十二、</w:t>
          </w:r>
          <w:r>
            <w:rPr>
              <w:rFonts w:ascii="Times New Roman" w:eastAsia="仿宋_GB2312" w:cs="仿宋_GB2312" w:hAnsi="Times New Roman" w:hint="eastAsia"/>
              <w:color w:val="auto"/>
              <w:sz w:val="32"/>
              <w:szCs w:val="32"/>
              <w:lang w:eastAsia="zh-CN"/>
              <w:highlight w:val="auto"/>
            </w:rPr>
            <w:t>国有资本经营预算财政拨款支出决算表</w:t>
          </w:r>
          <w:r>
            <w:rPr>
              <w:rFonts w:ascii="Times New Roman" w:eastAsia="仿宋_GB2312" w:cs="仿宋_GB2312" w:hAnsi="Times New Roman" w:hint="eastAsia"/>
              <w:color w:val="auto"/>
              <w:sz w:val="32"/>
              <w:szCs w:val="32"/>
              <w:highlight w:val="auto"/>
            </w:rPr>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_Toc19972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HYPERLINK \l _Toc12736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十三、</w:t>
          </w:r>
          <w:r>
            <w:rPr>
              <w:rFonts w:ascii="Times New Roman" w:eastAsia="仿宋_GB2312" w:cs="仿宋_GB2312" w:hAnsi="Times New Roman" w:hint="eastAsia"/>
              <w:color w:val="auto"/>
              <w:sz w:val="32"/>
              <w:szCs w:val="32"/>
              <w:lang w:eastAsia="zh-CN"/>
              <w:highlight w:val="auto"/>
            </w:rPr>
            <w:t>财政拨款“三公”经费支出决算表</w:t>
          </w:r>
          <w:r>
            <w:rPr>
              <w:rFonts w:ascii="Times New Roman" w:eastAsia="仿宋_GB2312" w:cs="仿宋_GB2312" w:hAnsi="Times New Roman" w:hint="eastAsia"/>
              <w:color w:val="auto"/>
              <w:sz w:val="32"/>
              <w:szCs w:val="32"/>
              <w:highlight w:val="auto"/>
            </w:rPr>
            <w:tab/>
          </w:r>
          <w:r>
            <w:rPr>
              <w:rFonts w:ascii="Times New Roman" w:eastAsia="仿宋_GB2312" w:cs="仿宋_GB2312" w:hAnsi="Times New Roman" w:hint="eastAsia"/>
              <w:color w:val="auto"/>
              <w:sz w:val="32"/>
              <w:szCs w:val="32"/>
              <w:highlight w:val="auto"/>
            </w:rPr>
            <w:fldChar w:fldCharType="begin"/>
          </w:r>
          <w:r>
            <w:rPr>
              <w:rFonts w:ascii="Times New Roman" w:eastAsia="仿宋_GB2312" w:cs="仿宋_GB2312" w:hAnsi="Times New Roman" w:hint="eastAsia"/>
              <w:color w:val="auto"/>
              <w:sz w:val="32"/>
              <w:szCs w:val="32"/>
              <w:highlight w:val="auto"/>
            </w:rPr>
            <w:instrText xml:space="preserve"> PAGEREF _Toc12736 \h </w:instrText>
          </w:r>
          <w:r>
            <w:rPr>
              <w:rFonts w:ascii="Times New Roman" w:eastAsia="仿宋_GB2312" w:cs="仿宋_GB2312" w:hAnsi="Times New Roman" w:hint="eastAsia"/>
              <w:color w:val="auto"/>
              <w:sz w:val="32"/>
              <w:szCs w:val="32"/>
              <w:highlight w:val="auto"/>
            </w:rPr>
            <w:fldChar w:fldCharType="separate"/>
          </w:r>
          <w:r>
            <w:rPr>
              <w:rFonts w:ascii="Times New Roman" w:eastAsia="仿宋_GB2312" w:cs="仿宋_GB2312" w:hAnsi="Times New Roman" w:hint="eastAsia"/>
              <w:color w:val="auto"/>
              <w:sz w:val="32"/>
              <w:szCs w:val="32"/>
              <w:highlight w:val="auto"/>
            </w:rPr>
            <w:t>33</w:t>
          </w:r>
          <w:r>
            <w:rPr>
              <w:rFonts w:ascii="Times New Roman" w:eastAsia="仿宋_GB2312" w:cs="仿宋_GB2312" w:hAnsi="Times New Roman" w:hint="eastAsia"/>
              <w:color w:val="auto"/>
              <w:sz w:val="32"/>
              <w:szCs w:val="32"/>
              <w:highlight w:val="auto"/>
            </w:rPr>
            <w:fldChar w:fldCharType="end"/>
          </w:r>
          <w:r>
            <w:rPr>
              <w:rFonts w:ascii="Times New Roman" w:eastAsia="仿宋_GB2312" w:cs="仿宋_GB2312" w:hAnsi="Times New Roman" w:hint="eastAsia"/>
              <w:color w:val="auto"/>
              <w:sz w:val="32"/>
              <w:szCs w:val="32"/>
              <w:highlight w:val="auto"/>
            </w:rPr>
            <w:fldChar w:fldCharType="end"/>
          </w:r>
        </w:p>
        <w:p>
          <w:pPr>
            <w:rPr>
              <w:rFonts w:ascii="Times New Roman" w:eastAsia="宋体" w:cs="Times New Roman" w:hAnsi="Times New Roman"/>
              <w:color w:val="auto"/>
              <w:kern w:val="2"/>
              <w:sz w:val="21"/>
              <w:szCs w:val="24"/>
              <w:lang w:val="en-US" w:eastAsia="zh-CN" w:bidi="ar-SA"/>
              <w:highlight w:val="auto"/>
            </w:rPr>
          </w:pPr>
          <w:r>
            <w:rPr>
              <w:rFonts w:ascii="Times New Roman" w:hAnsi="Times New Roman"/>
              <w:color w:val="auto"/>
              <w:highlight w:val="auto"/>
            </w:rPr>
            <w:fldChar w:fldCharType="end"/>
          </w:r>
        </w:p>
      </w:sdtContent>
    </w:sdt>
    <w:p>
      <w:pPr>
        <w:pStyle w:val="15"/>
        <w:rPr>
          <w:highlight w:val="auto"/>
        </w:rPr>
      </w:pP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bookmarkStart w:id="6" w:name="_Toc15396599"/>
      <w:bookmarkStart w:id="7" w:name="_Toc15377196"/>
      <w:r>
        <w:rPr>
          <w:rFonts w:ascii="Times New Roman" w:eastAsia="仿宋_GB2312" w:cs="仿宋_GB2312" w:hAnsi="Times New Roman" w:hint="eastAsia"/>
          <w:b/>
          <w:color w:val="auto"/>
          <w:sz w:val="32"/>
          <w:szCs w:val="32"/>
          <w:highlight w:val="auto"/>
        </w:rPr>
        <w:br w:type="page"/>
      </w:r>
    </w:p>
    <w:p>
      <w:pPr>
        <w:pStyle w:val="1"/>
        <w:jc w:val="center"/>
        <w:outlineLvl w:val="0"/>
        <w:rPr>
          <w:rFonts w:ascii="Times New Roman" w:eastAsia="黑体" w:hAnsi="Times New Roman"/>
          <w:color w:val="auto"/>
          <w:sz w:val="32"/>
          <w:szCs w:val="32"/>
          <w:highlight w:val="auto"/>
        </w:rPr>
      </w:pPr>
      <w:bookmarkStart w:id="8" w:name="_Toc1108"/>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6"/>
      <w:bookmarkEnd w:id="7"/>
      <w:bookmarkEnd w:id="8"/>
    </w:p>
    <w:p>
      <w:pPr>
        <w:pStyle w:val="2"/>
        <w:outlineLvl w:val="1"/>
        <w:rPr>
          <w:rFonts w:ascii="Times New Roman" w:eastAsia="黑体" w:hAnsi="Times New Roman" w:hint="eastAsia"/>
          <w:b w:val="0"/>
          <w:color w:val="auto"/>
          <w:lang w:eastAsia="zh-CN"/>
          <w:highlight w:val="auto"/>
        </w:rPr>
      </w:pPr>
      <w:bookmarkStart w:id="9" w:name="_Toc15396600"/>
      <w:bookmarkStart w:id="10" w:name="_Toc15377197"/>
      <w:bookmarkStart w:id="11" w:name="_Toc13880"/>
      <w:r>
        <w:rPr>
          <w:rFonts w:ascii="Times New Roman" w:eastAsia="黑体" w:hAnsi="Times New Roman" w:hint="eastAsia"/>
          <w:b w:val="0"/>
          <w:color w:val="auto"/>
          <w:highlight w:val="auto"/>
        </w:rPr>
        <w:t>一、</w:t>
      </w:r>
      <w:bookmarkEnd w:id="9"/>
      <w:bookmarkEnd w:id="10"/>
      <w:r>
        <w:rPr>
          <w:rFonts w:ascii="Times New Roman" w:eastAsia="黑体" w:hAnsi="Times New Roman" w:hint="eastAsia"/>
          <w:b w:val="0"/>
          <w:color w:val="auto"/>
          <w:lang w:eastAsia="zh-CN"/>
          <w:highlight w:val="auto"/>
        </w:rPr>
        <w:t>部门职责</w:t>
      </w:r>
      <w:bookmarkEnd w:id="11"/>
    </w:p>
    <w:p>
      <w:pPr>
        <w:ind w:firstLineChars="250" w:firstLine="800"/>
        <w:outlineLvl w:val="9"/>
        <w:rPr>
          <w:rFonts w:ascii="Times New Roman" w:eastAsia="仿宋_GB2312" w:cs="仿宋_GB2312" w:hAnsi="Times New Roman"/>
          <w:color w:val="auto"/>
          <w:sz w:val="32"/>
          <w:szCs w:val="32"/>
          <w:lang w:eastAsia="zh-CN"/>
          <w:highlight w:val="auto"/>
        </w:rPr>
      </w:pPr>
      <w:r>
        <w:rPr>
          <w:rFonts w:ascii="Times New Roman" w:eastAsia="仿宋_GB2312" w:cs="仿宋_GB2312" w:hAnsi="Times New Roman"/>
          <w:color w:val="auto"/>
          <w:sz w:val="32"/>
          <w:szCs w:val="32"/>
          <w:lang w:eastAsia="zh-CN"/>
          <w:highlight w:val="auto"/>
        </w:rPr>
        <w:t>州委统战部主要职责是：组织贯彻执行中央、省委、州委关于统一战线的方针政策，调查研究统一战线的理论和政策，负责协调监督检查全州统一战线工作，检查统战政策执行情况，牵头协调处理统战工作中的重大问题和组织统一战线和重大活动；负责调查研究协调全州有关民族和宗教工作重大方针政策的贯彻执行，联系少数民族和宗教界代表人物，协助做好少数民族干部的培养和举荐工作；负责联系全州党外代表人士及党外知识分子工作，负责党外人士的政治安排，做好党外后备干部和新的代表人物队伍的建设工作，指导有关统战团体和人民团体的统战工作；调查研究并反映我州非公有制经济代表人士的情况，团结、帮助、引导、教育非公有制经济代表人士，领导州工商联党组，指导州工商联工作；负责海内外统一战线的宣传工作，指导各县统战工作和统战系统的干部培训；贯彻和执行中央、省州关于对国外藏胞工作的方针政策，结合我州实际提出实施意见并组织实施。</w:t>
      </w:r>
    </w:p>
    <w:p>
      <w:pPr>
        <w:ind w:firstLineChars="250" w:firstLine="800"/>
        <w:outlineLvl w:val="9"/>
        <w:rPr>
          <w:rFonts w:ascii="Times New Roman" w:eastAsia="仿宋_GB2312" w:cs="仿宋_GB2312" w:hAnsi="Times New Roman"/>
          <w:color w:val="auto"/>
          <w:sz w:val="32"/>
          <w:szCs w:val="32"/>
          <w:lang w:eastAsia="zh-CN"/>
          <w:highlight w:val="auto"/>
        </w:rPr>
      </w:pPr>
      <w:r>
        <w:rPr>
          <w:rFonts w:ascii="Times New Roman" w:eastAsia="仿宋_GB2312" w:cs="仿宋_GB2312" w:hAnsi="Times New Roman"/>
          <w:color w:val="auto"/>
          <w:sz w:val="32"/>
          <w:szCs w:val="32"/>
          <w:lang w:eastAsia="zh-CN"/>
          <w:highlight w:val="auto"/>
        </w:rPr>
        <w:t>四川藏语佛学院阿坝分院职能：贯彻和落实党和国家民族宗教政策；管理学院事务，主要负责藏传佛教界人士学历教学和教育培训；承担藏传佛教学衔授予，承担藏传佛教文化研究，承接涩藏干部培训任务等工作。接受州统战、民宗部门和佛协的业务指导；培养爱国守法、持戒精修、能与社会主义社会相适应的僧尼；承办州委、州政府交办事项。</w:t>
      </w:r>
    </w:p>
    <w:p>
      <w:pPr>
        <w:ind w:firstLineChars="200" w:firstLine="640"/>
        <w:rPr>
          <w:rFonts w:hint="eastAsia"/>
          <w:lang w:eastAsia="zh-CN"/>
          <w:highlight w:val="auto"/>
        </w:rPr>
      </w:pPr>
      <w:r>
        <w:rPr>
          <w:rFonts w:ascii="Times New Roman" w:eastAsia="仿宋_GB2312" w:cs="仿宋_GB2312" w:hAnsi="Times New Roman"/>
          <w:color w:val="auto"/>
          <w:sz w:val="32"/>
          <w:szCs w:val="32"/>
          <w:lang w:eastAsia="zh-CN"/>
          <w:highlight w:val="auto"/>
        </w:rPr>
        <w:t>阿坝州归国华侨联合会主要职责是：依法维护归侨侨眷的合法权益；协助有关部门和单位开展引进海外侨胞的资金、技术、人才工作；开展对归侨侨眷、基层侨联组织和海外华侨、华人及其社团的联系、团结工作；配合有关部门和单位开展对外经济、文化、教育等方面的交流与合作；做好相关联络、宣传和接待服务工作；开展有关专题调研；参与涉侨部门组织的侨法调研；开展涉侨法律、法规、规章、政策咨询服务；承办涉侨信访工作；配合有关部门推荐侨界人大代表、政协委员人选等</w:t>
      </w:r>
      <w:r>
        <w:rPr>
          <w:rFonts w:ascii="Times New Roman" w:eastAsia="仿宋_GB2312" w:cs="仿宋_GB2312" w:hAnsi="Times New Roman" w:hint="eastAsia"/>
          <w:color w:val="auto"/>
          <w:sz w:val="32"/>
          <w:szCs w:val="32"/>
          <w:lang w:eastAsia="zh-CN"/>
          <w:highlight w:val="auto"/>
        </w:rPr>
        <w:t>。</w:t>
      </w:r>
    </w:p>
    <w:p>
      <w:pPr>
        <w:pStyle w:val="2"/>
        <w:outlineLvl w:val="1"/>
        <w:rPr>
          <w:rStyle w:val="2Char"/>
          <w:rFonts w:ascii="Times New Roman" w:hAnsi="Times New Roman"/>
          <w:b w:val="0"/>
          <w:bCs w:val="0"/>
          <w:color w:val="auto"/>
          <w:highlight w:val="auto"/>
        </w:rPr>
      </w:pPr>
      <w:bookmarkStart w:id="12" w:name="_Toc15377200"/>
      <w:bookmarkStart w:id="13" w:name="_Toc1296"/>
      <w:bookmarkStart w:id="14" w:name="_Toc15396601"/>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2"/>
      <w:bookmarkEnd w:id="13"/>
      <w:bookmarkEnd w:id="14"/>
    </w:p>
    <w:p>
      <w:pPr>
        <w:ind w:firstLineChars="250" w:firstLine="800"/>
        <w:outlineLvl w:val="9"/>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中共阿坝藏族羌族自治州委员会统战部下属二级</w:t>
      </w:r>
      <w:r>
        <w:rPr>
          <w:rFonts w:ascii="Times New Roman" w:eastAsia="仿宋_GB2312" w:cs="仿宋_GB2312" w:hAnsi="Times New Roman" w:hint="eastAsia"/>
          <w:color w:val="auto"/>
          <w:sz w:val="32"/>
          <w:szCs w:val="32"/>
          <w:lang w:eastAsia="zh-CN"/>
          <w:highlight w:val="auto"/>
        </w:rPr>
        <w:t>预算</w:t>
      </w:r>
      <w:r>
        <w:rPr>
          <w:rFonts w:ascii="Times New Roman" w:eastAsia="仿宋_GB2312" w:cs="仿宋_GB2312" w:hAnsi="Times New Roman" w:hint="eastAsia"/>
          <w:color w:val="auto"/>
          <w:sz w:val="32"/>
          <w:szCs w:val="32"/>
          <w:highlight w:val="auto"/>
        </w:rPr>
        <w:t>单位</w:t>
      </w:r>
      <w:r>
        <w:rPr>
          <w:rFonts w:eastAsia="仿宋_GB2312" w:cs="仿宋_GB2312" w:hint="eastAsia"/>
          <w:color w:val="auto"/>
          <w:sz w:val="32"/>
          <w:szCs w:val="32"/>
          <w:lang w:val="en-US" w:eastAsia="zh-CN"/>
          <w:highlight w:val="auto"/>
        </w:rPr>
        <w:t>0</w:t>
      </w:r>
      <w:r>
        <w:rPr>
          <w:rFonts w:ascii="Times New Roman" w:eastAsia="仿宋_GB2312" w:cs="仿宋_GB2312" w:hAnsi="Times New Roman" w:hint="eastAsia"/>
          <w:color w:val="auto"/>
          <w:sz w:val="32"/>
          <w:szCs w:val="32"/>
          <w:highlight w:val="auto"/>
        </w:rPr>
        <w:t>个，其中行政单位</w:t>
      </w:r>
      <w:r>
        <w:rPr>
          <w:rFonts w:eastAsia="仿宋_GB2312" w:cs="仿宋_GB2312" w:hint="eastAsia"/>
          <w:color w:val="auto"/>
          <w:sz w:val="32"/>
          <w:szCs w:val="32"/>
          <w:lang w:val="en-US" w:eastAsia="zh-CN"/>
          <w:highlight w:val="auto"/>
        </w:rPr>
        <w:t>0</w:t>
      </w:r>
      <w:r>
        <w:rPr>
          <w:rFonts w:ascii="Times New Roman" w:eastAsia="仿宋_GB2312" w:cs="仿宋_GB2312" w:hAnsi="Times New Roman" w:hint="eastAsia"/>
          <w:color w:val="auto"/>
          <w:sz w:val="32"/>
          <w:szCs w:val="32"/>
          <w:highlight w:val="auto"/>
        </w:rPr>
        <w:t>个，参照公务员法管理的事业单位</w:t>
      </w:r>
      <w:r>
        <w:rPr>
          <w:rFonts w:eastAsia="仿宋_GB2312" w:cs="仿宋_GB2312" w:hint="eastAsia"/>
          <w:bCs/>
          <w:color w:val="auto"/>
          <w:sz w:val="32"/>
          <w:szCs w:val="32"/>
          <w:lang w:val="en-US" w:eastAsia="zh-CN"/>
          <w:highlight w:val="auto"/>
        </w:rPr>
        <w:t>0</w:t>
      </w:r>
      <w:r>
        <w:rPr>
          <w:rFonts w:ascii="Times New Roman" w:eastAsia="仿宋_GB2312" w:cs="仿宋_GB2312" w:hAnsi="Times New Roman" w:hint="eastAsia"/>
          <w:color w:val="auto"/>
          <w:sz w:val="32"/>
          <w:szCs w:val="32"/>
          <w:highlight w:val="auto"/>
        </w:rPr>
        <w:t>个，其他事业单位</w:t>
      </w:r>
      <w:r>
        <w:rPr>
          <w:rFonts w:eastAsia="仿宋_GB2312" w:cs="仿宋_GB2312" w:hint="eastAsia"/>
          <w:color w:val="auto"/>
          <w:sz w:val="32"/>
          <w:szCs w:val="32"/>
          <w:lang w:val="en-US" w:eastAsia="zh-CN"/>
          <w:highlight w:val="auto"/>
        </w:rPr>
        <w:t>2</w:t>
      </w:r>
      <w:r>
        <w:rPr>
          <w:rFonts w:ascii="Times New Roman" w:eastAsia="仿宋_GB2312" w:cs="仿宋_GB2312" w:hAnsi="Times New Roman" w:hint="eastAsia"/>
          <w:color w:val="auto"/>
          <w:sz w:val="32"/>
          <w:szCs w:val="32"/>
          <w:highlight w:val="auto"/>
        </w:rPr>
        <w:t>个。</w:t>
      </w:r>
    </w:p>
    <w:p>
      <w:pPr>
        <w:pStyle w:val="18"/>
        <w:adjustRightInd w:val="0"/>
        <w:snapToGrid w:val="0"/>
        <w:spacing w:beforeLines="0" w:before="93" w:line="600" w:lineRule="exact"/>
        <w:ind w:firstLineChars="209" w:firstLine="672"/>
        <w:outlineLvl w:val="9"/>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纳入中共阿坝藏族羌族自治州委员会统战部</w:t>
      </w:r>
      <w:r>
        <w:rPr>
          <w:rFonts w:ascii="Times New Roman" w:eastAsia="仿宋_GB2312" w:cs="仿宋_GB2312" w:hAnsi="Times New Roman" w:hint="eastAsia"/>
          <w:color w:val="auto"/>
          <w:sz w:val="32"/>
          <w:szCs w:val="32"/>
          <w:lang w:eastAsia="zh-CN"/>
          <w:highlight w:val="auto"/>
        </w:rPr>
        <w:t>202</w:t>
      </w:r>
      <w:r>
        <w:rPr>
          <w:rFonts w:ascii="Times New Roman" w:cs="仿宋_GB2312" w:hAnsi="Times New Roman" w:hint="eastAsia"/>
          <w:color w:val="auto"/>
          <w:sz w:val="32"/>
          <w:szCs w:val="32"/>
          <w:lang w:val="en-US" w:eastAsia="zh-CN"/>
          <w:highlight w:val="auto"/>
        </w:rPr>
        <w:t>5</w:t>
      </w:r>
      <w:r>
        <w:rPr>
          <w:rFonts w:ascii="Times New Roman" w:eastAsia="仿宋_GB2312" w:cs="仿宋_GB2312" w:hAnsi="Times New Roman" w:hint="eastAsia"/>
          <w:color w:val="auto"/>
          <w:sz w:val="32"/>
          <w:szCs w:val="32"/>
          <w:lang w:eastAsia="zh-CN"/>
          <w:highlight w:val="auto"/>
        </w:rPr>
        <w:t>年度</w:t>
      </w:r>
      <w:r>
        <w:rPr>
          <w:rFonts w:ascii="Times New Roman" w:eastAsia="仿宋_GB2312" w:cs="仿宋_GB2312" w:hAnsi="Times New Roman" w:hint="eastAsia"/>
          <w:color w:val="auto"/>
          <w:sz w:val="32"/>
          <w:szCs w:val="32"/>
          <w:highlight w:val="auto"/>
        </w:rPr>
        <w:t>部门决算编制范围的二级预算单位包括：</w:t>
      </w:r>
    </w:p>
    <w:p>
      <w:pPr>
        <w:pStyle w:val="18"/>
        <w:numPr>
          <w:ilvl w:val="0"/>
          <w:numId w:val="1"/>
        </w:numPr>
        <w:adjustRightInd w:val="0"/>
        <w:snapToGrid w:val="0"/>
        <w:spacing w:beforeLines="0" w:before="93" w:line="600" w:lineRule="exact"/>
        <w:ind w:left="0" w:firstLineChars="200" w:firstLine="640"/>
        <w:outlineLvl w:val="9"/>
        <w:rPr>
          <w:rFonts w:ascii="Times New Roman" w:cs="仿宋_GB2312" w:hAnsi="Times New Roman" w:hint="eastAsia"/>
          <w:color w:val="auto"/>
          <w:sz w:val="32"/>
          <w:szCs w:val="32"/>
          <w:lang w:val="en-US" w:eastAsia="zh-CN"/>
          <w:highlight w:val="auto"/>
        </w:rPr>
      </w:pPr>
      <w:bookmarkStart w:id="15" w:name="_Toc15377434"/>
      <w:bookmarkStart w:id="16" w:name="_Toc15306277"/>
      <w:bookmarkStart w:id="17" w:name="_Toc15377203"/>
      <w:bookmarkStart w:id="18" w:name="_Toc15378450"/>
      <w:r>
        <w:rPr>
          <w:rFonts w:ascii="Times New Roman" w:cs="仿宋_GB2312" w:hAnsi="Times New Roman" w:hint="eastAsia"/>
          <w:color w:val="auto"/>
          <w:sz w:val="32"/>
          <w:szCs w:val="32"/>
          <w:lang w:val="en-US" w:eastAsia="zh-CN"/>
          <w:highlight w:val="auto"/>
        </w:rPr>
        <w:t>阿坝藏族羌族自治州归国华侨联合会</w:t>
      </w:r>
    </w:p>
    <w:p>
      <w:pPr>
        <w:pStyle w:val="18"/>
        <w:numPr>
          <w:ilvl w:val="0"/>
          <w:numId w:val="1"/>
        </w:numPr>
        <w:adjustRightInd w:val="0"/>
        <w:snapToGrid w:val="0"/>
        <w:spacing w:beforeLines="0" w:before="93" w:line="600" w:lineRule="exact"/>
        <w:ind w:left="0" w:firstLineChars="200" w:firstLine="640"/>
        <w:outlineLvl w:val="9"/>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color w:val="auto"/>
          <w:sz w:val="32"/>
          <w:szCs w:val="32"/>
          <w:lang w:eastAsia="zh-CN"/>
          <w:highlight w:val="auto"/>
        </w:rPr>
        <w:t>四川藏语佛学院阿坝分院</w:t>
      </w:r>
      <w:bookmarkEnd w:id="15"/>
      <w:bookmarkEnd w:id="16"/>
      <w:bookmarkEnd w:id="17"/>
      <w:bookmarkEnd w:id="18"/>
    </w:p>
    <w:p>
      <w:pPr>
        <w:widowControl/>
        <w:jc w:val="left"/>
        <w:rPr>
          <w:rFonts w:ascii="Times New Roman" w:eastAsia="仿宋" w:hAnsi="Times New Roman"/>
          <w:color w:val="auto"/>
          <w:kern w:val="0"/>
          <w:sz w:val="32"/>
          <w:szCs w:val="32"/>
          <w:highlight w:val="auto"/>
        </w:rPr>
      </w:pPr>
      <w:r>
        <w:rPr>
          <w:rFonts w:ascii="Times New Roman" w:eastAsia="仿宋" w:hAnsi="Times New Roman"/>
          <w:color w:val="auto"/>
          <w:sz w:val="32"/>
          <w:szCs w:val="32"/>
          <w:highlight w:val="auto"/>
        </w:rPr>
        <w:br w:type="page"/>
      </w:r>
    </w:p>
    <w:p>
      <w:pPr>
        <w:pStyle w:val="1"/>
        <w:jc w:val="center"/>
        <w:outlineLvl w:val="0"/>
        <w:rPr>
          <w:rFonts w:ascii="Times New Roman" w:eastAsia="方正小标宋简体" w:cs="方正小标宋简体" w:hAnsi="Times New Roman" w:hint="eastAsia"/>
          <w:b w:val="0"/>
          <w:color w:val="auto"/>
          <w:highlight w:val="auto"/>
        </w:rPr>
      </w:pPr>
      <w:bookmarkStart w:id="19" w:name="_Toc15396602"/>
      <w:bookmarkStart w:id="20" w:name="_Toc19438"/>
      <w:bookmarkStart w:id="21" w:name="_Toc15377204"/>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eastAsia="方正小标宋简体" w:cs="方正小标宋简体" w:hint="eastAsia"/>
          <w:b w:val="0"/>
          <w:color w:val="auto"/>
          <w:lang w:val="en-US" w:eastAsia="zh-CN"/>
          <w:highlight w:val="auto"/>
        </w:rPr>
        <w:t>2025</w:t>
      </w:r>
      <w:r>
        <w:rPr>
          <w:rFonts w:ascii="Times New Roman" w:eastAsia="方正小标宋简体" w:cs="方正小标宋简体" w:hAnsi="Times New Roman" w:hint="eastAsia"/>
          <w:b w:val="0"/>
          <w:color w:val="auto"/>
          <w:lang w:val="en-US" w:eastAsia="zh-CN"/>
          <w:highlight w:val="auto"/>
        </w:rPr>
        <w:t>年度</w:t>
      </w:r>
      <w:r>
        <w:rPr>
          <w:rFonts w:ascii="Times New Roman" w:eastAsia="方正小标宋简体" w:cs="方正小标宋简体" w:hAnsi="Times New Roman" w:hint="eastAsia"/>
          <w:b w:val="0"/>
          <w:color w:val="auto"/>
          <w:highlight w:val="auto"/>
        </w:rPr>
        <w:t>部门决算情况说明</w:t>
      </w:r>
      <w:bookmarkEnd w:id="19"/>
      <w:bookmarkEnd w:id="20"/>
      <w:bookmarkEnd w:id="21"/>
    </w:p>
    <w:p>
      <w:pPr>
        <w:rPr>
          <w:rFonts w:ascii="Times New Roman" w:hAnsi="Times New Roman"/>
          <w:color w:val="auto"/>
          <w:highlight w:val="auto"/>
        </w:rPr>
      </w:pP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2" w:name="_Toc15396603"/>
      <w:bookmarkStart w:id="23" w:name="_Toc15377205"/>
      <w:bookmarkStart w:id="24" w:name="_Toc31314"/>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22"/>
      <w:bookmarkEnd w:id="23"/>
      <w:bookmarkEnd w:id="24"/>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9"/>
        <w:rPr>
          <w:rFonts w:ascii="Times New Roman" w:eastAsia="仿宋_GB2312" w:cs="仿宋_GB2312" w:hAnsi="Times New Roman" w:hint="eastAsia"/>
          <w:color w:val="auto"/>
          <w:sz w:val="32"/>
          <w:szCs w:val="32"/>
          <w:lang w:eastAsia="zh-CN"/>
          <w:highlight w:val="auto"/>
        </w:rPr>
      </w:pPr>
      <w:r>
        <w:rPr>
          <w:rFonts w:eastAsia="仿宋_GB2312" w:cs="仿宋_GB2312" w:hint="eastAsia"/>
          <w:color w:val="auto"/>
          <w:sz w:val="32"/>
          <w:szCs w:val="32"/>
          <w:lang w:eastAsia="zh-CN"/>
          <w:highlight w:val="auto"/>
        </w:rPr>
        <w:t>2025</w:t>
      </w:r>
      <w:r>
        <w:rPr>
          <w:rFonts w:ascii="Times New Roman" w:eastAsia="仿宋_GB2312" w:cs="仿宋_GB2312" w:hAnsi="Times New Roman" w:hint="eastAsia"/>
          <w:color w:val="auto"/>
          <w:sz w:val="32"/>
          <w:szCs w:val="32"/>
          <w:lang w:eastAsia="zh-CN"/>
          <w:highlight w:val="auto"/>
        </w:rPr>
        <w:t>年度收入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仿宋_GB2312" w:eastAsia="仿宋_GB2312" w:cs="仿宋_GB2312" w:hint="eastAsia"/>
          <w:sz w:val="32"/>
          <w:szCs w:val="32"/>
          <w:lang w:val="en-US" w:eastAsia="zh-CN"/>
          <w:highlight w:val="auto"/>
        </w:rPr>
        <w:t>3571.46</w:t>
      </w:r>
      <w:r>
        <w:rPr>
          <w:rFonts w:ascii="Times New Roman" w:eastAsia="仿宋_GB2312" w:cs="仿宋_GB2312" w:hAnsi="Times New Roman" w:hint="eastAsia"/>
          <w:color w:val="auto"/>
          <w:sz w:val="32"/>
          <w:szCs w:val="32"/>
          <w:highlight w:val="auto"/>
        </w:rPr>
        <w:t>万元。与</w:t>
      </w:r>
      <w:r>
        <w:rPr>
          <w:rFonts w:eastAsia="仿宋_GB2312" w:cs="仿宋_GB2312" w:hint="eastAsia"/>
          <w:color w:val="auto"/>
          <w:sz w:val="32"/>
          <w:szCs w:val="32"/>
          <w:lang w:eastAsia="zh-CN"/>
          <w:highlight w:val="auto"/>
        </w:rPr>
        <w:t>2024</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总计各增加</w:t>
      </w:r>
      <w:r>
        <w:rPr>
          <w:rFonts w:ascii="仿宋_GB2312" w:eastAsia="仿宋_GB2312" w:cs="仿宋_GB2312" w:hint="eastAsia"/>
          <w:sz w:val="32"/>
          <w:szCs w:val="32"/>
          <w:lang w:val="en-US" w:eastAsia="zh-CN"/>
          <w:highlight w:val="auto"/>
        </w:rPr>
        <w:t>775.16</w:t>
      </w:r>
      <w:r>
        <w:rPr>
          <w:rFonts w:ascii="Times New Roman" w:eastAsia="仿宋_GB2312" w:cs="仿宋_GB2312" w:hAnsi="Times New Roman" w:hint="eastAsia"/>
          <w:color w:val="auto"/>
          <w:sz w:val="32"/>
          <w:szCs w:val="32"/>
          <w:highlight w:val="auto"/>
        </w:rPr>
        <w:t>万元，增长</w:t>
      </w:r>
      <w:r>
        <w:rPr>
          <w:rFonts w:ascii="仿宋_GB2312" w:eastAsia="仿宋_GB2312" w:cs="仿宋_GB2312" w:hint="eastAsia"/>
          <w:sz w:val="32"/>
          <w:szCs w:val="32"/>
          <w:lang w:val="en-US" w:eastAsia="zh-CN"/>
          <w:highlight w:val="auto"/>
        </w:rPr>
        <w:t>27.72</w:t>
      </w:r>
      <w:r>
        <w:rPr>
          <w:rFonts w:ascii="Times New Roman" w:eastAsia="仿宋_GB2312" w:cs="仿宋_GB2312" w:hAnsi="Times New Roman" w:hint="eastAsia"/>
          <w:color w:val="auto"/>
          <w:sz w:val="32"/>
          <w:szCs w:val="32"/>
          <w:highlight w:val="auto"/>
        </w:rPr>
        <w:t>%。主要变动原因是</w:t>
      </w:r>
      <w:r>
        <w:rPr>
          <w:rFonts w:ascii="仿宋_GB2312" w:eastAsia="仿宋_GB2312" w:cs="仿宋_GB2312" w:hint="eastAsia"/>
          <w:sz w:val="32"/>
          <w:szCs w:val="32"/>
          <w:lang w:val="en-US" w:eastAsia="zh-CN"/>
          <w:highlight w:val="auto"/>
        </w:rPr>
        <w:t>单位资金随人员公用经费基数及项目资金产生变化。</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lang w:eastAsia="zh-CN"/>
          <w:highlight w:val="auto"/>
        </w:rPr>
        <w:drawing>
          <wp:anchor distT="0" distB="0" distL="114300" distR="114300" simplePos="0" relativeHeight="22" behindDoc="0" locked="0" layoutInCell="1" hidden="0" allowOverlap="1">
            <wp:simplePos x="0" y="0"/>
            <wp:positionH relativeFrom="column">
              <wp:posOffset>59689</wp:posOffset>
            </wp:positionH>
            <wp:positionV relativeFrom="paragraph">
              <wp:posOffset>210184</wp:posOffset>
            </wp:positionV>
            <wp:extent cx="5256530" cy="2988309"/>
            <wp:effectExtent l="0" t="0" r="0" b="0"/>
            <wp:wrapTopAndBottom/>
            <wp:docPr id="1" name="图表 3"/>
            <wp:cNvGraphicFramePr>
              <a:graphicFrameLocks noChangeAspect="0"/>
            </wp:cNvGraphicFramePr>
            <a:graphic>
              <a:graphicData uri="http://schemas.openxmlformats.org/drawingml/2006/chart">
                <c:chart xmlns:c="http://schemas.openxmlformats.org/drawingml/2006/chart" r:id="rId6"/>
              </a:graphicData>
            </a:graphic>
          </wp:anchor>
        </w:drawing>
      </w:r>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决算总计变动情况图）（柱状图）</w:t>
      </w: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25" w:name="_Toc15377206"/>
      <w:bookmarkStart w:id="26" w:name="_Toc15396604"/>
      <w:bookmarkStart w:id="27" w:name="_Toc20121"/>
      <w:r>
        <w:rPr>
          <w:rFonts w:ascii="Times New Roman" w:eastAsia="黑体" w:hAnsi="Times New Roman" w:hint="eastAsia"/>
          <w:color w:val="auto"/>
          <w:sz w:val="32"/>
          <w:szCs w:val="32"/>
          <w:lang w:eastAsia="zh-CN"/>
          <w:highlight w:val="auto"/>
        </w:rPr>
        <w:t>二、收入决算情况说明</w:t>
      </w:r>
      <w:bookmarkEnd w:id="25"/>
      <w:bookmarkEnd w:id="26"/>
      <w:bookmarkEnd w:id="27"/>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9"/>
        <w:rPr>
          <w:rFonts w:ascii="仿宋_GB2312" w:eastAsia="仿宋_GB2312" w:cs="仿宋_GB2312" w:hint="eastAsia"/>
          <w:color w:val="auto"/>
          <w:sz w:val="32"/>
          <w:szCs w:val="32"/>
          <w:lang w:eastAsia="zh-CN"/>
          <w:highlight w:val="auto"/>
        </w:rPr>
      </w:pPr>
      <w:r>
        <w:rPr>
          <w:rFonts w:ascii="仿宋_GB2312" w:eastAsia="仿宋_GB2312" w:cs="仿宋_GB2312" w:hint="eastAsia"/>
          <w:color w:val="auto"/>
          <w:sz w:val="32"/>
          <w:szCs w:val="32"/>
          <w:lang w:eastAsia="zh-CN"/>
          <w:highlight w:val="auto"/>
        </w:rPr>
        <w:t>2025年度本年收入合计</w:t>
      </w:r>
      <w:r>
        <w:rPr>
          <w:rFonts w:ascii="仿宋_GB2312" w:eastAsia="仿宋_GB2312" w:cs="仿宋_GB2312" w:hint="eastAsia"/>
          <w:sz w:val="32"/>
          <w:szCs w:val="32"/>
          <w:lang w:val="en-US" w:eastAsia="zh-CN"/>
          <w:highlight w:val="auto"/>
        </w:rPr>
        <w:t>3571.46</w:t>
      </w:r>
      <w:r>
        <w:rPr>
          <w:rFonts w:ascii="仿宋_GB2312" w:eastAsia="仿宋_GB2312" w:cs="仿宋_GB2312" w:hint="eastAsia"/>
          <w:sz w:val="32"/>
          <w:szCs w:val="32"/>
          <w:highlight w:val="auto"/>
        </w:rPr>
        <w:t>万元，其中：一般公共预算财政拨款收入</w:t>
      </w:r>
      <w:r>
        <w:rPr>
          <w:rFonts w:ascii="仿宋_GB2312" w:eastAsia="仿宋_GB2312" w:cs="仿宋_GB2312" w:hint="eastAsia"/>
          <w:sz w:val="32"/>
          <w:szCs w:val="32"/>
          <w:lang w:val="en-US" w:eastAsia="zh-CN"/>
          <w:highlight w:val="auto"/>
        </w:rPr>
        <w:t>2974.34</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lang w:val="en-US" w:eastAsia="zh-CN"/>
          <w:highlight w:val="auto"/>
        </w:rPr>
        <w:t>83</w:t>
      </w:r>
      <w:r>
        <w:rPr>
          <w:rFonts w:ascii="仿宋_GB2312" w:eastAsia="仿宋_GB2312" w:cs="仿宋_GB2312" w:hint="eastAsia"/>
          <w:color w:val="auto"/>
          <w:sz w:val="32"/>
          <w:szCs w:val="32"/>
          <w:lang w:eastAsia="zh-CN"/>
          <w:highlight w:val="auto"/>
        </w:rPr>
        <w:t>%；</w:t>
      </w:r>
      <w:r>
        <w:rPr>
          <w:rFonts w:ascii="仿宋_GB2312" w:eastAsia="仿宋_GB2312" w:cs="仿宋_GB2312" w:hint="eastAsia"/>
          <w:color w:val="auto"/>
          <w:sz w:val="32"/>
          <w:szCs w:val="32"/>
          <w:lang w:val="en-US" w:eastAsia="zh-CN"/>
          <w:highlight w:val="auto"/>
        </w:rPr>
        <w:t>其他</w:t>
      </w:r>
      <w:r>
        <w:rPr>
          <w:rFonts w:ascii="仿宋_GB2312" w:eastAsia="仿宋_GB2312" w:cs="仿宋_GB2312" w:hint="eastAsia"/>
          <w:color w:val="auto"/>
          <w:sz w:val="32"/>
          <w:szCs w:val="32"/>
          <w:lang w:eastAsia="zh-CN"/>
          <w:highlight w:val="auto"/>
        </w:rPr>
        <w:t>收入</w:t>
      </w:r>
      <w:r>
        <w:rPr>
          <w:rFonts w:ascii="仿宋_GB2312" w:eastAsia="仿宋_GB2312" w:cs="仿宋_GB2312" w:hint="eastAsia"/>
          <w:sz w:val="32"/>
          <w:szCs w:val="32"/>
          <w:lang w:val="en-US" w:eastAsia="zh-CN"/>
          <w:highlight w:val="auto"/>
        </w:rPr>
        <w:t>597.13</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lang w:val="en-US" w:eastAsia="zh-CN"/>
          <w:highlight w:val="auto"/>
        </w:rPr>
        <w:t>17</w:t>
      </w:r>
      <w:r>
        <w:rPr>
          <w:rFonts w:ascii="仿宋_GB2312" w:eastAsia="仿宋_GB2312" w:cs="仿宋_GB2312" w:hint="eastAsia"/>
          <w:color w:val="auto"/>
          <w:sz w:val="32"/>
          <w:szCs w:val="32"/>
          <w:lang w:eastAsia="zh-CN"/>
          <w:highlight w:val="auto"/>
        </w:rPr>
        <w:t>%。</w:t>
      </w: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9"/>
        <w:rPr>
          <w:rFonts w:ascii="仿宋_GB2312" w:eastAsia="仿宋_GB2312" w:cs="仿宋_GB2312" w:hint="eastAsia"/>
          <w:color w:val="auto"/>
          <w:sz w:val="32"/>
          <w:szCs w:val="32"/>
          <w:lang w:eastAsia="zh-CN"/>
          <w:highlight w:val="auto"/>
        </w:rPr>
      </w:pPr>
    </w:p>
    <w:p>
      <w:pPr>
        <w:pStyle w:val="34"/>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ascii="Times New Roman" w:eastAsia="仿宋_GB2312" w:cs="仿宋_GB2312" w:hAnsi="Times New Roman" w:hint="eastAsia"/>
          <w:color w:val="auto"/>
          <w:sz w:val="32"/>
          <w:szCs w:val="32"/>
          <w:lang w:eastAsia="zh-CN"/>
          <w:highlight w:val="auto"/>
        </w:rPr>
      </w:pPr>
      <w:r>
        <w:rPr>
          <w:rFonts w:ascii="仿宋" w:eastAsia="仿宋"/>
          <w:color w:val="auto"/>
          <w:sz w:val="32"/>
          <w:szCs w:val="32"/>
          <w:lang w:val="en-US"/>
          <w:highlight w:val="auto"/>
        </w:rPr>
        <w:drawing>
          <wp:anchor distT="0" distB="0" distL="114300" distR="114300" simplePos="0" relativeHeight="24" behindDoc="0" locked="0" layoutInCell="1" hidden="0" allowOverlap="1">
            <wp:simplePos x="0" y="0"/>
            <wp:positionH relativeFrom="column">
              <wp:posOffset>34290</wp:posOffset>
            </wp:positionH>
            <wp:positionV relativeFrom="paragraph">
              <wp:posOffset>33655</wp:posOffset>
            </wp:positionV>
            <wp:extent cx="5256530" cy="2988310"/>
            <wp:effectExtent l="0" t="0" r="0" b="0"/>
            <wp:wrapTopAndBottom/>
            <wp:docPr id="2" name="图表 4"/>
            <wp:cNvGraphicFramePr>
              <a:graphicFrameLocks noChangeAspect="0"/>
            </wp:cNvGraphicFramePr>
            <a:graphic>
              <a:graphicData uri="http://schemas.openxmlformats.org/drawingml/2006/chart">
                <c:chart xmlns:c="http://schemas.openxmlformats.org/drawingml/2006/chart" r:id="rId7"/>
              </a:graphicData>
            </a:graphic>
          </wp:anchor>
        </w:drawing>
      </w:r>
      <w:r>
        <w:rPr>
          <w:rFonts w:ascii="Times New Roman" w:eastAsia="仿宋_GB2312" w:cs="仿宋_GB2312" w:hAnsi="Times New Roman" w:hint="eastAsia"/>
          <w:color w:val="auto"/>
          <w:sz w:val="32"/>
          <w:szCs w:val="32"/>
          <w:lang w:eastAsia="zh-CN"/>
          <w:highlight w:val="auto"/>
        </w:rPr>
        <w:t>（图2：收入决算结构图）（饼状图）</w:t>
      </w: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8" w:name="_Toc15396605"/>
      <w:bookmarkStart w:id="29" w:name="_Toc14877"/>
      <w:bookmarkStart w:id="30" w:name="_Toc15377207"/>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28"/>
      <w:bookmarkEnd w:id="29"/>
      <w:bookmarkEnd w:id="30"/>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left"/>
        <w:textAlignment w:val="auto"/>
        <w:outlineLvl w:val="9"/>
        <w:rPr>
          <w:rFonts w:ascii="Times New Roman" w:eastAsia="仿宋_GB2312" w:cs="仿宋_GB2312" w:hAnsi="Times New Roman" w:hint="eastAsia"/>
          <w:color w:val="auto"/>
          <w:sz w:val="32"/>
          <w:szCs w:val="32"/>
          <w:lang w:eastAsia="zh-CN"/>
          <w:highlight w:val="auto"/>
        </w:rPr>
      </w:pPr>
      <w:r>
        <w:rPr>
          <w:rFonts w:ascii="仿宋_GB2312" w:eastAsia="仿宋_GB2312" w:cs="仿宋_GB2312" w:hint="eastAsia"/>
          <w:color w:val="auto"/>
          <w:sz w:val="32"/>
          <w:szCs w:val="32"/>
          <w:lang w:eastAsia="zh-CN"/>
          <w:highlight w:val="auto"/>
        </w:rPr>
        <w:t>2025年度本年支出合计</w:t>
      </w:r>
      <w:r>
        <w:rPr>
          <w:rFonts w:ascii="仿宋_GB2312" w:eastAsia="仿宋_GB2312" w:cs="仿宋_GB2312" w:hint="eastAsia"/>
          <w:sz w:val="32"/>
          <w:szCs w:val="32"/>
          <w:lang w:val="en-US" w:eastAsia="zh-CN"/>
          <w:highlight w:val="auto"/>
        </w:rPr>
        <w:t>3694.56</w:t>
      </w:r>
      <w:r>
        <w:rPr>
          <w:rFonts w:ascii="仿宋_GB2312" w:eastAsia="仿宋_GB2312" w:cs="仿宋_GB2312" w:hint="eastAsia"/>
          <w:color w:val="auto"/>
          <w:sz w:val="32"/>
          <w:szCs w:val="32"/>
          <w:lang w:eastAsia="zh-CN"/>
          <w:highlight w:val="auto"/>
        </w:rPr>
        <w:t>万元，其中：基本支出</w:t>
      </w:r>
      <w:r>
        <w:rPr>
          <w:rFonts w:ascii="仿宋_GB2312" w:eastAsia="仿宋_GB2312" w:cs="仿宋_GB2312" w:hint="eastAsia"/>
          <w:sz w:val="32"/>
          <w:szCs w:val="32"/>
          <w:lang w:val="en-US" w:eastAsia="zh-CN"/>
          <w:highlight w:val="auto"/>
        </w:rPr>
        <w:t>1819.96</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sz w:val="32"/>
          <w:szCs w:val="32"/>
          <w:lang w:val="en-US" w:eastAsia="zh-CN"/>
          <w:highlight w:val="auto"/>
        </w:rPr>
        <w:t>49</w:t>
      </w:r>
      <w:r>
        <w:rPr>
          <w:rFonts w:ascii="仿宋_GB2312" w:eastAsia="仿宋_GB2312" w:cs="仿宋_GB2312" w:hint="eastAsia"/>
          <w:color w:val="auto"/>
          <w:sz w:val="32"/>
          <w:szCs w:val="32"/>
          <w:lang w:eastAsia="zh-CN"/>
          <w:highlight w:val="auto"/>
        </w:rPr>
        <w:t>%；项目支出</w:t>
      </w:r>
      <w:r>
        <w:rPr>
          <w:rFonts w:ascii="仿宋_GB2312" w:eastAsia="仿宋_GB2312" w:cs="仿宋_GB2312" w:hint="eastAsia"/>
          <w:sz w:val="32"/>
          <w:szCs w:val="32"/>
          <w:lang w:val="en-US" w:eastAsia="zh-CN"/>
          <w:highlight w:val="auto"/>
        </w:rPr>
        <w:t>1874.6</w:t>
      </w:r>
      <w:r>
        <w:rPr>
          <w:rFonts w:ascii="仿宋_GB2312" w:eastAsia="仿宋_GB2312" w:cs="仿宋_GB2312" w:hint="eastAsia"/>
          <w:color w:val="auto"/>
          <w:sz w:val="32"/>
          <w:szCs w:val="32"/>
          <w:lang w:eastAsia="zh-CN"/>
          <w:highlight w:val="auto"/>
        </w:rPr>
        <w:t>万元，占</w:t>
      </w:r>
      <w:r>
        <w:rPr>
          <w:rFonts w:ascii="仿宋_GB2312" w:eastAsia="仿宋_GB2312" w:cs="仿宋_GB2312" w:hint="eastAsia"/>
          <w:color w:val="auto"/>
          <w:sz w:val="32"/>
          <w:szCs w:val="32"/>
          <w:lang w:val="en-US" w:eastAsia="zh-CN"/>
          <w:highlight w:val="auto"/>
        </w:rPr>
        <w:t>51</w:t>
      </w:r>
      <w:r>
        <w:rPr>
          <w:rFonts w:ascii="仿宋_GB2312" w:eastAsia="仿宋_GB2312" w:cs="仿宋_GB2312" w:hint="eastAsia"/>
          <w:color w:val="auto"/>
          <w:sz w:val="32"/>
          <w:szCs w:val="32"/>
          <w:lang w:eastAsia="zh-CN"/>
          <w:highlight w:val="auto"/>
        </w:rPr>
        <w:t>%。</w:t>
      </w:r>
    </w:p>
    <w:p>
      <w:pPr>
        <w:jc w:val="center"/>
        <w:outlineLvl w:val="9"/>
        <w:rPr>
          <w:rFonts w:ascii="Times New Roman" w:eastAsia="仿宋_GB2312" w:cs="仿宋_GB2312" w:hAnsi="Times New Roman" w:hint="eastAsia"/>
          <w:color w:val="auto"/>
          <w:sz w:val="32"/>
          <w:szCs w:val="32"/>
          <w:lang w:eastAsia="zh-CN"/>
          <w:highlight w:val="auto"/>
        </w:rPr>
      </w:pPr>
      <w:r>
        <w:rPr>
          <w:rFonts w:ascii="仿宋" w:eastAsia="仿宋"/>
          <w:color w:val="auto"/>
          <w:sz w:val="32"/>
          <w:szCs w:val="32"/>
          <w:lang w:val="en-US"/>
          <w:highlight w:val="auto"/>
        </w:rPr>
        <w:drawing>
          <wp:anchor distT="0" distB="0" distL="114300" distR="114300" simplePos="0" relativeHeight="26" behindDoc="0" locked="0" layoutInCell="1" hidden="0" allowOverlap="1">
            <wp:simplePos x="0" y="0"/>
            <wp:positionH relativeFrom="column">
              <wp:posOffset>43180</wp:posOffset>
            </wp:positionH>
            <wp:positionV relativeFrom="paragraph">
              <wp:posOffset>76200</wp:posOffset>
            </wp:positionV>
            <wp:extent cx="5256530" cy="2988310"/>
            <wp:effectExtent l="0" t="0" r="0" b="0"/>
            <wp:wrapTopAndBottom/>
            <wp:docPr id="3" name="图表 5"/>
            <wp:cNvGraphicFramePr>
              <a:graphicFrameLocks noChangeAspect="0"/>
            </wp:cNvGraphicFramePr>
            <a:graphic>
              <a:graphicData uri="http://schemas.openxmlformats.org/drawingml/2006/chart">
                <c:chart xmlns:c="http://schemas.openxmlformats.org/drawingml/2006/chart" r:id="rId8"/>
              </a:graphicData>
            </a:graphic>
          </wp:anchor>
        </w:drawing>
      </w:r>
      <w:r>
        <w:rPr>
          <w:rFonts w:ascii="Times New Roman" w:eastAsia="仿宋_GB2312" w:cs="仿宋_GB2312" w:hAnsi="Times New Roman" w:hint="eastAsia"/>
          <w:color w:val="auto"/>
          <w:sz w:val="32"/>
          <w:szCs w:val="32"/>
          <w:lang w:eastAsia="zh-CN"/>
          <w:highlight w:val="auto"/>
        </w:rPr>
        <w:t>（图3：支出决算结构图）（饼状图）</w:t>
      </w:r>
    </w:p>
    <w:p>
      <w:pPr>
        <w:spacing w:line="600" w:lineRule="exact"/>
        <w:ind w:firstLineChars="200" w:firstLine="640"/>
        <w:outlineLvl w:val="1"/>
        <w:rPr>
          <w:rStyle w:val="2Char"/>
          <w:rFonts w:ascii="Times New Roman" w:eastAsia="黑体" w:hAnsi="Times New Roman"/>
          <w:b w:val="0"/>
          <w:color w:val="auto"/>
          <w:highlight w:val="auto"/>
        </w:rPr>
      </w:pPr>
      <w:bookmarkStart w:id="31" w:name="_Toc27251"/>
      <w:bookmarkStart w:id="32" w:name="_Toc15377208"/>
      <w:bookmarkStart w:id="33" w:name="_Toc15396606"/>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31"/>
      <w:bookmarkEnd w:id="32"/>
      <w:bookmarkEnd w:id="33"/>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w:t>
      </w:r>
      <w:r>
        <w:rPr>
          <w:rFonts w:ascii="Times New Roman" w:eastAsia="仿宋_GB2312" w:cs="仿宋_GB2312" w:hAnsi="Times New Roman" w:hint="eastAsia"/>
          <w:color w:val="auto"/>
          <w:kern w:val="2"/>
          <w:sz w:val="32"/>
          <w:szCs w:val="32"/>
          <w:lang w:val="en-US" w:eastAsia="zh-CN" w:bidi="ar-SA"/>
          <w:highlight w:val="auto"/>
        </w:rPr>
        <w:t>年度财政拨款收入、支出总计均为</w:t>
      </w:r>
      <w:r>
        <w:rPr>
          <w:rFonts w:ascii="仿宋_GB2312" w:eastAsia="仿宋_GB2312" w:cs="仿宋_GB2312" w:hint="eastAsia"/>
          <w:sz w:val="32"/>
          <w:szCs w:val="32"/>
          <w:lang w:val="en-US" w:eastAsia="zh-CN"/>
          <w:highlight w:val="auto"/>
        </w:rPr>
        <w:t>3571.46</w:t>
      </w:r>
      <w:r>
        <w:rPr>
          <w:rFonts w:ascii="Times New Roman" w:eastAsia="仿宋_GB2312" w:cs="仿宋_GB2312" w:hAnsi="Times New Roman" w:hint="eastAsia"/>
          <w:color w:val="auto"/>
          <w:kern w:val="2"/>
          <w:sz w:val="32"/>
          <w:szCs w:val="32"/>
          <w:lang w:val="en-US" w:eastAsia="zh-CN" w:bidi="ar-SA"/>
          <w:highlight w:val="auto"/>
        </w:rPr>
        <w:t>万元。与</w:t>
      </w:r>
      <w:r>
        <w:rPr>
          <w:rFonts w:eastAsia="仿宋_GB2312" w:cs="仿宋_GB2312" w:hint="eastAsia"/>
          <w:color w:val="auto"/>
          <w:kern w:val="2"/>
          <w:sz w:val="32"/>
          <w:szCs w:val="32"/>
          <w:lang w:val="en-US" w:eastAsia="zh-CN" w:bidi="ar-SA"/>
          <w:highlight w:val="auto"/>
        </w:rPr>
        <w:t>2024</w:t>
      </w:r>
      <w:r>
        <w:rPr>
          <w:rFonts w:ascii="Times New Roman" w:eastAsia="仿宋_GB2312" w:cs="仿宋_GB2312" w:hAnsi="Times New Roman" w:hint="eastAsia"/>
          <w:color w:val="auto"/>
          <w:kern w:val="2"/>
          <w:sz w:val="32"/>
          <w:szCs w:val="32"/>
          <w:lang w:val="en-US" w:eastAsia="zh-CN" w:bidi="ar-SA"/>
          <w:highlight w:val="auto"/>
        </w:rPr>
        <w:t>年度相比，财政拨款收入总计、支出总计各增加</w:t>
      </w:r>
      <w:r>
        <w:rPr>
          <w:rFonts w:ascii="仿宋_GB2312" w:eastAsia="仿宋_GB2312" w:cs="仿宋_GB2312" w:hint="eastAsia"/>
          <w:sz w:val="32"/>
          <w:szCs w:val="32"/>
          <w:lang w:val="en-US" w:eastAsia="zh-CN"/>
          <w:highlight w:val="auto"/>
        </w:rPr>
        <w:t>775.16</w:t>
      </w:r>
      <w:r>
        <w:rPr>
          <w:rFonts w:ascii="Times New Roman" w:eastAsia="仿宋_GB2312" w:cs="仿宋_GB2312" w:hAnsi="Times New Roman" w:hint="eastAsia"/>
          <w:color w:val="auto"/>
          <w:kern w:val="2"/>
          <w:sz w:val="32"/>
          <w:szCs w:val="32"/>
          <w:lang w:val="en-US" w:eastAsia="zh-CN" w:bidi="ar-SA"/>
          <w:highlight w:val="auto"/>
        </w:rPr>
        <w:t>万元，增长</w:t>
      </w:r>
      <w:r>
        <w:rPr>
          <w:rFonts w:ascii="仿宋_GB2312" w:eastAsia="仿宋_GB2312" w:cs="仿宋_GB2312" w:hint="eastAsia"/>
          <w:sz w:val="32"/>
          <w:szCs w:val="32"/>
          <w:lang w:val="en-US" w:eastAsia="zh-CN"/>
          <w:highlight w:val="auto"/>
        </w:rPr>
        <w:t>27.72</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ascii="仿宋_GB2312" w:eastAsia="仿宋_GB2312" w:cs="仿宋_GB2312" w:hint="eastAsia"/>
          <w:sz w:val="32"/>
          <w:szCs w:val="32"/>
          <w:lang w:val="en-US" w:eastAsia="zh-CN"/>
          <w:highlight w:val="auto"/>
        </w:rPr>
        <w:t>单位资金随人员公用经费基数及项目资金产生变化。</w:t>
      </w:r>
    </w:p>
    <w:p>
      <w:pPr>
        <w:pStyle w:val="15"/>
        <w:outlineLvl w:val="9"/>
        <w:rPr>
          <w:rFonts w:hint="eastAsia"/>
          <w:lang w:val="en-US" w:eastAsia="zh-CN"/>
          <w:highlight w:val="auto"/>
        </w:rPr>
      </w:pPr>
    </w:p>
    <w:p>
      <w:pPr>
        <w:spacing w:line="600" w:lineRule="exact"/>
        <w:jc w:val="center"/>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sz w:val="32"/>
          <w:szCs w:val="32"/>
          <w:lang w:eastAsia="zh-CN"/>
          <w:highlight w:val="auto"/>
        </w:rPr>
        <w:drawing>
          <wp:anchor distT="0" distB="0" distL="114300" distR="114300" simplePos="0" relativeHeight="28" behindDoc="0" locked="0" layoutInCell="1" hidden="0" allowOverlap="1">
            <wp:simplePos x="0" y="0"/>
            <wp:positionH relativeFrom="column">
              <wp:posOffset>43815</wp:posOffset>
            </wp:positionH>
            <wp:positionV relativeFrom="paragraph">
              <wp:posOffset>10795</wp:posOffset>
            </wp:positionV>
            <wp:extent cx="5256530" cy="2988310"/>
            <wp:effectExtent l="0" t="0" r="0" b="0"/>
            <wp:wrapTopAndBottom/>
            <wp:docPr id="4" name="图表 6"/>
            <wp:cNvGraphicFramePr>
              <a:graphicFrameLocks noChangeAspect="0"/>
            </wp:cNvGraphicFramePr>
            <a:graphic>
              <a:graphicData uri="http://schemas.openxmlformats.org/drawingml/2006/chart">
                <c:chart xmlns:c="http://schemas.openxmlformats.org/drawingml/2006/chart" r:id="rId9"/>
              </a:graphicData>
            </a:graphic>
          </wp:anchor>
        </w:drawing>
      </w: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spacing w:line="600" w:lineRule="exact"/>
        <w:ind w:firstLineChars="200" w:firstLine="640"/>
        <w:outlineLvl w:val="1"/>
        <w:rPr>
          <w:rStyle w:val="2Char"/>
          <w:rFonts w:ascii="Times New Roman" w:eastAsia="黑体" w:hAnsi="Times New Roman"/>
          <w:b w:val="0"/>
          <w:color w:val="auto"/>
          <w:highlight w:val="auto"/>
        </w:rPr>
      </w:pPr>
      <w:bookmarkStart w:id="34" w:name="_Toc15396607"/>
      <w:bookmarkStart w:id="35" w:name="_Toc15377209"/>
      <w:bookmarkStart w:id="36" w:name="_Toc15614"/>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34"/>
      <w:bookmarkEnd w:id="35"/>
      <w:bookmarkEnd w:id="36"/>
    </w:p>
    <w:p>
      <w:pPr>
        <w:spacing w:line="600" w:lineRule="exact"/>
        <w:ind w:firstLineChars="200" w:firstLine="640"/>
        <w:outlineLvl w:val="9"/>
        <w:rPr>
          <w:rFonts w:ascii="Times New Roman" w:eastAsia="楷体_GB2312" w:cs="楷体_GB2312" w:hAnsi="Times New Roman" w:hint="eastAsia"/>
          <w:b/>
          <w:color w:val="auto"/>
          <w:sz w:val="32"/>
          <w:szCs w:val="32"/>
          <w:highlight w:val="auto"/>
        </w:rPr>
      </w:pPr>
      <w:bookmarkStart w:id="37"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37"/>
    </w:p>
    <w:p>
      <w:pPr>
        <w:spacing w:line="600" w:lineRule="exact"/>
        <w:ind w:firstLine="640"/>
        <w:outlineLvl w:val="9"/>
        <w:rPr>
          <w:rFonts w:ascii="Times New Roman" w:eastAsia="仿宋_GB2312" w:cs="仿宋_GB2312" w:hAnsi="Times New Roman"/>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2025年度一般公共预算财政拨款支出</w:t>
      </w:r>
      <w:r>
        <w:rPr>
          <w:rFonts w:ascii="仿宋_GB2312" w:eastAsia="仿宋_GB2312" w:cs="仿宋_GB2312" w:hint="eastAsia"/>
          <w:sz w:val="32"/>
          <w:szCs w:val="32"/>
          <w:lang w:val="en-US" w:eastAsia="zh-CN"/>
          <w:highlight w:val="auto"/>
        </w:rPr>
        <w:t>2974.34</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lang w:val="en-US" w:eastAsia="zh-CN"/>
          <w:highlight w:val="auto"/>
        </w:rPr>
        <w:t>83</w:t>
      </w:r>
      <w:r>
        <w:rPr>
          <w:rFonts w:ascii="仿宋_GB2312" w:eastAsia="仿宋_GB2312" w:cs="仿宋_GB2312" w:hint="eastAsia"/>
          <w:color w:val="auto"/>
          <w:kern w:val="2"/>
          <w:sz w:val="32"/>
          <w:szCs w:val="32"/>
          <w:lang w:val="en-US" w:eastAsia="zh-CN" w:bidi="ar-SA"/>
          <w:highlight w:val="auto"/>
        </w:rPr>
        <w:t>%。与2024年度相比，一般公共预算财政拨款支出增加</w:t>
      </w:r>
      <w:r>
        <w:rPr>
          <w:rFonts w:ascii="仿宋_GB2312" w:eastAsia="仿宋_GB2312" w:cs="仿宋_GB2312" w:hint="eastAsia"/>
          <w:sz w:val="32"/>
          <w:szCs w:val="32"/>
          <w:lang w:val="en-US" w:eastAsia="zh-CN"/>
          <w:highlight w:val="auto"/>
        </w:rPr>
        <w:t>178.03</w:t>
      </w:r>
      <w:r>
        <w:rPr>
          <w:rFonts w:ascii="仿宋_GB2312" w:eastAsia="仿宋_GB2312" w:cs="仿宋_GB2312" w:hint="eastAsia"/>
          <w:color w:val="auto"/>
          <w:kern w:val="2"/>
          <w:sz w:val="32"/>
          <w:szCs w:val="32"/>
          <w:lang w:val="en-US" w:eastAsia="zh-CN" w:bidi="ar-SA"/>
          <w:highlight w:val="auto"/>
        </w:rPr>
        <w:t>万元，增长</w:t>
      </w:r>
      <w:r>
        <w:rPr>
          <w:rFonts w:ascii="仿宋_GB2312" w:eastAsia="仿宋_GB2312" w:cs="仿宋_GB2312" w:hint="eastAsia"/>
          <w:sz w:val="32"/>
          <w:szCs w:val="32"/>
          <w:lang w:val="en-US" w:eastAsia="zh-CN"/>
          <w:highlight w:val="auto"/>
        </w:rPr>
        <w:t>6.37</w:t>
      </w:r>
      <w:r>
        <w:rPr>
          <w:rFonts w:ascii="仿宋_GB2312" w:eastAsia="仿宋_GB2312" w:cs="仿宋_GB2312" w:hint="eastAsia"/>
          <w:color w:val="auto"/>
          <w:kern w:val="2"/>
          <w:sz w:val="32"/>
          <w:szCs w:val="32"/>
          <w:lang w:val="en-US" w:eastAsia="zh-CN" w:bidi="ar-SA"/>
          <w:highlight w:val="auto"/>
        </w:rPr>
        <w:t>%。主要变动原因是</w:t>
      </w:r>
      <w:r>
        <w:rPr>
          <w:rFonts w:ascii="仿宋_GB2312" w:eastAsia="仿宋_GB2312" w:cs="仿宋_GB2312" w:hint="eastAsia"/>
          <w:sz w:val="32"/>
          <w:szCs w:val="32"/>
          <w:lang w:val="en-US" w:eastAsia="zh-CN"/>
          <w:highlight w:val="auto"/>
        </w:rPr>
        <w:t>单位资金随人员公用经费基数及项目资金产生变化。</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9"/>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9"/>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both"/>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sz w:val="32"/>
          <w:szCs w:val="32"/>
          <w:lang w:eastAsia="zh-CN"/>
          <w:highlight w:val="auto"/>
        </w:rPr>
        <w:drawing>
          <wp:anchor distT="0" distB="0" distL="114300" distR="114300" simplePos="0" relativeHeight="30" behindDoc="0" locked="0" layoutInCell="1" hidden="0" allowOverlap="1">
            <wp:simplePos x="0" y="0"/>
            <wp:positionH relativeFrom="column">
              <wp:posOffset>61594</wp:posOffset>
            </wp:positionH>
            <wp:positionV relativeFrom="paragraph">
              <wp:posOffset>42544</wp:posOffset>
            </wp:positionV>
            <wp:extent cx="5256530" cy="2988310"/>
            <wp:effectExtent l="0" t="0" r="0" b="0"/>
            <wp:wrapTopAndBottom/>
            <wp:docPr id="5" name="图表 7"/>
            <wp:cNvGraphicFramePr>
              <a:graphicFrameLocks noChangeAspect="0"/>
            </wp:cNvGraphicFramePr>
            <a:graphic>
              <a:graphicData uri="http://schemas.openxmlformats.org/drawingml/2006/chart">
                <c:chart xmlns:c="http://schemas.openxmlformats.org/drawingml/2006/chart" r:id="rId10"/>
              </a:graphicData>
            </a:graphic>
          </wp:anchor>
        </w:drawing>
      </w: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（图5：一般公共预算财政拨款支出决算变动情况）（柱状图）</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9"/>
        <w:rPr>
          <w:rFonts w:ascii="Times New Roman" w:eastAsia="楷体_GB2312" w:cs="楷体_GB2312" w:hAnsi="Times New Roman" w:hint="eastAsia"/>
          <w:b/>
          <w:color w:val="auto"/>
          <w:sz w:val="32"/>
          <w:szCs w:val="32"/>
          <w:highlight w:val="auto"/>
        </w:rPr>
      </w:pPr>
      <w:bookmarkStart w:id="38"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38"/>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2025年度一般公共预算财政拨款支出2974.34万元，主要用于以下方面：一般公共服务支出2582.3万元，占86.82%；教育支出0.2万元，占0.01%；社会保障和就业支出206.64万元，占6.95%；卫生健康支出76.72万元，占2.58%；住房保障支出108.47万元，占3.65%。</w:t>
      </w:r>
    </w:p>
    <w:p>
      <w:pPr>
        <w:spacing w:line="600" w:lineRule="exact"/>
        <w:ind w:firstLine="640"/>
        <w:outlineLvl w:val="9"/>
        <w:rPr>
          <w:rFonts w:eastAsia="仿宋_GB2312" w:cs="仿宋_GB2312" w:hint="eastAsia"/>
          <w:color w:val="auto"/>
          <w:kern w:val="2"/>
          <w:sz w:val="32"/>
          <w:szCs w:val="32"/>
          <w:lang w:val="en-US" w:eastAsia="zh-CN" w:bidi="ar-SA"/>
          <w:highlight w:val="auto"/>
        </w:rPr>
      </w:pPr>
    </w:p>
    <w:p>
      <w:pPr>
        <w:pStyle w:val="20"/>
        <w:ind w:leftChars="0" w:left="0" w:firstLineChars="0" w:firstLine="0"/>
        <w:outlineLvl w:val="9"/>
        <w:rPr>
          <w:rFonts w:hint="eastAsia"/>
          <w:lang w:val="en-US" w:eastAsia="zh-CN"/>
          <w:highlight w:val="auto"/>
        </w:rPr>
      </w:pPr>
    </w:p>
    <w:p>
      <w:pPr>
        <w:pStyle w:val="20"/>
        <w:ind w:leftChars="0" w:left="0" w:firstLineChars="0" w:firstLine="0"/>
        <w:jc w:val="center"/>
        <w:outlineLvl w:val="9"/>
        <w:rPr>
          <w:rFonts w:ascii="Times New Roman" w:eastAsia="仿宋_GB2312" w:cs="仿宋_GB2312" w:hAnsi="Times New Roman" w:hint="eastAsia"/>
          <w:color w:val="auto"/>
          <w:kern w:val="2"/>
          <w:sz w:val="32"/>
          <w:szCs w:val="32"/>
          <w:lang w:val="en-US" w:eastAsia="zh-CN" w:bidi="ar-SA"/>
          <w:highlight w:val="auto"/>
        </w:rPr>
      </w:pPr>
      <w:r>
        <w:rPr>
          <w:rFonts w:ascii="仿宋" w:eastAsia="仿宋" w:cs="仿宋" w:hint="eastAsia"/>
          <w:color w:val="auto"/>
          <w:sz w:val="32"/>
          <w:szCs w:val="32"/>
          <w:lang w:val="zh-CN" w:eastAsia="zh-CN"/>
          <w:highlight w:val="auto"/>
        </w:rPr>
        <w:drawing>
          <wp:inline distT="0" distB="0" distL="114300" distR="114300">
            <wp:extent cx="5256530" cy="2988310"/>
            <wp:effectExtent l="0" t="0" r="0" b="0"/>
            <wp:docPr id="6" name="图表 2"/>
            <wp:cNvGraphicFramePr>
              <a:graphicFrameLocks noChangeAspect="0"/>
            </wp:cNvGraphicFramePr>
            <a:graphic>
              <a:graphicData uri="http://schemas.openxmlformats.org/drawingml/2006/chart">
                <c:chart xmlns:c="http://schemas.openxmlformats.org/drawingml/2006/chart" r:id="rId11"/>
              </a:graphicData>
            </a:graphic>
          </wp:inline>
        </w:drawing>
      </w: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9"/>
        <w:rPr>
          <w:rFonts w:ascii="Times New Roman" w:eastAsia="楷体_GB2312" w:cs="楷体_GB2312" w:hAnsi="Times New Roman" w:hint="eastAsia"/>
          <w:b/>
          <w:color w:val="auto"/>
          <w:sz w:val="32"/>
          <w:szCs w:val="32"/>
          <w:highlight w:val="auto"/>
        </w:rPr>
      </w:pPr>
      <w:bookmarkStart w:id="39"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39"/>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bookmarkStart w:id="40" w:name="_Toc15377213"/>
      <w:bookmarkStart w:id="41" w:name="_Toc15378460"/>
      <w:bookmarkStart w:id="42" w:name="_Toc15377444"/>
      <w:r>
        <w:rPr>
          <w:rFonts w:eastAsia="仿宋_GB2312" w:cs="仿宋_GB2312" w:hint="eastAsia"/>
          <w:color w:val="auto"/>
          <w:kern w:val="2"/>
          <w:sz w:val="32"/>
          <w:szCs w:val="32"/>
          <w:lang w:val="en-US" w:eastAsia="zh-CN" w:bidi="ar-SA"/>
          <w:highlight w:val="auto"/>
        </w:rPr>
        <w:t>2025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年度一般公共预算财政拨款支出决算数为</w:t>
      </w:r>
      <w:r>
        <w:rPr>
          <w:rFonts w:ascii="仿宋_GB2312" w:eastAsia="仿宋_GB2312" w:cs="仿宋_GB2312" w:hint="eastAsia"/>
          <w:sz w:val="32"/>
          <w:szCs w:val="32"/>
          <w:lang w:val="en-US" w:eastAsia="zh-CN"/>
          <w:highlight w:val="auto"/>
        </w:rPr>
        <w:t>2974.34</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40"/>
      <w:bookmarkEnd w:id="41"/>
      <w:bookmarkEnd w:id="42"/>
    </w:p>
    <w:p>
      <w:pPr>
        <w:numPr>
          <w:ilvl w:val="0"/>
          <w:numId w:val="2"/>
        </w:numPr>
        <w:spacing w:line="600" w:lineRule="exact"/>
        <w:ind w:left="0" w:firstLine="400"/>
        <w:rPr>
          <w:rFonts w:eastAsia="仿宋_GB2312" w:cs="仿宋_GB2312"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一般公共服务支出（20</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）统战事务（</w:t>
      </w:r>
      <w:r>
        <w:rPr>
          <w:rFonts w:eastAsia="仿宋_GB2312" w:cs="仿宋_GB2312" w:hint="eastAsia"/>
          <w:color w:val="auto"/>
          <w:kern w:val="2"/>
          <w:sz w:val="32"/>
          <w:szCs w:val="32"/>
          <w:lang w:val="en-US" w:eastAsia="zh-CN" w:bidi="ar-SA"/>
          <w:highlight w:val="auto"/>
        </w:rPr>
        <w:t>34</w:t>
      </w:r>
      <w:r>
        <w:rPr>
          <w:rFonts w:ascii="Times New Roman" w:eastAsia="仿宋_GB2312" w:cs="仿宋_GB2312" w:hAnsi="Times New Roman" w:hint="eastAsia"/>
          <w:color w:val="auto"/>
          <w:kern w:val="2"/>
          <w:sz w:val="32"/>
          <w:szCs w:val="32"/>
          <w:lang w:val="en-US" w:eastAsia="zh-CN" w:bidi="ar-SA"/>
          <w:highlight w:val="auto"/>
        </w:rPr>
        <w:t>）行政运行（01）:支出决算为</w:t>
      </w:r>
      <w:r>
        <w:rPr>
          <w:rFonts w:eastAsia="仿宋_GB2312" w:cs="仿宋_GB2312" w:hint="eastAsia"/>
          <w:color w:val="auto"/>
          <w:kern w:val="2"/>
          <w:sz w:val="32"/>
          <w:szCs w:val="32"/>
          <w:lang w:val="en-US" w:eastAsia="zh-CN" w:bidi="ar-SA"/>
          <w:highlight w:val="auto"/>
        </w:rPr>
        <w:t>874.07</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r>
        <w:rPr>
          <w:rFonts w:eastAsia="仿宋_GB2312" w:cs="仿宋_GB2312" w:hint="eastAsia"/>
          <w:color w:val="auto"/>
          <w:kern w:val="2"/>
          <w:sz w:val="32"/>
          <w:szCs w:val="32"/>
          <w:lang w:val="en-US" w:eastAsia="zh-CN" w:bidi="ar-SA"/>
          <w:highlight w:val="auto"/>
        </w:rPr>
        <w:t>。</w:t>
      </w:r>
    </w:p>
    <w:p>
      <w:pPr>
        <w:numPr>
          <w:ilvl w:val="0"/>
          <w:numId w:val="2"/>
        </w:numPr>
        <w:spacing w:line="600" w:lineRule="exact"/>
        <w:ind w:left="0" w:firstLine="400"/>
        <w:rPr>
          <w:rFonts w:eastAsia="仿宋_GB2312" w:cs="仿宋_GB2312"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一般公共服务支出（20</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）统战事务（</w:t>
      </w:r>
      <w:r>
        <w:rPr>
          <w:rFonts w:eastAsia="仿宋_GB2312" w:cs="仿宋_GB2312" w:hint="eastAsia"/>
          <w:color w:val="auto"/>
          <w:kern w:val="2"/>
          <w:sz w:val="32"/>
          <w:szCs w:val="32"/>
          <w:lang w:val="en-US" w:eastAsia="zh-CN" w:bidi="ar-SA"/>
          <w:highlight w:val="auto"/>
        </w:rPr>
        <w:t>34</w:t>
      </w:r>
      <w:r>
        <w:rPr>
          <w:rFonts w:ascii="Times New Roman" w:eastAsia="仿宋_GB2312" w:cs="仿宋_GB2312" w:hAnsi="Times New Roman" w:hint="eastAsia"/>
          <w:color w:val="auto"/>
          <w:kern w:val="2"/>
          <w:sz w:val="32"/>
          <w:szCs w:val="32"/>
          <w:lang w:val="en-US" w:eastAsia="zh-CN" w:bidi="ar-SA"/>
          <w:highlight w:val="auto"/>
        </w:rPr>
        <w:t>）行政运行（0</w:t>
      </w:r>
      <w:r>
        <w:rPr>
          <w:rFonts w:eastAsia="仿宋_GB2312" w:cs="仿宋_GB2312" w:hint="eastAsia"/>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）:支出决算为296.86万元，完成预算100%，决算数等于预算数</w:t>
      </w:r>
      <w:r>
        <w:rPr>
          <w:rFonts w:eastAsia="仿宋_GB2312" w:cs="仿宋_GB2312" w:hint="eastAsia"/>
          <w:color w:val="auto"/>
          <w:kern w:val="2"/>
          <w:sz w:val="32"/>
          <w:szCs w:val="32"/>
          <w:lang w:val="en-US" w:eastAsia="zh-CN" w:bidi="ar-SA"/>
          <w:highlight w:val="auto"/>
        </w:rPr>
        <w:t>。</w:t>
      </w:r>
    </w:p>
    <w:p>
      <w:pPr>
        <w:numPr>
          <w:ilvl w:val="0"/>
          <w:numId w:val="2"/>
        </w:numPr>
        <w:spacing w:line="600" w:lineRule="exact"/>
        <w:ind w:left="0" w:firstLine="400"/>
        <w:rPr>
          <w:rFonts w:hint="eastAsia"/>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一般公共服务支出（20</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）统战事务（</w:t>
      </w:r>
      <w:r>
        <w:rPr>
          <w:rFonts w:eastAsia="仿宋_GB2312" w:cs="仿宋_GB2312" w:hint="eastAsia"/>
          <w:color w:val="auto"/>
          <w:kern w:val="2"/>
          <w:sz w:val="32"/>
          <w:szCs w:val="32"/>
          <w:lang w:val="en-US" w:eastAsia="zh-CN" w:bidi="ar-SA"/>
          <w:highlight w:val="auto"/>
        </w:rPr>
        <w:t>34</w:t>
      </w:r>
      <w:r>
        <w:rPr>
          <w:rFonts w:ascii="Times New Roman" w:eastAsia="仿宋_GB2312" w:cs="仿宋_GB2312" w:hAnsi="Times New Roman" w:hint="eastAsia"/>
          <w:color w:val="auto"/>
          <w:kern w:val="2"/>
          <w:sz w:val="32"/>
          <w:szCs w:val="32"/>
          <w:lang w:val="en-US" w:eastAsia="zh-CN" w:bidi="ar-SA"/>
          <w:highlight w:val="auto"/>
        </w:rPr>
        <w:t>）事业运行（</w:t>
      </w:r>
      <w:r>
        <w:rPr>
          <w:rFonts w:eastAsia="仿宋_GB2312" w:cs="仿宋_GB2312" w:hint="eastAsia"/>
          <w:color w:val="auto"/>
          <w:kern w:val="2"/>
          <w:sz w:val="32"/>
          <w:szCs w:val="32"/>
          <w:lang w:val="en-US" w:eastAsia="zh-CN" w:bidi="ar-SA"/>
          <w:highlight w:val="auto"/>
        </w:rPr>
        <w:t>50</w:t>
      </w:r>
      <w:r>
        <w:rPr>
          <w:rFonts w:ascii="Times New Roman" w:eastAsia="仿宋_GB2312" w:cs="仿宋_GB2312" w:hAnsi="Times New Roman" w:hint="eastAsia"/>
          <w:color w:val="auto"/>
          <w:kern w:val="2"/>
          <w:sz w:val="32"/>
          <w:szCs w:val="32"/>
          <w:lang w:val="en-US" w:eastAsia="zh-CN" w:bidi="ar-SA"/>
          <w:highlight w:val="auto"/>
        </w:rPr>
        <w:t>）:支出决算为481.85万元，完成预算100%，决算数等于预算数</w:t>
      </w:r>
      <w:r>
        <w:rPr>
          <w:rFonts w:eastAsia="仿宋_GB2312" w:cs="仿宋_GB2312" w:hint="eastAsia"/>
          <w:color w:val="auto"/>
          <w:kern w:val="2"/>
          <w:sz w:val="32"/>
          <w:szCs w:val="32"/>
          <w:lang w:val="en-US" w:eastAsia="zh-CN" w:bidi="ar-SA"/>
          <w:highlight w:val="auto"/>
        </w:rPr>
        <w:t>。</w:t>
      </w:r>
    </w:p>
    <w:p>
      <w:pPr>
        <w:numPr>
          <w:ilvl w:val="0"/>
          <w:numId w:val="2"/>
        </w:numPr>
        <w:spacing w:line="600" w:lineRule="exact"/>
        <w:ind w:left="0" w:firstLine="400"/>
        <w:rPr>
          <w:rFonts w:hint="eastAsia"/>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一般公共服务支出（20</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）统战事务（</w:t>
      </w:r>
      <w:r>
        <w:rPr>
          <w:rFonts w:eastAsia="仿宋_GB2312" w:cs="仿宋_GB2312" w:hint="eastAsia"/>
          <w:color w:val="auto"/>
          <w:kern w:val="2"/>
          <w:sz w:val="32"/>
          <w:szCs w:val="32"/>
          <w:lang w:val="en-US" w:eastAsia="zh-CN" w:bidi="ar-SA"/>
          <w:highlight w:val="auto"/>
        </w:rPr>
        <w:t>34</w:t>
      </w:r>
      <w:r>
        <w:rPr>
          <w:rFonts w:ascii="Times New Roman" w:eastAsia="仿宋_GB2312" w:cs="仿宋_GB2312" w:hAnsi="Times New Roman" w:hint="eastAsia"/>
          <w:color w:val="auto"/>
          <w:kern w:val="2"/>
          <w:sz w:val="32"/>
          <w:szCs w:val="32"/>
          <w:lang w:val="en-US" w:eastAsia="zh-CN" w:bidi="ar-SA"/>
          <w:highlight w:val="auto"/>
        </w:rPr>
        <w:t>）其他统战事务支出（</w:t>
      </w:r>
      <w:r>
        <w:rPr>
          <w:rFonts w:eastAsia="仿宋_GB2312" w:cs="仿宋_GB2312" w:hint="eastAsia"/>
          <w:color w:val="auto"/>
          <w:kern w:val="2"/>
          <w:sz w:val="32"/>
          <w:szCs w:val="32"/>
          <w:lang w:val="en-US" w:eastAsia="zh-CN" w:bidi="ar-SA"/>
          <w:highlight w:val="auto"/>
        </w:rPr>
        <w:t>99</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929.52</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r>
        <w:rPr>
          <w:rFonts w:eastAsia="仿宋_GB2312" w:cs="仿宋_GB2312" w:hint="eastAsia"/>
          <w:color w:val="auto"/>
          <w:kern w:val="2"/>
          <w:sz w:val="32"/>
          <w:szCs w:val="32"/>
          <w:lang w:val="en-US" w:eastAsia="zh-CN" w:bidi="ar-SA"/>
          <w:highlight w:val="auto"/>
        </w:rPr>
        <w:t>。</w:t>
      </w:r>
    </w:p>
    <w:p>
      <w:pPr>
        <w:numPr>
          <w:ilvl w:val="0"/>
          <w:numId w:val="2"/>
        </w:numPr>
        <w:spacing w:line="600" w:lineRule="exact"/>
        <w:ind w:left="0" w:firstLine="400"/>
        <w:rPr>
          <w:rFonts w:hint="eastAsia"/>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教育支出（20</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）其他教育支出（</w:t>
      </w:r>
      <w:r>
        <w:rPr>
          <w:rFonts w:eastAsia="仿宋_GB2312" w:cs="仿宋_GB2312" w:hint="eastAsia"/>
          <w:color w:val="auto"/>
          <w:kern w:val="2"/>
          <w:sz w:val="32"/>
          <w:szCs w:val="32"/>
          <w:lang w:val="en-US" w:eastAsia="zh-CN" w:bidi="ar-SA"/>
          <w:highlight w:val="auto"/>
        </w:rPr>
        <w:t>99</w:t>
      </w:r>
      <w:r>
        <w:rPr>
          <w:rFonts w:ascii="Times New Roman" w:eastAsia="仿宋_GB2312" w:cs="仿宋_GB2312" w:hAnsi="Times New Roman" w:hint="eastAsia"/>
          <w:color w:val="auto"/>
          <w:kern w:val="2"/>
          <w:sz w:val="32"/>
          <w:szCs w:val="32"/>
          <w:lang w:val="en-US" w:eastAsia="zh-CN" w:bidi="ar-SA"/>
          <w:highlight w:val="auto"/>
        </w:rPr>
        <w:t>）其他教育支出（</w:t>
      </w:r>
      <w:r>
        <w:rPr>
          <w:rFonts w:eastAsia="仿宋_GB2312" w:cs="仿宋_GB2312" w:hint="eastAsia"/>
          <w:color w:val="auto"/>
          <w:kern w:val="2"/>
          <w:sz w:val="32"/>
          <w:szCs w:val="32"/>
          <w:lang w:val="en-US" w:eastAsia="zh-CN" w:bidi="ar-SA"/>
          <w:highlight w:val="auto"/>
        </w:rPr>
        <w:t>99</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0.2</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r>
        <w:rPr>
          <w:rFonts w:eastAsia="仿宋_GB2312" w:cs="仿宋_GB2312" w:hint="eastAsia"/>
          <w:color w:val="auto"/>
          <w:kern w:val="2"/>
          <w:sz w:val="32"/>
          <w:szCs w:val="32"/>
          <w:lang w:val="en-US" w:eastAsia="zh-CN" w:bidi="ar-SA"/>
          <w:highlight w:val="auto"/>
        </w:rPr>
        <w:t>。</w:t>
      </w:r>
    </w:p>
    <w:p>
      <w:pPr>
        <w:numPr>
          <w:ilvl w:val="0"/>
          <w:numId w:val="2"/>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社会保障和就业支出（208）行政事业单位养老支出（05）机关事业单位基本养老保险缴费支出（05）:支出决算为</w:t>
      </w:r>
      <w:r>
        <w:rPr>
          <w:rFonts w:eastAsia="仿宋_GB2312" w:cs="仿宋_GB2312" w:hint="eastAsia"/>
          <w:color w:val="auto"/>
          <w:kern w:val="2"/>
          <w:sz w:val="32"/>
          <w:szCs w:val="32"/>
          <w:lang w:val="en-US" w:eastAsia="zh-CN" w:bidi="ar-SA"/>
          <w:highlight w:val="auto"/>
        </w:rPr>
        <w:t>127.38</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p>
    <w:p>
      <w:pPr>
        <w:numPr>
          <w:ilvl w:val="0"/>
          <w:numId w:val="2"/>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社会保障和就业支出（208）行政事业单位养老支出（05）机关事业单位职业年金缴费支出（06）:支出决算为</w:t>
      </w:r>
      <w:r>
        <w:rPr>
          <w:rFonts w:eastAsia="仿宋_GB2312" w:cs="仿宋_GB2312" w:hint="eastAsia"/>
          <w:color w:val="auto"/>
          <w:kern w:val="2"/>
          <w:sz w:val="32"/>
          <w:szCs w:val="32"/>
          <w:lang w:val="en-US" w:eastAsia="zh-CN" w:bidi="ar-SA"/>
          <w:highlight w:val="auto"/>
        </w:rPr>
        <w:t>63.62</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p>
    <w:p>
      <w:pPr>
        <w:numPr>
          <w:ilvl w:val="0"/>
          <w:numId w:val="2"/>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社会保障和就业支出（208）行政事业单位养老支出（05）其他行政事业单位养老支出（99）:支出决算为</w:t>
      </w:r>
      <w:r>
        <w:rPr>
          <w:rFonts w:eastAsia="仿宋_GB2312" w:cs="仿宋_GB2312" w:hint="eastAsia"/>
          <w:color w:val="auto"/>
          <w:kern w:val="2"/>
          <w:sz w:val="32"/>
          <w:szCs w:val="32"/>
          <w:lang w:val="en-US" w:eastAsia="zh-CN" w:bidi="ar-SA"/>
          <w:highlight w:val="auto"/>
        </w:rPr>
        <w:t>15.64</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p>
    <w:p>
      <w:pPr>
        <w:numPr>
          <w:ilvl w:val="0"/>
          <w:numId w:val="2"/>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卫生健康支出（210）行政事业单位医疗（11）行政单位医疗（01）:支出决算为</w:t>
      </w:r>
      <w:r>
        <w:rPr>
          <w:rFonts w:eastAsia="仿宋_GB2312" w:cs="仿宋_GB2312" w:hint="eastAsia"/>
          <w:color w:val="auto"/>
          <w:kern w:val="2"/>
          <w:sz w:val="32"/>
          <w:szCs w:val="32"/>
          <w:lang w:val="en-US" w:eastAsia="zh-CN" w:bidi="ar-SA"/>
          <w:highlight w:val="auto"/>
        </w:rPr>
        <w:t>41.26</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p>
    <w:p>
      <w:pPr>
        <w:numPr>
          <w:ilvl w:val="0"/>
          <w:numId w:val="2"/>
        </w:numPr>
        <w:spacing w:line="600" w:lineRule="exact"/>
        <w:ind w:left="0" w:firstLine="400"/>
        <w:rPr>
          <w:rFonts w:hint="eastAsia"/>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卫生健康支出（210）行政事业单位医疗（11）事业单位医疗（</w:t>
      </w:r>
      <w:r>
        <w:rPr>
          <w:rFonts w:eastAsia="仿宋_GB2312" w:cs="仿宋_GB2312" w:hint="eastAsia"/>
          <w:color w:val="auto"/>
          <w:kern w:val="2"/>
          <w:sz w:val="32"/>
          <w:szCs w:val="32"/>
          <w:lang w:val="en-US" w:eastAsia="zh-CN" w:bidi="ar-SA"/>
          <w:highlight w:val="auto"/>
        </w:rPr>
        <w:t>02</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23.58</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p>
    <w:p>
      <w:pPr>
        <w:numPr>
          <w:ilvl w:val="0"/>
          <w:numId w:val="2"/>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卫生健康支出（210）行政事业单位医疗（11）公务员医疗补助（03）:支出决算为</w:t>
      </w:r>
      <w:r>
        <w:rPr>
          <w:rFonts w:eastAsia="仿宋_GB2312" w:cs="仿宋_GB2312" w:hint="eastAsia"/>
          <w:color w:val="auto"/>
          <w:kern w:val="2"/>
          <w:sz w:val="32"/>
          <w:szCs w:val="32"/>
          <w:lang w:val="en-US" w:eastAsia="zh-CN" w:bidi="ar-SA"/>
          <w:highlight w:val="auto"/>
        </w:rPr>
        <w:t>7.32</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p>
    <w:p>
      <w:pPr>
        <w:numPr>
          <w:ilvl w:val="0"/>
          <w:numId w:val="2"/>
        </w:numPr>
        <w:spacing w:line="600" w:lineRule="exact"/>
        <w:ind w:left="0" w:firstLine="400"/>
        <w:rPr>
          <w:rFonts w:hint="eastAsia"/>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卫生健康支出（210）行政事业单位医疗（11）其他行政事业单位医疗支出（</w:t>
      </w:r>
      <w:r>
        <w:rPr>
          <w:rFonts w:eastAsia="仿宋_GB2312" w:cs="仿宋_GB2312" w:hint="eastAsia"/>
          <w:color w:val="auto"/>
          <w:kern w:val="2"/>
          <w:sz w:val="32"/>
          <w:szCs w:val="32"/>
          <w:lang w:val="en-US" w:eastAsia="zh-CN" w:bidi="ar-SA"/>
          <w:highlight w:val="auto"/>
        </w:rPr>
        <w:t>99</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4.56</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p>
    <w:p>
      <w:pPr>
        <w:numPr>
          <w:ilvl w:val="0"/>
          <w:numId w:val="2"/>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住房保障支出（221）住房改革支出（02）住房公积金（01）:支出决算为</w:t>
      </w:r>
      <w:r>
        <w:rPr>
          <w:rFonts w:eastAsia="仿宋_GB2312" w:cs="仿宋_GB2312" w:hint="eastAsia"/>
          <w:color w:val="auto"/>
          <w:kern w:val="2"/>
          <w:sz w:val="32"/>
          <w:szCs w:val="32"/>
          <w:lang w:val="en-US" w:eastAsia="zh-CN" w:bidi="ar-SA"/>
          <w:highlight w:val="auto"/>
        </w:rPr>
        <w:t>107.27</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r>
        <w:rPr>
          <w:rFonts w:eastAsia="仿宋_GB2312" w:cs="仿宋_GB2312" w:hint="eastAsia"/>
          <w:color w:val="auto"/>
          <w:kern w:val="2"/>
          <w:sz w:val="32"/>
          <w:szCs w:val="32"/>
          <w:lang w:val="en-US" w:eastAsia="zh-CN" w:bidi="ar-SA"/>
          <w:highlight w:val="auto"/>
        </w:rPr>
        <w:t>。</w:t>
      </w:r>
    </w:p>
    <w:p>
      <w:pPr>
        <w:numPr>
          <w:ilvl w:val="0"/>
          <w:numId w:val="2"/>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住房保障支出（221）住房改革支出（02）购房补贴（0</w:t>
      </w:r>
      <w:r>
        <w:rPr>
          <w:rFonts w:eastAsia="仿宋_GB2312" w:cs="仿宋_GB2312"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1.2</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w:t>
      </w:r>
      <w:r>
        <w:rPr>
          <w:rFonts w:eastAsia="仿宋_GB2312" w:cs="仿宋_GB2312"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tabs>
          <w:tab w:val="right" w:pos="8306"/>
        </w:tabs>
        <w:spacing w:line="600" w:lineRule="exact"/>
        <w:ind w:firstLine="640"/>
        <w:outlineLvl w:val="1"/>
        <w:rPr>
          <w:rStyle w:val="2Char"/>
          <w:rFonts w:ascii="Times New Roman" w:hAnsi="Times New Roman"/>
          <w:color w:val="auto"/>
          <w:highlight w:val="auto"/>
        </w:rPr>
      </w:pPr>
      <w:bookmarkStart w:id="43" w:name="_Toc15396608"/>
      <w:bookmarkStart w:id="44" w:name="_Toc15377214"/>
      <w:bookmarkStart w:id="45" w:name="_Toc9770"/>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43"/>
      <w:bookmarkEnd w:id="44"/>
      <w:bookmarkEnd w:id="45"/>
      <w:r>
        <w:rPr>
          <w:rStyle w:val="2Char"/>
          <w:rFonts w:ascii="Times New Roman" w:eastAsia="黑体" w:hAnsi="Times New Roman"/>
          <w:b w:val="0"/>
          <w:color w:val="auto"/>
          <w:highlight w:val="auto"/>
        </w:rPr>
        <w:tab/>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w:t>
      </w:r>
      <w:r>
        <w:rPr>
          <w:rFonts w:ascii="Times New Roman" w:eastAsia="仿宋_GB2312" w:cs="仿宋_GB2312" w:hAnsi="Times New Roman" w:hint="eastAsia"/>
          <w:color w:val="auto"/>
          <w:kern w:val="2"/>
          <w:sz w:val="32"/>
          <w:szCs w:val="32"/>
          <w:lang w:val="en-US" w:eastAsia="zh-CN" w:bidi="ar-SA"/>
          <w:highlight w:val="auto"/>
        </w:rPr>
        <w:t>年度一般公共预算财政拨款基本支出</w:t>
      </w:r>
      <w:r>
        <w:rPr>
          <w:rFonts w:ascii="仿宋_GB2312" w:eastAsia="仿宋_GB2312" w:cs="仿宋_GB2312" w:hint="eastAsia"/>
          <w:sz w:val="32"/>
          <w:szCs w:val="32"/>
          <w:lang w:val="en-US" w:eastAsia="zh-CN"/>
          <w:highlight w:val="auto"/>
        </w:rPr>
        <w:t>1819.96</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元，其中：</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hint="eastAsia"/>
          <w:sz w:val="32"/>
          <w:szCs w:val="32"/>
          <w:lang w:val="en-US" w:eastAsia="zh-CN"/>
          <w:highlight w:val="auto"/>
        </w:rPr>
        <w:t>1513.89</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w:t>
      </w:r>
      <w:r>
        <w:rPr>
          <w:rFonts w:eastAsia="仿宋_GB2312" w:cs="仿宋_GB2312" w:hint="eastAsia"/>
          <w:color w:val="auto"/>
          <w:kern w:val="2"/>
          <w:sz w:val="32"/>
          <w:szCs w:val="32"/>
          <w:lang w:val="en-US" w:eastAsia="zh-CN" w:bidi="ar-SA"/>
          <w:highlight w:val="auto"/>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ascii="Times New Roman" w:eastAsia="仿宋_GB2312" w:cs="仿宋_GB2312" w:hAnsi="Times New Roman" w:hint="eastAsia"/>
          <w:color w:val="auto"/>
          <w:kern w:val="2"/>
          <w:sz w:val="32"/>
          <w:szCs w:val="32"/>
          <w:lang w:val="en-US" w:eastAsia="zh-CN" w:bidi="ar-SA"/>
          <w:highlight w:val="auto"/>
        </w:rPr>
        <w:br/>
        <w:t>　　公用经费</w:t>
      </w:r>
      <w:r>
        <w:rPr>
          <w:rFonts w:ascii="仿宋_GB2312" w:eastAsia="仿宋_GB2312" w:cs="仿宋_GB2312" w:hint="eastAsia"/>
          <w:sz w:val="32"/>
          <w:szCs w:val="32"/>
          <w:lang w:val="en-US" w:eastAsia="zh-CN"/>
          <w:highlight w:val="auto"/>
        </w:rPr>
        <w:t>306.07</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w:t>
      </w:r>
      <w:r>
        <w:rPr>
          <w:rFonts w:eastAsia="仿宋_GB2312" w:cs="仿宋_GB2312" w:hint="eastAsia"/>
          <w:color w:val="auto"/>
          <w:kern w:val="2"/>
          <w:sz w:val="32"/>
          <w:szCs w:val="32"/>
          <w:lang w:val="en-US" w:eastAsia="zh-CN" w:bidi="ar-SA"/>
          <w:highlight w:val="auto"/>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pPr>
        <w:spacing w:line="600" w:lineRule="exact"/>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outlineLvl w:val="1"/>
        <w:rPr>
          <w:rStyle w:val="2Char"/>
          <w:rFonts w:ascii="Times New Roman" w:eastAsia="黑体" w:hAnsi="Times New Roman"/>
          <w:b w:val="0"/>
          <w:color w:val="auto"/>
          <w:highlight w:val="auto"/>
        </w:rPr>
      </w:pPr>
      <w:bookmarkStart w:id="46" w:name="_Toc15377215"/>
      <w:bookmarkStart w:id="47" w:name="_Toc26098"/>
      <w:bookmarkStart w:id="48" w:name="_Toc15396609"/>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46"/>
      <w:bookmarkEnd w:id="47"/>
      <w:bookmarkEnd w:id="48"/>
    </w:p>
    <w:p>
      <w:pPr>
        <w:spacing w:line="600" w:lineRule="exact"/>
        <w:ind w:firstLineChars="200" w:firstLine="640"/>
        <w:outlineLvl w:val="9"/>
        <w:rPr>
          <w:rFonts w:ascii="Times New Roman" w:eastAsia="楷体_GB2312" w:cs="楷体_GB2312" w:hAnsi="Times New Roman" w:hint="eastAsia"/>
          <w:b/>
          <w:color w:val="auto"/>
          <w:sz w:val="32"/>
          <w:szCs w:val="32"/>
          <w:highlight w:val="auto"/>
        </w:rPr>
      </w:pPr>
      <w:bookmarkStart w:id="49" w:name="_Toc15377216"/>
      <w:r>
        <w:rPr>
          <w:rFonts w:ascii="Times New Roman" w:eastAsia="楷体_GB2312" w:cs="楷体_GB2312" w:hAnsi="Times New Roman" w:hint="eastAsia"/>
          <w:b/>
          <w:color w:val="auto"/>
          <w:sz w:val="32"/>
          <w:szCs w:val="32"/>
          <w:highlight w:val="auto"/>
        </w:rPr>
        <w:t>（一）“三公”经费财政拨款支出决算总体情况说明</w:t>
      </w:r>
      <w:bookmarkEnd w:id="49"/>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w:t>
      </w:r>
      <w:r>
        <w:rPr>
          <w:rFonts w:ascii="Times New Roman" w:eastAsia="仿宋_GB2312" w:cs="仿宋_GB2312" w:hAnsi="Times New Roman" w:hint="eastAsia"/>
          <w:color w:val="auto"/>
          <w:kern w:val="2"/>
          <w:sz w:val="32"/>
          <w:szCs w:val="32"/>
          <w:lang w:val="en-US" w:eastAsia="zh-CN" w:bidi="ar-SA"/>
          <w:highlight w:val="auto"/>
        </w:rPr>
        <w:t>年度“三公”经费财政拨款支出决算为</w:t>
      </w:r>
      <w:r>
        <w:rPr>
          <w:rFonts w:ascii="仿宋_GB2312" w:eastAsia="仿宋_GB2312" w:cs="仿宋_GB2312" w:hint="eastAsia"/>
          <w:sz w:val="32"/>
          <w:szCs w:val="32"/>
          <w:lang w:val="en-US" w:eastAsia="zh-CN"/>
          <w:highlight w:val="auto"/>
        </w:rPr>
        <w:t>174.83</w:t>
      </w:r>
      <w:r>
        <w:rPr>
          <w:rFonts w:ascii="仿宋_GB2312" w:eastAsia="仿宋_GB2312" w:cs="仿宋_GB2312" w:hint="eastAsia"/>
          <w:color w:val="auto"/>
          <w:kern w:val="2"/>
          <w:sz w:val="32"/>
          <w:szCs w:val="32"/>
          <w:lang w:val="en-US" w:eastAsia="zh-CN" w:bidi="ar-SA"/>
          <w:highlight w:val="auto"/>
        </w:rPr>
        <w:t>万元，完成预算</w:t>
      </w:r>
      <w:r>
        <w:rPr>
          <w:rFonts w:ascii="仿宋_GB2312" w:eastAsia="仿宋_GB2312" w:cs="仿宋_GB2312" w:hint="eastAsia"/>
          <w:sz w:val="32"/>
          <w:szCs w:val="32"/>
          <w:lang w:val="en-US" w:eastAsia="zh-CN"/>
          <w:highlight w:val="auto"/>
        </w:rPr>
        <w:t>100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较上年度增加</w:t>
      </w:r>
      <w:r>
        <w:rPr>
          <w:rFonts w:ascii="仿宋_GB2312" w:eastAsia="仿宋_GB2312" w:cs="仿宋_GB2312" w:hint="eastAsia"/>
          <w:sz w:val="32"/>
          <w:szCs w:val="32"/>
          <w:lang w:val="en-US" w:eastAsia="zh-CN"/>
          <w:highlight w:val="auto"/>
        </w:rPr>
        <w:t>84.8</w:t>
      </w:r>
      <w:r>
        <w:rPr>
          <w:rFonts w:ascii="Times New Roman" w:eastAsia="仿宋_GB2312" w:cs="仿宋_GB2312" w:hAnsi="Times New Roman" w:hint="eastAsia"/>
          <w:color w:val="auto"/>
          <w:kern w:val="2"/>
          <w:sz w:val="32"/>
          <w:szCs w:val="32"/>
          <w:lang w:val="en-US" w:eastAsia="zh-CN" w:bidi="ar-SA"/>
          <w:highlight w:val="auto"/>
        </w:rPr>
        <w:t>万元，增长</w:t>
      </w:r>
      <w:r>
        <w:rPr>
          <w:rFonts w:ascii="仿宋_GB2312" w:eastAsia="仿宋_GB2312" w:cs="仿宋_GB2312" w:hint="eastAsia"/>
          <w:sz w:val="32"/>
          <w:szCs w:val="32"/>
          <w:lang w:val="en-US" w:eastAsia="zh-CN"/>
          <w:highlight w:val="auto"/>
        </w:rPr>
        <w:t>94.2</w:t>
      </w:r>
      <w:r>
        <w:rPr>
          <w:rFonts w:ascii="Times New Roman" w:eastAsia="仿宋_GB2312" w:cs="仿宋_GB2312" w:hAnsi="Times New Roman" w:hint="eastAsia"/>
          <w:color w:val="auto"/>
          <w:kern w:val="2"/>
          <w:sz w:val="32"/>
          <w:szCs w:val="32"/>
          <w:lang w:val="en-US" w:eastAsia="zh-CN" w:bidi="ar-SA"/>
          <w:highlight w:val="auto"/>
        </w:rPr>
        <w:t>%。决算数与预算数持平</w:t>
      </w:r>
      <w:r>
        <w:rPr>
          <w:rFonts w:ascii="仿宋_GB2312" w:eastAsia="仿宋_GB2312" w:cs="仿宋_GB2312" w:hint="eastAsia"/>
          <w:sz w:val="32"/>
          <w:szCs w:val="32"/>
          <w:lang w:val="en-US" w:eastAsia="zh-CN"/>
          <w:highlight w:val="auto"/>
        </w:rPr>
        <w:t>。</w:t>
      </w:r>
    </w:p>
    <w:p>
      <w:pPr>
        <w:spacing w:line="600" w:lineRule="exact"/>
        <w:ind w:firstLineChars="200" w:firstLine="640"/>
        <w:outlineLvl w:val="9"/>
        <w:rPr>
          <w:rFonts w:ascii="Times New Roman" w:eastAsia="楷体_GB2312" w:cs="楷体_GB2312" w:hAnsi="Times New Roman" w:hint="eastAsia"/>
          <w:b/>
          <w:color w:val="auto"/>
          <w:sz w:val="32"/>
          <w:szCs w:val="32"/>
          <w:highlight w:val="auto"/>
        </w:rPr>
      </w:pPr>
      <w:bookmarkStart w:id="50" w:name="_Toc15377217"/>
      <w:r>
        <w:rPr>
          <w:rFonts w:ascii="Times New Roman" w:eastAsia="楷体_GB2312" w:cs="楷体_GB2312" w:hAnsi="Times New Roman" w:hint="eastAsia"/>
          <w:b/>
          <w:color w:val="auto"/>
          <w:sz w:val="32"/>
          <w:szCs w:val="32"/>
          <w:highlight w:val="auto"/>
        </w:rPr>
        <w:t>（二）“三公”经费财政拨款支出决算具体情况说明</w:t>
      </w:r>
      <w:bookmarkEnd w:id="50"/>
    </w:p>
    <w:p>
      <w:pPr>
        <w:spacing w:line="600" w:lineRule="exact"/>
        <w:ind w:firstLine="640"/>
        <w:outlineLvl w:val="9"/>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2025年度“三公”经费财政拨款支出决算中，因公出国（境）费支出决算</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万元，占0%；公务用车购置及运行维护费支出决算</w:t>
      </w:r>
      <w:r>
        <w:rPr>
          <w:rFonts w:ascii="仿宋_GB2312" w:eastAsia="仿宋_GB2312" w:cs="仿宋_GB2312" w:hint="eastAsia"/>
          <w:sz w:val="32"/>
          <w:szCs w:val="32"/>
          <w:lang w:val="en-US" w:eastAsia="zh-CN"/>
          <w:highlight w:val="auto"/>
        </w:rPr>
        <w:t>174.6</w:t>
      </w:r>
      <w:r>
        <w:rPr>
          <w:rFonts w:ascii="仿宋_GB2312" w:eastAsia="仿宋_GB2312" w:cs="仿宋_GB2312" w:hint="eastAsia"/>
          <w:color w:val="auto"/>
          <w:kern w:val="2"/>
          <w:sz w:val="32"/>
          <w:szCs w:val="32"/>
          <w:lang w:val="en-US" w:eastAsia="zh-CN" w:bidi="ar-SA"/>
          <w:highlight w:val="auto"/>
        </w:rPr>
        <w:t>万元，占99.87%；公务接待费支出决算</w:t>
      </w:r>
      <w:r>
        <w:rPr>
          <w:rFonts w:ascii="仿宋_GB2312" w:eastAsia="仿宋_GB2312" w:cs="仿宋_GB2312" w:hint="eastAsia"/>
          <w:sz w:val="32"/>
          <w:szCs w:val="32"/>
          <w:lang w:val="en-US" w:eastAsia="zh-CN"/>
          <w:highlight w:val="auto"/>
        </w:rPr>
        <w:t>0.23</w:t>
      </w:r>
      <w:r>
        <w:rPr>
          <w:rFonts w:ascii="仿宋_GB2312" w:eastAsia="仿宋_GB2312" w:cs="仿宋_GB2312" w:hint="eastAsia"/>
          <w:color w:val="auto"/>
          <w:kern w:val="2"/>
          <w:sz w:val="32"/>
          <w:szCs w:val="32"/>
          <w:lang w:val="en-US" w:eastAsia="zh-CN" w:bidi="ar-SA"/>
          <w:highlight w:val="auto"/>
        </w:rPr>
        <w:t>万元，占0.13%。具体情况如下：</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hint="eastAsia"/>
          <w:lang w:val="en-US" w:eastAsia="zh-CN"/>
          <w:highlight w:val="auto"/>
        </w:rPr>
        <w:drawing>
          <wp:anchor distT="0" distB="0" distL="114300" distR="114300" simplePos="0" relativeHeight="20" behindDoc="0" locked="0" layoutInCell="1" hidden="0" allowOverlap="1">
            <wp:simplePos x="0" y="0"/>
            <wp:positionH relativeFrom="column">
              <wp:posOffset>71755</wp:posOffset>
            </wp:positionH>
            <wp:positionV relativeFrom="paragraph">
              <wp:posOffset>90170</wp:posOffset>
            </wp:positionV>
            <wp:extent cx="5256530" cy="2988310"/>
            <wp:effectExtent l="0" t="0" r="0" b="0"/>
            <wp:wrapTopAndBottom/>
            <wp:docPr id="7" name="图表 1"/>
            <wp:cNvGraphicFramePr>
              <a:graphicFrameLocks noChangeAspect="0"/>
            </wp:cNvGraphicFramePr>
            <a:graphic>
              <a:graphicData uri="http://schemas.openxmlformats.org/drawingml/2006/chart">
                <c:chart xmlns:c="http://schemas.openxmlformats.org/drawingml/2006/chart" r:id="rId12"/>
              </a:graphicData>
            </a:graphic>
          </wp:anchor>
        </w:drawing>
      </w:r>
      <w:r>
        <w:rPr>
          <w:rFonts w:ascii="Times New Roman" w:eastAsia="仿宋_GB2312" w:cs="仿宋_GB2312" w:hAnsi="Times New Roman" w:hint="eastAsia"/>
          <w:color w:val="auto"/>
          <w:kern w:val="2"/>
          <w:sz w:val="32"/>
          <w:szCs w:val="32"/>
          <w:lang w:val="en-US" w:eastAsia="zh-CN" w:bidi="ar-SA"/>
          <w:highlight w:val="auto"/>
        </w:rPr>
        <w:t>（图7：“三公”经费财政拨款支出结构）（饼状图）</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w:t>
      </w:r>
      <w:r>
        <w:rPr>
          <w:rFonts w:ascii="仿宋_GB2312" w:eastAsia="仿宋_GB2312" w:cs="仿宋_GB2312" w:hint="eastAsia"/>
          <w:color w:val="auto"/>
          <w:kern w:val="2"/>
          <w:sz w:val="32"/>
          <w:szCs w:val="32"/>
          <w:lang w:val="en-US" w:eastAsia="zh-CN" w:bidi="ar-SA"/>
          <w:highlight w:val="auto"/>
        </w:rPr>
        <w:t>组</w:t>
      </w:r>
      <w:r>
        <w:rPr>
          <w:rFonts w:ascii="仿宋_GB2312" w:eastAsia="仿宋_GB2312" w:cs="仿宋_GB2312" w:hint="eastAsia"/>
          <w:sz w:val="32"/>
          <w:szCs w:val="32"/>
          <w:lang w:val="en-US" w:eastAsia="zh-CN"/>
          <w:highlight w:val="auto"/>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人</w:t>
      </w:r>
      <w:r>
        <w:rPr>
          <w:rFonts w:ascii="Times New Roman" w:eastAsia="仿宋_GB2312" w:cs="仿宋_GB2312" w:hAnsi="Times New Roman" w:hint="eastAsia"/>
          <w:color w:val="auto"/>
          <w:kern w:val="2"/>
          <w:sz w:val="32"/>
          <w:szCs w:val="32"/>
          <w:lang w:val="en-US" w:eastAsia="zh-CN" w:bidi="ar-SA"/>
          <w:highlight w:val="auto"/>
        </w:rPr>
        <w:t>。因公出国（境）支出决算比</w:t>
      </w:r>
      <w:r>
        <w:rPr>
          <w:rFonts w:eastAsia="仿宋_GB2312" w:cs="仿宋_GB2312" w:hint="eastAsia"/>
          <w:color w:val="auto"/>
          <w:kern w:val="2"/>
          <w:sz w:val="32"/>
          <w:szCs w:val="32"/>
          <w:lang w:val="en-US" w:eastAsia="zh-CN" w:bidi="ar-SA"/>
          <w:highlight w:val="auto"/>
        </w:rPr>
        <w:t>2024</w:t>
      </w:r>
      <w:r>
        <w:rPr>
          <w:rFonts w:ascii="Times New Roman" w:eastAsia="仿宋_GB2312" w:cs="仿宋_GB2312" w:hAnsi="Times New Roman" w:hint="eastAsia"/>
          <w:color w:val="auto"/>
          <w:kern w:val="2"/>
          <w:sz w:val="32"/>
          <w:szCs w:val="32"/>
          <w:lang w:val="en-US" w:eastAsia="zh-CN" w:bidi="ar-SA"/>
          <w:highlight w:val="auto"/>
        </w:rPr>
        <w:t>年增加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hint="eastAsia"/>
          <w:sz w:val="32"/>
          <w:szCs w:val="32"/>
          <w:lang w:val="en-US" w:eastAsia="zh-CN"/>
          <w:highlight w:val="auto"/>
        </w:rPr>
        <w:t>174.6</w:t>
      </w:r>
      <w:r>
        <w:rPr>
          <w:rFonts w:ascii="仿宋_GB2312" w:eastAsia="仿宋_GB2312" w:cs="仿宋_GB2312" w:hint="eastAsia"/>
          <w:b/>
          <w:bCs/>
          <w:color w:val="auto"/>
          <w:kern w:val="2"/>
          <w:sz w:val="32"/>
          <w:szCs w:val="32"/>
          <w:lang w:val="en-US" w:eastAsia="zh-CN" w:bidi="ar-SA"/>
          <w:highlight w:val="auto"/>
        </w:rPr>
        <w:t>万</w:t>
      </w:r>
      <w:r>
        <w:rPr>
          <w:rFonts w:ascii="Times New Roman" w:eastAsia="仿宋_GB2312" w:cs="仿宋_GB2312" w:hAnsi="Times New Roman" w:hint="eastAsia"/>
          <w:b/>
          <w:bCs/>
          <w:color w:val="auto"/>
          <w:kern w:val="2"/>
          <w:sz w:val="32"/>
          <w:szCs w:val="32"/>
          <w:lang w:val="en-US" w:eastAsia="zh-CN" w:bidi="ar-SA"/>
          <w:highlight w:val="auto"/>
        </w:rPr>
        <w:t>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w:t>
      </w:r>
      <w:r>
        <w:rPr>
          <w:rFonts w:eastAsia="仿宋_GB2312" w:cs="仿宋_GB2312" w:hint="eastAsia"/>
          <w:color w:val="auto"/>
          <w:kern w:val="2"/>
          <w:sz w:val="32"/>
          <w:szCs w:val="32"/>
          <w:lang w:val="en-US" w:eastAsia="zh-CN" w:bidi="ar-SA"/>
          <w:highlight w:val="auto"/>
        </w:rPr>
        <w:t>2024</w:t>
      </w:r>
      <w:r>
        <w:rPr>
          <w:rFonts w:ascii="Times New Roman" w:eastAsia="仿宋_GB2312" w:cs="仿宋_GB2312" w:hAnsi="Times New Roman" w:hint="eastAsia"/>
          <w:color w:val="auto"/>
          <w:kern w:val="2"/>
          <w:sz w:val="32"/>
          <w:szCs w:val="32"/>
          <w:lang w:val="en-US" w:eastAsia="zh-CN" w:bidi="ar-SA"/>
          <w:highlight w:val="auto"/>
        </w:rPr>
        <w:t>年度增加</w:t>
      </w:r>
      <w:r>
        <w:rPr>
          <w:rFonts w:ascii="仿宋_GB2312" w:eastAsia="仿宋_GB2312" w:cs="仿宋_GB2312" w:hint="eastAsia"/>
          <w:sz w:val="32"/>
          <w:szCs w:val="32"/>
          <w:lang w:val="en-US" w:eastAsia="zh-CN"/>
          <w:highlight w:val="auto"/>
        </w:rPr>
        <w:t>88.32</w:t>
      </w:r>
      <w:r>
        <w:rPr>
          <w:rFonts w:ascii="Times New Roman" w:eastAsia="仿宋_GB2312" w:cs="仿宋_GB2312" w:hAnsi="Times New Roman" w:hint="eastAsia"/>
          <w:color w:val="auto"/>
          <w:kern w:val="2"/>
          <w:sz w:val="32"/>
          <w:szCs w:val="32"/>
          <w:lang w:val="en-US" w:eastAsia="zh-CN" w:bidi="ar-SA"/>
          <w:highlight w:val="auto"/>
        </w:rPr>
        <w:t>万元，增长</w:t>
      </w:r>
      <w:r>
        <w:rPr>
          <w:rFonts w:ascii="仿宋_GB2312" w:eastAsia="仿宋_GB2312" w:cs="仿宋_GB2312" w:hint="eastAsia"/>
          <w:sz w:val="32"/>
          <w:szCs w:val="32"/>
          <w:lang w:val="en-US" w:eastAsia="zh-CN"/>
          <w:highlight w:val="auto"/>
        </w:rPr>
        <w:t>102.38</w:t>
      </w:r>
      <w:r>
        <w:rPr>
          <w:rFonts w:ascii="Times New Roman" w:eastAsia="仿宋_GB2312" w:cs="仿宋_GB2312" w:hAnsi="Times New Roman" w:hint="eastAsia"/>
          <w:color w:val="auto"/>
          <w:kern w:val="2"/>
          <w:sz w:val="32"/>
          <w:szCs w:val="32"/>
          <w:lang w:val="en-US" w:eastAsia="zh-CN" w:bidi="ar-SA"/>
          <w:highlight w:val="auto"/>
        </w:rPr>
        <w:t>%。主要原因是</w:t>
      </w:r>
      <w:r>
        <w:rPr>
          <w:rFonts w:ascii="仿宋_GB2312" w:eastAsia="仿宋_GB2312" w:cs="仿宋_GB2312" w:hint="eastAsia"/>
          <w:sz w:val="32"/>
          <w:szCs w:val="32"/>
          <w:lang w:val="en-US" w:eastAsia="zh-CN"/>
          <w:highlight w:val="auto"/>
        </w:rPr>
        <w:t>本年度因工作开展需要，车辆运行维护费用增加。</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lang w:val="en-US" w:eastAsia="zh-CN"/>
          <w:highlight w:val="auto"/>
        </w:rPr>
        <w:t>60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ascii="仿宋_GB2312" w:eastAsia="仿宋_GB2312" w:cs="仿宋_GB2312" w:hint="eastAsia"/>
          <w:sz w:val="32"/>
          <w:szCs w:val="32"/>
          <w:lang w:val="en-US" w:eastAsia="zh-CN"/>
          <w:highlight w:val="auto"/>
        </w:rPr>
        <w:t>1</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60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万元，主要用于</w:t>
      </w:r>
      <w:r>
        <w:rPr>
          <w:rFonts w:eastAsia="仿宋_GB2312" w:cs="仿宋_GB2312" w:hint="eastAsia"/>
          <w:color w:val="auto"/>
          <w:kern w:val="2"/>
          <w:sz w:val="32"/>
          <w:szCs w:val="32"/>
          <w:lang w:val="en-US" w:eastAsia="zh-CN" w:bidi="ar-SA"/>
          <w:highlight w:val="auto"/>
        </w:rPr>
        <w:t>开展日常公务所需</w:t>
      </w:r>
      <w:r>
        <w:rPr>
          <w:rFonts w:ascii="Times New Roman" w:eastAsia="仿宋_GB2312" w:cs="仿宋_GB2312" w:hAnsi="Times New Roman" w:hint="eastAsia"/>
          <w:color w:val="auto"/>
          <w:kern w:val="2"/>
          <w:sz w:val="32"/>
          <w:szCs w:val="32"/>
          <w:lang w:val="en-US" w:eastAsia="zh-CN" w:bidi="ar-SA"/>
          <w:highlight w:val="auto"/>
        </w:rPr>
        <w:t>。截至</w:t>
      </w:r>
      <w:r>
        <w:rPr>
          <w:rFonts w:eastAsia="仿宋_GB2312" w:cs="仿宋_GB2312" w:hint="eastAsia"/>
          <w:color w:val="auto"/>
          <w:kern w:val="2"/>
          <w:sz w:val="32"/>
          <w:szCs w:val="32"/>
          <w:lang w:val="en-US" w:eastAsia="zh-CN" w:bidi="ar-SA"/>
          <w:highlight w:val="auto"/>
        </w:rPr>
        <w:t>2025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ascii="仿宋_GB2312" w:eastAsia="仿宋_GB2312" w:cs="仿宋_GB2312" w:hint="eastAsia"/>
          <w:sz w:val="32"/>
          <w:szCs w:val="32"/>
          <w:lang w:val="en-US" w:eastAsia="zh-CN"/>
          <w:highlight w:val="auto"/>
        </w:rPr>
        <w:t>10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辆、越野车</w:t>
      </w:r>
      <w:r>
        <w:rPr>
          <w:rFonts w:eastAsia="仿宋_GB2312" w:cs="仿宋_GB2312" w:hint="eastAsia"/>
          <w:color w:val="auto"/>
          <w:kern w:val="2"/>
          <w:sz w:val="32"/>
          <w:szCs w:val="32"/>
          <w:lang w:val="en-US" w:eastAsia="zh-CN" w:bidi="ar-SA"/>
          <w:highlight w:val="auto"/>
        </w:rPr>
        <w:t>10</w:t>
      </w:r>
      <w:r>
        <w:rPr>
          <w:rFonts w:ascii="Times New Roman" w:eastAsia="仿宋_GB2312" w:cs="仿宋_GB2312" w:hAnsi="Times New Roman" w:hint="eastAsia"/>
          <w:color w:val="auto"/>
          <w:kern w:val="2"/>
          <w:sz w:val="32"/>
          <w:szCs w:val="32"/>
          <w:lang w:val="en-US" w:eastAsia="zh-CN" w:bidi="ar-SA"/>
          <w:highlight w:val="auto"/>
        </w:rPr>
        <w:t>辆、载客汽车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lang w:val="en-US" w:eastAsia="zh-CN"/>
          <w:highlight w:val="auto"/>
        </w:rPr>
        <w:t>114.6</w:t>
      </w:r>
      <w:r>
        <w:rPr>
          <w:rFonts w:ascii="Times New Roman" w:eastAsia="仿宋_GB2312" w:cs="仿宋_GB2312" w:hAnsi="Times New Roman" w:hint="eastAsia"/>
          <w:color w:val="auto"/>
          <w:kern w:val="2"/>
          <w:sz w:val="32"/>
          <w:szCs w:val="32"/>
          <w:lang w:val="en-US" w:eastAsia="zh-CN" w:bidi="ar-SA"/>
          <w:highlight w:val="auto"/>
        </w:rPr>
        <w:t>万元。主要用于</w:t>
      </w:r>
      <w:r>
        <w:rPr>
          <w:rFonts w:eastAsia="仿宋_GB2312" w:cs="仿宋_GB2312" w:hint="eastAsia"/>
          <w:color w:val="auto"/>
          <w:kern w:val="2"/>
          <w:sz w:val="32"/>
          <w:szCs w:val="32"/>
          <w:lang w:val="en-US" w:eastAsia="zh-CN" w:bidi="ar-SA"/>
          <w:highlight w:val="auto"/>
        </w:rPr>
        <w:t>日常公务</w:t>
      </w:r>
      <w:r>
        <w:rPr>
          <w:rFonts w:ascii="Times New Roman" w:eastAsia="仿宋_GB2312" w:cs="仿宋_GB2312" w:hAnsi="Times New Roman" w:hint="eastAsia"/>
          <w:color w:val="auto"/>
          <w:kern w:val="2"/>
          <w:sz w:val="32"/>
          <w:szCs w:val="32"/>
          <w:lang w:val="en-US" w:eastAsia="zh-CN" w:bidi="ar-SA"/>
          <w:highlight w:val="auto"/>
        </w:rPr>
        <w:t>所需的公务用车燃料费、维修费、过路过桥费、保险费等支出。</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hint="eastAsia"/>
          <w:sz w:val="32"/>
          <w:szCs w:val="32"/>
          <w:lang w:val="en-US" w:eastAsia="zh-CN"/>
          <w:highlight w:val="auto"/>
        </w:rPr>
        <w:t>0.23</w:t>
      </w:r>
      <w:r>
        <w:rPr>
          <w:rFonts w:ascii="仿宋_GB2312" w:eastAsia="仿宋_GB2312" w:cs="仿宋_GB2312" w:hint="eastAsia"/>
          <w:b/>
          <w:bCs/>
          <w:color w:val="auto"/>
          <w:kern w:val="2"/>
          <w:sz w:val="32"/>
          <w:szCs w:val="32"/>
          <w:lang w:val="en-US" w:eastAsia="zh-CN" w:bidi="ar-SA"/>
          <w:highlight w:val="auto"/>
        </w:rPr>
        <w:t>万</w:t>
      </w:r>
      <w:r>
        <w:rPr>
          <w:rFonts w:ascii="Times New Roman" w:eastAsia="仿宋_GB2312" w:cs="仿宋_GB2312" w:hAnsi="Times New Roman" w:hint="eastAsia"/>
          <w:b/>
          <w:bCs/>
          <w:color w:val="auto"/>
          <w:kern w:val="2"/>
          <w:sz w:val="32"/>
          <w:szCs w:val="32"/>
          <w:lang w:val="en-US" w:eastAsia="zh-CN" w:bidi="ar-SA"/>
          <w:highlight w:val="auto"/>
        </w:rPr>
        <w:t>元，完成预算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w:t>
      </w:r>
      <w:r>
        <w:rPr>
          <w:rFonts w:eastAsia="仿宋_GB2312" w:cs="仿宋_GB2312" w:hint="eastAsia"/>
          <w:color w:val="auto"/>
          <w:kern w:val="2"/>
          <w:sz w:val="32"/>
          <w:szCs w:val="32"/>
          <w:lang w:val="en-US" w:eastAsia="zh-CN" w:bidi="ar-SA"/>
          <w:highlight w:val="auto"/>
        </w:rPr>
        <w:t>2024</w:t>
      </w:r>
      <w:r>
        <w:rPr>
          <w:rFonts w:ascii="Times New Roman" w:eastAsia="仿宋_GB2312" w:cs="仿宋_GB2312" w:hAnsi="Times New Roman" w:hint="eastAsia"/>
          <w:color w:val="auto"/>
          <w:kern w:val="2"/>
          <w:sz w:val="32"/>
          <w:szCs w:val="32"/>
          <w:lang w:val="en-US" w:eastAsia="zh-CN" w:bidi="ar-SA"/>
          <w:highlight w:val="auto"/>
        </w:rPr>
        <w:t>年度</w:t>
      </w:r>
      <w:r>
        <w:rPr>
          <w:rFonts w:eastAsia="仿宋_GB2312" w:cs="仿宋_GB2312" w:hint="eastAsia"/>
          <w:color w:val="auto"/>
          <w:kern w:val="2"/>
          <w:sz w:val="32"/>
          <w:szCs w:val="32"/>
          <w:lang w:val="en-US" w:eastAsia="zh-CN" w:bidi="ar-SA"/>
          <w:highlight w:val="auto"/>
        </w:rPr>
        <w:t>减少3.75</w:t>
      </w:r>
      <w:r>
        <w:rPr>
          <w:rFonts w:ascii="Times New Roman" w:eastAsia="仿宋_GB2312" w:cs="仿宋_GB2312" w:hAnsi="Times New Roman" w:hint="eastAsia"/>
          <w:color w:val="auto"/>
          <w:kern w:val="2"/>
          <w:sz w:val="32"/>
          <w:szCs w:val="32"/>
          <w:lang w:val="en-US" w:eastAsia="zh-CN" w:bidi="ar-SA"/>
          <w:highlight w:val="auto"/>
        </w:rPr>
        <w:t>万元，</w:t>
      </w:r>
      <w:r>
        <w:rPr>
          <w:rFonts w:eastAsia="仿宋_GB2312" w:cs="仿宋_GB2312" w:hint="eastAsia"/>
          <w:color w:val="auto"/>
          <w:kern w:val="2"/>
          <w:sz w:val="32"/>
          <w:szCs w:val="32"/>
          <w:lang w:val="en-US" w:eastAsia="zh-CN" w:bidi="ar-SA"/>
          <w:highlight w:val="auto"/>
        </w:rPr>
        <w:t>降低93.80</w:t>
      </w:r>
      <w:r>
        <w:rPr>
          <w:rFonts w:ascii="Times New Roman" w:eastAsia="仿宋_GB2312" w:cs="仿宋_GB2312" w:hAnsi="Times New Roman" w:hint="eastAsia"/>
          <w:color w:val="auto"/>
          <w:kern w:val="2"/>
          <w:sz w:val="32"/>
          <w:szCs w:val="32"/>
          <w:lang w:val="en-US" w:eastAsia="zh-CN" w:bidi="ar-SA"/>
          <w:highlight w:val="auto"/>
        </w:rPr>
        <w:t>%。其中：</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lang w:val="en-US" w:eastAsia="zh-CN"/>
          <w:highlight w:val="auto"/>
        </w:rPr>
        <w:t>0.23</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元。国内公务接</w:t>
      </w:r>
      <w:r>
        <w:rPr>
          <w:rFonts w:ascii="仿宋_GB2312" w:eastAsia="仿宋_GB2312" w:cs="仿宋_GB2312" w:hint="eastAsia"/>
          <w:color w:val="auto"/>
          <w:kern w:val="2"/>
          <w:sz w:val="32"/>
          <w:szCs w:val="32"/>
          <w:lang w:val="en-US" w:eastAsia="zh-CN" w:bidi="ar-SA"/>
          <w:highlight w:val="auto"/>
        </w:rPr>
        <w:t>待</w:t>
      </w:r>
      <w:r>
        <w:rPr>
          <w:rFonts w:ascii="仿宋_GB2312" w:eastAsia="仿宋_GB2312" w:cs="仿宋_GB2312" w:hint="eastAsia"/>
          <w:sz w:val="32"/>
          <w:szCs w:val="32"/>
          <w:lang w:val="en-US" w:eastAsia="zh-CN"/>
          <w:highlight w:val="auto"/>
        </w:rPr>
        <w:t>1</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hint="eastAsia"/>
          <w:sz w:val="32"/>
          <w:szCs w:val="32"/>
          <w:lang w:val="en-US" w:eastAsia="zh-CN"/>
          <w:highlight w:val="auto"/>
        </w:rPr>
        <w:t>30</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ascii="仿宋_GB2312" w:eastAsia="仿宋_GB2312" w:cs="仿宋_GB2312" w:hint="eastAsia"/>
          <w:sz w:val="32"/>
          <w:szCs w:val="32"/>
          <w:lang w:val="en-US" w:eastAsia="zh-CN"/>
          <w:highlight w:val="auto"/>
        </w:rPr>
        <w:t>0.23</w:t>
      </w:r>
      <w:r>
        <w:rPr>
          <w:rFonts w:ascii="Times New Roman" w:eastAsia="仿宋_GB2312" w:cs="仿宋_GB2312" w:hAnsi="Times New Roman" w:hint="eastAsia"/>
          <w:color w:val="auto"/>
          <w:kern w:val="2"/>
          <w:sz w:val="32"/>
          <w:szCs w:val="32"/>
          <w:lang w:val="en-US" w:eastAsia="zh-CN" w:bidi="ar-SA"/>
          <w:highlight w:val="auto"/>
        </w:rPr>
        <w:t>万元。</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外事接待支</w:t>
      </w:r>
      <w:r>
        <w:rPr>
          <w:rFonts w:ascii="仿宋_GB2312" w:eastAsia="仿宋_GB2312" w:cs="仿宋_GB2312" w:hint="eastAsia"/>
          <w:color w:val="auto"/>
          <w:kern w:val="2"/>
          <w:sz w:val="32"/>
          <w:szCs w:val="32"/>
          <w:lang w:val="en-US" w:eastAsia="zh-CN" w:bidi="ar-SA"/>
          <w:highlight w:val="auto"/>
        </w:rPr>
        <w:t>出</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万元。外事接待</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批次，</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人次（不包括陪同人员），共计支出0万</w:t>
      </w:r>
      <w:r>
        <w:rPr>
          <w:rFonts w:ascii="Times New Roman" w:eastAsia="仿宋_GB2312" w:cs="仿宋_GB2312" w:hAnsi="Times New Roman" w:hint="eastAsia"/>
          <w:color w:val="auto"/>
          <w:kern w:val="2"/>
          <w:sz w:val="32"/>
          <w:szCs w:val="32"/>
          <w:lang w:val="en-US" w:eastAsia="zh-CN" w:bidi="ar-SA"/>
          <w:highlight w:val="auto"/>
        </w:rPr>
        <w:t>元。</w:t>
      </w:r>
      <w:bookmarkStart w:id="51" w:name="_Toc15396610"/>
      <w:bookmarkStart w:id="52" w:name="_Toc15377218"/>
    </w:p>
    <w:p>
      <w:pPr>
        <w:spacing w:line="600" w:lineRule="exact"/>
        <w:ind w:firstLine="640"/>
        <w:outlineLvl w:val="1"/>
        <w:rPr>
          <w:rStyle w:val="2Char"/>
          <w:rFonts w:ascii="Times New Roman" w:eastAsia="黑体" w:hAnsi="Times New Roman"/>
          <w:color w:val="auto"/>
          <w:highlight w:val="auto"/>
        </w:rPr>
      </w:pPr>
      <w:bookmarkStart w:id="53" w:name="_Toc7073"/>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51"/>
      <w:bookmarkEnd w:id="52"/>
      <w:bookmarkEnd w:id="53"/>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2025年度政府性基金预算财政拨款支出</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2024</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w:t>
      </w:r>
      <w:r>
        <w:rPr>
          <w:rFonts w:ascii="仿宋_GB2312" w:eastAsia="仿宋_GB2312" w:cs="仿宋_GB2312" w:hint="eastAsia"/>
          <w:sz w:val="32"/>
          <w:szCs w:val="32"/>
          <w:lang w:val="en-US" w:eastAsia="zh-CN"/>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ascii="仿宋_GB2312" w:eastAsia="仿宋_GB2312" w:cs="仿宋_GB2312" w:hint="eastAsia"/>
          <w:sz w:val="32"/>
          <w:szCs w:val="32"/>
          <w:lang w:val="en-US" w:eastAsia="zh-CN"/>
          <w:highlight w:val="auto"/>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left="630"/>
        <w:outlineLvl w:val="1"/>
        <w:rPr>
          <w:rStyle w:val="2Char"/>
          <w:rFonts w:ascii="Times New Roman" w:eastAsia="黑体" w:hAnsi="Times New Roman"/>
          <w:b w:val="0"/>
          <w:color w:val="auto"/>
          <w:highlight w:val="auto"/>
        </w:rPr>
      </w:pPr>
      <w:bookmarkStart w:id="54" w:name="_Toc15396611"/>
      <w:bookmarkStart w:id="55" w:name="_Toc15377219"/>
      <w:bookmarkStart w:id="56" w:name="_Toc9897"/>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54"/>
      <w:bookmarkEnd w:id="55"/>
      <w:bookmarkEnd w:id="56"/>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w:t>
      </w:r>
      <w:r>
        <w:rPr>
          <w:rFonts w:ascii="Times New Roman" w:eastAsia="仿宋_GB2312" w:cs="仿宋_GB2312" w:hAnsi="Times New Roman" w:hint="eastAsia"/>
          <w:color w:val="auto"/>
          <w:kern w:val="2"/>
          <w:sz w:val="32"/>
          <w:szCs w:val="32"/>
          <w:lang w:val="en-US" w:eastAsia="zh-CN" w:bidi="ar-SA"/>
          <w:highlight w:val="auto"/>
        </w:rPr>
        <w:t>年度国有资本经营预算财政拨款支出</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2024</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left="630"/>
        <w:outlineLvl w:val="1"/>
        <w:rPr>
          <w:rStyle w:val="2Char"/>
          <w:rFonts w:ascii="Times New Roman" w:eastAsia="黑体" w:hAnsi="Times New Roman" w:hint="eastAsia"/>
          <w:b w:val="0"/>
          <w:color w:val="auto"/>
          <w:highlight w:val="auto"/>
        </w:rPr>
      </w:pPr>
      <w:bookmarkStart w:id="57" w:name="_Toc15396612"/>
      <w:bookmarkStart w:id="58" w:name="_Toc8130"/>
      <w:bookmarkStart w:id="59" w:name="_Toc15377221"/>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57"/>
      <w:bookmarkEnd w:id="58"/>
      <w:bookmarkEnd w:id="59"/>
    </w:p>
    <w:p>
      <w:pPr>
        <w:spacing w:line="600" w:lineRule="exact"/>
        <w:ind w:firstLineChars="200" w:firstLine="640"/>
        <w:outlineLvl w:val="9"/>
        <w:rPr>
          <w:rFonts w:ascii="Times New Roman" w:eastAsia="楷体_GB2312" w:cs="楷体_GB2312" w:hAnsi="Times New Roman" w:hint="eastAsia"/>
          <w:b/>
          <w:color w:val="auto"/>
          <w:sz w:val="32"/>
          <w:szCs w:val="32"/>
          <w:highlight w:val="auto"/>
        </w:rPr>
      </w:pPr>
      <w:bookmarkStart w:id="60" w:name="_Toc15377222"/>
      <w:r>
        <w:rPr>
          <w:rFonts w:ascii="Times New Roman" w:eastAsia="楷体_GB2312" w:cs="楷体_GB2312" w:hAnsi="Times New Roman" w:hint="eastAsia"/>
          <w:b/>
          <w:color w:val="auto"/>
          <w:sz w:val="32"/>
          <w:szCs w:val="32"/>
          <w:highlight w:val="auto"/>
        </w:rPr>
        <w:t>（一）机关运行经费支出情况</w:t>
      </w:r>
      <w:bookmarkEnd w:id="60"/>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w:t>
      </w:r>
      <w:r>
        <w:rPr>
          <w:rFonts w:ascii="Times New Roman" w:eastAsia="仿宋_GB2312" w:cs="仿宋_GB2312" w:hAnsi="Times New Roman" w:hint="eastAsia"/>
          <w:color w:val="auto"/>
          <w:kern w:val="2"/>
          <w:sz w:val="32"/>
          <w:szCs w:val="32"/>
          <w:lang w:val="en-US" w:eastAsia="zh-CN" w:bidi="ar-SA"/>
          <w:highlight w:val="auto"/>
        </w:rPr>
        <w:t>年度</w:t>
      </w:r>
      <w:r>
        <w:rPr>
          <w:rFonts w:ascii="仿宋_GB2312" w:eastAsia="仿宋_GB2312" w:cs="仿宋_GB2312" w:hint="eastAsia"/>
          <w:color w:val="auto"/>
          <w:kern w:val="2"/>
          <w:sz w:val="32"/>
          <w:szCs w:val="32"/>
          <w:lang w:val="en-US" w:eastAsia="zh-CN" w:bidi="ar-SA"/>
          <w:highlight w:val="auto"/>
        </w:rPr>
        <w:t>，</w:t>
      </w:r>
      <w:r>
        <w:rPr>
          <w:rFonts w:ascii="仿宋_GB2312" w:eastAsia="仿宋_GB2312" w:cs="仿宋_GB2312" w:hint="eastAsia"/>
          <w:sz w:val="32"/>
          <w:szCs w:val="32"/>
          <w:lang w:val="en-US" w:eastAsia="zh-CN"/>
          <w:highlight w:val="auto"/>
        </w:rPr>
        <w:t>中共四川省阿坝州委统战部</w:t>
      </w:r>
      <w:r>
        <w:rPr>
          <w:rFonts w:ascii="仿宋_GB2312" w:eastAsia="仿宋_GB2312" w:cs="仿宋_GB2312" w:hint="eastAsia"/>
          <w:color w:val="auto"/>
          <w:kern w:val="2"/>
          <w:sz w:val="32"/>
          <w:szCs w:val="32"/>
          <w:lang w:val="en-US" w:eastAsia="zh-CN" w:bidi="ar-SA"/>
          <w:highlight w:val="auto"/>
        </w:rPr>
        <w:t>机关运行经费支出</w:t>
      </w:r>
      <w:r>
        <w:rPr>
          <w:rFonts w:ascii="仿宋_GB2312" w:eastAsia="仿宋_GB2312" w:cs="仿宋_GB2312" w:hint="eastAsia"/>
          <w:sz w:val="32"/>
          <w:szCs w:val="32"/>
          <w:lang w:val="en-US" w:eastAsia="zh-CN"/>
          <w:highlight w:val="auto"/>
        </w:rPr>
        <w:t>221.98</w:t>
      </w:r>
      <w:r>
        <w:rPr>
          <w:rFonts w:ascii="仿宋_GB2312" w:eastAsia="仿宋_GB2312" w:cs="仿宋_GB2312" w:hint="eastAsia"/>
          <w:color w:val="auto"/>
          <w:kern w:val="2"/>
          <w:sz w:val="32"/>
          <w:szCs w:val="32"/>
          <w:lang w:val="en-US" w:eastAsia="zh-CN" w:bidi="ar-SA"/>
          <w:highlight w:val="auto"/>
        </w:rPr>
        <w:t>万</w:t>
      </w:r>
      <w:r>
        <w:rPr>
          <w:rFonts w:ascii="Times New Roman" w:eastAsia="仿宋_GB2312" w:cs="仿宋_GB2312" w:hAnsi="Times New Roman" w:hint="eastAsia"/>
          <w:color w:val="auto"/>
          <w:kern w:val="2"/>
          <w:sz w:val="32"/>
          <w:szCs w:val="32"/>
          <w:lang w:val="en-US" w:eastAsia="zh-CN" w:bidi="ar-SA"/>
          <w:highlight w:val="auto"/>
        </w:rPr>
        <w:t>元，比</w:t>
      </w:r>
      <w:r>
        <w:rPr>
          <w:rFonts w:eastAsia="仿宋_GB2312" w:cs="仿宋_GB2312" w:hint="eastAsia"/>
          <w:color w:val="auto"/>
          <w:kern w:val="2"/>
          <w:sz w:val="32"/>
          <w:szCs w:val="32"/>
          <w:lang w:val="en-US" w:eastAsia="zh-CN" w:bidi="ar-SA"/>
          <w:highlight w:val="auto"/>
        </w:rPr>
        <w:t>2024</w:t>
      </w:r>
      <w:r>
        <w:rPr>
          <w:rFonts w:ascii="Times New Roman" w:eastAsia="仿宋_GB2312" w:cs="仿宋_GB2312" w:hAnsi="Times New Roman" w:hint="eastAsia"/>
          <w:color w:val="auto"/>
          <w:kern w:val="2"/>
          <w:sz w:val="32"/>
          <w:szCs w:val="32"/>
          <w:lang w:val="en-US" w:eastAsia="zh-CN" w:bidi="ar-SA"/>
          <w:highlight w:val="auto"/>
        </w:rPr>
        <w:t>年度</w:t>
      </w:r>
      <w:r>
        <w:rPr>
          <w:rFonts w:eastAsia="仿宋_GB2312" w:cs="仿宋_GB2312" w:hint="eastAsia"/>
          <w:color w:val="auto"/>
          <w:kern w:val="2"/>
          <w:sz w:val="32"/>
          <w:szCs w:val="32"/>
          <w:lang w:val="en-US" w:eastAsia="zh-CN" w:bidi="ar-SA"/>
          <w:highlight w:val="auto"/>
        </w:rPr>
        <w:t>减少</w:t>
      </w:r>
      <w:r>
        <w:rPr>
          <w:rFonts w:ascii="仿宋_GB2312" w:eastAsia="仿宋_GB2312" w:cs="仿宋_GB2312" w:hint="eastAsia"/>
          <w:sz w:val="32"/>
          <w:szCs w:val="32"/>
          <w:lang w:val="en-US" w:eastAsia="zh-CN"/>
          <w:highlight w:val="auto"/>
        </w:rPr>
        <w:t>65.91</w:t>
      </w:r>
      <w:r>
        <w:rPr>
          <w:rFonts w:ascii="Times New Roman" w:eastAsia="仿宋_GB2312" w:cs="仿宋_GB2312" w:hAnsi="Times New Roman" w:hint="eastAsia"/>
          <w:color w:val="auto"/>
          <w:kern w:val="2"/>
          <w:sz w:val="32"/>
          <w:szCs w:val="32"/>
          <w:lang w:val="en-US" w:eastAsia="zh-CN" w:bidi="ar-SA"/>
          <w:highlight w:val="auto"/>
        </w:rPr>
        <w:t>万元，</w:t>
      </w:r>
      <w:r>
        <w:rPr>
          <w:rFonts w:eastAsia="仿宋_GB2312" w:cs="仿宋_GB2312" w:hint="eastAsia"/>
          <w:color w:val="auto"/>
          <w:kern w:val="2"/>
          <w:sz w:val="32"/>
          <w:szCs w:val="32"/>
          <w:lang w:val="en-US" w:eastAsia="zh-CN" w:bidi="ar-SA"/>
          <w:highlight w:val="auto"/>
        </w:rPr>
        <w:t>下降</w:t>
      </w:r>
      <w:r>
        <w:rPr>
          <w:rFonts w:ascii="仿宋_GB2312" w:eastAsia="仿宋_GB2312" w:cs="仿宋_GB2312" w:hint="eastAsia"/>
          <w:sz w:val="32"/>
          <w:szCs w:val="32"/>
          <w:lang w:val="en-US" w:eastAsia="zh-CN"/>
          <w:highlight w:val="auto"/>
        </w:rPr>
        <w:t>22.9</w:t>
      </w:r>
      <w:r>
        <w:rPr>
          <w:rFonts w:ascii="Times New Roman" w:eastAsia="仿宋_GB2312" w:cs="仿宋_GB2312" w:hAnsi="Times New Roman" w:hint="eastAsia"/>
          <w:color w:val="auto"/>
          <w:kern w:val="2"/>
          <w:sz w:val="32"/>
          <w:szCs w:val="32"/>
          <w:lang w:val="en-US" w:eastAsia="zh-CN" w:bidi="ar-SA"/>
          <w:highlight w:val="auto"/>
        </w:rPr>
        <w:t>%。主要原因是</w:t>
      </w:r>
      <w:r>
        <w:rPr>
          <w:rFonts w:ascii="仿宋_GB2312" w:eastAsia="仿宋_GB2312" w:cs="仿宋_GB2312" w:hint="eastAsia"/>
          <w:sz w:val="32"/>
          <w:szCs w:val="32"/>
          <w:lang w:val="en-US" w:eastAsia="zh-CN"/>
          <w:highlight w:val="auto"/>
        </w:rPr>
        <w:t>厉行节约，压缩机关运行经费。</w:t>
      </w:r>
    </w:p>
    <w:p>
      <w:pPr>
        <w:spacing w:line="600" w:lineRule="exact"/>
        <w:ind w:firstLineChars="200" w:firstLine="640"/>
        <w:outlineLvl w:val="9"/>
        <w:rPr>
          <w:rFonts w:ascii="Times New Roman" w:eastAsia="楷体_GB2312" w:cs="楷体_GB2312" w:hAnsi="Times New Roman" w:hint="eastAsia"/>
          <w:b/>
          <w:color w:val="FF0000"/>
          <w:sz w:val="32"/>
          <w:szCs w:val="32"/>
          <w:lang w:eastAsia="zh-CN"/>
          <w:highlight w:val="auto"/>
        </w:rPr>
      </w:pPr>
      <w:bookmarkStart w:id="61" w:name="_Toc15377223"/>
      <w:r>
        <w:rPr>
          <w:rFonts w:ascii="Times New Roman" w:eastAsia="楷体_GB2312" w:cs="楷体_GB2312" w:hAnsi="Times New Roman" w:hint="eastAsia"/>
          <w:b/>
          <w:color w:val="auto"/>
          <w:sz w:val="32"/>
          <w:szCs w:val="32"/>
          <w:highlight w:val="auto"/>
        </w:rPr>
        <w:t>（二）政府采购支出情况</w:t>
      </w:r>
      <w:bookmarkEnd w:id="61"/>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2025年度，</w:t>
      </w:r>
      <w:r>
        <w:rPr>
          <w:rFonts w:ascii="仿宋_GB2312" w:eastAsia="仿宋_GB2312" w:cs="仿宋_GB2312" w:hint="eastAsia"/>
          <w:sz w:val="32"/>
          <w:szCs w:val="32"/>
          <w:lang w:val="en-US" w:eastAsia="zh-CN"/>
          <w:highlight w:val="auto"/>
        </w:rPr>
        <w:t>中共四川省阿坝州委统战部</w:t>
      </w:r>
      <w:r>
        <w:rPr>
          <w:rFonts w:ascii="仿宋_GB2312" w:eastAsia="仿宋_GB2312" w:cs="仿宋_GB2312" w:hint="eastAsia"/>
          <w:color w:val="auto"/>
          <w:kern w:val="2"/>
          <w:sz w:val="32"/>
          <w:szCs w:val="32"/>
          <w:lang w:val="en-US" w:eastAsia="zh-CN" w:bidi="ar-SA"/>
          <w:highlight w:val="auto"/>
        </w:rPr>
        <w:t>政府采购支出总额</w:t>
      </w:r>
      <w:r>
        <w:rPr>
          <w:rFonts w:ascii="仿宋_GB2312" w:eastAsia="仿宋_GB2312" w:cs="仿宋_GB2312" w:hint="eastAsia"/>
          <w:sz w:val="32"/>
          <w:szCs w:val="32"/>
          <w:lang w:val="en-US" w:eastAsia="zh-CN"/>
          <w:highlight w:val="auto"/>
        </w:rPr>
        <w:t>350.72</w:t>
      </w:r>
      <w:r>
        <w:rPr>
          <w:rFonts w:ascii="仿宋_GB2312" w:eastAsia="仿宋_GB2312" w:cs="仿宋_GB2312" w:hint="eastAsia"/>
          <w:color w:val="auto"/>
          <w:kern w:val="2"/>
          <w:sz w:val="32"/>
          <w:szCs w:val="32"/>
          <w:lang w:val="en-US" w:eastAsia="zh-CN" w:bidi="ar-SA"/>
          <w:highlight w:val="auto"/>
        </w:rPr>
        <w:t>万元，其中：政府采购货物支出</w:t>
      </w:r>
      <w:r>
        <w:rPr>
          <w:rFonts w:ascii="仿宋_GB2312" w:eastAsia="仿宋_GB2312" w:cs="仿宋_GB2312" w:hint="eastAsia"/>
          <w:sz w:val="32"/>
          <w:szCs w:val="32"/>
          <w:lang w:val="en-US" w:eastAsia="zh-CN"/>
          <w:highlight w:val="auto"/>
        </w:rPr>
        <w:t>58.63</w:t>
      </w:r>
      <w:r>
        <w:rPr>
          <w:rFonts w:ascii="仿宋_GB2312" w:eastAsia="仿宋_GB2312" w:cs="仿宋_GB2312" w:hint="eastAsia"/>
          <w:color w:val="auto"/>
          <w:kern w:val="2"/>
          <w:sz w:val="32"/>
          <w:szCs w:val="32"/>
          <w:lang w:val="en-US" w:eastAsia="zh-CN" w:bidi="ar-SA"/>
          <w:highlight w:val="auto"/>
        </w:rPr>
        <w:t>万元、政府采购工程支出</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万元、政府采购服务支出</w:t>
      </w:r>
      <w:r>
        <w:rPr>
          <w:rFonts w:ascii="仿宋_GB2312" w:eastAsia="仿宋_GB2312" w:cs="仿宋_GB2312" w:hint="eastAsia"/>
          <w:sz w:val="32"/>
          <w:szCs w:val="32"/>
          <w:lang w:val="en-US" w:eastAsia="zh-CN"/>
          <w:highlight w:val="auto"/>
        </w:rPr>
        <w:t>292.09</w:t>
      </w:r>
      <w:r>
        <w:rPr>
          <w:rFonts w:ascii="仿宋_GB2312" w:eastAsia="仿宋_GB2312" w:cs="仿宋_GB2312" w:hint="eastAsia"/>
          <w:color w:val="auto"/>
          <w:kern w:val="2"/>
          <w:sz w:val="32"/>
          <w:szCs w:val="32"/>
          <w:lang w:val="en-US" w:eastAsia="zh-CN" w:bidi="ar-SA"/>
          <w:highlight w:val="auto"/>
        </w:rPr>
        <w:t>万元。主要用于日常工作所需的服务采购。授予中小企业合同金额</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%，其中：授予小微企业合同金额</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w:t>
      </w:r>
    </w:p>
    <w:p>
      <w:pPr>
        <w:spacing w:line="600" w:lineRule="exact"/>
        <w:ind w:firstLineChars="200" w:firstLine="640"/>
        <w:outlineLvl w:val="9"/>
        <w:rPr>
          <w:rFonts w:ascii="Times New Roman" w:eastAsia="楷体_GB2312" w:cs="楷体_GB2312" w:hAnsi="Times New Roman" w:hint="eastAsia"/>
          <w:b/>
          <w:color w:val="auto"/>
          <w:sz w:val="32"/>
          <w:szCs w:val="32"/>
          <w:highlight w:val="auto"/>
        </w:rPr>
      </w:pPr>
      <w:bookmarkStart w:id="62" w:name="_Toc15377224"/>
      <w:r>
        <w:rPr>
          <w:rFonts w:ascii="Times New Roman" w:eastAsia="楷体_GB2312" w:cs="楷体_GB2312" w:hAnsi="Times New Roman" w:hint="eastAsia"/>
          <w:b/>
          <w:color w:val="auto"/>
          <w:sz w:val="32"/>
          <w:szCs w:val="32"/>
          <w:highlight w:val="auto"/>
        </w:rPr>
        <w:t>（三）国有资产占有使用情况</w:t>
      </w:r>
      <w:bookmarkEnd w:id="62"/>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截至2025年12月31日，</w:t>
      </w:r>
      <w:r>
        <w:rPr>
          <w:rFonts w:ascii="仿宋_GB2312" w:eastAsia="仿宋_GB2312" w:cs="仿宋_GB2312" w:hint="eastAsia"/>
          <w:sz w:val="32"/>
          <w:szCs w:val="32"/>
          <w:lang w:val="en-US" w:eastAsia="zh-CN"/>
          <w:highlight w:val="auto"/>
        </w:rPr>
        <w:t>中共四川省阿坝州委统战部</w:t>
      </w:r>
      <w:r>
        <w:rPr>
          <w:rFonts w:ascii="仿宋_GB2312" w:eastAsia="仿宋_GB2312" w:cs="仿宋_GB2312" w:hint="eastAsia"/>
          <w:color w:val="auto"/>
          <w:kern w:val="2"/>
          <w:sz w:val="32"/>
          <w:szCs w:val="32"/>
          <w:lang w:val="en-US" w:eastAsia="zh-CN" w:bidi="ar-SA"/>
          <w:highlight w:val="auto"/>
        </w:rPr>
        <w:t>共有车辆</w:t>
      </w:r>
      <w:r>
        <w:rPr>
          <w:rFonts w:ascii="仿宋_GB2312" w:eastAsia="仿宋_GB2312" w:cs="仿宋_GB2312" w:hint="eastAsia"/>
          <w:sz w:val="32"/>
          <w:szCs w:val="32"/>
          <w:lang w:val="en-US" w:eastAsia="zh-CN"/>
          <w:highlight w:val="auto"/>
        </w:rPr>
        <w:t>10</w:t>
      </w:r>
      <w:r>
        <w:rPr>
          <w:rFonts w:ascii="仿宋_GB2312" w:eastAsia="仿宋_GB2312" w:cs="仿宋_GB2312" w:hint="eastAsia"/>
          <w:color w:val="auto"/>
          <w:kern w:val="2"/>
          <w:sz w:val="32"/>
          <w:szCs w:val="32"/>
          <w:lang w:val="en-US" w:eastAsia="zh-CN" w:bidi="ar-SA"/>
          <w:highlight w:val="auto"/>
        </w:rPr>
        <w:t>辆，其中：主要负责人用车</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辆、机要通信用车</w:t>
      </w:r>
      <w:r>
        <w:rPr>
          <w:rFonts w:ascii="仿宋_GB2312" w:eastAsia="仿宋_GB2312" w:cs="仿宋_GB2312" w:hint="eastAsia"/>
          <w:sz w:val="32"/>
          <w:szCs w:val="32"/>
          <w:lang w:val="en-US" w:eastAsia="zh-CN"/>
          <w:highlight w:val="auto"/>
        </w:rPr>
        <w:t>3</w:t>
      </w:r>
      <w:r>
        <w:rPr>
          <w:rFonts w:ascii="仿宋_GB2312" w:eastAsia="仿宋_GB2312" w:cs="仿宋_GB2312" w:hint="eastAsia"/>
          <w:color w:val="auto"/>
          <w:kern w:val="2"/>
          <w:sz w:val="32"/>
          <w:szCs w:val="32"/>
          <w:lang w:val="en-US" w:eastAsia="zh-CN" w:bidi="ar-SA"/>
          <w:highlight w:val="auto"/>
        </w:rPr>
        <w:t>辆、应急保障用车</w:t>
      </w:r>
      <w:r>
        <w:rPr>
          <w:rFonts w:ascii="仿宋_GB2312" w:eastAsia="仿宋_GB2312" w:cs="仿宋_GB2312" w:hint="eastAsia"/>
          <w:sz w:val="32"/>
          <w:szCs w:val="32"/>
          <w:lang w:val="en-US" w:eastAsia="zh-CN"/>
          <w:highlight w:val="auto"/>
        </w:rPr>
        <w:t>3</w:t>
      </w:r>
      <w:r>
        <w:rPr>
          <w:rFonts w:ascii="仿宋_GB2312" w:eastAsia="仿宋_GB2312" w:cs="仿宋_GB2312" w:hint="eastAsia"/>
          <w:color w:val="auto"/>
          <w:kern w:val="2"/>
          <w:sz w:val="32"/>
          <w:szCs w:val="32"/>
          <w:lang w:val="en-US" w:eastAsia="zh-CN" w:bidi="ar-SA"/>
          <w:highlight w:val="auto"/>
        </w:rPr>
        <w:t>辆、执法执勤用车</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辆、其他用车</w:t>
      </w:r>
      <w:r>
        <w:rPr>
          <w:rFonts w:ascii="仿宋_GB2312" w:eastAsia="仿宋_GB2312" w:cs="仿宋_GB2312" w:hint="eastAsia"/>
          <w:sz w:val="32"/>
          <w:szCs w:val="32"/>
          <w:lang w:val="en-US" w:eastAsia="zh-CN"/>
          <w:highlight w:val="auto"/>
        </w:rPr>
        <w:t>4</w:t>
      </w:r>
      <w:r>
        <w:rPr>
          <w:rFonts w:ascii="仿宋_GB2312" w:eastAsia="仿宋_GB2312" w:cs="仿宋_GB2312" w:hint="eastAsia"/>
          <w:color w:val="auto"/>
          <w:kern w:val="2"/>
          <w:sz w:val="32"/>
          <w:szCs w:val="32"/>
          <w:lang w:val="en-US" w:eastAsia="zh-CN" w:bidi="ar-SA"/>
          <w:highlight w:val="auto"/>
        </w:rPr>
        <w:t>辆，其他用车主要是用于日常公务用车。单价100万元（含）以上设备（不含车辆）</w:t>
      </w:r>
      <w:r>
        <w:rPr>
          <w:rFonts w:ascii="仿宋_GB2312" w:eastAsia="仿宋_GB2312" w:cs="仿宋_GB2312" w:hint="eastAsia"/>
          <w:sz w:val="32"/>
          <w:szCs w:val="32"/>
          <w:lang w:val="en-US" w:eastAsia="zh-CN"/>
          <w:highlight w:val="auto"/>
        </w:rPr>
        <w:t>0</w:t>
      </w:r>
      <w:r>
        <w:rPr>
          <w:rFonts w:ascii="仿宋_GB2312" w:eastAsia="仿宋_GB2312" w:cs="仿宋_GB2312" w:hint="eastAsia"/>
          <w:color w:val="auto"/>
          <w:kern w:val="2"/>
          <w:sz w:val="32"/>
          <w:szCs w:val="32"/>
          <w:lang w:val="en-US" w:eastAsia="zh-CN" w:bidi="ar-SA"/>
          <w:highlight w:val="auto"/>
        </w:rPr>
        <w:t>台（套）</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Chars="200" w:firstLine="640"/>
        <w:outlineLvl w:val="9"/>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根据预算绩效管理要求，</w:t>
      </w:r>
      <w:r>
        <w:rPr>
          <w:rFonts w:ascii="仿宋_GB2312" w:eastAsia="仿宋_GB2312" w:cs="仿宋_GB2312" w:hint="eastAsia"/>
          <w:sz w:val="32"/>
          <w:szCs w:val="32"/>
          <w:lang w:val="en-US" w:eastAsia="zh-CN"/>
          <w:highlight w:val="auto"/>
        </w:rPr>
        <w:t>中共四川省阿坝州委统战部</w:t>
      </w:r>
      <w:r>
        <w:rPr>
          <w:rFonts w:ascii="Times New Roman" w:eastAsia="仿宋_GB2312" w:cs="仿宋_GB2312" w:hAnsi="Times New Roman" w:hint="eastAsia"/>
          <w:color w:val="auto"/>
          <w:kern w:val="2"/>
          <w:sz w:val="32"/>
          <w:szCs w:val="32"/>
          <w:lang w:val="en-US" w:eastAsia="zh-CN" w:bidi="ar-SA"/>
          <w:highlight w:val="auto"/>
        </w:rPr>
        <w:t>在</w:t>
      </w:r>
      <w:r>
        <w:rPr>
          <w:rFonts w:eastAsia="仿宋_GB2312" w:cs="仿宋_GB2312" w:hint="eastAsia"/>
          <w:color w:val="auto"/>
          <w:kern w:val="2"/>
          <w:sz w:val="32"/>
          <w:szCs w:val="32"/>
          <w:lang w:val="en-US" w:eastAsia="zh-CN" w:bidi="ar-SA"/>
          <w:highlight w:val="auto"/>
        </w:rPr>
        <w:t>2025</w:t>
      </w:r>
      <w:r>
        <w:rPr>
          <w:rFonts w:ascii="Times New Roman" w:eastAsia="仿宋_GB2312" w:cs="仿宋_GB2312" w:hAnsi="Times New Roman" w:hint="eastAsia"/>
          <w:color w:val="auto"/>
          <w:kern w:val="2"/>
          <w:sz w:val="32"/>
          <w:szCs w:val="32"/>
          <w:lang w:val="en-US" w:eastAsia="zh-CN" w:bidi="ar-SA"/>
          <w:highlight w:val="auto"/>
        </w:rPr>
        <w:t>年度预算编制阶段，组织对整治工作经费</w:t>
      </w:r>
      <w:r>
        <w:rPr>
          <w:rFonts w:eastAsia="仿宋_GB2312" w:cs="仿宋_GB2312" w:hint="eastAsia"/>
          <w:color w:val="auto"/>
          <w:kern w:val="2"/>
          <w:sz w:val="32"/>
          <w:szCs w:val="32"/>
          <w:lang w:val="en-US" w:eastAsia="zh-CN" w:bidi="ar-SA"/>
          <w:highlight w:val="auto"/>
        </w:rPr>
        <w:t>、统战工作培训费</w:t>
      </w:r>
      <w:r>
        <w:rPr>
          <w:rFonts w:ascii="Times New Roman" w:eastAsia="仿宋_GB2312" w:cs="仿宋_GB2312" w:hAnsi="Times New Roman" w:hint="eastAsia"/>
          <w:color w:val="auto"/>
          <w:kern w:val="2"/>
          <w:sz w:val="32"/>
          <w:szCs w:val="32"/>
          <w:lang w:val="en-US" w:eastAsia="zh-CN" w:bidi="ar-SA"/>
          <w:highlight w:val="auto"/>
        </w:rPr>
        <w:t>等</w:t>
      </w:r>
      <w:r>
        <w:rPr>
          <w:rFonts w:eastAsia="仿宋_GB2312" w:cs="仿宋_GB2312" w:hint="eastAsia"/>
          <w:color w:val="auto"/>
          <w:kern w:val="2"/>
          <w:sz w:val="32"/>
          <w:szCs w:val="32"/>
          <w:lang w:val="en-US" w:eastAsia="zh-CN" w:bidi="ar-SA"/>
          <w:highlight w:val="auto"/>
        </w:rPr>
        <w:t>1</w:t>
      </w:r>
      <w:r>
        <w:rPr>
          <w:rFonts w:eastAsia="仿宋_GB2312" w:cs="仿宋_GB2312"/>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个项目开展了预算事前绩效评估，对</w:t>
      </w:r>
      <w:r>
        <w:rPr>
          <w:rFonts w:eastAsia="仿宋_GB2312" w:cs="仿宋_GB2312" w:hint="eastAsia"/>
          <w:color w:val="auto"/>
          <w:kern w:val="2"/>
          <w:sz w:val="32"/>
          <w:szCs w:val="32"/>
          <w:lang w:val="en-US" w:eastAsia="zh-CN" w:bidi="ar-SA"/>
          <w:highlight w:val="auto"/>
        </w:rPr>
        <w:t>1</w:t>
      </w:r>
      <w:r>
        <w:rPr>
          <w:rFonts w:eastAsia="仿宋_GB2312" w:cs="仿宋_GB2312"/>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个项目编制了绩效目标，预算执行过程中，选取</w:t>
      </w:r>
      <w:r>
        <w:rPr>
          <w:rFonts w:eastAsia="仿宋_GB2312" w:cs="仿宋_GB2312" w:hint="eastAsia"/>
          <w:color w:val="auto"/>
          <w:kern w:val="2"/>
          <w:sz w:val="32"/>
          <w:szCs w:val="32"/>
          <w:lang w:val="en-US" w:eastAsia="zh-CN" w:bidi="ar-SA"/>
          <w:highlight w:val="auto"/>
        </w:rPr>
        <w:t>1</w:t>
      </w:r>
      <w:r>
        <w:rPr>
          <w:rFonts w:eastAsia="仿宋_GB2312" w:cs="仿宋_GB2312"/>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个项目开展绩效监控。</w:t>
      </w:r>
    </w:p>
    <w:p>
      <w:pPr>
        <w:spacing w:line="600" w:lineRule="exact"/>
        <w:ind w:firstLine="640"/>
        <w:outlineLvl w:val="9"/>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组织对</w:t>
      </w:r>
      <w:r>
        <w:rPr>
          <w:rFonts w:eastAsia="仿宋_GB2312" w:cs="仿宋_GB2312" w:hint="eastAsia"/>
          <w:color w:val="auto"/>
          <w:kern w:val="2"/>
          <w:sz w:val="32"/>
          <w:szCs w:val="32"/>
          <w:lang w:val="en-US" w:eastAsia="zh-CN" w:bidi="ar-SA"/>
          <w:highlight w:val="auto"/>
        </w:rPr>
        <w:t>2025</w:t>
      </w:r>
      <w:r>
        <w:rPr>
          <w:rFonts w:ascii="Times New Roman" w:eastAsia="仿宋_GB2312" w:cs="仿宋_GB2312" w:hAnsi="Times New Roman" w:hint="eastAsia"/>
          <w:color w:val="auto"/>
          <w:kern w:val="2"/>
          <w:sz w:val="32"/>
          <w:szCs w:val="32"/>
          <w:lang w:val="en-US" w:eastAsia="zh-CN" w:bidi="ar-SA"/>
          <w:highlight w:val="auto"/>
        </w:rPr>
        <w:t>年度一般公共预算</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等全面开展</w:t>
      </w:r>
      <w:r>
        <w:rPr>
          <w:rFonts w:eastAsia="仿宋_GB2312" w:cs="仿宋_GB2312" w:hint="eastAsia"/>
          <w:color w:val="auto"/>
          <w:kern w:val="2"/>
          <w:sz w:val="32"/>
          <w:szCs w:val="32"/>
          <w:lang w:val="en-US" w:eastAsia="zh-CN" w:bidi="ar-SA"/>
          <w:highlight w:val="auto"/>
        </w:rPr>
        <w:t>了</w:t>
      </w:r>
      <w:r>
        <w:rPr>
          <w:rFonts w:ascii="Times New Roman" w:eastAsia="仿宋_GB2312" w:cs="仿宋_GB2312" w:hAnsi="Times New Roman" w:hint="eastAsia"/>
          <w:color w:val="auto"/>
          <w:kern w:val="2"/>
          <w:sz w:val="32"/>
          <w:szCs w:val="32"/>
          <w:lang w:val="en-US" w:eastAsia="zh-CN" w:bidi="ar-SA"/>
          <w:highlight w:val="auto"/>
        </w:rPr>
        <w:t>绩效自评，形成</w:t>
      </w:r>
      <w:r>
        <w:rPr>
          <w:rFonts w:ascii="仿宋_GB2312" w:eastAsia="仿宋_GB2312" w:cs="仿宋_GB2312" w:hint="eastAsia"/>
          <w:sz w:val="32"/>
          <w:szCs w:val="32"/>
          <w:lang w:val="en-US" w:eastAsia="zh-CN"/>
          <w:highlight w:val="auto"/>
        </w:rPr>
        <w:t>中共四川省阿坝州委统战部</w:t>
      </w:r>
      <w:r>
        <w:rPr>
          <w:rFonts w:ascii="Times New Roman" w:eastAsia="仿宋_GB2312" w:cs="仿宋_GB2312" w:hAnsi="Times New Roman" w:hint="eastAsia"/>
          <w:color w:val="auto"/>
          <w:kern w:val="2"/>
          <w:sz w:val="32"/>
          <w:szCs w:val="32"/>
          <w:lang w:val="en-US" w:eastAsia="zh-CN" w:bidi="ar-SA"/>
          <w:highlight w:val="auto"/>
        </w:rPr>
        <w:t>部门整体（含部门预算项目）绩效自评报告、整治工作经费</w:t>
      </w:r>
      <w:r>
        <w:rPr>
          <w:rFonts w:eastAsia="仿宋_GB2312" w:cs="仿宋_GB2312" w:hint="eastAsia"/>
          <w:color w:val="auto"/>
          <w:kern w:val="2"/>
          <w:sz w:val="32"/>
          <w:szCs w:val="32"/>
          <w:lang w:val="en-US" w:eastAsia="zh-CN" w:bidi="ar-SA"/>
          <w:highlight w:val="auto"/>
        </w:rPr>
        <w:t>、统战工作培训费</w:t>
      </w:r>
      <w:r>
        <w:rPr>
          <w:rFonts w:ascii="Times New Roman" w:eastAsia="仿宋_GB2312" w:cs="仿宋_GB2312" w:hAnsi="Times New Roman" w:hint="eastAsia"/>
          <w:color w:val="auto"/>
          <w:kern w:val="2"/>
          <w:sz w:val="32"/>
          <w:szCs w:val="32"/>
          <w:lang w:val="en-US" w:eastAsia="zh-CN" w:bidi="ar-SA"/>
          <w:highlight w:val="auto"/>
        </w:rPr>
        <w:t>等等专项预算项目绩效自评报告</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其中</w:t>
      </w:r>
      <w:r>
        <w:rPr>
          <w:rFonts w:eastAsia="仿宋_GB2312" w:cs="仿宋_GB2312" w:hint="eastAsia"/>
          <w:color w:val="auto"/>
          <w:kern w:val="2"/>
          <w:sz w:val="32"/>
          <w:szCs w:val="32"/>
          <w:lang w:val="en-US" w:eastAsia="zh-CN" w:bidi="ar-SA"/>
          <w:highlight w:val="auto"/>
        </w:rPr>
        <w:t>：</w:t>
      </w:r>
      <w:r>
        <w:rPr>
          <w:rFonts w:ascii="仿宋_GB2312" w:eastAsia="仿宋_GB2312" w:cs="仿宋_GB2312" w:hint="eastAsia"/>
          <w:sz w:val="32"/>
          <w:szCs w:val="32"/>
          <w:lang w:val="en-US" w:eastAsia="zh-CN"/>
          <w:highlight w:val="auto"/>
        </w:rPr>
        <w:t>中共四川省阿坝州委统战部</w:t>
      </w:r>
      <w:r>
        <w:rPr>
          <w:rFonts w:ascii="Times New Roman" w:eastAsia="仿宋_GB2312" w:cs="仿宋_GB2312" w:hAnsi="Times New Roman" w:hint="eastAsia"/>
          <w:color w:val="auto"/>
          <w:kern w:val="2"/>
          <w:sz w:val="32"/>
          <w:szCs w:val="32"/>
          <w:lang w:val="en-US" w:eastAsia="zh-CN" w:bidi="ar-SA"/>
          <w:highlight w:val="auto"/>
        </w:rPr>
        <w:t>部门整体（含部门预算项目）绩效自评得分为</w:t>
      </w:r>
      <w:r>
        <w:rPr>
          <w:rFonts w:ascii="Times New Roman" w:eastAsia="仿宋_GB2312" w:cs="Times New Roman" w:hAnsi="Times New Roman" w:hint="eastAsia"/>
          <w:kern w:val="0"/>
          <w:sz w:val="32"/>
          <w:szCs w:val="32"/>
          <w:lang w:val="en-US" w:eastAsia="zh-CN"/>
          <w:highlight w:val="auto"/>
        </w:rPr>
        <w:t>93.84</w:t>
      </w:r>
      <w:r>
        <w:rPr>
          <w:rFonts w:ascii="Times New Roman" w:eastAsia="仿宋_GB2312" w:cs="仿宋_GB2312" w:hAnsi="Times New Roman" w:hint="eastAsia"/>
          <w:color w:val="auto"/>
          <w:kern w:val="2"/>
          <w:sz w:val="32"/>
          <w:szCs w:val="32"/>
          <w:lang w:val="en-US" w:eastAsia="zh-CN" w:bidi="ar-SA"/>
          <w:highlight w:val="auto"/>
        </w:rPr>
        <w:t>分，绩效自评综述</w:t>
      </w:r>
      <w:r>
        <w:rPr>
          <w:rFonts w:eastAsia="仿宋_GB2312" w:cs="仿宋_GB2312" w:hint="eastAsia"/>
          <w:color w:val="auto"/>
          <w:kern w:val="2"/>
          <w:sz w:val="32"/>
          <w:szCs w:val="32"/>
          <w:lang w:val="en-US" w:eastAsia="zh-CN" w:bidi="ar-SA"/>
          <w:highlight w:val="auto"/>
        </w:rPr>
        <w:t>：（</w:t>
      </w:r>
      <w:r>
        <w:rPr>
          <w:rFonts w:ascii="Times New Roman" w:eastAsia="仿宋_GB2312" w:cs="Times New Roman" w:hAnsi="Times New Roman" w:hint="eastAsia"/>
          <w:kern w:val="0"/>
          <w:sz w:val="32"/>
          <w:szCs w:val="32"/>
          <w:highlight w:val="auto"/>
        </w:rPr>
        <w:t>中共阿坝藏族羌族自治州委员会统战部2025年度部门整体预</w:t>
      </w:r>
      <w:bookmarkStart w:id="63" w:name="_GoBack"/>
      <w:bookmarkEnd w:id="63"/>
      <w:r>
        <w:rPr>
          <w:rFonts w:ascii="Times New Roman" w:eastAsia="仿宋_GB2312" w:cs="Times New Roman" w:hAnsi="Times New Roman" w:hint="eastAsia"/>
          <w:kern w:val="0"/>
          <w:sz w:val="32"/>
          <w:szCs w:val="32"/>
          <w:highlight w:val="auto"/>
        </w:rPr>
        <w:t>算绩效自评总体结论为“优秀”。通过对部门履职效能、预算管理、财务管理、资产管理、采购管理以及项目绩效等方面的综合评价，部门在预算执行、绩效管理和职责履行等方面均取得了显著成效，各项绩效指标基本达到或超过预期目标</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outlineLvl w:val="9"/>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部门整体</w:t>
      </w:r>
      <w:r>
        <w:rPr>
          <w:rFonts w:ascii="Times New Roman" w:eastAsia="仿宋_GB2312" w:cs="仿宋_GB2312" w:hAnsi="Times New Roman" w:hint="eastAsia"/>
          <w:color w:val="auto"/>
          <w:kern w:val="2"/>
          <w:sz w:val="32"/>
          <w:szCs w:val="32"/>
          <w:lang w:val="en-US" w:eastAsia="zh-CN" w:bidi="ar-SA"/>
          <w:highlight w:val="auto"/>
        </w:rPr>
        <w:t>绩效自评报告详见附件</w:t>
      </w:r>
      <w:r>
        <w:rPr>
          <w:rFonts w:eastAsia="仿宋_GB2312" w:cs="仿宋_GB2312" w:hint="eastAsia"/>
          <w:color w:val="auto"/>
          <w:kern w:val="2"/>
          <w:sz w:val="32"/>
          <w:szCs w:val="32"/>
          <w:lang w:val="en-US" w:eastAsia="zh-CN" w:bidi="ar-SA"/>
          <w:highlight w:val="auto"/>
        </w:rPr>
        <w:t>1、</w:t>
      </w:r>
    </w:p>
    <w:p>
      <w:pPr>
        <w:spacing w:line="600" w:lineRule="exact"/>
        <w:ind w:firstLine="640"/>
        <w:outlineLvl w:val="9"/>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部门项目</w:t>
      </w:r>
      <w:r>
        <w:rPr>
          <w:rFonts w:ascii="Times New Roman" w:eastAsia="仿宋_GB2312" w:cs="仿宋_GB2312" w:hAnsi="Times New Roman" w:hint="eastAsia"/>
          <w:color w:val="auto"/>
          <w:kern w:val="2"/>
          <w:sz w:val="32"/>
          <w:szCs w:val="32"/>
          <w:lang w:val="en-US" w:eastAsia="zh-CN" w:bidi="ar-SA"/>
          <w:highlight w:val="auto"/>
        </w:rPr>
        <w:t>自评</w:t>
      </w:r>
      <w:r>
        <w:rPr>
          <w:rFonts w:eastAsia="仿宋_GB2312" w:cs="仿宋_GB2312" w:hint="eastAsia"/>
          <w:color w:val="auto"/>
          <w:kern w:val="2"/>
          <w:sz w:val="32"/>
          <w:szCs w:val="32"/>
          <w:lang w:val="en-US" w:eastAsia="zh-CN" w:bidi="ar-SA"/>
          <w:highlight w:val="auto"/>
        </w:rPr>
        <w:t>表</w:t>
      </w:r>
      <w:r>
        <w:rPr>
          <w:rFonts w:ascii="Times New Roman" w:eastAsia="仿宋_GB2312" w:cs="仿宋_GB2312" w:hAnsi="Times New Roman" w:hint="eastAsia"/>
          <w:color w:val="auto"/>
          <w:kern w:val="2"/>
          <w:sz w:val="32"/>
          <w:szCs w:val="32"/>
          <w:lang w:val="en-US" w:eastAsia="zh-CN" w:bidi="ar-SA"/>
          <w:highlight w:val="auto"/>
        </w:rPr>
        <w:t>详见附件</w:t>
      </w:r>
      <w:r>
        <w:rPr>
          <w:rFonts w:eastAsia="仿宋_GB2312" w:cs="仿宋_GB2312" w:hint="eastAsia"/>
          <w:color w:val="auto"/>
          <w:kern w:val="2"/>
          <w:sz w:val="32"/>
          <w:szCs w:val="32"/>
          <w:lang w:val="en-US" w:eastAsia="zh-CN" w:bidi="ar-SA"/>
          <w:highlight w:val="auto"/>
        </w:rPr>
        <w:t>2。</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hAnsi="Times New Roman"/>
          <w:b/>
          <w:color w:val="auto"/>
          <w:sz w:val="44"/>
          <w:szCs w:val="44"/>
          <w:highlight w:val="auto"/>
        </w:rPr>
      </w:pPr>
      <w:bookmarkStart w:id="64" w:name="_Toc15377225"/>
      <w:bookmarkStart w:id="65" w:name="_Toc19091"/>
      <w:bookmarkStart w:id="66" w:name="_Toc15396613"/>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64"/>
      <w:bookmarkEnd w:id="65"/>
      <w:bookmarkEnd w:id="66"/>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bookmarkStart w:id="67" w:name="_Toc15377226"/>
      <w:r>
        <w:rPr>
          <w:rFonts w:ascii="Times New Roman" w:eastAsia="仿宋_GB2312" w:cs="仿宋_GB2312" w:hAnsi="Times New Roman" w:hint="eastAsia"/>
          <w:color w:val="auto"/>
          <w:kern w:val="2"/>
          <w:sz w:val="32"/>
          <w:szCs w:val="32"/>
          <w:lang w:val="en-US" w:eastAsia="zh-CN" w:bidi="ar-SA"/>
          <w:highlight w:val="auto"/>
        </w:rPr>
        <w:t>财政拨款收入：指单位从同级财政部门取得的财政预算资金。</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事业收入：指事业单位开展专业业务活动及辅助活动取得的收入。</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经营收入：指事业单位在专业业务活动及其辅助活动之外开展非独立核算经营活动取得的收入。</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其他收入：指单位取得的除上述收入以外的各项收入。</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使用非财政拨款结余（含专用结余）：指事业单位使用以前年度积累的非财政拨款结余弥补当年收支差额的金额。 </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年初结转和结余：指以前年度尚未完成、结转到本年按有关规定继续使用的资金。 </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结余分配：指事业单位按照会计制度规定缴纳的所得税、提取的专用结余以及转入非财政拨款结余的金额等。</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年末结转和结余：指单位按有关规定结转到下年或以后年度继续使用的资金。</w:t>
      </w:r>
    </w:p>
    <w:p>
      <w:pPr>
        <w:numPr>
          <w:ilvl w:val="0"/>
          <w:numId w:val="3"/>
        </w:numPr>
        <w:spacing w:line="600" w:lineRule="exact"/>
        <w:ind w:left="0" w:firstLine="400"/>
        <w:rPr>
          <w:rFonts w:eastAsia="仿宋_GB2312" w:cs="仿宋_GB2312"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一般公共服务支出（20</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）统战事务（</w:t>
      </w:r>
      <w:r>
        <w:rPr>
          <w:rFonts w:eastAsia="仿宋_GB2312" w:cs="仿宋_GB2312" w:hint="eastAsia"/>
          <w:color w:val="auto"/>
          <w:kern w:val="2"/>
          <w:sz w:val="32"/>
          <w:szCs w:val="32"/>
          <w:lang w:val="en-US" w:eastAsia="zh-CN" w:bidi="ar-SA"/>
          <w:highlight w:val="auto"/>
        </w:rPr>
        <w:t>34</w:t>
      </w:r>
      <w:r>
        <w:rPr>
          <w:rFonts w:ascii="Times New Roman" w:eastAsia="仿宋_GB2312" w:cs="仿宋_GB2312" w:hAnsi="Times New Roman" w:hint="eastAsia"/>
          <w:color w:val="auto"/>
          <w:kern w:val="2"/>
          <w:sz w:val="32"/>
          <w:szCs w:val="32"/>
          <w:lang w:val="en-US" w:eastAsia="zh-CN" w:bidi="ar-SA"/>
          <w:highlight w:val="auto"/>
        </w:rPr>
        <w:t>）行政运行（01）:反映行政单位(包括实行公务员管理的事业单位)的基本支出</w:t>
      </w:r>
      <w:r>
        <w:rPr>
          <w:rFonts w:eastAsia="仿宋_GB2312" w:cs="仿宋_GB2312" w:hint="eastAsia"/>
          <w:color w:val="auto"/>
          <w:kern w:val="2"/>
          <w:sz w:val="32"/>
          <w:szCs w:val="32"/>
          <w:lang w:val="en-US" w:eastAsia="zh-CN" w:bidi="ar-SA"/>
          <w:highlight w:val="auto"/>
        </w:rPr>
        <w:t>。</w:t>
      </w:r>
    </w:p>
    <w:p>
      <w:pPr>
        <w:numPr>
          <w:ilvl w:val="0"/>
          <w:numId w:val="3"/>
        </w:numPr>
        <w:spacing w:line="600" w:lineRule="exact"/>
        <w:ind w:left="0" w:firstLine="400"/>
        <w:rPr>
          <w:rFonts w:eastAsia="仿宋_GB2312" w:cs="仿宋_GB2312"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一般公共服务支出（20</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）统战事务（</w:t>
      </w:r>
      <w:r>
        <w:rPr>
          <w:rFonts w:eastAsia="仿宋_GB2312" w:cs="仿宋_GB2312" w:hint="eastAsia"/>
          <w:color w:val="auto"/>
          <w:kern w:val="2"/>
          <w:sz w:val="32"/>
          <w:szCs w:val="32"/>
          <w:lang w:val="en-US" w:eastAsia="zh-CN" w:bidi="ar-SA"/>
          <w:highlight w:val="auto"/>
        </w:rPr>
        <w:t>34</w:t>
      </w:r>
      <w:r>
        <w:rPr>
          <w:rFonts w:ascii="Times New Roman" w:eastAsia="仿宋_GB2312" w:cs="仿宋_GB2312" w:hAnsi="Times New Roman" w:hint="eastAsia"/>
          <w:color w:val="auto"/>
          <w:kern w:val="2"/>
          <w:sz w:val="32"/>
          <w:szCs w:val="32"/>
          <w:lang w:val="en-US" w:eastAsia="zh-CN" w:bidi="ar-SA"/>
          <w:highlight w:val="auto"/>
        </w:rPr>
        <w:t>）行政运行（0</w:t>
      </w:r>
      <w:r>
        <w:rPr>
          <w:rFonts w:eastAsia="仿宋_GB2312" w:cs="仿宋_GB2312" w:hint="eastAsia"/>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）:反映行政单位(包括实行公务员管理的事业单位)未单独设置项级科目的其他项目支出</w:t>
      </w:r>
      <w:r>
        <w:rPr>
          <w:rFonts w:eastAsia="仿宋_GB2312" w:cs="仿宋_GB2312" w:hint="eastAsia"/>
          <w:color w:val="auto"/>
          <w:kern w:val="2"/>
          <w:sz w:val="32"/>
          <w:szCs w:val="32"/>
          <w:lang w:val="en-US" w:eastAsia="zh-CN" w:bidi="ar-SA"/>
          <w:highlight w:val="auto"/>
        </w:rPr>
        <w:t>。</w:t>
      </w:r>
    </w:p>
    <w:p>
      <w:pPr>
        <w:numPr>
          <w:ilvl w:val="0"/>
          <w:numId w:val="3"/>
        </w:numPr>
        <w:spacing w:line="600" w:lineRule="exact"/>
        <w:ind w:left="0" w:firstLine="400"/>
        <w:rPr>
          <w:rFonts w:hint="eastAsia"/>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一般公共服务支出（20</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）统战事务（</w:t>
      </w:r>
      <w:r>
        <w:rPr>
          <w:rFonts w:eastAsia="仿宋_GB2312" w:cs="仿宋_GB2312" w:hint="eastAsia"/>
          <w:color w:val="auto"/>
          <w:kern w:val="2"/>
          <w:sz w:val="32"/>
          <w:szCs w:val="32"/>
          <w:lang w:val="en-US" w:eastAsia="zh-CN" w:bidi="ar-SA"/>
          <w:highlight w:val="auto"/>
        </w:rPr>
        <w:t>34</w:t>
      </w:r>
      <w:r>
        <w:rPr>
          <w:rFonts w:ascii="Times New Roman" w:eastAsia="仿宋_GB2312" w:cs="仿宋_GB2312" w:hAnsi="Times New Roman" w:hint="eastAsia"/>
          <w:color w:val="auto"/>
          <w:kern w:val="2"/>
          <w:sz w:val="32"/>
          <w:szCs w:val="32"/>
          <w:lang w:val="en-US" w:eastAsia="zh-CN" w:bidi="ar-SA"/>
          <w:highlight w:val="auto"/>
        </w:rPr>
        <w:t>）事业运行（</w:t>
      </w:r>
      <w:r>
        <w:rPr>
          <w:rFonts w:eastAsia="仿宋_GB2312" w:cs="仿宋_GB2312" w:hint="eastAsia"/>
          <w:color w:val="auto"/>
          <w:kern w:val="2"/>
          <w:sz w:val="32"/>
          <w:szCs w:val="32"/>
          <w:lang w:val="en-US" w:eastAsia="zh-CN" w:bidi="ar-SA"/>
          <w:highlight w:val="auto"/>
        </w:rPr>
        <w:t>50</w:t>
      </w:r>
      <w:r>
        <w:rPr>
          <w:rFonts w:ascii="Times New Roman" w:eastAsia="仿宋_GB2312" w:cs="仿宋_GB2312" w:hAnsi="Times New Roman" w:hint="eastAsia"/>
          <w:color w:val="auto"/>
          <w:kern w:val="2"/>
          <w:sz w:val="32"/>
          <w:szCs w:val="32"/>
          <w:lang w:val="en-US" w:eastAsia="zh-CN" w:bidi="ar-SA"/>
          <w:highlight w:val="auto"/>
        </w:rPr>
        <w:t>）:反映事业单位的基本支出,不包括行政单位(包括实行公务员管理的事业单位)后勤服务中心、医务室等附属事业单位</w:t>
      </w:r>
      <w:r>
        <w:rPr>
          <w:rFonts w:eastAsia="仿宋_GB2312" w:cs="仿宋_GB2312" w:hint="eastAsia"/>
          <w:color w:val="auto"/>
          <w:kern w:val="2"/>
          <w:sz w:val="32"/>
          <w:szCs w:val="32"/>
          <w:lang w:val="en-US" w:eastAsia="zh-CN" w:bidi="ar-SA"/>
          <w:highlight w:val="auto"/>
        </w:rPr>
        <w:t>。</w:t>
      </w:r>
    </w:p>
    <w:p>
      <w:pPr>
        <w:numPr>
          <w:ilvl w:val="0"/>
          <w:numId w:val="3"/>
        </w:numPr>
        <w:spacing w:line="600" w:lineRule="exact"/>
        <w:ind w:left="0" w:firstLine="400"/>
        <w:rPr>
          <w:rFonts w:hint="eastAsia"/>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一般公共服务支出（20</w:t>
      </w:r>
      <w:r>
        <w:rPr>
          <w:rFonts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）统战事务（</w:t>
      </w:r>
      <w:r>
        <w:rPr>
          <w:rFonts w:eastAsia="仿宋_GB2312" w:cs="仿宋_GB2312" w:hint="eastAsia"/>
          <w:color w:val="auto"/>
          <w:kern w:val="2"/>
          <w:sz w:val="32"/>
          <w:szCs w:val="32"/>
          <w:lang w:val="en-US" w:eastAsia="zh-CN" w:bidi="ar-SA"/>
          <w:highlight w:val="auto"/>
        </w:rPr>
        <w:t>34</w:t>
      </w:r>
      <w:r>
        <w:rPr>
          <w:rFonts w:ascii="Times New Roman" w:eastAsia="仿宋_GB2312" w:cs="仿宋_GB2312" w:hAnsi="Times New Roman" w:hint="eastAsia"/>
          <w:color w:val="auto"/>
          <w:kern w:val="2"/>
          <w:sz w:val="32"/>
          <w:szCs w:val="32"/>
          <w:lang w:val="en-US" w:eastAsia="zh-CN" w:bidi="ar-SA"/>
          <w:highlight w:val="auto"/>
        </w:rPr>
        <w:t>）其他统战事务支出（</w:t>
      </w:r>
      <w:r>
        <w:rPr>
          <w:rFonts w:eastAsia="仿宋_GB2312" w:cs="仿宋_GB2312" w:hint="eastAsia"/>
          <w:color w:val="auto"/>
          <w:kern w:val="2"/>
          <w:sz w:val="32"/>
          <w:szCs w:val="32"/>
          <w:lang w:val="en-US" w:eastAsia="zh-CN" w:bidi="ar-SA"/>
          <w:highlight w:val="auto"/>
        </w:rPr>
        <w:t>99</w:t>
      </w:r>
      <w:r>
        <w:rPr>
          <w:rFonts w:ascii="Times New Roman" w:eastAsia="仿宋_GB2312" w:cs="仿宋_GB2312" w:hAnsi="Times New Roman" w:hint="eastAsia"/>
          <w:color w:val="auto"/>
          <w:kern w:val="2"/>
          <w:sz w:val="32"/>
          <w:szCs w:val="32"/>
          <w:lang w:val="en-US" w:eastAsia="zh-CN" w:bidi="ar-SA"/>
          <w:highlight w:val="auto"/>
        </w:rPr>
        <w:t>）:反映除上述项目以外其他用于中国共产党统战部门的事务支出</w:t>
      </w:r>
      <w:r>
        <w:rPr>
          <w:rFonts w:eastAsia="仿宋_GB2312" w:cs="仿宋_GB2312" w:hint="eastAsia"/>
          <w:color w:val="auto"/>
          <w:kern w:val="2"/>
          <w:sz w:val="32"/>
          <w:szCs w:val="32"/>
          <w:lang w:val="en-US" w:eastAsia="zh-CN" w:bidi="ar-SA"/>
          <w:highlight w:val="auto"/>
        </w:rPr>
        <w:t>。</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教育支出（20</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）其他教育支出（</w:t>
      </w:r>
      <w:r>
        <w:rPr>
          <w:rFonts w:eastAsia="仿宋_GB2312" w:cs="仿宋_GB2312" w:hint="eastAsia"/>
          <w:color w:val="auto"/>
          <w:kern w:val="2"/>
          <w:sz w:val="32"/>
          <w:szCs w:val="32"/>
          <w:lang w:val="en-US" w:eastAsia="zh-CN" w:bidi="ar-SA"/>
          <w:highlight w:val="auto"/>
        </w:rPr>
        <w:t>99</w:t>
      </w:r>
      <w:r>
        <w:rPr>
          <w:rFonts w:ascii="Times New Roman" w:eastAsia="仿宋_GB2312" w:cs="仿宋_GB2312" w:hAnsi="Times New Roman" w:hint="eastAsia"/>
          <w:color w:val="auto"/>
          <w:kern w:val="2"/>
          <w:sz w:val="32"/>
          <w:szCs w:val="32"/>
          <w:lang w:val="en-US" w:eastAsia="zh-CN" w:bidi="ar-SA"/>
          <w:highlight w:val="auto"/>
        </w:rPr>
        <w:t>）其他教育支出（</w:t>
      </w:r>
      <w:r>
        <w:rPr>
          <w:rFonts w:eastAsia="仿宋_GB2312" w:cs="仿宋_GB2312" w:hint="eastAsia"/>
          <w:color w:val="auto"/>
          <w:kern w:val="2"/>
          <w:sz w:val="32"/>
          <w:szCs w:val="32"/>
          <w:lang w:val="en-US" w:eastAsia="zh-CN" w:bidi="ar-SA"/>
          <w:highlight w:val="auto"/>
        </w:rPr>
        <w:t>99</w:t>
      </w:r>
      <w:r>
        <w:rPr>
          <w:rFonts w:ascii="Times New Roman" w:eastAsia="仿宋_GB2312" w:cs="仿宋_GB2312" w:hAnsi="Times New Roman" w:hint="eastAsia"/>
          <w:color w:val="auto"/>
          <w:kern w:val="2"/>
          <w:sz w:val="32"/>
          <w:szCs w:val="32"/>
          <w:lang w:val="en-US" w:eastAsia="zh-CN" w:bidi="ar-SA"/>
          <w:highlight w:val="auto"/>
        </w:rPr>
        <w:t>）:反映除上述项目以外其他用于教育方面的支出</w:t>
      </w:r>
      <w:r>
        <w:rPr>
          <w:rFonts w:eastAsia="仿宋_GB2312" w:cs="仿宋_GB2312" w:hint="eastAsia"/>
          <w:color w:val="auto"/>
          <w:kern w:val="2"/>
          <w:sz w:val="32"/>
          <w:szCs w:val="32"/>
          <w:lang w:val="en-US" w:eastAsia="zh-CN" w:bidi="ar-SA"/>
          <w:highlight w:val="auto"/>
        </w:rPr>
        <w:t>。</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社会保障和就业支出（208）行政事业单位养老支出（05）机关事业单位基本养老保险缴费支出（05）:反映机关事业单位实施养老保险制度由单位缴纳的基本养老保险费支出。</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社会保障和就业支出（208）行政事业单位养老支出（05）机关事业单位职业年金缴费支出（06）:反映机关事业单位实施养老保险制度由单位实际缴纳的职业年金支出。</w:t>
      </w:r>
    </w:p>
    <w:p>
      <w:pPr>
        <w:numPr>
          <w:ilvl w:val="0"/>
          <w:numId w:val="3"/>
        </w:numPr>
        <w:spacing w:line="600" w:lineRule="exact"/>
        <w:ind w:left="0" w:firstLine="400"/>
        <w:rPr>
          <w:rFonts w:hint="eastAsia"/>
          <w:lang w:val="en-US" w:eastAsia="zh-CN"/>
        </w:rPr>
      </w:pPr>
      <w:r>
        <w:rPr>
          <w:rFonts w:ascii="Times New Roman" w:eastAsia="仿宋_GB2312" w:cs="仿宋_GB2312" w:hAnsi="Times New Roman" w:hint="eastAsia"/>
          <w:color w:val="auto"/>
          <w:kern w:val="2"/>
          <w:sz w:val="32"/>
          <w:szCs w:val="32"/>
          <w:lang w:val="en-US" w:eastAsia="zh-CN" w:bidi="ar-SA"/>
          <w:highlight w:val="auto"/>
        </w:rPr>
        <w:t>社会保障和就业支出（208）行政事业单位养老支出（05）其他行政事业单位养老支出（</w:t>
      </w:r>
      <w:r>
        <w:rPr>
          <w:rFonts w:eastAsia="仿宋_GB2312" w:cs="仿宋_GB2312" w:hint="eastAsia"/>
          <w:color w:val="auto"/>
          <w:kern w:val="2"/>
          <w:sz w:val="32"/>
          <w:szCs w:val="32"/>
          <w:lang w:val="en-US" w:eastAsia="zh-CN" w:bidi="ar-SA"/>
          <w:highlight w:val="auto"/>
        </w:rPr>
        <w:t>99</w:t>
      </w:r>
      <w:r>
        <w:rPr>
          <w:rFonts w:ascii="Times New Roman" w:eastAsia="仿宋_GB2312" w:cs="仿宋_GB2312" w:hAnsi="Times New Roman" w:hint="eastAsia"/>
          <w:color w:val="auto"/>
          <w:kern w:val="2"/>
          <w:sz w:val="32"/>
          <w:szCs w:val="32"/>
          <w:lang w:val="en-US" w:eastAsia="zh-CN" w:bidi="ar-SA"/>
          <w:highlight w:val="auto"/>
        </w:rPr>
        <w:t>）:反映除上述项目以外其他用于社会保障和就业方面的支出</w:t>
      </w:r>
      <w:r>
        <w:rPr>
          <w:rFonts w:eastAsia="仿宋_GB2312" w:cs="仿宋_GB2312" w:hint="eastAsia"/>
          <w:color w:val="auto"/>
          <w:kern w:val="2"/>
          <w:sz w:val="32"/>
          <w:szCs w:val="32"/>
          <w:lang w:val="en-US" w:eastAsia="zh-CN" w:bidi="ar-SA"/>
          <w:highlight w:val="auto"/>
        </w:rPr>
        <w:t>。</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卫生健康支出（210）行政事业单位医疗（11）行政单位医疗（01）:反映财政部门安排的行政单位(包括实行公务员管理的事业单位，下同)基本医疗保险缴费经费，未参加医疗保险的行政单位的公费医疗经费，按国家规定享受离休人员、红军老战士待遇人员的医疗经费。</w:t>
      </w:r>
    </w:p>
    <w:p>
      <w:pPr>
        <w:numPr>
          <w:ilvl w:val="0"/>
          <w:numId w:val="3"/>
        </w:numPr>
        <w:spacing w:line="600" w:lineRule="exact"/>
        <w:ind w:left="0" w:firstLine="400"/>
        <w:rPr>
          <w:rFonts w:hint="eastAsia"/>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卫生健康支出（210）行政事业单位医疗（11）事业单位医疗（0</w:t>
      </w:r>
      <w:r>
        <w:rPr>
          <w:rFonts w:eastAsia="仿宋_GB2312" w:cs="仿宋_GB2312" w:hint="eastAsia"/>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）:反映财政部门安排的事业单位基本医疗保险缴费经费，未参加医疗保险的事业单位的公费医疗经费，按国家规定享受离休人员待遇的医疗经费。</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卫生健康支出（210）行政事业单位医疗（11）公务员医疗补助（03）:反映财政部门安排的公务员医疗补助经费。</w:t>
      </w:r>
    </w:p>
    <w:p>
      <w:pPr>
        <w:numPr>
          <w:ilvl w:val="0"/>
          <w:numId w:val="3"/>
        </w:numPr>
        <w:spacing w:line="600" w:lineRule="exact"/>
        <w:ind w:left="0" w:firstLine="400"/>
        <w:rPr>
          <w:rFonts w:hint="eastAsia"/>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卫生健康支出（210）行政事业单位医疗（11）其他行政事业单位医疗支出（</w:t>
      </w:r>
      <w:r>
        <w:rPr>
          <w:rFonts w:eastAsia="仿宋_GB2312" w:cs="仿宋_GB2312" w:hint="eastAsia"/>
          <w:color w:val="auto"/>
          <w:kern w:val="2"/>
          <w:sz w:val="32"/>
          <w:szCs w:val="32"/>
          <w:lang w:val="en-US" w:eastAsia="zh-CN" w:bidi="ar-SA"/>
          <w:highlight w:val="auto"/>
        </w:rPr>
        <w:t>99</w:t>
      </w:r>
      <w:r>
        <w:rPr>
          <w:rFonts w:ascii="Times New Roman" w:eastAsia="仿宋_GB2312" w:cs="仿宋_GB2312" w:hAnsi="Times New Roman" w:hint="eastAsia"/>
          <w:color w:val="auto"/>
          <w:kern w:val="2"/>
          <w:sz w:val="32"/>
          <w:szCs w:val="32"/>
          <w:lang w:val="en-US" w:eastAsia="zh-CN" w:bidi="ar-SA"/>
          <w:highlight w:val="auto"/>
        </w:rPr>
        <w:t>）:反映除上述项目以外的其他用于行政事业单位医疗方面的</w:t>
      </w:r>
      <w:r>
        <w:rPr>
          <w:rFonts w:eastAsia="仿宋_GB2312" w:cs="仿宋_GB2312" w:hint="eastAsia"/>
          <w:color w:val="auto"/>
          <w:kern w:val="2"/>
          <w:sz w:val="32"/>
          <w:szCs w:val="32"/>
          <w:lang w:val="en-US" w:eastAsia="zh-CN" w:bidi="ar-SA"/>
          <w:highlight w:val="auto"/>
        </w:rPr>
        <w:t>支出</w:t>
      </w:r>
      <w:r>
        <w:rPr>
          <w:rFonts w:ascii="Times New Roman" w:eastAsia="仿宋_GB2312" w:cs="仿宋_GB2312" w:hAnsi="Times New Roman" w:hint="eastAsia"/>
          <w:color w:val="auto"/>
          <w:kern w:val="2"/>
          <w:sz w:val="32"/>
          <w:szCs w:val="32"/>
          <w:lang w:val="en-US" w:eastAsia="zh-CN" w:bidi="ar-SA"/>
          <w:highlight w:val="auto"/>
        </w:rPr>
        <w:t>。</w:t>
      </w:r>
    </w:p>
    <w:p>
      <w:pPr>
        <w:numPr>
          <w:ilvl w:val="0"/>
          <w:numId w:val="3"/>
        </w:numPr>
        <w:spacing w:line="600" w:lineRule="exact"/>
        <w:ind w:left="0" w:firstLine="400"/>
        <w:rPr>
          <w:rFonts w:eastAsia="仿宋_GB2312" w:cs="仿宋_GB2312"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住房保障支出（221）住房改革支出（02）住房公积金（01）:反映行政事业单位按人力资源和社会保障部、财政部规定的基本工资和津贴补贴以及规定比例为职工缴纳的住房公积金</w:t>
      </w:r>
      <w:r>
        <w:rPr>
          <w:rFonts w:eastAsia="仿宋_GB2312" w:cs="仿宋_GB2312" w:hint="eastAsia"/>
          <w:color w:val="auto"/>
          <w:kern w:val="2"/>
          <w:sz w:val="32"/>
          <w:szCs w:val="32"/>
          <w:lang w:val="en-US" w:eastAsia="zh-CN" w:bidi="ar-SA"/>
          <w:highlight w:val="auto"/>
        </w:rPr>
        <w:t>。</w:t>
      </w:r>
    </w:p>
    <w:p>
      <w:pPr>
        <w:numPr>
          <w:ilvl w:val="0"/>
          <w:numId w:val="3"/>
        </w:numPr>
        <w:spacing w:line="600" w:lineRule="exact"/>
        <w:ind w:left="0" w:firstLine="400"/>
        <w:rPr>
          <w:rFonts w:hint="eastAsia"/>
          <w:lang w:val="en-US" w:eastAsia="zh-CN"/>
          <w:highlight w:val="auto"/>
        </w:rPr>
      </w:pPr>
      <w:r>
        <w:rPr>
          <w:rFonts w:ascii="Times New Roman" w:eastAsia="仿宋_GB2312" w:cs="仿宋_GB2312" w:hAnsi="Times New Roman" w:hint="eastAsia"/>
          <w:color w:val="auto"/>
          <w:kern w:val="2"/>
          <w:sz w:val="32"/>
          <w:szCs w:val="32"/>
          <w:lang w:val="en-US" w:eastAsia="zh-CN" w:bidi="ar-SA"/>
          <w:highlight w:val="auto"/>
        </w:rPr>
        <w:t>住房保障支出（221）住房改革支出（02）购房补贴（0</w:t>
      </w:r>
      <w:r>
        <w:rPr>
          <w:rFonts w:eastAsia="仿宋_GB2312" w:cs="仿宋_GB2312"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）:反映按房改政策规定,行政事业单位向符合条件职工(含离退体人员》、军队(含武警)向转役复员离退体人员发放的用于购买住房的补贴</w:t>
      </w:r>
      <w:r>
        <w:rPr>
          <w:rFonts w:eastAsia="仿宋_GB2312" w:cs="仿宋_GB2312" w:hint="eastAsia"/>
          <w:color w:val="auto"/>
          <w:kern w:val="2"/>
          <w:sz w:val="32"/>
          <w:szCs w:val="32"/>
          <w:lang w:val="en-US" w:eastAsia="zh-CN" w:bidi="ar-SA"/>
          <w:highlight w:val="auto"/>
        </w:rPr>
        <w:t>。</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基本支出：指为保障机构正常运转、完成日常工作任务而发生的人员支出和公用支出。</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项目支出：指在基本支出之外为完成特定行政任务和事业发展目标所发生的支出。 </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经营支出：指事业单位在专业业务活动及其辅助活动之外开展非独立核算经营活动发生的支出。</w:t>
      </w:r>
    </w:p>
    <w:p>
      <w:pPr>
        <w:numPr>
          <w:ilvl w:val="0"/>
          <w:numId w:val="3"/>
        </w:numPr>
        <w:spacing w:line="600" w:lineRule="exact"/>
        <w:ind w:left="0" w:firstLine="40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三公</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numPr>
          <w:ilvl w:val="0"/>
          <w:numId w:val="3"/>
        </w:numPr>
        <w:spacing w:line="600" w:lineRule="exact"/>
        <w:ind w:left="0" w:firstLine="400"/>
        <w:rPr>
          <w:rFonts w:ascii="Times New Roman" w:eastAsia="黑体" w:cs="黑体" w:hAnsi="Times New Roman" w:hint="eastAsia"/>
          <w:color w:val="FF0000"/>
          <w:sz w:val="32"/>
          <w:szCs w:val="32"/>
          <w:highlight w:val="auto"/>
        </w:rPr>
      </w:pPr>
      <w:r>
        <w:rPr>
          <w:rFonts w:ascii="Times New Roman" w:eastAsia="仿宋_GB2312" w:cs="仿宋_GB2312" w:hAnsi="Times New Roman" w:hint="eastAsia"/>
          <w:color w:val="auto"/>
          <w:kern w:val="2"/>
          <w:sz w:val="32"/>
          <w:szCs w:val="32"/>
          <w:lang w:val="en-US" w:eastAsia="zh-CN" w:bidi="ar-SA"/>
          <w:highlight w:val="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br w:type="page"/>
      </w:r>
      <w:bookmarkStart w:id="68" w:name="_Toc15396614"/>
      <w:bookmarkStart w:id="69" w:name="_Toc6590"/>
    </w:p>
    <w:p>
      <w:pPr>
        <w:spacing w:line="600" w:lineRule="exact"/>
        <w:jc w:val="center"/>
        <w:rPr>
          <w:rFonts w:ascii="Times New Roman" w:eastAsia="黑体" w:cs="黑体" w:hAnsi="Times New Roman" w:hint="eastAsia"/>
          <w:color w:val="FF0000"/>
          <w:sz w:val="32"/>
          <w:szCs w:val="32"/>
          <w:highlight w:val="auto"/>
        </w:rPr>
      </w:pPr>
      <w:r>
        <w:rPr>
          <w:rFonts w:ascii="Times New Roman" w:eastAsia="黑体" w:hAnsi="Times New Roman" w:hint="eastAsia"/>
          <w:color w:val="auto"/>
          <w:sz w:val="44"/>
          <w:szCs w:val="44"/>
          <w:highlight w:val="auto"/>
        </w:rPr>
        <w:t>第四部分</w:t>
      </w:r>
      <w:r>
        <w:rPr>
          <w:rFonts w:ascii="Times New Roman" w:eastAsia="黑体" w:hAnsi="Times New Roman"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 xml:space="preserve"> 附件</w:t>
      </w:r>
      <w:bookmarkEnd w:id="68"/>
      <w:bookmarkEnd w:id="69"/>
    </w:p>
    <w:p>
      <w:pPr>
        <w:keepNext w:val="0"/>
        <w:keepLines w:val="0"/>
        <w:pageBreakBefore w:val="0"/>
        <w:widowControl w:val="0"/>
        <w:kinsoku/>
        <w:wordWrap/>
        <w:overflowPunct/>
        <w:topLinePunct w:val="0"/>
        <w:autoSpaceDE/>
        <w:autoSpaceDN/>
        <w:bidi w:val="0"/>
        <w:spacing w:line="572" w:lineRule="exact"/>
        <w:jc w:val="left"/>
        <w:textAlignment w:val="auto"/>
        <w:outlineLvl w:val="9"/>
        <w:rPr>
          <w:rFonts w:ascii="Times New Roman" w:eastAsia="黑体" w:cs="方正小标宋简体" w:hAnsi="Times New Roman" w:hint="eastAsia"/>
          <w:color w:val="auto"/>
          <w:sz w:val="44"/>
          <w:szCs w:val="44"/>
          <w:lang w:val="en-US" w:eastAsia="zh-CN"/>
          <w:highlight w:val="auto"/>
        </w:rPr>
      </w:pPr>
      <w:r>
        <w:rPr>
          <w:rFonts w:ascii="Times New Roman" w:eastAsia="黑体" w:cs="黑体" w:hAnsi="Times New Roman" w:hint="eastAsia"/>
          <w:color w:val="auto"/>
          <w:sz w:val="32"/>
          <w:szCs w:val="32"/>
          <w:highlight w:val="auto"/>
        </w:rPr>
        <w:t>附件</w:t>
      </w:r>
      <w:r>
        <w:rPr>
          <w:rFonts w:ascii="Times New Roman" w:eastAsia="黑体" w:cs="黑体" w:hAnsi="Times New Roman" w:hint="eastAsia"/>
          <w:color w:val="auto"/>
          <w:sz w:val="32"/>
          <w:szCs w:val="32"/>
          <w:lang w:val="en-US" w:eastAsia="zh-CN"/>
          <w:highlight w:val="auto"/>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eastAsia="方正小标宋简体" w:cs="Times New Roman" w:hAnsi="Times New Roman"/>
          <w:b w:val="0"/>
          <w:bCs/>
          <w:sz w:val="44"/>
          <w:szCs w:val="44"/>
          <w:shd w:val="clear" w:color="auto" w:fill="FFFFFF"/>
          <w:highlight w:val="auto"/>
        </w:rPr>
      </w:pPr>
    </w:p>
    <w:p>
      <w:pPr>
        <w:widowControl/>
        <w:spacing w:line="578" w:lineRule="exact"/>
        <w:contextualSpacing/>
        <w:jc w:val="center"/>
        <w:rPr>
          <w:rFonts w:ascii="Times New Roman" w:eastAsia="宋体" w:cs="Times New Roman" w:hAnsi="Times New Roman"/>
          <w:b/>
          <w:sz w:val="44"/>
          <w:szCs w:val="44"/>
          <w:shd w:val="clear" w:color="auto" w:fill="FFFFFF"/>
          <w:highlight w:val="auto"/>
        </w:rPr>
      </w:pPr>
      <w:bookmarkStart w:id="70" w:name="_Hlk110546638"/>
      <w:r>
        <w:rPr>
          <w:rFonts w:ascii="Times New Roman" w:eastAsia="宋体" w:cs="Times New Roman" w:hAnsi="Times New Roman" w:hint="eastAsia"/>
          <w:b/>
          <w:sz w:val="44"/>
          <w:szCs w:val="44"/>
          <w:shd w:val="clear" w:color="auto" w:fill="FFFFFF"/>
          <w:highlight w:val="auto"/>
        </w:rPr>
        <w:t>中共阿坝藏族羌族自治州委员会统战部</w:t>
      </w:r>
    </w:p>
    <w:p>
      <w:pPr>
        <w:widowControl/>
        <w:spacing w:line="578" w:lineRule="exact"/>
        <w:contextualSpacing/>
        <w:jc w:val="center"/>
        <w:rPr>
          <w:rFonts w:ascii="Times New Roman" w:eastAsia="方正小标宋简体" w:cs="Times New Roman" w:hAnsi="Times New Roman"/>
          <w:bCs/>
          <w:sz w:val="44"/>
          <w:szCs w:val="44"/>
          <w:shd w:val="clear" w:color="auto" w:fill="FFFFFF"/>
          <w:highlight w:val="auto"/>
        </w:rPr>
      </w:pPr>
      <w:r>
        <w:rPr>
          <w:rFonts w:ascii="Times New Roman" w:eastAsia="方正小标宋简体" w:cs="Times New Roman" w:hAnsi="Times New Roman"/>
          <w:bCs/>
          <w:sz w:val="44"/>
          <w:szCs w:val="44"/>
          <w:shd w:val="clear" w:color="auto" w:fill="FFFFFF"/>
          <w:highlight w:val="auto"/>
        </w:rPr>
        <w:t>部门预算绩效</w:t>
      </w:r>
      <w:r>
        <w:rPr>
          <w:rFonts w:ascii="Times New Roman" w:eastAsia="方正小标宋简体" w:cs="Times New Roman" w:hAnsi="Times New Roman" w:hint="eastAsia"/>
          <w:bCs/>
          <w:sz w:val="44"/>
          <w:szCs w:val="44"/>
          <w:shd w:val="clear" w:color="auto" w:fill="FFFFFF"/>
          <w:highlight w:val="auto"/>
        </w:rPr>
        <w:t>自评</w:t>
      </w:r>
      <w:r>
        <w:rPr>
          <w:rFonts w:ascii="Times New Roman" w:eastAsia="方正小标宋简体" w:cs="Times New Roman" w:hAnsi="Times New Roman"/>
          <w:bCs/>
          <w:sz w:val="44"/>
          <w:szCs w:val="44"/>
          <w:shd w:val="clear" w:color="auto" w:fill="FFFFFF"/>
          <w:highlight w:val="auto"/>
        </w:rPr>
        <w:t>报告</w:t>
      </w:r>
    </w:p>
    <w:p>
      <w:pPr>
        <w:widowControl/>
        <w:adjustRightInd w:val="0"/>
        <w:snapToGrid w:val="0"/>
        <w:spacing w:line="578" w:lineRule="exact"/>
        <w:ind w:firstLineChars="200" w:firstLine="480"/>
        <w:contextualSpacing/>
        <w:jc w:val="left"/>
        <w:rPr>
          <w:rFonts w:ascii="Times New Roman" w:eastAsia="黑体" w:cs="Times New Roman" w:hAnsi="Times New Roman"/>
          <w:color w:val="000000"/>
          <w:kern w:val="0"/>
          <w:sz w:val="24"/>
          <w:szCs w:val="32"/>
          <w:shd w:val="clear" w:color="auto" w:fill="FFFFFF"/>
          <w:highlight w:val="auto"/>
        </w:rPr>
      </w:pPr>
    </w:p>
    <w:p>
      <w:pPr>
        <w:widowControl/>
        <w:adjustRightInd w:val="0"/>
        <w:snapToGrid w:val="0"/>
        <w:spacing w:line="578" w:lineRule="exact"/>
        <w:ind w:firstLineChars="200" w:firstLine="640"/>
        <w:contextualSpacing/>
        <w:jc w:val="left"/>
        <w:rPr>
          <w:rFonts w:ascii="Times New Roman" w:eastAsia="仿宋_GB2312" w:cs="Times New Roman" w:hAnsi="Times New Roman"/>
          <w:sz w:val="32"/>
          <w:szCs w:val="32"/>
          <w:highlight w:val="auto"/>
        </w:rPr>
      </w:pPr>
      <w:r>
        <w:rPr>
          <w:rFonts w:ascii="Times New Roman" w:eastAsia="黑体" w:cs="Times New Roman" w:hAnsi="Times New Roman"/>
          <w:color w:val="000000"/>
          <w:kern w:val="0"/>
          <w:sz w:val="32"/>
          <w:szCs w:val="32"/>
          <w:shd w:val="clear" w:color="auto" w:fill="FFFFFF"/>
          <w:lang w:val="zh-CN"/>
          <w:highlight w:val="auto"/>
        </w:rPr>
        <w:t>一、部门（单位）基本情况</w:t>
      </w:r>
    </w:p>
    <w:p>
      <w:pPr>
        <w:widowControl/>
        <w:adjustRightInd w:val="0"/>
        <w:snapToGrid w:val="0"/>
        <w:spacing w:line="578" w:lineRule="exact"/>
        <w:ind w:firstLineChars="200" w:firstLine="640"/>
        <w:contextualSpacing/>
        <w:jc w:val="left"/>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（一）机构组成。</w:t>
      </w:r>
    </w:p>
    <w:p>
      <w:pPr>
        <w:widowControl/>
        <w:adjustRightInd w:val="0"/>
        <w:snapToGrid w:val="0"/>
        <w:spacing w:line="578" w:lineRule="exact"/>
        <w:ind w:firstLineChars="200" w:firstLine="640"/>
        <w:contextualSpacing/>
        <w:jc w:val="left"/>
        <w:rPr>
          <w:rFonts w:ascii="Times New Roman" w:eastAsia="仿宋_GB2312" w:cs="Times New Roman" w:hAnsi="Times New Roman"/>
          <w:sz w:val="32"/>
          <w:szCs w:val="32"/>
          <w:highlight w:val="auto"/>
        </w:rPr>
      </w:pPr>
      <w:r>
        <w:rPr>
          <w:rFonts w:ascii="Times New Roman" w:eastAsia="仿宋_GB2312" w:cs="Times New Roman" w:hAnsi="Times New Roman" w:hint="eastAsia"/>
          <w:sz w:val="32"/>
          <w:szCs w:val="32"/>
          <w:highlight w:val="auto"/>
        </w:rPr>
        <w:t>州委统战部属一级预算单位，为正县级单位，列州委工作机关序列。统一领导民族宗教工作，归口领导州民族宗教事务委员会，统一管理侨务、台湾事务工作，挂州侨务办公室、州委台湾工作办公室牌子。内设科室11个：办公室、研究室、民族宗教科、党外干部科、非公有制经济科、党外知识分子和新的社会阶层人士科、港澳台统战工作科、侨务工作科、宣传文化科、对国外藏胞工作科、人事科。下属二级预算单位州归国华侨联合会，设综合科。下属二级预算单位四川藏语佛学院阿坝分院设办公室、教务科、培训科、学员管理科、后勤科和保卫科</w:t>
      </w:r>
      <w:r>
        <w:rPr>
          <w:rFonts w:ascii="Times New Roman" w:eastAsia="仿宋_GB2312" w:cs="Times New Roman" w:hAnsi="Times New Roman"/>
          <w:sz w:val="32"/>
          <w:szCs w:val="32"/>
          <w:highlight w:val="auto"/>
        </w:rPr>
        <w:t>。</w:t>
      </w:r>
    </w:p>
    <w:p>
      <w:pPr>
        <w:widowControl/>
        <w:adjustRightInd w:val="0"/>
        <w:snapToGrid w:val="0"/>
        <w:spacing w:line="578" w:lineRule="exact"/>
        <w:ind w:firstLineChars="200" w:firstLine="640"/>
        <w:contextualSpacing/>
        <w:jc w:val="left"/>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（二）机构职能。</w:t>
      </w:r>
    </w:p>
    <w:p>
      <w:pPr>
        <w:spacing w:line="560" w:lineRule="exact"/>
        <w:ind w:firstLineChars="200" w:firstLine="640"/>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仿宋_GB2312" w:cs="Times New Roman" w:hAnsi="Times New Roman" w:hint="eastAsia"/>
          <w:sz w:val="32"/>
          <w:szCs w:val="32"/>
          <w:highlight w:val="auto"/>
        </w:rPr>
        <w:t>组织贯彻执行中央、省委、州委关于统一战线的方针政策，调查研究统一战线的理论和政策，负责协调监督检查全州统一战线工作，检查统战政策执行情况，牵头协调处理统战工作中的重大问题和组织统一战线和重大活动；负责调查研究协调全州有关民族和宗教工作重大方针政策的贯彻执行，联系少数民族和宗教界代表人物，协助做好少数民族干部的培养和举荐工作；负责联系全州党外代表人士及党外知识分子工作，负责党外人士的政治安排，做好党外后备干部和新的代表人物队伍的建设工作，指导有关统战团体和人民团体的统战工作；调查研究并反映我州非公有制经济代表人士的情况，团结、帮助、引导、教育非公有制经济代表人士，领导州工商联党组，指导州工商联工作；负责海内外统一战线的宣传工作，指导各县统战工作和统战系统的干部培训</w:t>
      </w:r>
      <w:r>
        <w:rPr>
          <w:rFonts w:ascii="Times New Roman" w:eastAsia="仿宋_GB2312" w:cs="Times New Roman" w:hAnsi="Times New Roman"/>
          <w:sz w:val="32"/>
          <w:szCs w:val="32"/>
          <w:highlight w:val="auto"/>
        </w:rPr>
        <w:t>。</w:t>
      </w:r>
    </w:p>
    <w:p>
      <w:pPr>
        <w:spacing w:line="578" w:lineRule="exact"/>
        <w:ind w:firstLineChars="200" w:firstLine="640"/>
        <w:jc w:val="left"/>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（三）人员概况。</w:t>
      </w:r>
    </w:p>
    <w:p>
      <w:pPr>
        <w:spacing w:line="560" w:lineRule="exact"/>
        <w:ind w:firstLineChars="200" w:firstLine="640"/>
        <w:rPr>
          <w:rFonts w:ascii="Times New Roman" w:eastAsia="仿宋_GB2312" w:cs="Times New Roman" w:hAnsi="Times New Roman"/>
          <w:sz w:val="32"/>
          <w:szCs w:val="32"/>
          <w:highlight w:val="auto"/>
        </w:rPr>
      </w:pPr>
      <w:r>
        <w:rPr>
          <w:rFonts w:ascii="Times New Roman" w:eastAsia="仿宋_GB2312" w:cs="Times New Roman" w:hAnsi="Times New Roman"/>
          <w:sz w:val="32"/>
          <w:szCs w:val="32"/>
          <w:lang w:val="en-US" w:eastAsia="zh-CN"/>
          <w:highlight w:val="auto"/>
        </w:rPr>
        <w:t>中共阿坝藏族羌族自治州委员会统战部</w:t>
      </w:r>
      <w:r>
        <w:rPr>
          <w:rFonts w:ascii="Times New Roman" w:eastAsia="仿宋_GB2312" w:cs="Times New Roman" w:hAnsi="Times New Roman"/>
          <w:sz w:val="32"/>
          <w:szCs w:val="32"/>
          <w:highlight w:val="auto"/>
        </w:rPr>
        <w:t>在职</w:t>
      </w:r>
      <w:r>
        <w:rPr>
          <w:rFonts w:ascii="Times New Roman" w:eastAsia="仿宋_GB2312" w:cs="Times New Roman" w:hAnsi="Times New Roman" w:hint="eastAsia"/>
          <w:sz w:val="32"/>
          <w:szCs w:val="32"/>
          <w:lang w:val="en-US" w:eastAsia="zh-CN"/>
          <w:highlight w:val="auto"/>
        </w:rPr>
        <w:t>72</w:t>
      </w:r>
      <w:r>
        <w:rPr>
          <w:rFonts w:ascii="Times New Roman" w:eastAsia="仿宋_GB2312" w:cs="Times New Roman" w:hAnsi="Times New Roman"/>
          <w:sz w:val="32"/>
          <w:szCs w:val="32"/>
          <w:highlight w:val="auto"/>
        </w:rPr>
        <w:t>人，其中：公务员</w:t>
      </w:r>
      <w:r>
        <w:rPr>
          <w:rFonts w:ascii="Times New Roman" w:eastAsia="仿宋_GB2312" w:cs="Times New Roman" w:hAnsi="Times New Roman" w:hint="eastAsia"/>
          <w:sz w:val="32"/>
          <w:szCs w:val="32"/>
          <w:lang w:val="en-US" w:eastAsia="zh-CN"/>
          <w:highlight w:val="auto"/>
        </w:rPr>
        <w:t>26</w:t>
      </w:r>
      <w:r>
        <w:rPr>
          <w:rFonts w:ascii="Times New Roman" w:eastAsia="仿宋_GB2312" w:cs="Times New Roman" w:hAnsi="Times New Roman"/>
          <w:sz w:val="32"/>
          <w:szCs w:val="32"/>
          <w:highlight w:val="auto"/>
        </w:rPr>
        <w:t>人，事业管理人员和专业技术人员</w:t>
      </w:r>
      <w:r>
        <w:rPr>
          <w:rFonts w:ascii="Times New Roman" w:eastAsia="仿宋_GB2312" w:cs="Times New Roman" w:hAnsi="Times New Roman" w:hint="eastAsia"/>
          <w:sz w:val="32"/>
          <w:szCs w:val="32"/>
          <w:lang w:val="en-US" w:eastAsia="zh-CN"/>
          <w:highlight w:val="auto"/>
        </w:rPr>
        <w:t>32</w:t>
      </w:r>
      <w:r>
        <w:rPr>
          <w:rFonts w:ascii="Times New Roman" w:eastAsia="仿宋_GB2312" w:cs="Times New Roman" w:hAnsi="Times New Roman"/>
          <w:sz w:val="32"/>
          <w:szCs w:val="32"/>
          <w:highlight w:val="auto"/>
        </w:rPr>
        <w:t>人，行政工勤</w:t>
      </w:r>
      <w:r>
        <w:rPr>
          <w:rFonts w:ascii="Times New Roman" w:eastAsia="仿宋_GB2312" w:cs="Times New Roman" w:hAnsi="Times New Roman" w:hint="eastAsia"/>
          <w:sz w:val="32"/>
          <w:szCs w:val="32"/>
          <w:lang w:val="en-US" w:eastAsia="zh-CN"/>
          <w:highlight w:val="auto"/>
        </w:rPr>
        <w:t>2</w:t>
      </w:r>
      <w:r>
        <w:rPr>
          <w:rFonts w:ascii="Times New Roman" w:eastAsia="仿宋_GB2312" w:cs="Times New Roman" w:hAnsi="Times New Roman"/>
          <w:sz w:val="32"/>
          <w:szCs w:val="32"/>
          <w:highlight w:val="auto"/>
        </w:rPr>
        <w:t>人；</w:t>
      </w:r>
      <w:r>
        <w:rPr>
          <w:rFonts w:ascii="Times New Roman" w:eastAsia="仿宋_GB2312" w:cs="Times New Roman" w:hAnsi="Times New Roman" w:hint="eastAsia"/>
          <w:sz w:val="32"/>
          <w:szCs w:val="32"/>
          <w:lang w:val="en-US" w:eastAsia="zh-CN"/>
          <w:highlight w:val="auto"/>
        </w:rPr>
        <w:t>其他人员财政拨款开支人员12人，</w:t>
      </w:r>
      <w:r>
        <w:rPr>
          <w:rFonts w:ascii="Times New Roman" w:eastAsia="仿宋_GB2312" w:cs="Times New Roman" w:hAnsi="Times New Roman"/>
          <w:sz w:val="32"/>
          <w:szCs w:val="32"/>
          <w:highlight w:val="auto"/>
        </w:rPr>
        <w:t>退休人员</w:t>
      </w:r>
      <w:r>
        <w:rPr>
          <w:rFonts w:ascii="Times New Roman" w:eastAsia="仿宋_GB2312" w:cs="Times New Roman" w:hAnsi="Times New Roman" w:hint="eastAsia"/>
          <w:sz w:val="32"/>
          <w:szCs w:val="32"/>
          <w:lang w:val="en-US" w:eastAsia="zh-CN"/>
          <w:highlight w:val="auto"/>
        </w:rPr>
        <w:t>13</w:t>
      </w:r>
      <w:r>
        <w:rPr>
          <w:rFonts w:ascii="Times New Roman" w:eastAsia="仿宋_GB2312" w:cs="Times New Roman" w:hAnsi="Times New Roman"/>
          <w:sz w:val="32"/>
          <w:szCs w:val="32"/>
          <w:highlight w:val="auto"/>
        </w:rPr>
        <w:t>人</w:t>
      </w:r>
      <w:r>
        <w:rPr>
          <w:rFonts w:ascii="Times New Roman" w:eastAsia="仿宋_GB2312" w:cs="Times New Roman" w:hAnsi="Times New Roman" w:hint="eastAsia"/>
          <w:sz w:val="32"/>
          <w:szCs w:val="32"/>
          <w:lang w:eastAsia="zh-CN"/>
          <w:highlight w:val="auto"/>
        </w:rPr>
        <w:t>，年末遗属人员</w:t>
      </w:r>
      <w:r>
        <w:rPr>
          <w:rFonts w:ascii="Times New Roman" w:eastAsia="仿宋_GB2312" w:cs="Times New Roman" w:hAnsi="Times New Roman" w:hint="eastAsia"/>
          <w:sz w:val="32"/>
          <w:szCs w:val="32"/>
          <w:lang w:val="en-US" w:eastAsia="zh-CN"/>
          <w:highlight w:val="auto"/>
        </w:rPr>
        <w:t>3人</w:t>
      </w:r>
      <w:r>
        <w:rPr>
          <w:rFonts w:ascii="Times New Roman" w:eastAsia="仿宋_GB2312" w:cs="Times New Roman" w:hAnsi="Times New Roman"/>
          <w:sz w:val="32"/>
          <w:szCs w:val="32"/>
          <w:highlight w:val="auto"/>
        </w:rPr>
        <w:t>。</w:t>
      </w:r>
    </w:p>
    <w:p>
      <w:pPr>
        <w:widowControl/>
        <w:adjustRightInd w:val="0"/>
        <w:snapToGrid w:val="0"/>
        <w:spacing w:line="578" w:lineRule="exact"/>
        <w:ind w:firstLineChars="200" w:firstLine="640"/>
        <w:contextualSpacing/>
        <w:jc w:val="left"/>
        <w:rPr>
          <w:rFonts w:ascii="Times New Roman" w:eastAsia="黑体" w:cs="Times New Roman" w:hAnsi="Times New Roman"/>
          <w:color w:val="000000"/>
          <w:kern w:val="0"/>
          <w:sz w:val="32"/>
          <w:szCs w:val="32"/>
          <w:shd w:val="clear" w:color="auto" w:fill="FFFFFF"/>
          <w:highlight w:val="auto"/>
        </w:rPr>
      </w:pPr>
      <w:r>
        <w:rPr>
          <w:rFonts w:ascii="Times New Roman" w:eastAsia="黑体" w:cs="Times New Roman" w:hAnsi="Times New Roman"/>
          <w:color w:val="000000"/>
          <w:kern w:val="0"/>
          <w:sz w:val="32"/>
          <w:szCs w:val="32"/>
          <w:shd w:val="clear" w:color="auto" w:fill="FFFFFF"/>
          <w:highlight w:val="auto"/>
        </w:rPr>
        <w:t>二、部门资金收支情况</w:t>
      </w:r>
    </w:p>
    <w:p>
      <w:pPr>
        <w:widowControl/>
        <w:adjustRightInd w:val="0"/>
        <w:snapToGrid w:val="0"/>
        <w:spacing w:line="578" w:lineRule="exact"/>
        <w:ind w:firstLineChars="200" w:firstLine="640"/>
        <w:contextualSpacing/>
        <w:jc w:val="left"/>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（一）收入情况。</w:t>
      </w:r>
    </w:p>
    <w:p>
      <w:pPr>
        <w:widowControl/>
        <w:adjustRightInd w:val="0"/>
        <w:snapToGrid w:val="0"/>
        <w:spacing w:line="578" w:lineRule="exact"/>
        <w:ind w:firstLineChars="200" w:firstLine="640"/>
        <w:contextualSpacing/>
        <w:jc w:val="left"/>
        <w:rPr>
          <w:rFonts w:ascii="Times New Roman" w:eastAsia="仿宋_GB2312" w:cs="Times New Roman" w:hAnsi="Times New Roman"/>
          <w:sz w:val="32"/>
          <w:lang w:val="en-US" w:eastAsia="zh-CN"/>
          <w:highlight w:val="auto"/>
        </w:rPr>
      </w:pPr>
      <w:r>
        <w:rPr>
          <w:rFonts w:ascii="Times New Roman" w:eastAsia="仿宋_GB2312" w:cs="Times New Roman" w:hAnsi="Times New Roman" w:hint="eastAsia"/>
          <w:sz w:val="32"/>
          <w:lang w:val="en-US" w:eastAsia="zh-CN"/>
          <w:highlight w:val="auto"/>
        </w:rPr>
        <w:t>中共阿坝藏族羌族自治州委员会统战部本年度收入为3571.46万元，上年度收入为2796.3万元，增长775.16万元</w:t>
      </w:r>
      <w:r>
        <w:rPr>
          <w:rFonts w:ascii="Times New Roman" w:eastAsia="仿宋_GB2312" w:cs="Times New Roman" w:hAnsi="Times New Roman"/>
          <w:sz w:val="32"/>
          <w:lang w:val="en-US" w:eastAsia="zh-CN"/>
          <w:highlight w:val="auto"/>
        </w:rPr>
        <w:t>。</w:t>
      </w:r>
    </w:p>
    <w:p>
      <w:pPr>
        <w:widowControl/>
        <w:adjustRightInd w:val="0"/>
        <w:snapToGrid w:val="0"/>
        <w:spacing w:line="578" w:lineRule="exact"/>
        <w:ind w:firstLineChars="200" w:firstLine="640"/>
        <w:contextualSpacing/>
        <w:jc w:val="left"/>
        <w:rPr>
          <w:rFonts w:ascii="Times New Roman" w:eastAsia="仿宋_GB2312" w:cs="Times New Roman" w:hAnsi="Times New Roman"/>
          <w:sz w:val="32"/>
          <w:highlight w:val="auto"/>
        </w:rPr>
      </w:pPr>
      <w:r>
        <w:rPr>
          <w:rFonts w:ascii="Times New Roman" w:eastAsia="仿宋_GB2312" w:cs="Times New Roman" w:hAnsi="Times New Roman"/>
          <w:sz w:val="32"/>
          <w:lang w:val="en-US" w:eastAsia="zh-CN"/>
          <w:highlight w:val="auto"/>
        </w:rPr>
        <w:t>本单位本年度总收入为</w:t>
      </w:r>
      <w:r>
        <w:rPr>
          <w:rFonts w:ascii="Times New Roman" w:eastAsia="仿宋_GB2312" w:cs="Times New Roman" w:hAnsi="Times New Roman" w:hint="eastAsia"/>
          <w:sz w:val="32"/>
          <w:lang w:val="en-US" w:eastAsia="zh-CN"/>
          <w:highlight w:val="auto"/>
        </w:rPr>
        <w:t>3571.46万</w:t>
      </w:r>
      <w:r>
        <w:rPr>
          <w:rFonts w:ascii="Times New Roman" w:eastAsia="仿宋_GB2312" w:cs="Times New Roman" w:hAnsi="Times New Roman"/>
          <w:sz w:val="32"/>
          <w:lang w:val="en-US" w:eastAsia="zh-CN"/>
          <w:highlight w:val="auto"/>
        </w:rPr>
        <w:t>元。其中：一般公共预算财政拨款收入为</w:t>
      </w:r>
      <w:r>
        <w:rPr>
          <w:rFonts w:ascii="Times New Roman" w:eastAsia="仿宋_GB2312" w:cs="Times New Roman" w:hAnsi="Times New Roman" w:hint="eastAsia"/>
          <w:sz w:val="32"/>
          <w:lang w:val="en-US" w:eastAsia="zh-CN"/>
          <w:highlight w:val="auto"/>
        </w:rPr>
        <w:t>2974.34万</w:t>
      </w:r>
      <w:r>
        <w:rPr>
          <w:rFonts w:ascii="Times New Roman" w:eastAsia="仿宋_GB2312" w:cs="Times New Roman" w:hAnsi="Times New Roman"/>
          <w:sz w:val="32"/>
          <w:lang w:val="en-US" w:eastAsia="zh-CN"/>
          <w:highlight w:val="auto"/>
        </w:rPr>
        <w:t>元，占比：</w:t>
      </w:r>
      <w:r>
        <w:rPr>
          <w:rFonts w:ascii="Times New Roman" w:eastAsia="仿宋_GB2312" w:cs="Times New Roman" w:hAnsi="Times New Roman" w:hint="eastAsia"/>
          <w:sz w:val="32"/>
          <w:lang w:val="en-US" w:eastAsia="zh-CN"/>
          <w:highlight w:val="auto"/>
        </w:rPr>
        <w:t>83.28</w:t>
      </w:r>
      <w:r>
        <w:rPr>
          <w:rFonts w:ascii="Times New Roman" w:eastAsia="仿宋_GB2312" w:cs="Times New Roman" w:hAnsi="Times New Roman"/>
          <w:sz w:val="32"/>
          <w:lang w:val="en-US" w:eastAsia="zh-CN"/>
          <w:highlight w:val="auto"/>
        </w:rPr>
        <w:t>%</w:t>
      </w:r>
      <w:r>
        <w:rPr>
          <w:rFonts w:ascii="Times New Roman" w:eastAsia="仿宋_GB2312" w:cs="Times New Roman" w:hAnsi="Times New Roman" w:hint="eastAsia"/>
          <w:sz w:val="32"/>
          <w:lang w:val="en-US" w:eastAsia="zh-CN"/>
          <w:highlight w:val="auto"/>
        </w:rPr>
        <w:t>，其他收入</w:t>
      </w:r>
      <w:r>
        <w:rPr>
          <w:rFonts w:ascii="Times New Roman" w:eastAsia="仿宋_GB2312" w:cs="Times New Roman" w:hAnsi="Times New Roman"/>
          <w:sz w:val="32"/>
          <w:lang w:val="en-US" w:eastAsia="zh-CN"/>
          <w:highlight w:val="auto"/>
        </w:rPr>
        <w:t>为</w:t>
      </w:r>
      <w:r>
        <w:rPr>
          <w:rFonts w:ascii="Times New Roman" w:eastAsia="仿宋_GB2312" w:cs="Times New Roman" w:hAnsi="Times New Roman" w:hint="eastAsia"/>
          <w:sz w:val="32"/>
          <w:lang w:val="en-US" w:eastAsia="zh-CN"/>
          <w:highlight w:val="auto"/>
        </w:rPr>
        <w:t>597.12万</w:t>
      </w:r>
      <w:r>
        <w:rPr>
          <w:rFonts w:ascii="Times New Roman" w:eastAsia="仿宋_GB2312" w:cs="Times New Roman" w:hAnsi="Times New Roman"/>
          <w:sz w:val="32"/>
          <w:lang w:val="en-US" w:eastAsia="zh-CN"/>
          <w:highlight w:val="auto"/>
        </w:rPr>
        <w:t>元</w:t>
      </w:r>
      <w:r>
        <w:rPr>
          <w:rFonts w:ascii="Times New Roman" w:eastAsia="仿宋_GB2312" w:cs="Times New Roman" w:hAnsi="Times New Roman" w:hint="eastAsia"/>
          <w:sz w:val="32"/>
          <w:lang w:val="en-US" w:eastAsia="zh-CN"/>
          <w:highlight w:val="auto"/>
        </w:rPr>
        <w:t>，</w:t>
      </w:r>
      <w:r>
        <w:rPr>
          <w:rFonts w:ascii="Times New Roman" w:eastAsia="仿宋_GB2312" w:cs="Times New Roman" w:hAnsi="Times New Roman"/>
          <w:sz w:val="32"/>
          <w:lang w:val="en-US" w:eastAsia="zh-CN"/>
          <w:highlight w:val="auto"/>
        </w:rPr>
        <w:t>占比</w:t>
      </w:r>
      <w:r>
        <w:rPr>
          <w:rFonts w:ascii="Times New Roman" w:eastAsia="仿宋_GB2312" w:cs="Times New Roman" w:hAnsi="Times New Roman" w:hint="eastAsia"/>
          <w:sz w:val="32"/>
          <w:lang w:val="en-US" w:eastAsia="zh-CN"/>
          <w:highlight w:val="auto"/>
        </w:rPr>
        <w:t>16.72</w:t>
      </w:r>
      <w:r>
        <w:rPr>
          <w:rFonts w:ascii="Times New Roman" w:eastAsia="仿宋_GB2312" w:cs="Times New Roman" w:hAnsi="Times New Roman"/>
          <w:sz w:val="32"/>
          <w:lang w:val="en-US" w:eastAsia="zh-CN"/>
          <w:highlight w:val="auto"/>
        </w:rPr>
        <w:t>%</w:t>
      </w:r>
      <w:r>
        <w:rPr>
          <w:rFonts w:ascii="Times New Roman" w:eastAsia="仿宋_GB2312" w:cs="Times New Roman" w:hAnsi="Times New Roman"/>
          <w:sz w:val="32"/>
          <w:highlight w:val="auto"/>
        </w:rPr>
        <w:t>。</w:t>
      </w:r>
    </w:p>
    <w:p>
      <w:pPr>
        <w:widowControl/>
        <w:adjustRightInd w:val="0"/>
        <w:snapToGrid w:val="0"/>
        <w:spacing w:line="578" w:lineRule="exact"/>
        <w:ind w:firstLineChars="200" w:firstLine="640"/>
        <w:contextualSpacing/>
        <w:jc w:val="left"/>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（二）支出情况。</w:t>
      </w:r>
    </w:p>
    <w:p>
      <w:pPr>
        <w:widowControl/>
        <w:adjustRightInd w:val="0"/>
        <w:snapToGrid w:val="0"/>
        <w:spacing w:line="578" w:lineRule="exact"/>
        <w:ind w:firstLineChars="200" w:firstLine="640"/>
        <w:contextualSpacing/>
        <w:jc w:val="left"/>
        <w:rPr>
          <w:rFonts w:ascii="Times New Roman" w:eastAsia="仿宋_GB2312" w:cs="Times New Roman" w:hAnsi="Times New Roman" w:hint="eastAsia"/>
          <w:sz w:val="32"/>
          <w:lang w:val="en-US" w:eastAsia="zh-CN"/>
          <w:highlight w:val="auto"/>
        </w:rPr>
      </w:pPr>
      <w:r>
        <w:rPr>
          <w:rFonts w:ascii="Times New Roman" w:eastAsia="仿宋_GB2312" w:cs="Times New Roman" w:hAnsi="Times New Roman" w:hint="eastAsia"/>
          <w:sz w:val="32"/>
          <w:lang w:val="en-US" w:eastAsia="zh-CN"/>
          <w:highlight w:val="auto"/>
        </w:rPr>
        <w:t>支出总计3694.56万元，上年度支出为2796.3万元，增长898.26万元。</w:t>
      </w:r>
    </w:p>
    <w:p>
      <w:pPr>
        <w:widowControl/>
        <w:adjustRightInd w:val="0"/>
        <w:snapToGrid w:val="0"/>
        <w:spacing w:line="578" w:lineRule="exact"/>
        <w:ind w:firstLineChars="200" w:firstLine="640"/>
        <w:contextualSpacing/>
        <w:jc w:val="left"/>
        <w:rPr>
          <w:rFonts w:ascii="Times New Roman" w:eastAsia="仿宋_GB2312" w:cs="Times New Roman" w:hAnsi="Times New Roman"/>
          <w:sz w:val="32"/>
          <w:lang w:val="zh-CN" w:eastAsia="zh-CN"/>
          <w:highlight w:val="auto"/>
        </w:rPr>
      </w:pPr>
      <w:r>
        <w:rPr>
          <w:rFonts w:ascii="Times New Roman" w:eastAsia="仿宋_GB2312" w:cs="Times New Roman" w:hAnsi="Times New Roman"/>
          <w:sz w:val="32"/>
          <w:lang w:val="en-US" w:eastAsia="zh-CN"/>
          <w:highlight w:val="auto"/>
        </w:rPr>
        <w:t>本年度总支出为</w:t>
      </w:r>
      <w:r>
        <w:rPr>
          <w:rFonts w:ascii="Times New Roman" w:eastAsia="仿宋_GB2312" w:cs="Times New Roman" w:hAnsi="Times New Roman" w:hint="eastAsia"/>
          <w:sz w:val="32"/>
          <w:lang w:val="en-US" w:eastAsia="zh-CN"/>
          <w:highlight w:val="auto"/>
        </w:rPr>
        <w:t>3694.56</w:t>
      </w:r>
      <w:r>
        <w:rPr>
          <w:rFonts w:ascii="Times New Roman" w:eastAsia="仿宋_GB2312" w:cs="Times New Roman" w:hAnsi="Times New Roman"/>
          <w:sz w:val="32"/>
          <w:lang w:val="en-US" w:eastAsia="zh-CN"/>
          <w:highlight w:val="auto"/>
        </w:rPr>
        <w:t>万元。其中：一般公共服务支出为</w:t>
      </w:r>
      <w:r>
        <w:rPr>
          <w:rFonts w:ascii="Times New Roman" w:eastAsia="仿宋_GB2312" w:cs="Times New Roman" w:hAnsi="Times New Roman" w:hint="eastAsia"/>
          <w:sz w:val="32"/>
          <w:lang w:val="en-US" w:eastAsia="zh-CN"/>
          <w:highlight w:val="auto"/>
        </w:rPr>
        <w:t>3302.52</w:t>
      </w:r>
      <w:r>
        <w:rPr>
          <w:rFonts w:ascii="Times New Roman" w:eastAsia="仿宋_GB2312" w:cs="Times New Roman" w:hAnsi="Times New Roman"/>
          <w:sz w:val="32"/>
          <w:lang w:val="en-US" w:eastAsia="zh-CN"/>
          <w:highlight w:val="auto"/>
        </w:rPr>
        <w:t>万元，占比</w:t>
      </w:r>
      <w:r>
        <w:rPr>
          <w:rFonts w:ascii="Times New Roman" w:eastAsia="仿宋_GB2312" w:cs="Times New Roman" w:hAnsi="Times New Roman" w:hint="eastAsia"/>
          <w:sz w:val="32"/>
          <w:lang w:val="en-US" w:eastAsia="zh-CN"/>
          <w:highlight w:val="auto"/>
        </w:rPr>
        <w:t>89.39</w:t>
      </w:r>
      <w:r>
        <w:rPr>
          <w:rFonts w:ascii="Times New Roman" w:eastAsia="仿宋_GB2312" w:cs="Times New Roman" w:hAnsi="Times New Roman"/>
          <w:sz w:val="32"/>
          <w:lang w:val="en-US" w:eastAsia="zh-CN"/>
          <w:highlight w:val="auto"/>
        </w:rPr>
        <w:t>%；教育支出为0.2万元，占比0.01%；社会保障和就业支出为</w:t>
      </w:r>
      <w:r>
        <w:rPr>
          <w:rFonts w:ascii="Times New Roman" w:eastAsia="仿宋_GB2312" w:cs="Times New Roman" w:hAnsi="Times New Roman" w:hint="eastAsia"/>
          <w:sz w:val="32"/>
          <w:lang w:val="en-US" w:eastAsia="zh-CN"/>
          <w:highlight w:val="auto"/>
        </w:rPr>
        <w:t>206.64</w:t>
      </w:r>
      <w:r>
        <w:rPr>
          <w:rFonts w:ascii="Times New Roman" w:eastAsia="仿宋_GB2312" w:cs="Times New Roman" w:hAnsi="Times New Roman"/>
          <w:sz w:val="32"/>
          <w:lang w:val="en-US" w:eastAsia="zh-CN"/>
          <w:highlight w:val="auto"/>
        </w:rPr>
        <w:t>万元，占比</w:t>
      </w:r>
      <w:r>
        <w:rPr>
          <w:rFonts w:ascii="Times New Roman" w:eastAsia="仿宋_GB2312" w:cs="Times New Roman" w:hAnsi="Times New Roman" w:hint="eastAsia"/>
          <w:sz w:val="32"/>
          <w:lang w:val="en-US" w:eastAsia="zh-CN"/>
          <w:highlight w:val="auto"/>
        </w:rPr>
        <w:t>5.59</w:t>
      </w:r>
      <w:r>
        <w:rPr>
          <w:rFonts w:ascii="Times New Roman" w:eastAsia="仿宋_GB2312" w:cs="Times New Roman" w:hAnsi="Times New Roman"/>
          <w:sz w:val="32"/>
          <w:lang w:val="en-US" w:eastAsia="zh-CN"/>
          <w:highlight w:val="auto"/>
        </w:rPr>
        <w:t>%；卫生健康支出为</w:t>
      </w:r>
      <w:r>
        <w:rPr>
          <w:rFonts w:ascii="Times New Roman" w:eastAsia="仿宋_GB2312" w:cs="Times New Roman" w:hAnsi="Times New Roman" w:hint="eastAsia"/>
          <w:sz w:val="32"/>
          <w:lang w:val="en-US" w:eastAsia="zh-CN"/>
          <w:highlight w:val="auto"/>
        </w:rPr>
        <w:t>76.73</w:t>
      </w:r>
      <w:r>
        <w:rPr>
          <w:rFonts w:ascii="Times New Roman" w:eastAsia="仿宋_GB2312" w:cs="Times New Roman" w:hAnsi="Times New Roman"/>
          <w:sz w:val="32"/>
          <w:lang w:val="en-US" w:eastAsia="zh-CN"/>
          <w:highlight w:val="auto"/>
        </w:rPr>
        <w:t>万元，占比</w:t>
      </w:r>
      <w:r>
        <w:rPr>
          <w:rFonts w:ascii="Times New Roman" w:eastAsia="仿宋_GB2312" w:cs="Times New Roman" w:hAnsi="Times New Roman" w:hint="eastAsia"/>
          <w:sz w:val="32"/>
          <w:lang w:val="en-US" w:eastAsia="zh-CN"/>
          <w:highlight w:val="auto"/>
        </w:rPr>
        <w:t>2.08</w:t>
      </w:r>
      <w:r>
        <w:rPr>
          <w:rFonts w:ascii="Times New Roman" w:eastAsia="仿宋_GB2312" w:cs="Times New Roman" w:hAnsi="Times New Roman"/>
          <w:sz w:val="32"/>
          <w:lang w:val="en-US" w:eastAsia="zh-CN"/>
          <w:highlight w:val="auto"/>
        </w:rPr>
        <w:t>%；住房保障支出为</w:t>
      </w:r>
      <w:r>
        <w:rPr>
          <w:rFonts w:ascii="Times New Roman" w:eastAsia="仿宋_GB2312" w:cs="Times New Roman" w:hAnsi="Times New Roman" w:hint="eastAsia"/>
          <w:sz w:val="32"/>
          <w:lang w:val="en-US" w:eastAsia="zh-CN"/>
          <w:highlight w:val="auto"/>
        </w:rPr>
        <w:t>108.47</w:t>
      </w:r>
      <w:r>
        <w:rPr>
          <w:rFonts w:ascii="Times New Roman" w:eastAsia="仿宋_GB2312" w:cs="Times New Roman" w:hAnsi="Times New Roman"/>
          <w:sz w:val="32"/>
          <w:lang w:val="en-US" w:eastAsia="zh-CN"/>
          <w:highlight w:val="auto"/>
        </w:rPr>
        <w:t>万元，占比</w:t>
      </w:r>
      <w:r>
        <w:rPr>
          <w:rFonts w:ascii="Times New Roman" w:eastAsia="仿宋_GB2312" w:cs="Times New Roman" w:hAnsi="Times New Roman" w:hint="eastAsia"/>
          <w:sz w:val="32"/>
          <w:lang w:val="en-US" w:eastAsia="zh-CN"/>
          <w:highlight w:val="auto"/>
        </w:rPr>
        <w:t>2.94</w:t>
      </w:r>
      <w:r>
        <w:rPr>
          <w:rFonts w:ascii="Times New Roman" w:eastAsia="仿宋_GB2312" w:cs="Times New Roman" w:hAnsi="Times New Roman"/>
          <w:sz w:val="32"/>
          <w:lang w:val="en-US" w:eastAsia="zh-CN"/>
          <w:highlight w:val="auto"/>
        </w:rPr>
        <w:t>%。</w:t>
      </w:r>
    </w:p>
    <w:p>
      <w:pPr>
        <w:widowControl/>
        <w:adjustRightInd w:val="0"/>
        <w:snapToGrid w:val="0"/>
        <w:spacing w:line="578" w:lineRule="exact"/>
        <w:ind w:firstLineChars="200" w:firstLine="640"/>
        <w:contextualSpacing/>
        <w:jc w:val="left"/>
        <w:rPr>
          <w:rFonts w:ascii="Times New Roman" w:eastAsia="楷体_GB2312" w:cs="Times New Roman" w:hAnsi="Times New Roman"/>
          <w:b/>
          <w:sz w:val="32"/>
          <w:szCs w:val="32"/>
          <w:highlight w:val="auto"/>
        </w:rPr>
      </w:pPr>
      <w:r>
        <w:rPr>
          <w:rFonts w:ascii="Times New Roman" w:eastAsia="楷体_GB2312" w:cs="Times New Roman" w:hAnsi="Times New Roman"/>
          <w:b/>
          <w:bCs/>
          <w:color w:val="000000"/>
          <w:kern w:val="0"/>
          <w:sz w:val="32"/>
          <w:szCs w:val="32"/>
          <w:shd w:val="clear" w:color="auto" w:fill="FFFFFF"/>
          <w:lang w:val="zh-CN"/>
          <w:highlight w:val="auto"/>
        </w:rPr>
        <w:t>（三）</w:t>
      </w:r>
      <w:r>
        <w:rPr>
          <w:rFonts w:ascii="Times New Roman" w:eastAsia="楷体_GB2312" w:cs="Times New Roman" w:hAnsi="Times New Roman"/>
          <w:b/>
          <w:sz w:val="32"/>
          <w:szCs w:val="32"/>
          <w:highlight w:val="auto"/>
        </w:rPr>
        <w:t>结余分配和结转结余情况。</w:t>
      </w:r>
    </w:p>
    <w:p>
      <w:pPr>
        <w:widowControl/>
        <w:adjustRightInd w:val="0"/>
        <w:snapToGrid w:val="0"/>
        <w:spacing w:line="578" w:lineRule="exact"/>
        <w:ind w:firstLineChars="200" w:firstLine="640"/>
        <w:contextualSpacing/>
        <w:jc w:val="left"/>
        <w:rPr>
          <w:rFonts w:ascii="Times New Roman" w:eastAsia="仿宋_GB2312" w:cs="Times New Roman" w:hAnsi="Times New Roman" w:hint="eastAsia"/>
          <w:sz w:val="32"/>
          <w:lang w:val="en-US" w:eastAsia="zh-CN"/>
          <w:highlight w:val="auto"/>
        </w:rPr>
      </w:pPr>
      <w:r>
        <w:rPr>
          <w:rFonts w:ascii="Times New Roman" w:eastAsia="仿宋_GB2312" w:cs="Times New Roman" w:hAnsi="Times New Roman"/>
          <w:sz w:val="32"/>
          <w:highlight w:val="auto"/>
        </w:rPr>
        <w:t>结余分配和结转结余情况。</w:t>
      </w:r>
      <w:r>
        <w:rPr>
          <w:rFonts w:ascii="Times New Roman" w:eastAsia="仿宋_GB2312" w:cs="Times New Roman" w:hAnsi="Times New Roman" w:hint="eastAsia"/>
          <w:sz w:val="32"/>
          <w:highlight w:val="auto"/>
        </w:rPr>
        <w:t>中共阿坝藏族羌族自治州委员会统战部</w:t>
      </w:r>
      <w:r>
        <w:rPr>
          <w:rFonts w:ascii="Times New Roman" w:eastAsia="仿宋_GB2312" w:cs="Times New Roman" w:hAnsi="Times New Roman"/>
          <w:sz w:val="32"/>
          <w:highlight w:val="auto"/>
        </w:rPr>
        <w:t>2025年决算报表结转结余情况为</w:t>
      </w:r>
      <w:r>
        <w:rPr>
          <w:rFonts w:ascii="Times New Roman" w:eastAsia="仿宋_GB2312" w:cs="Times New Roman" w:hAnsi="Times New Roman" w:hint="eastAsia"/>
          <w:sz w:val="32"/>
          <w:lang w:val="en-US" w:eastAsia="zh-CN"/>
          <w:highlight w:val="auto"/>
        </w:rPr>
        <w:t>3.81</w:t>
      </w:r>
      <w:r>
        <w:rPr>
          <w:rFonts w:ascii="Times New Roman" w:eastAsia="仿宋_GB2312" w:cs="Times New Roman" w:hAnsi="Times New Roman"/>
          <w:sz w:val="32"/>
          <w:highlight w:val="auto"/>
        </w:rPr>
        <w:t>万元</w:t>
      </w:r>
      <w:r>
        <w:rPr>
          <w:rFonts w:ascii="Times New Roman" w:eastAsia="仿宋_GB2312" w:cs="Times New Roman" w:hAnsi="Times New Roman" w:hint="eastAsia"/>
          <w:sz w:val="32"/>
          <w:lang w:eastAsia="zh-CN"/>
          <w:highlight w:val="auto"/>
        </w:rPr>
        <w:t>，</w:t>
      </w:r>
      <w:r>
        <w:rPr>
          <w:rFonts w:ascii="Times New Roman" w:eastAsia="仿宋_GB2312" w:cs="Times New Roman" w:hAnsi="Times New Roman" w:hint="eastAsia"/>
          <w:sz w:val="32"/>
          <w:lang w:val="en-US" w:eastAsia="zh-CN"/>
          <w:highlight w:val="auto"/>
        </w:rPr>
        <w:t>均为非财政拨款收入。</w:t>
      </w:r>
    </w:p>
    <w:p>
      <w:pPr>
        <w:widowControl/>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sz w:val="32"/>
          <w:highlight w:val="auto"/>
        </w:rPr>
        <w:t>本年度</w:t>
      </w:r>
      <w:r>
        <w:rPr>
          <w:rFonts w:ascii="Times New Roman" w:eastAsia="仿宋_GB2312" w:cs="Times New Roman" w:hAnsi="Times New Roman" w:hint="eastAsia"/>
          <w:sz w:val="32"/>
          <w:lang w:val="en-US" w:eastAsia="zh-CN"/>
          <w:highlight w:val="auto"/>
        </w:rPr>
        <w:t>财政拨款</w:t>
      </w:r>
      <w:r>
        <w:rPr>
          <w:rFonts w:ascii="Times New Roman" w:eastAsia="仿宋_GB2312" w:cs="Times New Roman" w:hAnsi="Times New Roman"/>
          <w:sz w:val="32"/>
          <w:highlight w:val="auto"/>
        </w:rPr>
        <w:t>预算执行完毕，资金得到充分有效利用，</w:t>
      </w:r>
      <w:r>
        <w:rPr>
          <w:rFonts w:ascii="Times New Roman" w:eastAsia="仿宋_GB2312" w:cs="Times New Roman" w:hAnsi="Times New Roman" w:hint="eastAsia"/>
          <w:sz w:val="32"/>
          <w:lang w:val="en-US" w:eastAsia="zh-CN"/>
          <w:highlight w:val="auto"/>
        </w:rPr>
        <w:t>本年度财政拨款</w:t>
      </w:r>
      <w:r>
        <w:rPr>
          <w:rFonts w:ascii="Times New Roman" w:eastAsia="仿宋_GB2312" w:cs="Times New Roman" w:hAnsi="Times New Roman"/>
          <w:sz w:val="32"/>
          <w:highlight w:val="auto"/>
        </w:rPr>
        <w:t>无结转结余资金</w:t>
      </w:r>
      <w:r>
        <w:rPr>
          <w:rFonts w:ascii="Times New Roman" w:eastAsia="仿宋_GB2312" w:cs="Times New Roman" w:hAnsi="Times New Roman"/>
          <w:color w:val="000000"/>
          <w:kern w:val="0"/>
          <w:sz w:val="32"/>
          <w:szCs w:val="32"/>
          <w:shd w:val="clear" w:color="auto" w:fill="FFFFFF"/>
          <w:highlight w:val="auto"/>
        </w:rPr>
        <w:t>。</w:t>
      </w:r>
    </w:p>
    <w:p>
      <w:pPr>
        <w:widowControl/>
        <w:adjustRightInd w:val="0"/>
        <w:snapToGrid w:val="0"/>
        <w:spacing w:line="578" w:lineRule="exact"/>
        <w:ind w:firstLineChars="200" w:firstLine="640"/>
        <w:contextualSpacing/>
        <w:jc w:val="left"/>
        <w:rPr>
          <w:rFonts w:ascii="Times New Roman" w:eastAsia="黑体" w:cs="Times New Roman" w:hAnsi="Times New Roman"/>
          <w:color w:val="000000"/>
          <w:kern w:val="0"/>
          <w:sz w:val="32"/>
          <w:szCs w:val="32"/>
          <w:shd w:val="clear" w:color="auto" w:fill="FFFFFF"/>
          <w14:textFill>
            <w14:solidFill>
              <w14:srgbClr w14:val="000000"/>
            </w14:solidFill>
          </w14:textFill>
          <w:highlight w:val="auto"/>
        </w:rPr>
      </w:pPr>
      <w:r>
        <w:rPr>
          <w:rFonts w:ascii="Times New Roman" w:eastAsia="黑体" w:cs="Times New Roman" w:hAnsi="Times New Roman"/>
          <w:color w:val="000000"/>
          <w:kern w:val="0"/>
          <w:sz w:val="32"/>
          <w:szCs w:val="32"/>
          <w:shd w:val="clear" w:color="auto" w:fill="FFFFFF"/>
          <w:highlight w:val="auto"/>
        </w:rPr>
        <w:t>三、部门预算绩效分析</w:t>
      </w:r>
    </w:p>
    <w:p>
      <w:pPr>
        <w:adjustRightInd w:val="0"/>
        <w:snapToGrid w:val="0"/>
        <w:spacing w:line="578" w:lineRule="exact"/>
        <w:ind w:firstLineChars="200" w:firstLine="640"/>
        <w:contextualSpacing/>
        <w:jc w:val="left"/>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（一）部门预算总体绩效分析。</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color w:val="000000"/>
          <w:kern w:val="0"/>
          <w:sz w:val="32"/>
          <w:szCs w:val="32"/>
          <w:shd w:val="clear" w:color="auto" w:fill="FFFFFF"/>
          <w:lang w:val="zh-CN"/>
          <w:highlight w:val="auto"/>
        </w:rPr>
        <w:t>根据部门预算绩效评价指标体系“总体绩效”涉及二、三级指标进行逐项绩效分析并评分，依次包括履职效能、预算管理、财务管理、资产管理、采购管理等情况。</w:t>
      </w:r>
    </w:p>
    <w:p>
      <w:pPr>
        <w:adjustRightInd w:val="0"/>
        <w:snapToGrid w:val="0"/>
        <w:spacing w:line="578" w:lineRule="exact"/>
        <w:ind w:firstLineChars="200" w:firstLine="640"/>
        <w:contextualSpacing/>
        <w:jc w:val="left"/>
        <w:rPr>
          <w:rFonts w:ascii="Times New Roman" w:eastAsia="楷体_GB2312" w:cs="Times New Roman" w:hAnsi="Times New Roman"/>
          <w:color w:val="000000"/>
          <w:kern w:val="0"/>
          <w:sz w:val="32"/>
          <w:szCs w:val="32"/>
          <w:shd w:val="clear" w:color="auto" w:fill="FFFFFF"/>
          <w:lang w:val="zh-CN"/>
          <w:highlight w:val="auto"/>
        </w:rPr>
      </w:pPr>
      <w:r>
        <w:rPr>
          <w:rFonts w:ascii="Times New Roman" w:eastAsia="楷体_GB2312" w:cs="Times New Roman" w:hAnsi="Times New Roman"/>
          <w:color w:val="000000"/>
          <w:kern w:val="0"/>
          <w:sz w:val="32"/>
          <w:szCs w:val="32"/>
          <w:shd w:val="clear" w:color="auto" w:fill="FFFFFF"/>
          <w:highlight w:val="auto"/>
        </w:rPr>
        <w:t>1.</w:t>
      </w:r>
      <w:r>
        <w:rPr>
          <w:rFonts w:ascii="Times New Roman" w:eastAsia="楷体_GB2312" w:cs="Times New Roman" w:hAnsi="Times New Roman"/>
          <w:color w:val="000000"/>
          <w:kern w:val="0"/>
          <w:sz w:val="32"/>
          <w:szCs w:val="32"/>
          <w:shd w:val="clear" w:color="auto" w:fill="FFFFFF"/>
          <w:lang w:val="zh-CN"/>
          <w:highlight w:val="auto"/>
        </w:rPr>
        <w:t>履职效能。</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重点工作完成率：目标值100%。全年重点工作均按计划顺利完成，完成率达到100%，有效保障了部门年度核心任务的实现。</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年度工作目标完成度：目标值96%以上。通过全体人员的共同努力，年度工作目标完成度达到</w:t>
      </w:r>
      <w:r>
        <w:rPr>
          <w:rFonts w:ascii="Times New Roman" w:eastAsia="仿宋_GB2312" w:cs="Times New Roman" w:hAnsi="Times New Roman" w:hint="eastAsia"/>
          <w:color w:val="000000"/>
          <w:kern w:val="0"/>
          <w:sz w:val="32"/>
          <w:szCs w:val="32"/>
          <w:shd w:val="clear" w:color="auto" w:fill="FFFFFF"/>
          <w:lang w:val="en-US" w:eastAsia="zh-CN"/>
          <w:highlight w:val="auto"/>
        </w:rPr>
        <w:t>97%</w:t>
      </w:r>
      <w:r>
        <w:rPr>
          <w:rFonts w:ascii="Times New Roman" w:eastAsia="仿宋_GB2312" w:cs="Times New Roman" w:hAnsi="Times New Roman" w:hint="eastAsia"/>
          <w:color w:val="000000"/>
          <w:kern w:val="0"/>
          <w:sz w:val="32"/>
          <w:szCs w:val="32"/>
          <w:shd w:val="clear" w:color="auto" w:fill="FFFFFF"/>
          <w:lang w:val="zh-CN"/>
          <w:highlight w:val="auto"/>
        </w:rPr>
        <w:t>，超过预期目标，整体履职成效显著。</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组织港澳台同胞、海外侨胞参访活动：目标值&gt;3次。本年度成功组织港澳台同胞、海外侨胞参访活动</w:t>
      </w:r>
      <w:r>
        <w:rPr>
          <w:rFonts w:ascii="Times New Roman" w:eastAsia="仿宋_GB2312" w:cs="Times New Roman" w:hAnsi="Times New Roman" w:hint="eastAsia"/>
          <w:color w:val="000000"/>
          <w:kern w:val="0"/>
          <w:sz w:val="32"/>
          <w:szCs w:val="32"/>
          <w:shd w:val="clear" w:color="auto" w:fill="FFFFFF"/>
          <w:lang w:val="en-US" w:eastAsia="zh-CN"/>
          <w:highlight w:val="auto"/>
        </w:rPr>
        <w:t>3</w:t>
      </w:r>
      <w:r>
        <w:rPr>
          <w:rFonts w:ascii="Times New Roman" w:eastAsia="仿宋_GB2312" w:cs="Times New Roman" w:hAnsi="Times New Roman" w:hint="eastAsia"/>
          <w:color w:val="000000"/>
          <w:kern w:val="0"/>
          <w:sz w:val="32"/>
          <w:szCs w:val="32"/>
          <w:shd w:val="clear" w:color="auto" w:fill="FFFFFF"/>
          <w:lang w:val="zh-CN"/>
          <w:highlight w:val="auto"/>
        </w:rPr>
        <w:t>次，促进了对外交流与合作，增强了民族凝聚力。</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吸纳新的阶层人士入库：目标值&gt;20人。全年共吸纳新的阶层人士</w:t>
      </w:r>
      <w:r>
        <w:rPr>
          <w:rFonts w:ascii="Times New Roman" w:eastAsia="仿宋_GB2312" w:cs="Times New Roman" w:hAnsi="Times New Roman" w:hint="eastAsia"/>
          <w:color w:val="000000"/>
          <w:kern w:val="0"/>
          <w:sz w:val="32"/>
          <w:szCs w:val="32"/>
          <w:shd w:val="clear" w:color="auto" w:fill="FFFFFF"/>
          <w:lang w:val="en-US" w:eastAsia="zh-CN"/>
          <w:highlight w:val="auto"/>
        </w:rPr>
        <w:t>21</w:t>
      </w:r>
      <w:r>
        <w:rPr>
          <w:rFonts w:ascii="Times New Roman" w:eastAsia="仿宋_GB2312" w:cs="Times New Roman" w:hAnsi="Times New Roman" w:hint="eastAsia"/>
          <w:color w:val="000000"/>
          <w:kern w:val="0"/>
          <w:sz w:val="32"/>
          <w:szCs w:val="32"/>
          <w:shd w:val="clear" w:color="auto" w:fill="FFFFFF"/>
          <w:lang w:val="zh-CN"/>
          <w:highlight w:val="auto"/>
        </w:rPr>
        <w:t>人入库，壮大了新的社会阶层人士队伍，为统战工作注入了新活力。</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开展民族文化宣传活动：目标值≥200人次。本年度开展民族文化宣传活动覆盖人次达到</w:t>
      </w:r>
      <w:r>
        <w:rPr>
          <w:rFonts w:ascii="Times New Roman" w:eastAsia="仿宋_GB2312" w:cs="Times New Roman" w:hAnsi="Times New Roman" w:hint="eastAsia"/>
          <w:color w:val="000000"/>
          <w:kern w:val="0"/>
          <w:sz w:val="32"/>
          <w:szCs w:val="32"/>
          <w:shd w:val="clear" w:color="auto" w:fill="FFFFFF"/>
          <w:lang w:val="en-US" w:eastAsia="zh-CN"/>
          <w:highlight w:val="auto"/>
        </w:rPr>
        <w:t>202</w:t>
      </w:r>
      <w:r>
        <w:rPr>
          <w:rFonts w:ascii="Times New Roman" w:eastAsia="仿宋_GB2312" w:cs="Times New Roman" w:hAnsi="Times New Roman" w:hint="eastAsia"/>
          <w:color w:val="000000"/>
          <w:kern w:val="0"/>
          <w:sz w:val="32"/>
          <w:szCs w:val="32"/>
          <w:shd w:val="clear" w:color="auto" w:fill="FFFFFF"/>
          <w:lang w:val="zh-CN"/>
          <w:highlight w:val="auto"/>
        </w:rPr>
        <w:t>，有效弘扬了民族文化，增进了各民族间的相互了解和团结</w:t>
      </w:r>
      <w:r>
        <w:rPr>
          <w:rFonts w:ascii="Times New Roman" w:eastAsia="仿宋_GB2312" w:cs="Times New Roman" w:hAnsi="Times New Roman"/>
          <w:color w:val="000000"/>
          <w:kern w:val="0"/>
          <w:sz w:val="32"/>
          <w:szCs w:val="32"/>
          <w:shd w:val="clear" w:color="auto" w:fill="FFFFFF"/>
          <w:lang w:val="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本单位以上工作任务完成情况良好，该指标分值15分，得分15分，得分率100.00%。</w:t>
      </w:r>
    </w:p>
    <w:p>
      <w:pPr>
        <w:adjustRightInd w:val="0"/>
        <w:snapToGrid w:val="0"/>
        <w:spacing w:line="578" w:lineRule="exact"/>
        <w:ind w:firstLineChars="200" w:firstLine="640"/>
        <w:contextualSpacing/>
        <w:jc w:val="left"/>
        <w:rPr>
          <w:rFonts w:ascii="Times New Roman" w:eastAsia="楷体_GB2312" w:cs="Times New Roman" w:hAnsi="Times New Roman"/>
          <w:color w:val="000000"/>
          <w:kern w:val="0"/>
          <w:sz w:val="32"/>
          <w:szCs w:val="32"/>
          <w:shd w:val="clear" w:color="auto" w:fill="FFFFFF"/>
          <w:lang w:val="zh-CN"/>
          <w:highlight w:val="auto"/>
        </w:rPr>
      </w:pPr>
      <w:r>
        <w:rPr>
          <w:rFonts w:ascii="Times New Roman" w:eastAsia="楷体_GB2312" w:cs="Times New Roman" w:hAnsi="Times New Roman"/>
          <w:color w:val="000000"/>
          <w:kern w:val="0"/>
          <w:sz w:val="32"/>
          <w:szCs w:val="32"/>
          <w:shd w:val="clear" w:color="auto" w:fill="FFFFFF"/>
          <w:highlight w:val="auto"/>
        </w:rPr>
        <w:t>2.</w:t>
      </w:r>
      <w:r>
        <w:rPr>
          <w:rFonts w:ascii="Times New Roman" w:eastAsia="楷体_GB2312" w:cs="Times New Roman" w:hAnsi="Times New Roman"/>
          <w:color w:val="000000"/>
          <w:kern w:val="0"/>
          <w:sz w:val="32"/>
          <w:szCs w:val="32"/>
          <w:shd w:val="clear" w:color="auto" w:fill="FFFFFF"/>
          <w:lang w:val="zh-CN"/>
          <w:highlight w:val="auto"/>
        </w:rPr>
        <w:t>预算管理。</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eastAsia="zh-CN"/>
          <w:highlight w:val="auto"/>
        </w:rPr>
      </w:pPr>
      <w:r>
        <w:rPr>
          <w:rFonts w:ascii="Times New Roman" w:eastAsia="仿宋_GB2312" w:cs="Times New Roman" w:hAnsi="Times New Roman"/>
          <w:color w:val="000000"/>
          <w:kern w:val="0"/>
          <w:sz w:val="32"/>
          <w:szCs w:val="32"/>
          <w:shd w:val="clear" w:color="auto" w:fill="FFFFFF"/>
          <w:lang w:val="zh-CN" w:eastAsia="zh-CN"/>
          <w:highlight w:val="auto"/>
        </w:rPr>
        <w:t>预算编制质量：预算编制完整，专项细化率达到98%以上，符合预算编制的规范性和精细化要求，为预算执行奠定了良好基础。</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en-US"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根据本单位2025年度决算报表，财政拨款年初预算数为全年预算数为2876.29万元，预算调整数为98.04万元，预算执行数为2974.34万元，</w:t>
      </w:r>
      <w:r>
        <w:rPr>
          <w:rFonts w:ascii="Times New Roman" w:eastAsia="仿宋_GB2312" w:cs="Times New Roman" w:hAnsi="Times New Roman"/>
          <w:color w:val="000000"/>
          <w:kern w:val="0"/>
          <w:sz w:val="32"/>
          <w:szCs w:val="32"/>
          <w:shd w:val="clear" w:color="auto" w:fill="FFFFFF"/>
          <w:lang w:val="zh-CN" w:eastAsia="zh-CN"/>
          <w:highlight w:val="auto"/>
        </w:rPr>
        <w:t>财政拨款预算偏离度</w:t>
      </w:r>
      <w:r>
        <w:rPr>
          <w:rFonts w:ascii="Times New Roman" w:eastAsia="仿宋_GB2312" w:cs="Times New Roman" w:hAnsi="Times New Roman" w:hint="eastAsia"/>
          <w:color w:val="000000"/>
          <w:kern w:val="0"/>
          <w:sz w:val="32"/>
          <w:szCs w:val="32"/>
          <w:shd w:val="clear" w:color="auto" w:fill="FFFFFF"/>
          <w:lang w:val="zh-CN" w:eastAsia="zh-CN"/>
          <w:highlight w:val="auto"/>
        </w:rPr>
        <w:t>=（决算数－年初预算数）/年初预算数*100%=（2974.34-2876.29）/2876.29</w:t>
      </w:r>
      <w:r>
        <w:rPr>
          <w:rFonts w:ascii="Times New Roman" w:eastAsia="仿宋_GB2312" w:cs="Times New Roman" w:hAnsi="Times New Roman" w:hint="eastAsia"/>
          <w:color w:val="000000"/>
          <w:kern w:val="0"/>
          <w:sz w:val="32"/>
          <w:szCs w:val="32"/>
          <w:shd w:val="clear" w:color="auto" w:fill="FFFFFF"/>
          <w:lang w:val="en-US" w:eastAsia="zh-CN"/>
          <w:highlight w:val="auto"/>
        </w:rPr>
        <w:t>*100%=</w:t>
      </w:r>
    </w:p>
    <w:p>
      <w:pPr>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sz w:val="32"/>
          <w:highlight w:val="auto"/>
        </w:rPr>
        <w:t>3.41%</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资产</w:t>
      </w:r>
      <w:r>
        <w:rPr>
          <w:rFonts w:ascii="Times New Roman" w:eastAsia="仿宋_GB2312" w:cs="Times New Roman" w:hAnsi="Times New Roman"/>
          <w:color w:val="000000"/>
          <w:kern w:val="0"/>
          <w:sz w:val="32"/>
          <w:szCs w:val="32"/>
          <w:shd w:val="clear" w:color="auto" w:fill="FFFFFF"/>
          <w:lang w:val="zh-CN" w:eastAsia="zh-CN"/>
          <w:highlight w:val="auto"/>
        </w:rPr>
        <w:t>配置</w:t>
      </w:r>
      <w:r>
        <w:rPr>
          <w:rFonts w:ascii="Times New Roman" w:eastAsia="仿宋_GB2312" w:cs="Times New Roman" w:hAnsi="Times New Roman" w:hint="eastAsia"/>
          <w:color w:val="000000"/>
          <w:kern w:val="0"/>
          <w:sz w:val="32"/>
          <w:szCs w:val="32"/>
          <w:shd w:val="clear" w:color="auto" w:fill="FFFFFF"/>
          <w:lang w:val="zh-CN" w:eastAsia="zh-CN"/>
          <w:highlight w:val="auto"/>
        </w:rPr>
        <w:t>预算偏离度为0；政府采购预算偏离度为0。</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指标得分=（1-财政拨款预算偏离度）×100%×4+（1-资产配置预算偏离度）×100%×2+（1-政府采购预算偏离度）×100%×2=</w:t>
      </w:r>
      <w:r>
        <w:rPr>
          <w:rFonts w:ascii="Times New Roman" w:eastAsia="仿宋_GB2312" w:cs="Times New Roman" w:hAnsi="Times New Roman" w:hint="eastAsia"/>
          <w:color w:val="000000"/>
          <w:kern w:val="0"/>
          <w:sz w:val="32"/>
          <w:szCs w:val="32"/>
          <w:shd w:val="clear" w:color="auto" w:fill="FFFFFF"/>
          <w:lang w:val="en-US" w:eastAsia="zh-CN"/>
          <w:highlight w:val="auto"/>
        </w:rPr>
        <w:t>7.84</w:t>
      </w:r>
      <w:r>
        <w:rPr>
          <w:rFonts w:ascii="Times New Roman" w:eastAsia="仿宋_GB2312" w:cs="Times New Roman" w:hAnsi="Times New Roman" w:hint="eastAsia"/>
          <w:color w:val="000000"/>
          <w:kern w:val="0"/>
          <w:sz w:val="32"/>
          <w:szCs w:val="32"/>
          <w:shd w:val="clear" w:color="auto" w:fill="FFFFFF"/>
          <w:lang w:val="zh-CN" w:eastAsia="zh-CN"/>
          <w:highlight w:val="auto"/>
        </w:rPr>
        <w:t>分。</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该指标分值8分，得分</w:t>
      </w:r>
      <w:r>
        <w:rPr>
          <w:rFonts w:ascii="Times New Roman" w:eastAsia="仿宋_GB2312" w:cs="Times New Roman" w:hAnsi="Times New Roman" w:hint="eastAsia"/>
          <w:color w:val="000000"/>
          <w:kern w:val="0"/>
          <w:sz w:val="32"/>
          <w:szCs w:val="32"/>
          <w:shd w:val="clear" w:color="auto" w:fill="FFFFFF"/>
          <w:lang w:val="en-US" w:eastAsia="zh-CN"/>
          <w:highlight w:val="auto"/>
        </w:rPr>
        <w:t>7.84</w:t>
      </w:r>
      <w:r>
        <w:rPr>
          <w:rFonts w:ascii="Times New Roman" w:eastAsia="仿宋_GB2312" w:cs="Times New Roman" w:hAnsi="Times New Roman" w:hint="eastAsia"/>
          <w:color w:val="000000"/>
          <w:kern w:val="0"/>
          <w:sz w:val="32"/>
          <w:szCs w:val="32"/>
          <w:shd w:val="clear" w:color="auto" w:fill="FFFFFF"/>
          <w:lang w:val="zh-CN" w:eastAsia="zh-CN"/>
          <w:highlight w:val="auto"/>
        </w:rPr>
        <w:t>分，得分率</w:t>
      </w:r>
      <w:r>
        <w:rPr>
          <w:rFonts w:ascii="Times New Roman" w:eastAsia="仿宋_GB2312" w:cs="Times New Roman" w:hAnsi="Times New Roman" w:hint="eastAsia"/>
          <w:color w:val="000000"/>
          <w:kern w:val="0"/>
          <w:sz w:val="32"/>
          <w:szCs w:val="32"/>
          <w:shd w:val="clear" w:color="auto" w:fill="FFFFFF"/>
          <w:lang w:val="en-US" w:eastAsia="zh-CN"/>
          <w:highlight w:val="auto"/>
        </w:rPr>
        <w:t>98</w:t>
      </w:r>
      <w:r>
        <w:rPr>
          <w:rFonts w:ascii="Times New Roman" w:eastAsia="仿宋_GB2312" w:cs="Times New Roman" w:hAnsi="Times New Roman" w:hint="eastAsia"/>
          <w:color w:val="000000"/>
          <w:kern w:val="0"/>
          <w:sz w:val="32"/>
          <w:szCs w:val="32"/>
          <w:shd w:val="clear" w:color="auto" w:fill="FFFFFF"/>
          <w:lang w:val="zh-CN" w:eastAsia="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单位收入统筹：单位收入统筹度达到100%，所有收入均纳入预算管理，实现了收入的统一规范管理。</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2025年本单位自有收入全年执行数为0万元，自有收入年初预算数为0万元。</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根据评分标准，该项指标分值4分，得4分，得分率100%。</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支出执行进度：预算执行率达100%，支出严格按照预算执行，无超预算、无预算支出情况，执行进度和效果良好。</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根据1-</w:t>
      </w:r>
      <w:r>
        <w:rPr>
          <w:rFonts w:ascii="Times New Roman" w:eastAsia="仿宋_GB2312" w:cs="Times New Roman" w:hAnsi="Times New Roman" w:hint="eastAsia"/>
          <w:color w:val="000000"/>
          <w:kern w:val="0"/>
          <w:sz w:val="32"/>
          <w:szCs w:val="32"/>
          <w:shd w:val="clear" w:color="auto" w:fill="FFFFFF"/>
          <w:lang w:val="en-US" w:eastAsia="zh-CN"/>
          <w:highlight w:val="auto"/>
        </w:rPr>
        <w:t>12</w:t>
      </w:r>
      <w:r>
        <w:rPr>
          <w:rFonts w:ascii="Times New Roman" w:eastAsia="仿宋_GB2312" w:cs="Times New Roman" w:hAnsi="Times New Roman" w:hint="eastAsia"/>
          <w:color w:val="000000"/>
          <w:kern w:val="0"/>
          <w:sz w:val="32"/>
          <w:szCs w:val="32"/>
          <w:shd w:val="clear" w:color="auto" w:fill="FFFFFF"/>
          <w:lang w:val="zh-CN" w:eastAsia="zh-CN"/>
          <w:highlight w:val="auto"/>
        </w:rPr>
        <w:t>月可执行情况表，本单位</w:t>
      </w:r>
      <w:r>
        <w:rPr>
          <w:rFonts w:ascii="Times New Roman" w:eastAsia="仿宋_GB2312" w:cs="Times New Roman" w:hAnsi="Times New Roman"/>
          <w:color w:val="000000"/>
          <w:kern w:val="0"/>
          <w:sz w:val="32"/>
          <w:szCs w:val="32"/>
          <w:shd w:val="clear" w:color="auto" w:fill="FFFFFF"/>
          <w:lang w:val="zh-CN" w:eastAsia="zh-CN"/>
          <w:highlight w:val="auto"/>
        </w:rPr>
        <w:t>1至</w:t>
      </w:r>
      <w:r>
        <w:rPr>
          <w:rFonts w:ascii="Times New Roman" w:eastAsia="仿宋_GB2312" w:cs="Times New Roman" w:hAnsi="Times New Roman" w:hint="eastAsia"/>
          <w:color w:val="000000"/>
          <w:kern w:val="0"/>
          <w:sz w:val="32"/>
          <w:szCs w:val="32"/>
          <w:shd w:val="clear" w:color="auto" w:fill="FFFFFF"/>
          <w:lang w:val="en-US" w:eastAsia="zh-CN"/>
          <w:highlight w:val="auto"/>
        </w:rPr>
        <w:t>12</w:t>
      </w:r>
      <w:r>
        <w:rPr>
          <w:rFonts w:ascii="Times New Roman" w:eastAsia="仿宋_GB2312" w:cs="Times New Roman" w:hAnsi="Times New Roman"/>
          <w:color w:val="000000"/>
          <w:kern w:val="0"/>
          <w:sz w:val="32"/>
          <w:szCs w:val="32"/>
          <w:shd w:val="clear" w:color="auto" w:fill="FFFFFF"/>
          <w:lang w:val="zh-CN" w:eastAsia="zh-CN"/>
          <w:highlight w:val="auto"/>
        </w:rPr>
        <w:t>月预算执行</w:t>
      </w:r>
      <w:r>
        <w:rPr>
          <w:rFonts w:ascii="Times New Roman" w:eastAsia="仿宋_GB2312" w:cs="Times New Roman" w:hAnsi="Times New Roman" w:hint="eastAsia"/>
          <w:color w:val="000000"/>
          <w:kern w:val="0"/>
          <w:sz w:val="32"/>
          <w:szCs w:val="32"/>
          <w:shd w:val="clear" w:color="auto" w:fill="FFFFFF"/>
          <w:lang w:val="zh-CN" w:eastAsia="zh-CN"/>
          <w:highlight w:val="auto"/>
        </w:rPr>
        <w:t>率为</w:t>
      </w:r>
      <w:r>
        <w:rPr>
          <w:rFonts w:ascii="Times New Roman" w:eastAsia="仿宋_GB2312" w:cs="Times New Roman" w:hAnsi="Times New Roman" w:hint="eastAsia"/>
          <w:color w:val="000000"/>
          <w:kern w:val="0"/>
          <w:sz w:val="32"/>
          <w:szCs w:val="32"/>
          <w:shd w:val="clear" w:color="auto" w:fill="FFFFFF"/>
          <w:lang w:val="en-US" w:eastAsia="zh-CN"/>
          <w:highlight w:val="auto"/>
        </w:rPr>
        <w:t>99.79</w:t>
      </w:r>
      <w:r>
        <w:rPr>
          <w:rFonts w:ascii="Times New Roman" w:eastAsia="仿宋_GB2312" w:cs="Times New Roman" w:hAnsi="Times New Roman" w:hint="eastAsia"/>
          <w:color w:val="000000"/>
          <w:kern w:val="0"/>
          <w:sz w:val="32"/>
          <w:szCs w:val="32"/>
          <w:shd w:val="clear" w:color="auto" w:fill="FFFFFF"/>
          <w:lang w:val="zh-CN" w:eastAsia="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根据评分标准，该指标分值6分，得分</w:t>
      </w:r>
      <w:r>
        <w:rPr>
          <w:rFonts w:ascii="Times New Roman" w:eastAsia="仿宋_GB2312" w:cs="Times New Roman" w:hAnsi="Times New Roman" w:hint="eastAsia"/>
          <w:color w:val="000000"/>
          <w:kern w:val="0"/>
          <w:sz w:val="32"/>
          <w:szCs w:val="32"/>
          <w:shd w:val="clear" w:color="auto" w:fill="FFFFFF"/>
          <w:lang w:val="en-US" w:eastAsia="zh-CN"/>
          <w:highlight w:val="auto"/>
        </w:rPr>
        <w:t>6</w:t>
      </w:r>
      <w:r>
        <w:rPr>
          <w:rFonts w:ascii="Times New Roman" w:eastAsia="仿宋_GB2312" w:cs="Times New Roman" w:hAnsi="Times New Roman" w:hint="eastAsia"/>
          <w:color w:val="000000"/>
          <w:kern w:val="0"/>
          <w:sz w:val="32"/>
          <w:szCs w:val="32"/>
          <w:shd w:val="clear" w:color="auto" w:fill="FFFFFF"/>
          <w:lang w:val="zh-CN" w:eastAsia="zh-CN"/>
          <w:highlight w:val="auto"/>
        </w:rPr>
        <w:t>分，得分率</w:t>
      </w:r>
      <w:r>
        <w:rPr>
          <w:rFonts w:ascii="Times New Roman" w:eastAsia="仿宋_GB2312" w:cs="Times New Roman" w:hAnsi="Times New Roman" w:hint="eastAsia"/>
          <w:color w:val="000000"/>
          <w:kern w:val="0"/>
          <w:sz w:val="32"/>
          <w:szCs w:val="32"/>
          <w:shd w:val="clear" w:color="auto" w:fill="FFFFFF"/>
          <w:lang w:val="en-US" w:eastAsia="zh-CN"/>
          <w:highlight w:val="auto"/>
        </w:rPr>
        <w:t>100</w:t>
      </w:r>
      <w:r>
        <w:rPr>
          <w:rFonts w:ascii="Times New Roman" w:eastAsia="仿宋_GB2312" w:cs="Times New Roman" w:hAnsi="Times New Roman" w:hint="eastAsia"/>
          <w:color w:val="000000"/>
          <w:kern w:val="0"/>
          <w:sz w:val="32"/>
          <w:szCs w:val="32"/>
          <w:shd w:val="clear" w:color="auto" w:fill="FFFFFF"/>
          <w:lang w:val="zh-CN" w:eastAsia="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预算年终结余</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根据决算报表，本单位预算总金额为2974.34万元，决算支出2974.34万元，年终部门预算结转金额为0万元，合计0万元，占比为0。</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根据评分标准，该指标分值2分，得分2分，得分率100%。</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严控一般性支出</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本单位“三公”经费、会议经费、培训经费等一般性支出财政拨款预算执行数较2024年度财政拨款预算执行数增加</w:t>
      </w:r>
      <w:r>
        <w:rPr>
          <w:rFonts w:ascii="Times New Roman" w:eastAsia="仿宋_GB2312" w:cs="Times New Roman" w:hAnsi="Times New Roman" w:hint="eastAsia"/>
          <w:color w:val="000000"/>
          <w:kern w:val="0"/>
          <w:sz w:val="32"/>
          <w:szCs w:val="32"/>
          <w:shd w:val="clear" w:color="auto" w:fill="FFFFFF"/>
          <w:lang w:val="en-US" w:eastAsia="zh-CN"/>
          <w:highlight w:val="auto"/>
        </w:rPr>
        <w:t>较多</w:t>
      </w:r>
      <w:r>
        <w:rPr>
          <w:rFonts w:ascii="Times New Roman" w:eastAsia="仿宋_GB2312" w:cs="Times New Roman" w:hAnsi="Times New Roman" w:hint="eastAsia"/>
          <w:color w:val="000000"/>
          <w:kern w:val="0"/>
          <w:sz w:val="32"/>
          <w:szCs w:val="32"/>
          <w:shd w:val="clear" w:color="auto" w:fill="FFFFFF"/>
          <w:lang w:val="zh-CN" w:eastAsia="zh-CN"/>
          <w:highlight w:val="auto"/>
        </w:rPr>
        <w:t>，主要原因</w:t>
      </w:r>
      <w:r>
        <w:rPr>
          <w:rFonts w:ascii="Times New Roman" w:eastAsia="仿宋_GB2312" w:cs="Times New Roman" w:hAnsi="Times New Roman" w:hint="eastAsia"/>
          <w:color w:val="000000"/>
          <w:kern w:val="0"/>
          <w:sz w:val="32"/>
          <w:szCs w:val="32"/>
          <w:shd w:val="clear" w:color="auto" w:fill="FFFFFF"/>
          <w:lang w:val="en-US" w:eastAsia="zh-CN"/>
          <w:highlight w:val="auto"/>
        </w:rPr>
        <w:t>为我单位本年度购买新车，价值60万元，同时因工作开展需要，车辆运行维护费有所增加</w:t>
      </w:r>
      <w:r>
        <w:rPr>
          <w:rFonts w:ascii="Times New Roman" w:eastAsia="仿宋_GB2312" w:cs="Times New Roman" w:hAnsi="Times New Roman" w:hint="eastAsia"/>
          <w:color w:val="000000"/>
          <w:kern w:val="0"/>
          <w:sz w:val="32"/>
          <w:szCs w:val="32"/>
          <w:shd w:val="clear" w:color="auto" w:fill="FFFFFF"/>
          <w:lang w:val="zh-CN" w:eastAsia="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根据评分标准，该指标分值5分，得分0分，得分率0%。</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预决算公开：积极主动按时按规进行预决算公开，公开内容完整、规范，接受社会监督，做到了透明化管理。</w:t>
      </w:r>
    </w:p>
    <w:p>
      <w:pPr>
        <w:adjustRightInd w:val="0"/>
        <w:snapToGrid w:val="0"/>
        <w:spacing w:line="578" w:lineRule="exact"/>
        <w:ind w:firstLineChars="200" w:firstLine="640"/>
        <w:contextualSpacing/>
        <w:jc w:val="left"/>
        <w:rPr>
          <w:rFonts w:ascii="Times New Roman" w:eastAsia="楷体_GB2312" w:cs="Times New Roman" w:hAnsi="Times New Roman"/>
          <w:color w:val="000000"/>
          <w:kern w:val="0"/>
          <w:sz w:val="32"/>
          <w:szCs w:val="32"/>
          <w:shd w:val="clear" w:color="auto" w:fill="FFFFFF"/>
          <w:lang w:val="zh-CN"/>
          <w:highlight w:val="auto"/>
        </w:rPr>
      </w:pPr>
      <w:r>
        <w:rPr>
          <w:rFonts w:ascii="Times New Roman" w:eastAsia="楷体_GB2312" w:cs="Times New Roman" w:hAnsi="Times New Roman"/>
          <w:color w:val="000000"/>
          <w:kern w:val="0"/>
          <w:sz w:val="32"/>
          <w:szCs w:val="32"/>
          <w:shd w:val="clear" w:color="auto" w:fill="FFFFFF"/>
          <w:highlight w:val="auto"/>
        </w:rPr>
        <w:t>3.</w:t>
      </w:r>
      <w:r>
        <w:rPr>
          <w:rFonts w:ascii="Times New Roman" w:eastAsia="楷体_GB2312" w:cs="Times New Roman" w:hAnsi="Times New Roman"/>
          <w:color w:val="000000"/>
          <w:kern w:val="0"/>
          <w:sz w:val="32"/>
          <w:szCs w:val="32"/>
          <w:shd w:val="clear" w:color="auto" w:fill="FFFFFF"/>
          <w:lang w:val="zh-CN"/>
          <w:highlight w:val="auto"/>
        </w:rPr>
        <w:t>财务管理。</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财务管理制度：单位建立了健全的财务管理制度，制度覆盖预算管理、收支管理、资产管理、采购管理等各个环节，为财务工作的规范运行提供了制度保障。</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财务岗位设置：按照内部控制要求，合理设置了财务岗位，明确了各岗位的职责权限，做到了不相容岗位相互分离，形成了有效的内部牵制机制。</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2</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2</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资金使用规范：资金使用严格遵守国家财经法律法规和单位财务管理制度，审批流程规范，支付依据充分，未发生违规使用资金的情况，资金使用规范、安全、高效</w:t>
      </w:r>
      <w:r>
        <w:rPr>
          <w:rFonts w:ascii="Times New Roman" w:eastAsia="仿宋_GB2312" w:cs="Times New Roman" w:hAnsi="Times New Roman"/>
          <w:color w:val="000000"/>
          <w:kern w:val="0"/>
          <w:sz w:val="32"/>
          <w:szCs w:val="32"/>
          <w:shd w:val="clear" w:color="auto" w:fill="FFFFFF"/>
          <w:lang w:val="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楷体_GB2312" w:cs="Times New Roman" w:hAnsi="Times New Roman"/>
          <w:color w:val="000000"/>
          <w:kern w:val="0"/>
          <w:sz w:val="32"/>
          <w:szCs w:val="32"/>
          <w:shd w:val="clear" w:color="auto" w:fill="FFFFFF"/>
          <w:lang w:val="zh-CN"/>
          <w:highlight w:val="auto"/>
        </w:rPr>
      </w:pPr>
      <w:r>
        <w:rPr>
          <w:rFonts w:ascii="Times New Roman" w:eastAsia="楷体_GB2312" w:cs="Times New Roman" w:hAnsi="Times New Roman"/>
          <w:color w:val="000000"/>
          <w:kern w:val="0"/>
          <w:sz w:val="32"/>
          <w:szCs w:val="32"/>
          <w:shd w:val="clear" w:color="auto" w:fill="FFFFFF"/>
          <w:highlight w:val="auto"/>
        </w:rPr>
        <w:t>4.</w:t>
      </w:r>
      <w:r>
        <w:rPr>
          <w:rFonts w:ascii="Times New Roman" w:eastAsia="楷体_GB2312" w:cs="Times New Roman" w:hAnsi="Times New Roman"/>
          <w:color w:val="000000"/>
          <w:kern w:val="0"/>
          <w:sz w:val="32"/>
          <w:szCs w:val="32"/>
          <w:shd w:val="clear" w:color="auto" w:fill="FFFFFF"/>
          <w:lang w:val="zh-CN"/>
          <w:highlight w:val="auto"/>
        </w:rPr>
        <w:t>资产管理。</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人均资产变化率：人均资产变化率控制在合理范围内，资产规模与单位履职需求相匹配。</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根据决算报表和国有资产年报表，本单位2024年末实有人数为</w:t>
      </w:r>
      <w:r>
        <w:rPr>
          <w:rFonts w:ascii="Times New Roman" w:eastAsia="仿宋_GB2312" w:cs="Times New Roman" w:hAnsi="Times New Roman" w:hint="eastAsia"/>
          <w:color w:val="000000"/>
          <w:kern w:val="0"/>
          <w:sz w:val="32"/>
          <w:szCs w:val="32"/>
          <w:shd w:val="clear" w:color="auto" w:fill="FFFFFF"/>
          <w:lang w:val="en-US" w:eastAsia="zh-CN"/>
          <w:highlight w:val="auto"/>
        </w:rPr>
        <w:t>56</w:t>
      </w:r>
      <w:r>
        <w:rPr>
          <w:rFonts w:ascii="Times New Roman" w:eastAsia="仿宋_GB2312" w:cs="Times New Roman" w:hAnsi="Times New Roman" w:hint="eastAsia"/>
          <w:color w:val="000000"/>
          <w:kern w:val="0"/>
          <w:sz w:val="32"/>
          <w:szCs w:val="32"/>
          <w:shd w:val="clear" w:color="auto" w:fill="FFFFFF"/>
          <w:lang w:val="zh-CN" w:eastAsia="zh-CN"/>
          <w:highlight w:val="auto"/>
        </w:rPr>
        <w:t>人，固定资产和无形资产净值合计</w:t>
      </w:r>
      <w:r>
        <w:rPr>
          <w:rFonts w:ascii="Times New Roman" w:eastAsia="仿宋_GB2312" w:cs="Times New Roman" w:hAnsi="Times New Roman" w:hint="eastAsia"/>
          <w:color w:val="000000"/>
          <w:kern w:val="0"/>
          <w:sz w:val="32"/>
          <w:szCs w:val="32"/>
          <w:shd w:val="clear" w:color="auto" w:fill="FFFFFF"/>
          <w:lang w:val="en-US" w:eastAsia="zh-CN"/>
          <w:highlight w:val="auto"/>
        </w:rPr>
        <w:t>941.63</w:t>
      </w:r>
      <w:r>
        <w:rPr>
          <w:rFonts w:ascii="Times New Roman" w:eastAsia="仿宋_GB2312" w:cs="Times New Roman" w:hAnsi="Times New Roman" w:hint="eastAsia"/>
          <w:color w:val="000000"/>
          <w:kern w:val="0"/>
          <w:sz w:val="32"/>
          <w:szCs w:val="32"/>
          <w:shd w:val="clear" w:color="auto" w:fill="FFFFFF"/>
          <w:lang w:val="zh-CN" w:eastAsia="zh-CN"/>
          <w:highlight w:val="auto"/>
        </w:rPr>
        <w:t>万元；根据决算报表和国有资产年报表，2025年末实有人数为</w:t>
      </w:r>
      <w:r>
        <w:rPr>
          <w:rFonts w:ascii="Times New Roman" w:eastAsia="仿宋_GB2312" w:cs="Times New Roman" w:hAnsi="Times New Roman" w:hint="eastAsia"/>
          <w:color w:val="000000"/>
          <w:kern w:val="0"/>
          <w:sz w:val="32"/>
          <w:szCs w:val="32"/>
          <w:shd w:val="clear" w:color="auto" w:fill="FFFFFF"/>
          <w:lang w:val="en-US" w:eastAsia="zh-CN"/>
          <w:highlight w:val="auto"/>
        </w:rPr>
        <w:t>60</w:t>
      </w:r>
      <w:r>
        <w:rPr>
          <w:rFonts w:ascii="Times New Roman" w:eastAsia="仿宋_GB2312" w:cs="Times New Roman" w:hAnsi="Times New Roman" w:hint="eastAsia"/>
          <w:color w:val="000000"/>
          <w:kern w:val="0"/>
          <w:sz w:val="32"/>
          <w:szCs w:val="32"/>
          <w:shd w:val="clear" w:color="auto" w:fill="FFFFFF"/>
          <w:lang w:val="zh-CN" w:eastAsia="zh-CN"/>
          <w:highlight w:val="auto"/>
        </w:rPr>
        <w:t>人，固定资产和无形资产净值合计</w:t>
      </w:r>
      <w:r>
        <w:rPr>
          <w:rFonts w:ascii="Times New Roman" w:eastAsia="仿宋_GB2312" w:cs="Times New Roman" w:hAnsi="Times New Roman" w:hint="eastAsia"/>
          <w:color w:val="000000"/>
          <w:kern w:val="0"/>
          <w:sz w:val="32"/>
          <w:szCs w:val="32"/>
          <w:shd w:val="clear" w:color="auto" w:fill="FFFFFF"/>
          <w:lang w:val="en-US" w:eastAsia="zh-CN"/>
          <w:highlight w:val="auto"/>
        </w:rPr>
        <w:t>1,016.97</w:t>
      </w:r>
      <w:r>
        <w:rPr>
          <w:rFonts w:ascii="Times New Roman" w:eastAsia="仿宋_GB2312" w:cs="Times New Roman" w:hAnsi="Times New Roman" w:hint="eastAsia"/>
          <w:color w:val="000000"/>
          <w:kern w:val="0"/>
          <w:sz w:val="32"/>
          <w:szCs w:val="32"/>
          <w:shd w:val="clear" w:color="auto" w:fill="FFFFFF"/>
          <w:lang w:val="zh-CN" w:eastAsia="zh-CN"/>
          <w:highlight w:val="auto"/>
        </w:rPr>
        <w:t>万元。</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根据评价标准，本单位2024年人均占有资产=941.63/</w:t>
      </w:r>
      <w:r>
        <w:rPr>
          <w:rFonts w:ascii="Times New Roman" w:eastAsia="仿宋_GB2312" w:cs="Times New Roman" w:hAnsi="Times New Roman" w:hint="eastAsia"/>
          <w:color w:val="000000"/>
          <w:kern w:val="0"/>
          <w:sz w:val="32"/>
          <w:szCs w:val="32"/>
          <w:shd w:val="clear" w:color="auto" w:fill="FFFFFF"/>
          <w:lang w:val="en-US" w:eastAsia="zh-CN"/>
          <w:highlight w:val="auto"/>
        </w:rPr>
        <w:t>56</w:t>
      </w:r>
      <w:r>
        <w:rPr>
          <w:rFonts w:ascii="Times New Roman" w:eastAsia="仿宋_GB2312" w:cs="Times New Roman" w:hAnsi="Times New Roman" w:hint="eastAsia"/>
          <w:color w:val="000000"/>
          <w:kern w:val="0"/>
          <w:sz w:val="32"/>
          <w:szCs w:val="32"/>
          <w:shd w:val="clear" w:color="auto" w:fill="FFFFFF"/>
          <w:lang w:val="zh-CN" w:eastAsia="zh-CN"/>
          <w:highlight w:val="auto"/>
        </w:rPr>
        <w:t>=</w:t>
      </w:r>
      <w:r>
        <w:rPr>
          <w:rFonts w:ascii="Times New Roman" w:eastAsia="仿宋_GB2312" w:cs="Times New Roman" w:hAnsi="Times New Roman" w:hint="eastAsia"/>
          <w:color w:val="000000"/>
          <w:kern w:val="0"/>
          <w:sz w:val="32"/>
          <w:szCs w:val="32"/>
          <w:shd w:val="clear" w:color="auto" w:fill="FFFFFF"/>
          <w:lang w:val="en-US" w:eastAsia="zh-CN"/>
          <w:highlight w:val="auto"/>
        </w:rPr>
        <w:t>16.81</w:t>
      </w:r>
      <w:r>
        <w:rPr>
          <w:rFonts w:ascii="Times New Roman" w:eastAsia="仿宋_GB2312" w:cs="Times New Roman" w:hAnsi="Times New Roman" w:hint="eastAsia"/>
          <w:color w:val="000000"/>
          <w:kern w:val="0"/>
          <w:sz w:val="32"/>
          <w:szCs w:val="32"/>
          <w:shd w:val="clear" w:color="auto" w:fill="FFFFFF"/>
          <w:lang w:val="zh-CN" w:eastAsia="zh-CN"/>
          <w:highlight w:val="auto"/>
        </w:rPr>
        <w:t>（万元/人），2025年人均占有资产=1016.97/60=1</w:t>
      </w:r>
      <w:r>
        <w:rPr>
          <w:rFonts w:ascii="Times New Roman" w:eastAsia="仿宋_GB2312" w:cs="Times New Roman" w:hAnsi="Times New Roman" w:hint="eastAsia"/>
          <w:color w:val="000000"/>
          <w:kern w:val="0"/>
          <w:sz w:val="32"/>
          <w:szCs w:val="32"/>
          <w:shd w:val="clear" w:color="auto" w:fill="FFFFFF"/>
          <w:lang w:val="en-US" w:eastAsia="zh-CN"/>
          <w:highlight w:val="auto"/>
        </w:rPr>
        <w:t>6.95</w:t>
      </w:r>
      <w:r>
        <w:rPr>
          <w:rFonts w:ascii="Times New Roman" w:eastAsia="仿宋_GB2312" w:cs="Times New Roman" w:hAnsi="Times New Roman" w:hint="eastAsia"/>
          <w:color w:val="000000"/>
          <w:kern w:val="0"/>
          <w:sz w:val="32"/>
          <w:szCs w:val="32"/>
          <w:shd w:val="clear" w:color="auto" w:fill="FFFFFF"/>
          <w:lang w:val="zh-CN" w:eastAsia="zh-CN"/>
          <w:highlight w:val="auto"/>
        </w:rPr>
        <w:t>（万元/人），2025年本单位人均资产变化率=(</w:t>
      </w:r>
      <w:r>
        <w:rPr>
          <w:rFonts w:ascii="Times New Roman" w:eastAsia="仿宋_GB2312" w:cs="Times New Roman" w:hAnsi="Times New Roman" w:hint="eastAsia"/>
          <w:color w:val="000000"/>
          <w:kern w:val="0"/>
          <w:sz w:val="32"/>
          <w:szCs w:val="32"/>
          <w:shd w:val="clear" w:color="auto" w:fill="FFFFFF"/>
          <w:lang w:val="en-US" w:eastAsia="zh-CN"/>
          <w:highlight w:val="auto"/>
        </w:rPr>
        <w:t>16.95</w:t>
      </w:r>
      <w:r>
        <w:rPr>
          <w:rFonts w:ascii="Times New Roman" w:eastAsia="仿宋_GB2312" w:cs="Times New Roman" w:hAnsi="Times New Roman" w:hint="eastAsia"/>
          <w:color w:val="000000"/>
          <w:kern w:val="0"/>
          <w:sz w:val="32"/>
          <w:szCs w:val="32"/>
          <w:shd w:val="clear" w:color="auto" w:fill="FFFFFF"/>
          <w:lang w:val="zh-CN" w:eastAsia="zh-CN"/>
          <w:highlight w:val="auto"/>
        </w:rPr>
        <w:t>-1</w:t>
      </w:r>
      <w:r>
        <w:rPr>
          <w:rFonts w:ascii="Times New Roman" w:eastAsia="仿宋_GB2312" w:cs="Times New Roman" w:hAnsi="Times New Roman" w:hint="eastAsia"/>
          <w:color w:val="000000"/>
          <w:kern w:val="0"/>
          <w:sz w:val="32"/>
          <w:szCs w:val="32"/>
          <w:shd w:val="clear" w:color="auto" w:fill="FFFFFF"/>
          <w:lang w:val="en-US" w:eastAsia="zh-CN"/>
          <w:highlight w:val="auto"/>
        </w:rPr>
        <w:t>6.81</w:t>
      </w:r>
      <w:r>
        <w:rPr>
          <w:rFonts w:ascii="Times New Roman" w:eastAsia="仿宋_GB2312" w:cs="Times New Roman" w:hAnsi="Times New Roman" w:hint="eastAsia"/>
          <w:color w:val="000000"/>
          <w:kern w:val="0"/>
          <w:sz w:val="32"/>
          <w:szCs w:val="32"/>
          <w:shd w:val="clear" w:color="auto" w:fill="FFFFFF"/>
          <w:lang w:val="zh-CN" w:eastAsia="zh-CN"/>
          <w:highlight w:val="auto"/>
        </w:rPr>
        <w:t>)/16.</w:t>
      </w:r>
      <w:r>
        <w:rPr>
          <w:rFonts w:ascii="Times New Roman" w:eastAsia="仿宋_GB2312" w:cs="Times New Roman" w:hAnsi="Times New Roman" w:hint="eastAsia"/>
          <w:color w:val="000000"/>
          <w:kern w:val="0"/>
          <w:sz w:val="32"/>
          <w:szCs w:val="32"/>
          <w:shd w:val="clear" w:color="auto" w:fill="FFFFFF"/>
          <w:lang w:val="en-US" w:eastAsia="zh-CN"/>
          <w:highlight w:val="auto"/>
        </w:rPr>
        <w:t>81</w:t>
      </w:r>
      <w:r>
        <w:rPr>
          <w:rFonts w:ascii="Times New Roman" w:eastAsia="仿宋_GB2312" w:cs="Times New Roman" w:hAnsi="Times New Roman" w:hint="eastAsia"/>
          <w:color w:val="000000"/>
          <w:kern w:val="0"/>
          <w:sz w:val="32"/>
          <w:szCs w:val="32"/>
          <w:shd w:val="clear" w:color="auto" w:fill="FFFFFF"/>
          <w:lang w:val="zh-CN" w:eastAsia="zh-CN"/>
          <w:highlight w:val="auto"/>
        </w:rPr>
        <w:t>=</w:t>
      </w:r>
      <w:r>
        <w:rPr>
          <w:rFonts w:ascii="Times New Roman" w:eastAsia="仿宋_GB2312" w:cs="Times New Roman" w:hAnsi="Times New Roman" w:hint="eastAsia"/>
          <w:color w:val="000000"/>
          <w:kern w:val="0"/>
          <w:sz w:val="32"/>
          <w:szCs w:val="32"/>
          <w:shd w:val="clear" w:color="auto" w:fill="FFFFFF"/>
          <w:lang w:val="en-US" w:eastAsia="zh-CN"/>
          <w:highlight w:val="auto"/>
        </w:rPr>
        <w:t>0.83</w:t>
      </w:r>
      <w:r>
        <w:rPr>
          <w:rFonts w:ascii="Times New Roman" w:eastAsia="仿宋_GB2312" w:cs="Times New Roman" w:hAnsi="Times New Roman" w:hint="eastAsia"/>
          <w:color w:val="000000"/>
          <w:kern w:val="0"/>
          <w:sz w:val="32"/>
          <w:szCs w:val="32"/>
          <w:shd w:val="clear" w:color="auto" w:fill="FFFFFF"/>
          <w:lang w:val="zh-CN" w:eastAsia="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根据评分标准，该指标分值3分，得分3分，得分率100%。</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资产利用率：各项资产均得到了有效利用，无长期闲置资产，资产使用效率较高，保障了业务工作的正常开展。</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根据资产存量明细查询表，本单位办公家具均未超过最低使用年限。</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根据资产存量明细查询表，本单位2025年超最低使用年限办公设备均已全额折旧，账面价值为0万元。</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3</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3</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en-US" w:eastAsia="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资产盘活率：</w:t>
      </w:r>
      <w:r>
        <w:rPr>
          <w:rFonts w:ascii="Times New Roman" w:eastAsia="仿宋_GB2312" w:cs="Times New Roman" w:hAnsi="Times New Roman" w:hint="eastAsia"/>
          <w:color w:val="000000"/>
          <w:kern w:val="0"/>
          <w:sz w:val="32"/>
          <w:szCs w:val="32"/>
          <w:shd w:val="clear" w:color="auto" w:fill="FFFFFF"/>
          <w:lang w:val="en-US" w:eastAsia="zh-CN"/>
          <w:highlight w:val="auto"/>
        </w:rPr>
        <w:t>根据资产管理系统和国有资产报表，本单位2024年无闲置资产；2025年度也无闲置资产。本单位两年均无闲置资产。</w:t>
      </w:r>
    </w:p>
    <w:p>
      <w:pPr>
        <w:adjustRightInd w:val="0"/>
        <w:snapToGrid w:val="0"/>
        <w:spacing w:line="578" w:lineRule="exact"/>
        <w:ind w:firstLineChars="200" w:firstLine="640"/>
        <w:contextualSpacing/>
        <w:jc w:val="left"/>
        <w:rPr>
          <w:rFonts w:ascii="Times New Roman" w:eastAsia="楷体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en-US" w:eastAsia="zh-CN"/>
          <w:highlight w:val="auto"/>
        </w:rPr>
        <w:t>根据评分标准，该指标分值3分，得分3分，得分率100%。</w:t>
      </w:r>
    </w:p>
    <w:p>
      <w:pPr>
        <w:adjustRightInd w:val="0"/>
        <w:snapToGrid w:val="0"/>
        <w:spacing w:line="578" w:lineRule="exact"/>
        <w:ind w:firstLineChars="200" w:firstLine="640"/>
        <w:contextualSpacing/>
        <w:jc w:val="left"/>
        <w:rPr>
          <w:rFonts w:ascii="Times New Roman" w:eastAsia="楷体_GB2312" w:cs="Times New Roman" w:hAnsi="Times New Roman"/>
          <w:color w:val="000000"/>
          <w:kern w:val="0"/>
          <w:sz w:val="32"/>
          <w:szCs w:val="32"/>
          <w:shd w:val="clear" w:color="auto" w:fill="FFFFFF"/>
          <w:lang w:val="zh-CN"/>
          <w:highlight w:val="auto"/>
        </w:rPr>
      </w:pPr>
      <w:r>
        <w:rPr>
          <w:rFonts w:ascii="Times New Roman" w:eastAsia="楷体_GB2312" w:cs="Times New Roman" w:hAnsi="Times New Roman"/>
          <w:color w:val="000000"/>
          <w:kern w:val="0"/>
          <w:sz w:val="32"/>
          <w:szCs w:val="32"/>
          <w:shd w:val="clear" w:color="auto" w:fill="FFFFFF"/>
          <w:highlight w:val="auto"/>
        </w:rPr>
        <w:t>5.</w:t>
      </w:r>
      <w:r>
        <w:rPr>
          <w:rFonts w:ascii="Times New Roman" w:eastAsia="楷体_GB2312" w:cs="Times New Roman" w:hAnsi="Times New Roman"/>
          <w:color w:val="000000"/>
          <w:kern w:val="0"/>
          <w:sz w:val="32"/>
          <w:szCs w:val="32"/>
          <w:shd w:val="clear" w:color="auto" w:fill="FFFFFF"/>
          <w:lang w:val="zh-CN"/>
          <w:highlight w:val="auto"/>
        </w:rPr>
        <w:t>采购管理。</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支持中小企业发展：在采购活动中，严格执行支持中小企业发展的政策要求，积极向中小企业预留采购份额，或在评审时给予中小企业价格扣除等优惠，有效支持了中小企业发展。</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3</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3</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采购执行率：采购执行率达到100%，采购活动严格按照政府采购法律法规和单位内部管理制度执行，采购流程规范，采购结果符合预期</w:t>
      </w:r>
      <w:r>
        <w:rPr>
          <w:rFonts w:ascii="Times New Roman" w:eastAsia="仿宋_GB2312" w:cs="Times New Roman" w:hAnsi="Times New Roman"/>
          <w:color w:val="000000"/>
          <w:kern w:val="0"/>
          <w:sz w:val="32"/>
          <w:szCs w:val="32"/>
          <w:shd w:val="clear" w:color="auto" w:fill="FFFFFF"/>
          <w:lang w:val="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eastAsia="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指标得分=当年政府采购实际支付总金额÷（当年政府采购总预算数-当年已完成采购项目节约金额）×100%×3=</w:t>
      </w:r>
      <w:r>
        <w:rPr>
          <w:rFonts w:ascii="Times New Roman" w:eastAsia="仿宋_GB2312" w:cs="Times New Roman" w:hAnsi="Times New Roman" w:hint="eastAsia"/>
          <w:color w:val="000000"/>
          <w:kern w:val="0"/>
          <w:sz w:val="32"/>
          <w:szCs w:val="32"/>
          <w:shd w:val="clear" w:color="auto" w:fill="FFFFFF"/>
          <w:lang w:val="en-US" w:eastAsia="zh-CN"/>
          <w:highlight w:val="auto"/>
        </w:rPr>
        <w:t>350.72</w:t>
      </w:r>
      <w:r>
        <w:rPr>
          <w:rFonts w:ascii="Times New Roman" w:eastAsia="仿宋_GB2312" w:cs="Times New Roman" w:hAnsi="Times New Roman" w:hint="eastAsia"/>
          <w:color w:val="000000"/>
          <w:kern w:val="0"/>
          <w:sz w:val="32"/>
          <w:szCs w:val="32"/>
          <w:shd w:val="clear" w:color="auto" w:fill="FFFFFF"/>
          <w:lang w:val="zh-CN" w:eastAsia="zh-CN"/>
          <w:highlight w:val="auto"/>
        </w:rPr>
        <w:t>÷（350.72</w:t>
      </w:r>
      <w:r>
        <w:rPr>
          <w:rFonts w:ascii="Times New Roman" w:eastAsia="仿宋_GB2312" w:cs="Times New Roman" w:hAnsi="Times New Roman" w:hint="eastAsia"/>
          <w:color w:val="000000"/>
          <w:kern w:val="0"/>
          <w:sz w:val="32"/>
          <w:szCs w:val="32"/>
          <w:shd w:val="clear" w:color="auto" w:fill="FFFFFF"/>
          <w:lang w:val="en-US" w:eastAsia="zh-CN"/>
          <w:highlight w:val="auto"/>
        </w:rPr>
        <w:t>-</w:t>
      </w:r>
      <w:r>
        <w:rPr>
          <w:rFonts w:ascii="Times New Roman" w:eastAsia="仿宋_GB2312" w:cs="Times New Roman" w:hAnsi="Times New Roman" w:hint="eastAsia"/>
          <w:color w:val="000000"/>
          <w:kern w:val="0"/>
          <w:sz w:val="32"/>
          <w:szCs w:val="32"/>
          <w:shd w:val="clear" w:color="auto" w:fill="FFFFFF"/>
          <w:lang w:val="zh-CN" w:eastAsia="zh-CN"/>
          <w:highlight w:val="auto"/>
        </w:rPr>
        <w:t>350.72）</w:t>
      </w:r>
      <w:r>
        <w:rPr>
          <w:rFonts w:ascii="Times New Roman" w:eastAsia="仿宋_GB2312" w:cs="Times New Roman" w:hAnsi="Times New Roman" w:hint="eastAsia"/>
          <w:color w:val="000000"/>
          <w:kern w:val="0"/>
          <w:sz w:val="32"/>
          <w:szCs w:val="32"/>
          <w:shd w:val="clear" w:color="auto" w:fill="FFFFFF"/>
          <w:lang w:val="en-US" w:eastAsia="zh-CN"/>
          <w:highlight w:val="auto"/>
        </w:rPr>
        <w:t>*100%</w:t>
      </w:r>
      <w:r>
        <w:rPr>
          <w:rFonts w:ascii="Times New Roman" w:eastAsia="仿宋_GB2312" w:cs="Times New Roman" w:hAnsi="Times New Roman" w:hint="eastAsia"/>
          <w:color w:val="000000"/>
          <w:kern w:val="0"/>
          <w:sz w:val="32"/>
          <w:szCs w:val="32"/>
          <w:shd w:val="clear" w:color="auto" w:fill="FFFFFF"/>
          <w:lang w:val="zh-CN" w:eastAsia="zh-CN"/>
          <w:highlight w:val="auto"/>
        </w:rPr>
        <w:t>=3分。</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3</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3</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widowControl/>
        <w:adjustRightInd w:val="0"/>
        <w:snapToGrid w:val="0"/>
        <w:spacing w:line="578" w:lineRule="exact"/>
        <w:ind w:firstLineChars="200" w:firstLine="640"/>
        <w:contextualSpacing/>
        <w:jc w:val="left"/>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（二）部门预算项目绩效分析。</w:t>
      </w:r>
    </w:p>
    <w:p>
      <w:pPr>
        <w:widowControl/>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highlight w:val="auto"/>
        </w:rPr>
      </w:pPr>
      <w:r>
        <w:rPr>
          <w:rFonts w:ascii="Times New Roman" w:eastAsia="仿宋_GB2312" w:cs="Times New Roman" w:hAnsi="Times New Roman"/>
          <w:color w:val="000000"/>
          <w:kern w:val="0"/>
          <w:sz w:val="32"/>
          <w:szCs w:val="32"/>
          <w:shd w:val="clear" w:color="auto" w:fill="FFFFFF"/>
          <w:lang w:val="zh-CN"/>
          <w:highlight w:val="auto"/>
        </w:rPr>
        <w:t>填报以下数据，并根据部门预算绩效评价指标体系“项目绩效”涉及二、三级指标进行逐项绩效分析并评分，依次包括项目</w:t>
      </w:r>
      <w:r>
        <w:rPr>
          <w:rFonts w:ascii="Times New Roman" w:eastAsia="仿宋_GB2312" w:cs="Times New Roman" w:hAnsi="Times New Roman"/>
          <w:color w:val="000000"/>
          <w:kern w:val="0"/>
          <w:sz w:val="32"/>
          <w:szCs w:val="32"/>
          <w:shd w:val="clear" w:color="auto" w:fill="FFFFFF"/>
          <w:highlight w:val="auto"/>
        </w:rPr>
        <w:t>决策、项目执行、目标实现等情况。</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color w:val="000000"/>
          <w:kern w:val="0"/>
          <w:sz w:val="32"/>
          <w:szCs w:val="32"/>
          <w:shd w:val="clear" w:color="auto" w:fill="FFFFFF"/>
          <w:highlight w:val="auto"/>
        </w:rPr>
        <w:t>常年项目绩效分析。</w:t>
      </w:r>
      <w:r>
        <w:rPr>
          <w:rFonts w:ascii="Times New Roman" w:eastAsia="仿宋_GB2312" w:cs="Times New Roman" w:hAnsi="Times New Roman"/>
          <w:color w:val="000000"/>
          <w:kern w:val="0"/>
          <w:sz w:val="32"/>
          <w:szCs w:val="32"/>
          <w:shd w:val="clear" w:color="auto" w:fill="FFFFFF"/>
          <w:lang w:val="zh-CN"/>
          <w:highlight w:val="auto"/>
        </w:rPr>
        <w:t>该类项目总数</w:t>
      </w:r>
      <w:r>
        <w:rPr>
          <w:rFonts w:ascii="Times New Roman" w:eastAsia="仿宋_GB2312" w:cs="Times New Roman" w:hAnsi="Times New Roman" w:hint="eastAsia"/>
          <w:color w:val="000000"/>
          <w:kern w:val="0"/>
          <w:sz w:val="32"/>
          <w:szCs w:val="32"/>
          <w:shd w:val="clear" w:color="auto" w:fill="FFFFFF"/>
          <w:lang w:val="en-US" w:eastAsia="zh-CN"/>
          <w:highlight w:val="auto"/>
        </w:rPr>
        <w:t>5</w:t>
      </w:r>
      <w:r>
        <w:rPr>
          <w:rFonts w:ascii="Times New Roman" w:eastAsia="仿宋_GB2312" w:cs="Times New Roman" w:hAnsi="Times New Roman"/>
          <w:color w:val="000000"/>
          <w:kern w:val="0"/>
          <w:sz w:val="32"/>
          <w:szCs w:val="32"/>
          <w:shd w:val="clear" w:color="auto" w:fill="FFFFFF"/>
          <w:lang w:val="zh-CN"/>
          <w:highlight w:val="auto"/>
        </w:rPr>
        <w:t>个，涉及预算总金额</w:t>
      </w:r>
      <w:r>
        <w:rPr>
          <w:rFonts w:ascii="Times New Roman" w:eastAsia="仿宋_GB2312" w:cs="Times New Roman" w:hAnsi="Times New Roman" w:hint="eastAsia"/>
          <w:color w:val="000000"/>
          <w:kern w:val="0"/>
          <w:sz w:val="32"/>
          <w:szCs w:val="32"/>
          <w:shd w:val="clear" w:color="auto" w:fill="FFFFFF"/>
          <w:lang w:val="en-US" w:eastAsia="zh-CN"/>
          <w:highlight w:val="auto"/>
        </w:rPr>
        <w:t>137.53</w:t>
      </w:r>
      <w:r>
        <w:rPr>
          <w:rFonts w:ascii="Times New Roman" w:eastAsia="仿宋_GB2312" w:cs="Times New Roman" w:hAnsi="Times New Roman"/>
          <w:color w:val="000000"/>
          <w:kern w:val="0"/>
          <w:sz w:val="32"/>
          <w:szCs w:val="32"/>
          <w:shd w:val="clear" w:color="auto" w:fill="FFFFFF"/>
          <w:lang w:val="zh-CN"/>
          <w:highlight w:val="auto"/>
        </w:rPr>
        <w:t>万元，1</w:t>
      </w:r>
      <w:r>
        <w:rPr>
          <w:rFonts w:ascii="Times New Roman" w:eastAsia="仿宋_GB2312" w:cs="Times New Roman" w:hAnsi="Times New Roman" w:hint="eastAsia"/>
          <w:color w:val="000000"/>
          <w:kern w:val="0"/>
          <w:sz w:val="32"/>
          <w:szCs w:val="32"/>
          <w:shd w:val="clear" w:color="auto" w:fill="FFFFFF"/>
          <w:lang w:val="zh-CN"/>
          <w:highlight w:val="auto"/>
        </w:rPr>
        <w:t>—</w:t>
      </w:r>
      <w:r>
        <w:rPr>
          <w:rFonts w:ascii="Times New Roman" w:eastAsia="仿宋_GB2312" w:cs="Times New Roman" w:hAnsi="Times New Roman"/>
          <w:color w:val="000000"/>
          <w:kern w:val="0"/>
          <w:sz w:val="32"/>
          <w:szCs w:val="32"/>
          <w:shd w:val="clear" w:color="auto" w:fill="FFFFFF"/>
          <w:lang w:val="zh-CN"/>
          <w:highlight w:val="auto"/>
        </w:rPr>
        <w:t>1</w:t>
      </w:r>
      <w:r>
        <w:rPr>
          <w:rFonts w:ascii="Times New Roman" w:eastAsia="仿宋_GB2312" w:cs="Times New Roman" w:hAnsi="Times New Roman"/>
          <w:color w:val="000000"/>
          <w:kern w:val="0"/>
          <w:sz w:val="32"/>
          <w:szCs w:val="32"/>
          <w:shd w:val="clear" w:color="auto" w:fill="FFFFFF"/>
          <w:highlight w:val="auto"/>
        </w:rPr>
        <w:t>2</w:t>
      </w:r>
      <w:r>
        <w:rPr>
          <w:rFonts w:ascii="Times New Roman" w:eastAsia="仿宋_GB2312" w:cs="Times New Roman" w:hAnsi="Times New Roman"/>
          <w:color w:val="000000"/>
          <w:kern w:val="0"/>
          <w:sz w:val="32"/>
          <w:szCs w:val="32"/>
          <w:shd w:val="clear" w:color="auto" w:fill="FFFFFF"/>
          <w:lang w:val="zh-CN"/>
          <w:highlight w:val="auto"/>
        </w:rPr>
        <w:t>月预算执行总体进度为</w:t>
      </w:r>
      <w:r>
        <w:rPr>
          <w:rFonts w:ascii="Times New Roman" w:eastAsia="仿宋_GB2312" w:cs="Times New Roman" w:hAnsi="Times New Roman" w:hint="eastAsia"/>
          <w:color w:val="000000"/>
          <w:kern w:val="0"/>
          <w:sz w:val="32"/>
          <w:szCs w:val="32"/>
          <w:shd w:val="clear" w:color="auto" w:fill="FFFFFF"/>
          <w:lang w:val="en-US" w:eastAsia="zh-CN"/>
          <w:highlight w:val="auto"/>
        </w:rPr>
        <w:t>100</w:t>
      </w:r>
      <w:r>
        <w:rPr>
          <w:rFonts w:ascii="Times New Roman" w:eastAsia="仿宋_GB2312" w:cs="Times New Roman" w:hAnsi="Times New Roman"/>
          <w:color w:val="000000"/>
          <w:kern w:val="0"/>
          <w:sz w:val="32"/>
          <w:szCs w:val="32"/>
          <w:shd w:val="clear" w:color="auto" w:fill="FFFFFF"/>
          <w:lang w:val="zh-CN"/>
          <w:highlight w:val="auto"/>
        </w:rPr>
        <w:t>%，其中：预算结余率大于</w:t>
      </w:r>
      <w:r>
        <w:rPr>
          <w:rFonts w:ascii="Times New Roman" w:eastAsia="仿宋_GB2312" w:cs="Times New Roman" w:hAnsi="Times New Roman"/>
          <w:color w:val="000000"/>
          <w:kern w:val="0"/>
          <w:sz w:val="32"/>
          <w:szCs w:val="32"/>
          <w:shd w:val="clear" w:color="auto" w:fill="FFFFFF"/>
          <w:highlight w:val="auto"/>
        </w:rPr>
        <w:t>10%</w:t>
      </w:r>
      <w:r>
        <w:rPr>
          <w:rFonts w:ascii="Times New Roman" w:eastAsia="仿宋_GB2312" w:cs="Times New Roman" w:hAnsi="Times New Roman"/>
          <w:color w:val="000000"/>
          <w:kern w:val="0"/>
          <w:sz w:val="32"/>
          <w:szCs w:val="32"/>
          <w:shd w:val="clear" w:color="auto" w:fill="FFFFFF"/>
          <w:lang w:val="zh-CN"/>
          <w:highlight w:val="auto"/>
        </w:rPr>
        <w:t>的项目共计</w:t>
      </w:r>
      <w:r>
        <w:rPr>
          <w:rFonts w:ascii="Times New Roman" w:eastAsia="仿宋_GB2312" w:cs="Times New Roman" w:hAnsi="Times New Roman" w:hint="eastAsia"/>
          <w:color w:val="000000"/>
          <w:kern w:val="0"/>
          <w:sz w:val="32"/>
          <w:szCs w:val="32"/>
          <w:shd w:val="clear" w:color="auto" w:fill="FFFFFF"/>
          <w:lang w:val="en-US" w:eastAsia="zh-CN"/>
          <w:highlight w:val="auto"/>
        </w:rPr>
        <w:t>0</w:t>
      </w:r>
      <w:r>
        <w:rPr>
          <w:rFonts w:ascii="Times New Roman" w:eastAsia="仿宋_GB2312" w:cs="Times New Roman" w:hAnsi="Times New Roman"/>
          <w:color w:val="000000"/>
          <w:kern w:val="0"/>
          <w:sz w:val="32"/>
          <w:szCs w:val="32"/>
          <w:shd w:val="clear" w:color="auto" w:fill="FFFFFF"/>
          <w:lang w:val="zh-CN"/>
          <w:highlight w:val="auto"/>
        </w:rPr>
        <w:t>个。</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color w:val="000000"/>
          <w:kern w:val="0"/>
          <w:sz w:val="32"/>
          <w:szCs w:val="32"/>
          <w:shd w:val="clear" w:color="auto" w:fill="FFFFFF"/>
          <w:highlight w:val="auto"/>
        </w:rPr>
        <w:t>阶段（</w:t>
      </w:r>
      <w:r>
        <w:rPr>
          <w:rFonts w:ascii="Times New Roman" w:eastAsia="仿宋_GB2312" w:cs="Times New Roman" w:hAnsi="Times New Roman" w:hint="eastAsia"/>
          <w:color w:val="000000"/>
          <w:kern w:val="0"/>
          <w:sz w:val="32"/>
          <w:szCs w:val="32"/>
          <w:shd w:val="clear" w:color="auto" w:fill="FFFFFF"/>
          <w:highlight w:val="auto"/>
        </w:rPr>
        <w:t>含</w:t>
      </w:r>
      <w:r>
        <w:rPr>
          <w:rFonts w:ascii="Times New Roman" w:eastAsia="仿宋_GB2312" w:cs="Times New Roman" w:hAnsi="Times New Roman"/>
          <w:color w:val="000000"/>
          <w:kern w:val="0"/>
          <w:sz w:val="32"/>
          <w:szCs w:val="32"/>
          <w:shd w:val="clear" w:color="auto" w:fill="FFFFFF"/>
          <w:highlight w:val="auto"/>
        </w:rPr>
        <w:t>一次性）项目绩效分析。</w:t>
      </w:r>
      <w:r>
        <w:rPr>
          <w:rFonts w:ascii="Times New Roman" w:eastAsia="仿宋_GB2312" w:cs="Times New Roman" w:hAnsi="Times New Roman"/>
          <w:color w:val="000000"/>
          <w:kern w:val="0"/>
          <w:sz w:val="32"/>
          <w:szCs w:val="32"/>
          <w:shd w:val="clear" w:color="auto" w:fill="FFFFFF"/>
          <w:lang w:val="zh-CN"/>
          <w:highlight w:val="auto"/>
        </w:rPr>
        <w:t>该类项目总数</w:t>
      </w:r>
      <w:r>
        <w:rPr>
          <w:rFonts w:ascii="Times New Roman" w:eastAsia="仿宋_GB2312" w:cs="Times New Roman" w:hAnsi="Times New Roman" w:hint="eastAsia"/>
          <w:color w:val="000000"/>
          <w:kern w:val="0"/>
          <w:sz w:val="32"/>
          <w:szCs w:val="32"/>
          <w:shd w:val="clear" w:color="auto" w:fill="FFFFFF"/>
          <w:lang w:val="en-US" w:eastAsia="zh-CN"/>
          <w:highlight w:val="auto"/>
        </w:rPr>
        <w:t>14</w:t>
      </w:r>
      <w:r>
        <w:rPr>
          <w:rFonts w:ascii="Times New Roman" w:eastAsia="仿宋_GB2312" w:cs="Times New Roman" w:hAnsi="Times New Roman"/>
          <w:color w:val="000000"/>
          <w:kern w:val="0"/>
          <w:sz w:val="32"/>
          <w:szCs w:val="32"/>
          <w:shd w:val="clear" w:color="auto" w:fill="FFFFFF"/>
          <w:lang w:val="zh-CN"/>
          <w:highlight w:val="auto"/>
        </w:rPr>
        <w:t>个，涉及预算总金额</w:t>
      </w:r>
      <w:r>
        <w:rPr>
          <w:rFonts w:ascii="Times New Roman" w:eastAsia="仿宋_GB2312" w:cs="Times New Roman" w:hAnsi="Times New Roman" w:hint="eastAsia"/>
          <w:color w:val="000000"/>
          <w:kern w:val="0"/>
          <w:sz w:val="32"/>
          <w:szCs w:val="32"/>
          <w:shd w:val="clear" w:color="auto" w:fill="FFFFFF"/>
          <w:lang w:val="en-US" w:eastAsia="zh-CN"/>
          <w:highlight w:val="auto"/>
        </w:rPr>
        <w:t>1797.53</w:t>
      </w:r>
      <w:r>
        <w:rPr>
          <w:rFonts w:ascii="Times New Roman" w:eastAsia="仿宋_GB2312" w:cs="Times New Roman" w:hAnsi="Times New Roman"/>
          <w:color w:val="000000"/>
          <w:kern w:val="0"/>
          <w:sz w:val="32"/>
          <w:szCs w:val="32"/>
          <w:shd w:val="clear" w:color="auto" w:fill="FFFFFF"/>
          <w:lang w:val="zh-CN"/>
          <w:highlight w:val="auto"/>
        </w:rPr>
        <w:t>万元，1</w:t>
      </w:r>
      <w:r>
        <w:rPr>
          <w:rFonts w:ascii="Times New Roman" w:eastAsia="仿宋_GB2312" w:cs="Times New Roman" w:hAnsi="Times New Roman" w:hint="eastAsia"/>
          <w:color w:val="000000"/>
          <w:kern w:val="0"/>
          <w:sz w:val="32"/>
          <w:szCs w:val="32"/>
          <w:shd w:val="clear" w:color="auto" w:fill="FFFFFF"/>
          <w:lang w:val="zh-CN"/>
          <w:highlight w:val="auto"/>
        </w:rPr>
        <w:t>—</w:t>
      </w:r>
      <w:r>
        <w:rPr>
          <w:rFonts w:ascii="Times New Roman" w:eastAsia="仿宋_GB2312" w:cs="Times New Roman" w:hAnsi="Times New Roman"/>
          <w:color w:val="000000"/>
          <w:kern w:val="0"/>
          <w:sz w:val="32"/>
          <w:szCs w:val="32"/>
          <w:shd w:val="clear" w:color="auto" w:fill="FFFFFF"/>
          <w:lang w:val="zh-CN"/>
          <w:highlight w:val="auto"/>
        </w:rPr>
        <w:t>1</w:t>
      </w:r>
      <w:r>
        <w:rPr>
          <w:rFonts w:ascii="Times New Roman" w:eastAsia="仿宋_GB2312" w:cs="Times New Roman" w:hAnsi="Times New Roman"/>
          <w:color w:val="000000"/>
          <w:kern w:val="0"/>
          <w:sz w:val="32"/>
          <w:szCs w:val="32"/>
          <w:shd w:val="clear" w:color="auto" w:fill="FFFFFF"/>
          <w:highlight w:val="auto"/>
        </w:rPr>
        <w:t>2</w:t>
      </w:r>
      <w:r>
        <w:rPr>
          <w:rFonts w:ascii="Times New Roman" w:eastAsia="仿宋_GB2312" w:cs="Times New Roman" w:hAnsi="Times New Roman"/>
          <w:color w:val="000000"/>
          <w:kern w:val="0"/>
          <w:sz w:val="32"/>
          <w:szCs w:val="32"/>
          <w:shd w:val="clear" w:color="auto" w:fill="FFFFFF"/>
          <w:lang w:val="zh-CN"/>
          <w:highlight w:val="auto"/>
        </w:rPr>
        <w:t>月预算执行总体进度为</w:t>
      </w:r>
      <w:r>
        <w:rPr>
          <w:rFonts w:ascii="Times New Roman" w:eastAsia="仿宋_GB2312" w:cs="Times New Roman" w:hAnsi="Times New Roman" w:hint="eastAsia"/>
          <w:color w:val="000000"/>
          <w:kern w:val="0"/>
          <w:sz w:val="32"/>
          <w:szCs w:val="32"/>
          <w:shd w:val="clear" w:color="auto" w:fill="FFFFFF"/>
          <w:lang w:val="en-US" w:eastAsia="zh-CN"/>
          <w:highlight w:val="auto"/>
        </w:rPr>
        <w:t>100</w:t>
      </w:r>
      <w:r>
        <w:rPr>
          <w:rFonts w:ascii="Times New Roman" w:eastAsia="仿宋_GB2312" w:cs="Times New Roman" w:hAnsi="Times New Roman"/>
          <w:color w:val="000000"/>
          <w:kern w:val="0"/>
          <w:sz w:val="32"/>
          <w:szCs w:val="32"/>
          <w:shd w:val="clear" w:color="auto" w:fill="FFFFFF"/>
          <w:lang w:val="zh-CN"/>
          <w:highlight w:val="auto"/>
        </w:rPr>
        <w:t>%，其中：预算结余率大于</w:t>
      </w:r>
      <w:r>
        <w:rPr>
          <w:rFonts w:ascii="Times New Roman" w:eastAsia="仿宋_GB2312" w:cs="Times New Roman" w:hAnsi="Times New Roman"/>
          <w:color w:val="000000"/>
          <w:kern w:val="0"/>
          <w:sz w:val="32"/>
          <w:szCs w:val="32"/>
          <w:shd w:val="clear" w:color="auto" w:fill="FFFFFF"/>
          <w:highlight w:val="auto"/>
        </w:rPr>
        <w:t>10%</w:t>
      </w:r>
      <w:r>
        <w:rPr>
          <w:rFonts w:ascii="Times New Roman" w:eastAsia="仿宋_GB2312" w:cs="Times New Roman" w:hAnsi="Times New Roman"/>
          <w:color w:val="000000"/>
          <w:kern w:val="0"/>
          <w:sz w:val="32"/>
          <w:szCs w:val="32"/>
          <w:shd w:val="clear" w:color="auto" w:fill="FFFFFF"/>
          <w:lang w:val="zh-CN"/>
          <w:highlight w:val="auto"/>
        </w:rPr>
        <w:t>的项目共计</w:t>
      </w:r>
      <w:r>
        <w:rPr>
          <w:rFonts w:ascii="Times New Roman" w:eastAsia="仿宋_GB2312" w:cs="Times New Roman" w:hAnsi="Times New Roman" w:hint="eastAsia"/>
          <w:color w:val="000000"/>
          <w:kern w:val="0"/>
          <w:sz w:val="32"/>
          <w:szCs w:val="32"/>
          <w:shd w:val="clear" w:color="auto" w:fill="FFFFFF"/>
          <w:lang w:val="en-US" w:eastAsia="zh-CN"/>
          <w:highlight w:val="auto"/>
        </w:rPr>
        <w:t>0</w:t>
      </w:r>
      <w:r>
        <w:rPr>
          <w:rFonts w:ascii="Times New Roman" w:eastAsia="仿宋_GB2312" w:cs="Times New Roman" w:hAnsi="Times New Roman"/>
          <w:color w:val="000000"/>
          <w:kern w:val="0"/>
          <w:sz w:val="32"/>
          <w:szCs w:val="32"/>
          <w:shd w:val="clear" w:color="auto" w:fill="FFFFFF"/>
          <w:lang w:val="zh-CN"/>
          <w:highlight w:val="auto"/>
        </w:rPr>
        <w:t>个。</w:t>
      </w:r>
    </w:p>
    <w:p>
      <w:pPr>
        <w:adjustRightInd w:val="0"/>
        <w:snapToGrid w:val="0"/>
        <w:spacing w:line="578" w:lineRule="exact"/>
        <w:ind w:firstLineChars="200" w:firstLine="640"/>
        <w:contextualSpacing/>
        <w:jc w:val="left"/>
        <w:rPr>
          <w:rFonts w:ascii="Times New Roman" w:eastAsia="楷体_GB2312" w:cs="Times New Roman" w:hAnsi="Times New Roman"/>
          <w:color w:val="000000"/>
          <w:kern w:val="0"/>
          <w:sz w:val="32"/>
          <w:szCs w:val="32"/>
          <w:shd w:val="clear" w:color="auto" w:fill="FFFFFF"/>
          <w:lang w:val="zh-CN"/>
          <w:highlight w:val="auto"/>
        </w:rPr>
      </w:pPr>
      <w:r>
        <w:rPr>
          <w:rFonts w:ascii="Times New Roman" w:eastAsia="楷体_GB2312" w:cs="Times New Roman" w:hAnsi="Times New Roman"/>
          <w:color w:val="000000"/>
          <w:kern w:val="0"/>
          <w:sz w:val="32"/>
          <w:szCs w:val="32"/>
          <w:shd w:val="clear" w:color="auto" w:fill="FFFFFF"/>
          <w:highlight w:val="auto"/>
        </w:rPr>
        <w:t>1.</w:t>
      </w:r>
      <w:r>
        <w:rPr>
          <w:rFonts w:ascii="Times New Roman" w:eastAsia="楷体_GB2312" w:cs="Times New Roman" w:hAnsi="Times New Roman"/>
          <w:color w:val="000000"/>
          <w:kern w:val="0"/>
          <w:sz w:val="32"/>
          <w:szCs w:val="32"/>
          <w:shd w:val="clear" w:color="auto" w:fill="FFFFFF"/>
          <w:lang w:val="zh-CN"/>
          <w:highlight w:val="auto"/>
        </w:rPr>
        <w:t>项目决策。</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决策程序：所有项目均严格按照“三重一大”等决策程序进行审议和批准，决策过程规范，依据充分，确保了项目立项的科学性和必要性。</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目标设置：项目绩效目标设置明确、具体、可衡量、与部门职能和中长期规划相衔接，为项目执行和绩效评价提供了清晰的指引。</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项目入库：项目均按要求纳入项目库管理，入库项目经过充分论证和审核，项目库管理规范有序</w:t>
      </w:r>
      <w:r>
        <w:rPr>
          <w:rFonts w:ascii="Times New Roman" w:eastAsia="仿宋_GB2312" w:cs="Times New Roman" w:hAnsi="Times New Roman"/>
          <w:color w:val="000000"/>
          <w:kern w:val="0"/>
          <w:sz w:val="32"/>
          <w:szCs w:val="32"/>
          <w:shd w:val="clear" w:color="auto" w:fill="FFFFFF"/>
          <w:lang w:val="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楷体_GB2312" w:cs="Times New Roman" w:hAnsi="Times New Roman"/>
          <w:color w:val="000000"/>
          <w:kern w:val="0"/>
          <w:sz w:val="32"/>
          <w:szCs w:val="32"/>
          <w:shd w:val="clear" w:color="auto" w:fill="FFFFFF"/>
          <w:lang w:val="zh-CN"/>
          <w:highlight w:val="auto"/>
        </w:rPr>
      </w:pPr>
      <w:r>
        <w:rPr>
          <w:rFonts w:ascii="Times New Roman" w:eastAsia="楷体_GB2312" w:cs="Times New Roman" w:hAnsi="Times New Roman"/>
          <w:color w:val="000000"/>
          <w:kern w:val="0"/>
          <w:sz w:val="32"/>
          <w:szCs w:val="32"/>
          <w:shd w:val="clear" w:color="auto" w:fill="FFFFFF"/>
          <w:highlight w:val="auto"/>
        </w:rPr>
        <w:t>2.项目执行</w:t>
      </w:r>
      <w:r>
        <w:rPr>
          <w:rFonts w:ascii="Times New Roman" w:eastAsia="楷体_GB2312" w:cs="Times New Roman" w:hAnsi="Times New Roman"/>
          <w:color w:val="000000"/>
          <w:kern w:val="0"/>
          <w:sz w:val="32"/>
          <w:szCs w:val="32"/>
          <w:shd w:val="clear" w:color="auto" w:fill="FFFFFF"/>
          <w:lang w:val="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资金执行同向：项目资金拨付与项目实施进度保持一致，确保了项目资金的及时足额到位，保障了项目顺利实施。</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项目调整：项目实施过程中，如需调整，均严格按照规定的程序报批，确保了项目调整的合规性。本年度项目未发生重大调整。</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执行结果：各项目均按计划完成了主要建设内容和阶段性目标，项目产出数量、质量达到预期要求</w:t>
      </w:r>
      <w:r>
        <w:rPr>
          <w:rFonts w:ascii="Times New Roman" w:eastAsia="仿宋_GB2312" w:cs="Times New Roman" w:hAnsi="Times New Roman"/>
          <w:color w:val="000000"/>
          <w:kern w:val="0"/>
          <w:sz w:val="32"/>
          <w:szCs w:val="32"/>
          <w:shd w:val="clear" w:color="auto" w:fill="FFFFFF"/>
          <w:lang w:val="zh-CN"/>
          <w:highlight w:val="auto"/>
        </w:rPr>
        <w:t>。</w:t>
      </w:r>
    </w:p>
    <w:p>
      <w:pPr>
        <w:adjustRightInd w:val="0"/>
        <w:snapToGrid w:val="0"/>
        <w:spacing w:line="578" w:lineRule="exact"/>
        <w:ind w:firstLineChars="200" w:firstLine="640"/>
        <w:contextualSpacing/>
        <w:jc w:val="left"/>
        <w:rPr>
          <w:rFonts w:ascii="Times New Roman" w:eastAsia="仿宋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楷体_GB2312" w:cs="Times New Roman" w:hAnsi="Times New Roman"/>
          <w:color w:val="000000"/>
          <w:kern w:val="0"/>
          <w:sz w:val="32"/>
          <w:szCs w:val="32"/>
          <w:shd w:val="clear" w:color="auto" w:fill="FFFFFF"/>
          <w:lang w:val="zh-CN"/>
          <w:highlight w:val="auto"/>
        </w:rPr>
      </w:pPr>
      <w:r>
        <w:rPr>
          <w:rFonts w:ascii="Times New Roman" w:eastAsia="楷体_GB2312" w:cs="Times New Roman" w:hAnsi="Times New Roman"/>
          <w:color w:val="000000"/>
          <w:kern w:val="0"/>
          <w:sz w:val="32"/>
          <w:szCs w:val="32"/>
          <w:shd w:val="clear" w:color="auto" w:fill="FFFFFF"/>
          <w:highlight w:val="auto"/>
        </w:rPr>
        <w:t>3.</w:t>
      </w:r>
      <w:r>
        <w:rPr>
          <w:rFonts w:ascii="Times New Roman" w:eastAsia="楷体_GB2312" w:cs="Times New Roman" w:hAnsi="Times New Roman"/>
          <w:color w:val="000000"/>
          <w:kern w:val="0"/>
          <w:sz w:val="32"/>
          <w:szCs w:val="32"/>
          <w:shd w:val="clear" w:color="auto" w:fill="FFFFFF"/>
          <w:lang w:val="zh-CN"/>
          <w:highlight w:val="auto"/>
        </w:rPr>
        <w:t>目标实现。</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目标完成：项目总体目标和阶段性目标均已完成，如“宗教领域矛盾化解率≥90%”“培训合格率≥98%”“困难僧尼帮扶落实率≥90%”“民营企业参与乡村振兴工作带动就业人数&gt;500人”“宗教领域重大舆情事件发生率≤2次/年”等核心指标均已达标。</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得分率100%。</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目标偏离：项目实施过程中，未出现显著的目标偏离情况，各项指标均在可控范围内。</w:t>
      </w:r>
    </w:p>
    <w:p>
      <w:pPr>
        <w:adjustRightInd w:val="0"/>
        <w:snapToGrid w:val="0"/>
        <w:spacing w:line="578" w:lineRule="exact"/>
        <w:ind w:firstLineChars="200" w:firstLine="640"/>
        <w:contextualSpacing/>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eastAsia="zh-CN"/>
          <w:highlight w:val="auto"/>
        </w:rPr>
        <w:t>根据评分标准，该</w:t>
      </w:r>
      <w:r>
        <w:rPr>
          <w:rFonts w:ascii="Times New Roman" w:eastAsia="仿宋_GB2312" w:cs="Times New Roman" w:hAnsi="Times New Roman" w:hint="eastAsia"/>
          <w:color w:val="000000"/>
          <w:kern w:val="0"/>
          <w:sz w:val="32"/>
          <w:szCs w:val="32"/>
          <w:shd w:val="clear" w:color="auto" w:fill="FFFFFF"/>
          <w:lang w:val="zh-CN"/>
          <w:highlight w:val="auto"/>
        </w:rPr>
        <w:t>指标分值</w:t>
      </w:r>
      <w:r>
        <w:rPr>
          <w:rFonts w:ascii="Times New Roman" w:eastAsia="仿宋_GB2312" w:cs="Times New Roman" w:hAnsi="Times New Roman" w:hint="eastAsia"/>
          <w:color w:val="000000"/>
          <w:kern w:val="0"/>
          <w:sz w:val="32"/>
          <w:szCs w:val="32"/>
          <w:shd w:val="clear" w:color="auto" w:fill="FFFFFF"/>
          <w:lang w:val="zh-CN" w:eastAsia="zh-CN"/>
          <w:highlight w:val="auto"/>
        </w:rPr>
        <w:t>4</w:t>
      </w:r>
      <w:r>
        <w:rPr>
          <w:rFonts w:ascii="Times New Roman" w:eastAsia="仿宋_GB2312" w:cs="Times New Roman" w:hAnsi="Times New Roman" w:hint="eastAsia"/>
          <w:color w:val="000000"/>
          <w:kern w:val="0"/>
          <w:sz w:val="32"/>
          <w:szCs w:val="32"/>
          <w:shd w:val="clear" w:color="auto" w:fill="FFFFFF"/>
          <w:lang w:val="zh-CN"/>
          <w:highlight w:val="auto"/>
        </w:rPr>
        <w:t>分，得分</w:t>
      </w:r>
      <w:r>
        <w:rPr>
          <w:rFonts w:ascii="Times New Roman" w:eastAsia="仿宋_GB2312" w:cs="Times New Roman" w:hAnsi="Times New Roman" w:hint="eastAsia"/>
          <w:color w:val="000000"/>
          <w:kern w:val="0"/>
          <w:sz w:val="32"/>
          <w:szCs w:val="32"/>
          <w:shd w:val="clear" w:color="auto" w:fill="FFFFFF"/>
          <w:lang w:val="zh-CN" w:eastAsia="zh-CN"/>
          <w:highlight w:val="auto"/>
        </w:rPr>
        <w:t>3</w:t>
      </w:r>
      <w:r>
        <w:rPr>
          <w:rFonts w:ascii="Times New Roman" w:eastAsia="仿宋_GB2312" w:cs="Times New Roman" w:hAnsi="Times New Roman" w:hint="eastAsia"/>
          <w:color w:val="000000"/>
          <w:kern w:val="0"/>
          <w:sz w:val="32"/>
          <w:szCs w:val="32"/>
          <w:shd w:val="clear" w:color="auto" w:fill="FFFFFF"/>
          <w:lang w:val="zh-CN"/>
          <w:highlight w:val="auto"/>
        </w:rPr>
        <w:t>分，</w:t>
      </w:r>
      <w:r>
        <w:rPr>
          <w:rFonts w:ascii="Times New Roman" w:eastAsia="仿宋_GB2312" w:cs="Times New Roman" w:hAnsi="Times New Roman" w:hint="eastAsia"/>
          <w:color w:val="000000"/>
          <w:kern w:val="0"/>
          <w:sz w:val="32"/>
          <w:szCs w:val="32"/>
          <w:shd w:val="clear" w:color="auto" w:fill="FFFFFF"/>
          <w:lang w:val="zh-CN" w:eastAsia="zh-CN"/>
          <w:highlight w:val="auto"/>
        </w:rPr>
        <w:t>得分率90%。</w:t>
      </w:r>
    </w:p>
    <w:p>
      <w:pPr>
        <w:adjustRightInd w:val="0"/>
        <w:snapToGrid w:val="0"/>
        <w:spacing w:line="578" w:lineRule="exact"/>
        <w:ind w:firstLineChars="200" w:firstLine="640"/>
        <w:contextualSpacing/>
        <w:jc w:val="left"/>
        <w:rPr>
          <w:rFonts w:ascii="Times New Roman" w:eastAsia="楷体_GB2312" w:cs="Times New Roman" w:hAnsi="Times New Roman"/>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实现效果：项目实施后，取得了良好的社会效益和经济效益，有效提升了部门履职能力，服务了区域发展大局，如通过民族文化宣传活动增进了民族团结，通过培训提升了党外代表人士素质，通过帮扶困难僧尼体现了党和政府的关怀等</w:t>
      </w:r>
      <w:r>
        <w:rPr>
          <w:rFonts w:ascii="Times New Roman" w:eastAsia="仿宋_GB2312" w:cs="Times New Roman" w:hAnsi="Times New Roman"/>
          <w:color w:val="000000"/>
          <w:kern w:val="0"/>
          <w:sz w:val="32"/>
          <w:szCs w:val="32"/>
          <w:shd w:val="clear" w:color="auto" w:fill="FFFFFF"/>
          <w:lang w:val="zh-CN"/>
          <w:highlight w:val="auto"/>
        </w:rPr>
        <w:t>。</w:t>
      </w:r>
    </w:p>
    <w:p>
      <w:pPr>
        <w:spacing w:line="578" w:lineRule="exact"/>
        <w:ind w:firstLineChars="200" w:firstLine="640"/>
        <w:jc w:val="left"/>
        <w:rPr>
          <w:rFonts w:ascii="Times New Roman" w:eastAsia="仿宋_GB2312" w:cs="Times New Roman" w:hAnsi="Times New Roman"/>
          <w:sz w:val="32"/>
          <w:szCs w:val="32"/>
          <w:highlight w:val="auto"/>
        </w:rPr>
      </w:pPr>
      <w:r>
        <w:rPr>
          <w:rFonts w:ascii="Times New Roman" w:eastAsia="仿宋_GB2312" w:cs="Times New Roman" w:hAnsi="Times New Roman" w:hint="eastAsia"/>
          <w:sz w:val="32"/>
          <w:szCs w:val="32"/>
          <w:highlight w:val="auto"/>
        </w:rPr>
        <w:t>州级部门对一般公共预算、政府性基金预算、国有资本经营预算安排的常年项目、阶段项目绩效目标均已完成。本年度无债券资金安排，政府购买服务项目均按合同约定规范执行，服务质量和效果良好</w:t>
      </w:r>
      <w:r>
        <w:rPr>
          <w:rFonts w:ascii="Times New Roman" w:eastAsia="仿宋_GB2312" w:cs="Times New Roman" w:hAnsi="Times New Roman"/>
          <w:sz w:val="32"/>
          <w:szCs w:val="32"/>
          <w:highlight w:val="auto"/>
        </w:rPr>
        <w:t>。</w:t>
      </w:r>
    </w:p>
    <w:p>
      <w:pPr>
        <w:spacing w:line="578" w:lineRule="exact"/>
        <w:ind w:firstLineChars="200" w:firstLine="640"/>
        <w:jc w:val="left"/>
        <w:rPr>
          <w:rFonts w:ascii="Times New Roman" w:eastAsia="仿宋_GB2312" w:cs="Times New Roman" w:hAnsi="Times New Roman" w:hint="eastAsia"/>
          <w:sz w:val="32"/>
          <w:szCs w:val="32"/>
          <w:lang w:val="en-US" w:eastAsia="zh-CN"/>
          <w:highlight w:val="auto"/>
        </w:rPr>
      </w:pPr>
      <w:r>
        <w:rPr>
          <w:rFonts w:ascii="Times New Roman" w:eastAsia="仿宋_GB2312" w:cs="Times New Roman" w:hAnsi="Times New Roman" w:hint="eastAsia"/>
          <w:sz w:val="32"/>
          <w:szCs w:val="32"/>
          <w:lang w:val="en-US" w:eastAsia="zh-CN"/>
          <w:highlight w:val="auto"/>
        </w:rPr>
        <w:t>根据评分标准，该</w:t>
      </w:r>
      <w:r>
        <w:rPr>
          <w:rFonts w:ascii="Times New Roman" w:eastAsia="仿宋_GB2312" w:cs="Times New Roman" w:hAnsi="Times New Roman" w:hint="eastAsia"/>
          <w:sz w:val="32"/>
          <w:szCs w:val="32"/>
          <w:lang w:val="zh-CN"/>
          <w:highlight w:val="auto"/>
        </w:rPr>
        <w:t>指标分值</w:t>
      </w:r>
      <w:r>
        <w:rPr>
          <w:rFonts w:ascii="Times New Roman" w:eastAsia="仿宋_GB2312" w:cs="Times New Roman" w:hAnsi="Times New Roman" w:hint="eastAsia"/>
          <w:sz w:val="32"/>
          <w:szCs w:val="32"/>
          <w:lang w:val="en-US" w:eastAsia="zh-CN"/>
          <w:highlight w:val="auto"/>
        </w:rPr>
        <w:t>3</w:t>
      </w:r>
      <w:r>
        <w:rPr>
          <w:rFonts w:ascii="Times New Roman" w:eastAsia="仿宋_GB2312" w:cs="Times New Roman" w:hAnsi="Times New Roman" w:hint="eastAsia"/>
          <w:sz w:val="32"/>
          <w:szCs w:val="32"/>
          <w:lang w:val="zh-CN"/>
          <w:highlight w:val="auto"/>
        </w:rPr>
        <w:t>分，得分</w:t>
      </w:r>
      <w:r>
        <w:rPr>
          <w:rFonts w:ascii="Times New Roman" w:eastAsia="仿宋_GB2312" w:cs="Times New Roman" w:hAnsi="Times New Roman" w:hint="eastAsia"/>
          <w:sz w:val="32"/>
          <w:szCs w:val="32"/>
          <w:lang w:val="en-US" w:eastAsia="zh-CN"/>
          <w:highlight w:val="auto"/>
        </w:rPr>
        <w:t>3</w:t>
      </w:r>
      <w:r>
        <w:rPr>
          <w:rFonts w:ascii="Times New Roman" w:eastAsia="仿宋_GB2312" w:cs="Times New Roman" w:hAnsi="Times New Roman" w:hint="eastAsia"/>
          <w:sz w:val="32"/>
          <w:szCs w:val="32"/>
          <w:lang w:val="zh-CN"/>
          <w:highlight w:val="auto"/>
        </w:rPr>
        <w:t>分，</w:t>
      </w:r>
      <w:r>
        <w:rPr>
          <w:rFonts w:ascii="Times New Roman" w:eastAsia="仿宋_GB2312" w:cs="Times New Roman" w:hAnsi="Times New Roman" w:hint="eastAsia"/>
          <w:sz w:val="32"/>
          <w:szCs w:val="32"/>
          <w:lang w:val="en-US" w:eastAsia="zh-CN"/>
          <w:highlight w:val="auto"/>
        </w:rPr>
        <w:t>得分率100%。</w:t>
      </w:r>
    </w:p>
    <w:p>
      <w:pPr>
        <w:snapToGrid w:val="0"/>
        <w:spacing w:line="578" w:lineRule="exact"/>
        <w:ind w:firstLineChars="200" w:firstLine="640"/>
        <w:jc w:val="left"/>
        <w:rPr>
          <w:rFonts w:ascii="Times New Roman" w:eastAsia="楷体_GB2312" w:cs="Times New Roman" w:hAnsi="Times New Roman"/>
          <w:b/>
          <w:bCs/>
          <w:sz w:val="32"/>
          <w:szCs w:val="32"/>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（三）</w:t>
      </w:r>
      <w:r>
        <w:rPr>
          <w:rFonts w:ascii="Times New Roman" w:eastAsia="楷体_GB2312" w:cs="Times New Roman" w:hAnsi="Times New Roman"/>
          <w:b/>
          <w:bCs/>
          <w:sz w:val="32"/>
          <w:szCs w:val="32"/>
          <w:lang w:val="zh-CN"/>
          <w:highlight w:val="auto"/>
        </w:rPr>
        <w:t>绩效结果应用情况。</w:t>
      </w:r>
    </w:p>
    <w:p>
      <w:pPr>
        <w:snapToGrid w:val="0"/>
        <w:spacing w:line="578" w:lineRule="exact"/>
        <w:ind w:firstLineChars="200" w:firstLine="640"/>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内部应用情况：高度重视绩效评价结果的内部应用，将绩效评价结果作为改进工作、优化资源配置、编制下年度预算的重要依据。对绩效评价中发现的亮点和经验，在单位内部进行推广；对存在的不足，及时组织整改。</w:t>
      </w:r>
    </w:p>
    <w:p>
      <w:pPr>
        <w:snapToGrid w:val="0"/>
        <w:spacing w:line="578" w:lineRule="exact"/>
        <w:ind w:firstLineChars="200" w:firstLine="640"/>
        <w:jc w:val="left"/>
        <w:rPr>
          <w:rFonts w:ascii="Times New Roman" w:eastAsia="仿宋_GB2312" w:cs="Times New Roman" w:hAnsi="Times New Roman" w:hint="eastAsia"/>
          <w:color w:val="000000"/>
          <w:kern w:val="0"/>
          <w:sz w:val="32"/>
          <w:szCs w:val="32"/>
          <w:shd w:val="clear" w:color="auto" w:fill="FFFFFF"/>
          <w:lang w:val="zh-CN"/>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信息公开情况：按照规定将部门预算、决算及绩效评价报告等信息在政府门户网站等指定平台进行公开，主动接受社会监督，提升了财政资金使用的透明度和公信力。</w:t>
      </w:r>
    </w:p>
    <w:p>
      <w:pPr>
        <w:snapToGrid w:val="0"/>
        <w:spacing w:line="578" w:lineRule="exact"/>
        <w:ind w:firstLineChars="200" w:firstLine="640"/>
        <w:jc w:val="left"/>
        <w:rPr>
          <w:rFonts w:ascii="Times New Roman" w:eastAsia="仿宋_GB2312" w:cs="Times New Roman" w:hAnsi="Times New Roman"/>
          <w:b/>
          <w:sz w:val="32"/>
          <w:szCs w:val="32"/>
          <w:highlight w:val="auto"/>
        </w:rPr>
      </w:pPr>
      <w:r>
        <w:rPr>
          <w:rFonts w:ascii="Times New Roman" w:eastAsia="仿宋_GB2312" w:cs="Times New Roman" w:hAnsi="Times New Roman" w:hint="eastAsia"/>
          <w:color w:val="000000"/>
          <w:kern w:val="0"/>
          <w:sz w:val="32"/>
          <w:szCs w:val="32"/>
          <w:shd w:val="clear" w:color="auto" w:fill="FFFFFF"/>
          <w:lang w:val="zh-CN"/>
          <w:highlight w:val="auto"/>
        </w:rPr>
        <w:t>整改反馈情况：建立了绩效问题整改台账，对绩效评价中发现的问题明确整改责任、整改时限和整改措施，并跟踪问效，确保问题整改到位。本年度绩效评价发现的问题已全部完成整改</w:t>
      </w:r>
      <w:r>
        <w:rPr>
          <w:rFonts w:ascii="Times New Roman" w:eastAsia="仿宋_GB2312" w:cs="Times New Roman" w:hAnsi="Times New Roman"/>
          <w:color w:val="000000"/>
          <w:kern w:val="0"/>
          <w:sz w:val="32"/>
          <w:szCs w:val="32"/>
          <w:shd w:val="clear" w:color="auto" w:fill="FFFFFF"/>
          <w:lang w:val="zh-CN"/>
          <w:highlight w:val="auto"/>
        </w:rPr>
        <w:t>。</w:t>
      </w:r>
    </w:p>
    <w:p>
      <w:pPr>
        <w:widowControl/>
        <w:adjustRightInd w:val="0"/>
        <w:snapToGrid w:val="0"/>
        <w:spacing w:line="578" w:lineRule="exact"/>
        <w:ind w:firstLineChars="200" w:firstLine="640"/>
        <w:contextualSpacing/>
        <w:jc w:val="left"/>
        <w:rPr>
          <w:rFonts w:ascii="Times New Roman" w:eastAsia="黑体" w:cs="Times New Roman" w:hAnsi="Times New Roman"/>
          <w:color w:val="000000"/>
          <w:kern w:val="0"/>
          <w:sz w:val="32"/>
          <w:szCs w:val="32"/>
          <w:shd w:val="clear" w:color="auto" w:fill="FFFFFF"/>
          <w:highlight w:val="auto"/>
        </w:rPr>
      </w:pPr>
      <w:r>
        <w:rPr>
          <w:rFonts w:ascii="Times New Roman" w:eastAsia="黑体" w:cs="Times New Roman" w:hAnsi="Times New Roman"/>
          <w:color w:val="000000"/>
          <w:kern w:val="0"/>
          <w:sz w:val="32"/>
          <w:szCs w:val="32"/>
          <w:shd w:val="clear" w:color="auto" w:fill="FFFFFF"/>
          <w:highlight w:val="auto"/>
        </w:rPr>
        <w:t>四、评价结论及建议</w:t>
      </w:r>
    </w:p>
    <w:p>
      <w:pPr>
        <w:widowControl/>
        <w:adjustRightInd w:val="0"/>
        <w:snapToGrid w:val="0"/>
        <w:spacing w:line="578" w:lineRule="exact"/>
        <w:ind w:firstLineChars="200" w:firstLine="640"/>
        <w:contextualSpacing/>
        <w:jc w:val="left"/>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（一）评价结论。</w:t>
      </w:r>
    </w:p>
    <w:p>
      <w:pPr>
        <w:widowControl/>
        <w:adjustRightInd w:val="0"/>
        <w:snapToGrid w:val="0"/>
        <w:spacing w:line="578" w:lineRule="exact"/>
        <w:ind w:firstLineChars="200" w:firstLine="640"/>
        <w:contextualSpacing/>
        <w:jc w:val="left"/>
        <w:rPr>
          <w:rFonts w:ascii="Times New Roman" w:eastAsia="楷体_GB2312" w:cs="Times New Roman" w:hAnsi="Times New Roman"/>
          <w:b/>
          <w:bCs/>
          <w:color w:val="000000"/>
          <w:kern w:val="0"/>
          <w:sz w:val="32"/>
          <w:szCs w:val="32"/>
          <w:shd w:val="clear" w:color="auto" w:fill="FFFFFF"/>
          <w:highlight w:val="auto"/>
        </w:rPr>
      </w:pPr>
      <w:r>
        <w:rPr>
          <w:rFonts w:ascii="Times New Roman" w:eastAsia="仿宋_GB2312" w:cs="Times New Roman" w:hAnsi="Times New Roman" w:hint="eastAsia"/>
          <w:kern w:val="0"/>
          <w:sz w:val="32"/>
          <w:szCs w:val="32"/>
          <w:highlight w:val="auto"/>
        </w:rPr>
        <w:t>中共阿坝藏族羌族自治州委员会统战部2025年度部门整体预算绩效自评总体结论为“优秀”。通过对部门履职效能、预算管理、财务管理、资产管理、采购管理以及项目绩效等方面的综合评价，部门在预算执行、绩效管理和职责履行等方面均取得了显著成效，各项绩效指标基本达到或超过预期目标。经自评，综合得分为</w:t>
      </w:r>
      <w:r>
        <w:rPr>
          <w:rFonts w:ascii="Times New Roman" w:eastAsia="仿宋_GB2312" w:cs="Times New Roman" w:hAnsi="Times New Roman" w:hint="eastAsia"/>
          <w:kern w:val="0"/>
          <w:sz w:val="32"/>
          <w:szCs w:val="32"/>
          <w:lang w:val="en-US" w:eastAsia="zh-CN"/>
          <w:highlight w:val="auto"/>
        </w:rPr>
        <w:t>93.84分</w:t>
      </w:r>
      <w:r>
        <w:rPr>
          <w:rFonts w:ascii="Times New Roman" w:eastAsia="仿宋_GB2312" w:cs="Times New Roman" w:hAnsi="Times New Roman"/>
          <w:kern w:val="0"/>
          <w:sz w:val="32"/>
          <w:szCs w:val="32"/>
          <w:highlight w:val="auto"/>
        </w:rPr>
        <w:t>。</w:t>
      </w:r>
    </w:p>
    <w:p>
      <w:pPr>
        <w:widowControl/>
        <w:adjustRightInd w:val="0"/>
        <w:snapToGrid w:val="0"/>
        <w:spacing w:line="578" w:lineRule="exact"/>
        <w:ind w:firstLineChars="200" w:firstLine="640"/>
        <w:contextualSpacing/>
        <w:jc w:val="left"/>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（二）存在问题。</w:t>
      </w:r>
    </w:p>
    <w:p>
      <w:pPr>
        <w:widowControl/>
        <w:adjustRightInd w:val="0"/>
        <w:snapToGrid w:val="0"/>
        <w:spacing w:line="578" w:lineRule="exact"/>
        <w:ind w:firstLineChars="200" w:firstLine="608"/>
        <w:contextualSpacing/>
        <w:jc w:val="left"/>
        <w:rPr>
          <w:rFonts w:ascii="Times New Roman" w:eastAsia="楷体_GB2312" w:cs="Times New Roman" w:hAnsi="Times New Roman"/>
          <w:b/>
          <w:bCs/>
          <w:color w:val="000000"/>
          <w:kern w:val="0"/>
          <w:sz w:val="32"/>
          <w:szCs w:val="32"/>
          <w:shd w:val="clear" w:color="auto" w:fill="FFFFFF"/>
          <w:highlight w:val="auto"/>
        </w:rPr>
      </w:pPr>
      <w:r>
        <w:rPr>
          <w:rFonts w:ascii="Times New Roman" w:eastAsia="仿宋_GB2312" w:cs="Times New Roman" w:hAnsi="Times New Roman" w:hint="eastAsia"/>
          <w:w w:val="95"/>
          <w:kern w:val="0"/>
          <w:sz w:val="32"/>
          <w:szCs w:val="32"/>
          <w:highlight w:val="auto"/>
        </w:rPr>
        <w:t>在预算绩效管理的精细化程度方面仍有提升空间</w:t>
      </w:r>
      <w:r>
        <w:rPr>
          <w:rFonts w:ascii="Times New Roman" w:eastAsia="仿宋_GB2312" w:cs="Times New Roman" w:hAnsi="Times New Roman"/>
          <w:w w:val="95"/>
          <w:kern w:val="0"/>
          <w:sz w:val="32"/>
          <w:szCs w:val="32"/>
          <w:highlight w:val="auto"/>
        </w:rPr>
        <w:t>。</w:t>
      </w:r>
    </w:p>
    <w:p>
      <w:pPr>
        <w:widowControl/>
        <w:adjustRightInd w:val="0"/>
        <w:snapToGrid w:val="0"/>
        <w:spacing w:line="578" w:lineRule="exact"/>
        <w:ind w:firstLineChars="200" w:firstLine="640"/>
        <w:contextualSpacing/>
        <w:jc w:val="left"/>
        <w:rPr>
          <w:rFonts w:ascii="Times New Roman" w:eastAsia="楷体_GB2312" w:cs="Times New Roman" w:hAnsi="Times New Roman"/>
          <w:b/>
          <w:bCs/>
          <w:color w:val="000000"/>
          <w:kern w:val="0"/>
          <w:sz w:val="32"/>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（三）改进建议。</w:t>
      </w:r>
    </w:p>
    <w:p>
      <w:pPr>
        <w:widowControl/>
        <w:adjustRightInd w:val="0"/>
        <w:snapToGrid w:val="0"/>
        <w:spacing w:line="578" w:lineRule="exact"/>
        <w:ind w:firstLineChars="200" w:firstLine="640"/>
        <w:contextualSpacing/>
        <w:jc w:val="left"/>
        <w:rPr>
          <w:rFonts w:ascii="Times New Roman" w:eastAsia="仿宋_GB2312" w:cs="Times New Roman" w:hAnsi="Times New Roman" w:hint="eastAsia"/>
          <w:sz w:val="32"/>
          <w:szCs w:val="32"/>
          <w:u w:val="none"/>
          <w:lang w:val="en-US" w:eastAsia="zh-CN"/>
          <w:highlight w:val="auto"/>
        </w:rPr>
        <w:sectPr>
          <w:footerReference w:type="default" r:id="rId4"/>
          <w:footerReference w:type="first" r:id="rId5"/>
          <w:pgSz w:w="11906" w:h="16838"/>
          <w:pgMar w:top="1440" w:right="1800" w:bottom="1440" w:left="1800" w:header="851" w:footer="992" w:gutter="0"/>
          <w:pgNumType w:start="1"/>
          <w:titlePg/>
          <w:docGrid w:type="lines" w:linePitch="312" w:charSpace="0"/>
        </w:sectPr>
      </w:pPr>
      <w:r>
        <w:rPr>
          <w:rFonts w:ascii="Times New Roman" w:eastAsia="仿宋_GB2312" w:cs="Times New Roman" w:hAnsi="Times New Roman" w:hint="eastAsia"/>
          <w:kern w:val="0"/>
          <w:sz w:val="32"/>
          <w:szCs w:val="32"/>
          <w:highlight w:val="auto"/>
        </w:rPr>
        <w:t>进一步加强对项目绩效目标的研究和论证，确保目标设定更加具体、量化、可考核，更能准确反映项目的核心效益，为绩效监控和评价提供更明确的标准</w:t>
      </w:r>
      <w:r>
        <w:rPr>
          <w:rFonts w:ascii="Times New Roman" w:eastAsia="仿宋_GB2312" w:cs="Times New Roman" w:hAnsi="Times New Roman" w:hint="eastAsia"/>
          <w:sz w:val="32"/>
          <w:szCs w:val="32"/>
          <w:u w:val="none"/>
          <w:lang w:val="en-US" w:eastAsia="zh-CN"/>
          <w:highlight w:val="auto"/>
        </w:rPr>
        <w:t>。</w:t>
      </w:r>
    </w:p>
    <w:p>
      <w:pPr>
        <w:pStyle w:val="20"/>
        <w:keepNext w:val="0"/>
        <w:keepLines w:val="0"/>
        <w:pageBreakBefore w:val="0"/>
        <w:widowControl w:val="0"/>
        <w:kinsoku/>
        <w:wordWrap/>
        <w:overflowPunct/>
        <w:topLinePunct w:val="0"/>
        <w:autoSpaceDE/>
        <w:autoSpaceDN/>
        <w:bidi w:val="0"/>
        <w:spacing w:line="560" w:lineRule="exact"/>
        <w:jc w:val="center"/>
        <w:textAlignment w:val="auto"/>
        <w:rPr>
          <w:rFonts w:ascii="Times New Roman" w:cs="Times New Roman" w:hAnsi="Times New Roman" w:hint="eastAsia"/>
          <w:sz w:val="32"/>
          <w:szCs w:val="32"/>
          <w:lang w:val="zh-CN" w:eastAsia="zh-CN"/>
          <w:highlight w:val="auto"/>
        </w:rPr>
      </w:pPr>
      <w:bookmarkEnd w:id="70"/>
      <w:r>
        <w:rPr>
          <w:rFonts w:ascii="Times New Roman" w:eastAsia="仿宋_GB2312" w:cs="Times New Roman" w:hAnsi="Times New Roman" w:hint="eastAsia"/>
          <w:kern w:val="2"/>
          <w:sz w:val="32"/>
          <w:szCs w:val="32"/>
          <w:u w:val="none"/>
          <w:lang w:val="zh-CN" w:eastAsia="zh-CN"/>
          <w:highlight w:val="auto"/>
        </w:rPr>
        <w:t>附表：</w:t>
      </w:r>
      <w:r>
        <w:rPr>
          <w:rFonts w:ascii="Times New Roman" w:eastAsia="仿宋_GB2312" w:cs="Times New Roman" w:hAnsi="Times New Roman" w:hint="eastAsia"/>
          <w:kern w:val="2"/>
          <w:sz w:val="32"/>
          <w:szCs w:val="32"/>
          <w:u w:val="none"/>
          <w:lang w:val="en-US" w:eastAsia="zh-CN"/>
          <w:highlight w:val="auto"/>
        </w:rPr>
        <w:t>部门预算项目支出绩效自评表（2025年度）</w:t>
      </w:r>
    </w:p>
    <w:p>
      <w:pPr>
        <w:pStyle w:val="20"/>
        <w:keepNext w:val="0"/>
        <w:keepLines w:val="0"/>
        <w:pageBreakBefore w:val="0"/>
        <w:widowControl w:val="0"/>
        <w:kinsoku/>
        <w:wordWrap/>
        <w:overflowPunct/>
        <w:topLinePunct w:val="0"/>
        <w:autoSpaceDE/>
        <w:autoSpaceDN/>
        <w:bidi w:val="0"/>
        <w:spacing w:line="560" w:lineRule="exact"/>
        <w:jc w:val="center"/>
        <w:textAlignment w:val="auto"/>
        <w:rPr>
          <w:rFonts w:ascii="Times New Roman" w:cs="Times New Roman" w:hAnsi="Times New Roman" w:hint="eastAsia"/>
          <w:sz w:val="32"/>
          <w:szCs w:val="32"/>
          <w:lang w:val="zh-CN" w:eastAsia="zh-CN"/>
          <w:highlight w:val="auto"/>
        </w:rPr>
        <w:sectPr>
          <w:pgSz w:w="16838" w:h="11906" w:orient="landscape"/>
          <w:pgMar w:top="1800" w:right="1440" w:bottom="1800" w:left="1440" w:header="851" w:footer="992" w:gutter="0"/>
          <w:pgNumType/>
          <w:titlePg/>
          <w:docGrid w:type="lines" w:linePitch="312" w:charSpace="0"/>
        </w:sectPr>
      </w:pPr>
      <w:r>
        <w:rPr>
          <w:rFonts w:eastAsia="仿宋_GB2312" w:cs="Times New Roman" w:hint="eastAsia"/>
          <w:color w:val="000000"/>
          <w:kern w:val="0"/>
          <w:sz w:val="32"/>
          <w:szCs w:val="32"/>
          <w:shd w:val="clear" w:color="auto" w:fill="FFFFFF"/>
          <w:lang w:val="en-US" w:eastAsia="zh-CN"/>
          <w:highlight w:val="auto"/>
        </w:rPr>
        <w:t>涉密</w:t>
      </w:r>
    </w:p>
    <w:p>
      <w:pPr>
        <w:pStyle w:val="18"/>
        <w:rPr>
          <w:rFonts w:ascii="Times New Roman" w:eastAsia="黑体" w:cs="黑体" w:hAnsi="Times New Roman" w:hint="eastAsia"/>
          <w:color w:val="auto"/>
          <w:sz w:val="32"/>
          <w:szCs w:val="32"/>
          <w:lang w:val="en-US" w:eastAsia="zh-CN"/>
          <w:highlight w:val="auto"/>
        </w:rPr>
      </w:pPr>
      <w:r>
        <w:rPr>
          <w:rFonts w:ascii="Times New Roman" w:eastAsia="黑体" w:cs="黑体" w:hAnsi="Times New Roman" w:hint="eastAsia"/>
          <w:color w:val="auto"/>
          <w:kern w:val="0"/>
          <w:sz w:val="32"/>
          <w:szCs w:val="32"/>
          <w:shd w:val="clear" w:color="auto" w:fill="FFFFFF"/>
          <w:lang w:val="zh-CN"/>
          <w:highlight w:val="auto"/>
        </w:rPr>
        <w:t>附件</w:t>
      </w:r>
      <w:r>
        <w:rPr>
          <w:rFonts w:ascii="Times New Roman" w:eastAsia="黑体" w:cs="黑体" w:hAnsi="Times New Roman" w:hint="eastAsia"/>
          <w:color w:val="auto"/>
          <w:kern w:val="0"/>
          <w:sz w:val="32"/>
          <w:szCs w:val="32"/>
          <w:shd w:val="clear" w:color="auto" w:fill="FFFFFF"/>
          <w:lang w:val="en-US" w:eastAsia="zh-CN"/>
          <w:highlight w:val="auto"/>
        </w:rPr>
        <w:t>2</w:t>
      </w:r>
    </w:p>
    <w:p>
      <w:pPr>
        <w:pStyle w:val="37"/>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eastAsia="方正小标宋简体" w:cs="方正小标宋简体" w:hAnsi="Times New Roman" w:hint="eastAsia"/>
          <w:color w:val="auto"/>
          <w:kern w:val="2"/>
          <w:sz w:val="44"/>
          <w:szCs w:val="44"/>
          <w:lang w:val="en-US" w:eastAsia="zh-CN"/>
          <w:highlight w:val="auto"/>
        </w:rPr>
      </w:pPr>
    </w:p>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r>
        <w:rPr>
          <w:rFonts w:ascii="Times New Roman" w:eastAsia="方正小标宋简体" w:cs="方正小标宋简体" w:hAnsi="Times New Roman" w:hint="eastAsia"/>
          <w:color w:val="auto"/>
          <w:kern w:val="2"/>
          <w:sz w:val="44"/>
          <w:szCs w:val="44"/>
          <w:lang w:val="en-US" w:eastAsia="zh-CN"/>
          <w:highlight w:val="auto"/>
        </w:rPr>
        <w:t>我单位不涉及专项预算项目绩效评价</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bookmarkStart w:id="71" w:name="_Toc15396618"/>
      <w:r>
        <w:rPr>
          <w:rFonts w:ascii="Times New Roman" w:eastAsia="仿宋_GB2312" w:cs="仿宋_GB2312" w:hAnsi="Times New Roman" w:hint="eastAsia"/>
          <w:b w:val="0"/>
          <w:bCs w:val="0"/>
          <w:kern w:val="0"/>
          <w:position w:val="0"/>
          <w:sz w:val="32"/>
          <w:szCs w:val="32"/>
          <w:lang w:val="en-US" w:eastAsia="zh-CN" w:bidi="ar-SA"/>
          <w:highlight w:val="auto"/>
        </w:rPr>
        <w:br w:type="page"/>
      </w:r>
    </w:p>
    <w:p>
      <w:pPr>
        <w:widowControl/>
        <w:jc w:val="center"/>
        <w:outlineLvl w:val="0"/>
        <w:rPr>
          <w:rFonts w:ascii="Times New Roman" w:eastAsia="仿宋_GB2312" w:cs="仿宋_GB2312" w:hAnsi="Times New Roman" w:hint="eastAsia"/>
          <w:color w:val="auto"/>
          <w:sz w:val="32"/>
          <w:szCs w:val="32"/>
          <w:highlight w:val="auto"/>
        </w:rPr>
      </w:pPr>
      <w:bookmarkStart w:id="72" w:name="_Toc18328"/>
      <w:r>
        <w:rPr>
          <w:rFonts w:ascii="Times New Roman" w:eastAsia="黑体" w:hAnsi="Times New Roman" w:hint="eastAsia"/>
          <w:color w:val="auto"/>
          <w:sz w:val="44"/>
          <w:szCs w:val="44"/>
          <w:highlight w:val="auto"/>
        </w:rPr>
        <w:t>第</w:t>
      </w:r>
      <w:r>
        <w:rPr>
          <w:rStyle w:val="1Char"/>
          <w:rFonts w:ascii="Times New Roman" w:eastAsia="黑体" w:hAnsi="Times New Roman" w:hint="eastAsia"/>
          <w:b w:val="0"/>
          <w:color w:val="auto"/>
          <w:highlight w:val="auto"/>
        </w:rPr>
        <w:t xml:space="preserve">五部分 </w:t>
      </w:r>
      <w:r>
        <w:rPr>
          <w:rStyle w:val="1Char"/>
          <w:rFonts w:eastAsia="黑体" w:hint="eastAsia"/>
          <w:b w:val="0"/>
          <w:color w:val="auto"/>
          <w:lang w:val="en-US" w:eastAsia="zh-CN"/>
          <w:highlight w:val="auto"/>
        </w:rPr>
        <w:t xml:space="preserve"> </w:t>
      </w:r>
      <w:r>
        <w:rPr>
          <w:rStyle w:val="1Char"/>
          <w:rFonts w:ascii="Times New Roman" w:eastAsia="黑体" w:hAnsi="Times New Roman" w:hint="eastAsia"/>
          <w:b w:val="0"/>
          <w:color w:val="auto"/>
          <w:highlight w:val="auto"/>
        </w:rPr>
        <w:t>附表</w:t>
      </w:r>
      <w:bookmarkStart w:id="73" w:name="_Toc15396619"/>
      <w:bookmarkEnd w:id="67"/>
      <w:bookmarkEnd w:id="71"/>
      <w:bookmarkEnd w:id="72"/>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74" w:name="_Toc3436"/>
      <w:r>
        <w:rPr>
          <w:rFonts w:ascii="Times New Roman" w:eastAsia="仿宋_GB2312" w:cs="仿宋_GB2312" w:hAnsi="Times New Roman" w:hint="eastAsia"/>
          <w:color w:val="auto"/>
          <w:sz w:val="32"/>
          <w:szCs w:val="32"/>
          <w:highlight w:val="auto"/>
        </w:rPr>
        <w:t>一、收入支出决算总表</w:t>
      </w:r>
      <w:bookmarkEnd w:id="73"/>
      <w:bookmarkEnd w:id="74"/>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75" w:name="_Toc10614"/>
      <w:bookmarkStart w:id="76" w:name="_Toc15396620"/>
      <w:r>
        <w:rPr>
          <w:rFonts w:ascii="Times New Roman" w:eastAsia="仿宋_GB2312" w:cs="仿宋_GB2312" w:hAnsi="Times New Roman" w:hint="eastAsia"/>
          <w:color w:val="auto"/>
          <w:sz w:val="32"/>
          <w:szCs w:val="32"/>
          <w:highlight w:val="auto"/>
        </w:rPr>
        <w:t>二、收入决算表</w:t>
      </w:r>
      <w:bookmarkEnd w:id="75"/>
      <w:bookmarkEnd w:id="76"/>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77" w:name="_Toc15396621"/>
      <w:bookmarkStart w:id="78" w:name="_Toc14774"/>
      <w:r>
        <w:rPr>
          <w:rFonts w:ascii="Times New Roman" w:eastAsia="仿宋_GB2312" w:cs="仿宋_GB2312" w:hAnsi="Times New Roman" w:hint="eastAsia"/>
          <w:color w:val="auto"/>
          <w:sz w:val="32"/>
          <w:szCs w:val="32"/>
          <w:highlight w:val="auto"/>
        </w:rPr>
        <w:t>三、支出决算表</w:t>
      </w:r>
      <w:bookmarkEnd w:id="77"/>
      <w:bookmarkEnd w:id="78"/>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79" w:name="_Toc5392"/>
      <w:bookmarkStart w:id="80" w:name="_Toc15396622"/>
      <w:r>
        <w:rPr>
          <w:rFonts w:ascii="Times New Roman" w:eastAsia="仿宋_GB2312" w:cs="仿宋_GB2312" w:hAnsi="Times New Roman" w:hint="eastAsia"/>
          <w:color w:val="auto"/>
          <w:sz w:val="32"/>
          <w:szCs w:val="32"/>
          <w:highlight w:val="auto"/>
        </w:rPr>
        <w:t>四、财政拨款收入支出决算总表</w:t>
      </w:r>
      <w:bookmarkEnd w:id="79"/>
      <w:bookmarkEnd w:id="80"/>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81" w:name="_Toc15396623"/>
      <w:bookmarkStart w:id="82" w:name="_Toc29475"/>
      <w:r>
        <w:rPr>
          <w:rFonts w:ascii="Times New Roman" w:eastAsia="仿宋_GB2312" w:cs="仿宋_GB2312" w:hAnsi="Times New Roman" w:hint="eastAsia"/>
          <w:color w:val="auto"/>
          <w:sz w:val="32"/>
          <w:szCs w:val="32"/>
          <w:highlight w:val="auto"/>
        </w:rPr>
        <w:t>五、财政拨款支出决算明细表</w:t>
      </w:r>
      <w:bookmarkStart w:id="83" w:name="_Toc15396624"/>
      <w:bookmarkEnd w:id="81"/>
      <w:bookmarkEnd w:id="82"/>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84" w:name="_Toc2870"/>
      <w:r>
        <w:rPr>
          <w:rFonts w:ascii="Times New Roman" w:eastAsia="仿宋_GB2312" w:cs="仿宋_GB2312" w:hAnsi="Times New Roman" w:hint="eastAsia"/>
          <w:color w:val="auto"/>
          <w:sz w:val="32"/>
          <w:szCs w:val="32"/>
          <w:highlight w:val="auto"/>
        </w:rPr>
        <w:t>六、一般公共预算财政拨款支出决算表</w:t>
      </w:r>
      <w:bookmarkEnd w:id="83"/>
      <w:bookmarkEnd w:id="84"/>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85" w:name="_Toc25605"/>
      <w:bookmarkStart w:id="86" w:name="_Toc15396625"/>
      <w:r>
        <w:rPr>
          <w:rFonts w:ascii="Times New Roman" w:eastAsia="仿宋_GB2312" w:cs="仿宋_GB2312" w:hAnsi="Times New Roman" w:hint="eastAsia"/>
          <w:color w:val="auto"/>
          <w:sz w:val="32"/>
          <w:szCs w:val="32"/>
          <w:highlight w:val="auto"/>
        </w:rPr>
        <w:t>七、一般公共预算财政拨款支出决算明细表</w:t>
      </w:r>
      <w:bookmarkEnd w:id="85"/>
      <w:bookmarkEnd w:id="86"/>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87" w:name="_Toc3760"/>
      <w:bookmarkStart w:id="88" w:name="_Toc15396626"/>
      <w:r>
        <w:rPr>
          <w:rFonts w:ascii="Times New Roman" w:eastAsia="仿宋_GB2312" w:cs="仿宋_GB2312" w:hAnsi="Times New Roman" w:hint="eastAsia"/>
          <w:color w:val="auto"/>
          <w:sz w:val="32"/>
          <w:szCs w:val="32"/>
          <w:highlight w:val="auto"/>
        </w:rPr>
        <w:t>八、一般公共预算财政拨款基本支出决算表</w:t>
      </w:r>
      <w:bookmarkEnd w:id="87"/>
      <w:bookmarkEnd w:id="88"/>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89" w:name="_Toc15396627"/>
      <w:bookmarkStart w:id="90" w:name="_Toc26330"/>
      <w:r>
        <w:rPr>
          <w:rFonts w:ascii="Times New Roman" w:eastAsia="仿宋_GB2312" w:cs="仿宋_GB2312" w:hAnsi="Times New Roman" w:hint="eastAsia"/>
          <w:color w:val="auto"/>
          <w:sz w:val="32"/>
          <w:szCs w:val="32"/>
          <w:highlight w:val="auto"/>
        </w:rPr>
        <w:t>九、一般公共预算财政拨款项目支出决算表</w:t>
      </w:r>
      <w:bookmarkEnd w:id="89"/>
      <w:bookmarkEnd w:id="90"/>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91" w:name="_Toc15396628"/>
      <w:bookmarkStart w:id="92" w:name="_Toc12171"/>
      <w:r>
        <w:rPr>
          <w:rFonts w:ascii="Times New Roman" w:eastAsia="仿宋_GB2312" w:cs="仿宋_GB2312" w:hAnsi="Times New Roman" w:hint="eastAsia"/>
          <w:color w:val="auto"/>
          <w:sz w:val="32"/>
          <w:szCs w:val="32"/>
          <w:highlight w:val="auto"/>
        </w:rPr>
        <w:t>十、</w:t>
      </w:r>
      <w:bookmarkEnd w:id="91"/>
      <w:r>
        <w:rPr>
          <w:rFonts w:ascii="Times New Roman" w:eastAsia="仿宋_GB2312" w:cs="仿宋_GB2312" w:hAnsi="Times New Roman" w:hint="eastAsia"/>
          <w:color w:val="auto"/>
          <w:sz w:val="32"/>
          <w:szCs w:val="32"/>
          <w:highlight w:val="auto"/>
        </w:rPr>
        <w:t>政府性基金预算财政拨款收入支出决算表</w:t>
      </w:r>
      <w:bookmarkEnd w:id="92"/>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93" w:name="_Toc15396629"/>
      <w:bookmarkStart w:id="94" w:name="_Toc5335"/>
      <w:r>
        <w:rPr>
          <w:rFonts w:ascii="Times New Roman" w:eastAsia="仿宋_GB2312" w:cs="仿宋_GB2312" w:hAnsi="Times New Roman" w:hint="eastAsia"/>
          <w:color w:val="auto"/>
          <w:sz w:val="32"/>
          <w:szCs w:val="32"/>
          <w:highlight w:val="auto"/>
        </w:rPr>
        <w:t>十一、</w:t>
      </w:r>
      <w:bookmarkEnd w:id="93"/>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bookmarkEnd w:id="94"/>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highlight w:val="auto"/>
        </w:rPr>
      </w:pPr>
      <w:bookmarkStart w:id="95" w:name="_Toc15396630"/>
      <w:bookmarkStart w:id="96" w:name="_Toc19972"/>
      <w:r>
        <w:rPr>
          <w:rFonts w:ascii="Times New Roman" w:eastAsia="仿宋_GB2312" w:cs="仿宋_GB2312" w:hAnsi="Times New Roman" w:hint="eastAsia"/>
          <w:color w:val="auto"/>
          <w:sz w:val="32"/>
          <w:szCs w:val="32"/>
          <w:highlight w:val="auto"/>
        </w:rPr>
        <w:t>十二、</w:t>
      </w:r>
      <w:bookmarkEnd w:id="95"/>
      <w:r>
        <w:rPr>
          <w:rFonts w:ascii="Times New Roman" w:eastAsia="仿宋_GB2312" w:cs="仿宋_GB2312" w:hAnsi="Times New Roman" w:hint="eastAsia"/>
          <w:color w:val="auto"/>
          <w:sz w:val="32"/>
          <w:szCs w:val="32"/>
          <w:lang w:eastAsia="zh-CN"/>
          <w:highlight w:val="auto"/>
        </w:rPr>
        <w:t>国有资本经营预算财政拨款支出决算表</w:t>
      </w:r>
      <w:bookmarkEnd w:id="96"/>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outlineLvl w:val="1"/>
        <w:rPr>
          <w:rFonts w:ascii="Times New Roman" w:eastAsia="仿宋_GB2312" w:cs="仿宋_GB2312" w:hAnsi="Times New Roman" w:hint="eastAsia"/>
          <w:color w:val="auto"/>
          <w:sz w:val="32"/>
          <w:szCs w:val="32"/>
          <w:lang w:eastAsia="zh-CN"/>
          <w:highlight w:val="auto"/>
        </w:rPr>
      </w:pPr>
      <w:bookmarkStart w:id="97" w:name="_Toc15396631"/>
      <w:bookmarkStart w:id="98" w:name="_Toc12736"/>
      <w:r>
        <w:rPr>
          <w:rFonts w:ascii="Times New Roman" w:eastAsia="仿宋_GB2312" w:cs="仿宋_GB2312" w:hAnsi="Times New Roman" w:hint="eastAsia"/>
          <w:color w:val="auto"/>
          <w:sz w:val="32"/>
          <w:szCs w:val="32"/>
          <w:highlight w:val="auto"/>
        </w:rPr>
        <w:t>十三、</w:t>
      </w:r>
      <w:bookmarkEnd w:id="97"/>
      <w:r>
        <w:rPr>
          <w:rFonts w:ascii="Times New Roman" w:eastAsia="仿宋_GB2312" w:cs="仿宋_GB2312" w:hAnsi="Times New Roman" w:hint="eastAsia"/>
          <w:color w:val="auto"/>
          <w:sz w:val="32"/>
          <w:szCs w:val="32"/>
          <w:lang w:eastAsia="zh-CN"/>
          <w:highlight w:val="auto"/>
        </w:rPr>
        <w:t>财政拨款“三公”经费支出决算表</w:t>
      </w:r>
      <w:bookmarkEnd w:id="98"/>
    </w:p>
    <w:p>
      <w:pPr>
        <w:rPr>
          <w:rFonts w:ascii="Times New Roman" w:hAnsi="Times New Roman" w:hint="eastAsia"/>
          <w:lang w:eastAsia="zh-CN"/>
          <w:highlight w:val="auto"/>
        </w:rPr>
      </w:pPr>
    </w:p>
    <w:sectPr>
      <w:pgSz w:w="11906" w:h="16838"/>
      <w:pgMar w:top="1440" w:right="1800" w:bottom="1440" w:left="1800" w:header="851" w:footer="992" w:gutter="0"/>
      <w:pgNumType/>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34"/>
    <w:family w:val="auto"/>
    <w:pitch w:val="variable"/>
    <w:sig w:usb0="E0002EFF" w:usb1="C000785B" w:usb2="00000009" w:usb3="00000000" w:csb0="400001FF" w:csb1="FFFF0000"/>
  </w:font>
  <w:font w:name="方正小标宋简体">
    <w:panose1 w:val="02010600010101010101"/>
    <w:charset w:val="86"/>
    <w:family w:val="script"/>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Arial">
    <w:altName w:val="DejaVu Sans"/>
    <w:panose1 w:val="020B0604020202020204"/>
    <w:charset w:val="01"/>
    <w:family w:val="swiss"/>
    <w:pitch w:val="variable"/>
    <w:sig w:usb0="E0002EFF" w:usb1="C000785B"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宋体">
    <w:panose1 w:val="02010600030101010101"/>
    <w:charset w:val="7A"/>
    <w:family w:val="auto"/>
    <w:pitch w:val="variable"/>
    <w:sig w:usb0="00000203" w:usb1="288F0000" w:usb2="00000006" w:usb3="00000000" w:csb0="00040001" w:csb1="00000000"/>
  </w:font>
  <w:font w:name="仿宋">
    <w:panose1 w:val="02010609060101010101"/>
    <w:charset w:val="86"/>
    <w:family w:val="modern"/>
    <w:pitch w:val="variable"/>
    <w:sig w:usb0="800002BF" w:usb1="38CF7CFA" w:usb2="00000016" w:usb3="00000000" w:csb0="00040001" w:csb1="00000000"/>
  </w:font>
  <w:font w:name="楷体_GB2312">
    <w:altName w:val="楷体"/>
    <w:panose1 w:val="02010609030101010101"/>
    <w:charset w:val="86"/>
    <w:family w:val="auto"/>
    <w:pitch w:val="variable"/>
    <w:sig w:usb0="00000000" w:usb1="00000000" w:usb2="00000000" w:usb3="00000000" w:csb0="00040000" w:csb1="00000000"/>
  </w:font>
  <w:font w:name="Cambria">
    <w:altName w:val="DejaVu Sans"/>
    <w:panose1 w:val="02040503050406030204"/>
    <w:charset w:val="00"/>
    <w:family w:val="roman"/>
    <w:pitch w:val="variable"/>
    <w:sig w:usb0="E00006FF" w:usb1="420024FF" w:usb2="02000000" w:usb3="00000000" w:csb0="2000019F" w:csb1="00000000"/>
  </w:font>
  <w:font w:name="Calibri">
    <w:altName w:val="Times New Roman"/>
    <w:panose1 w:val="020F0502020204030204"/>
    <w:charset w:val="00"/>
    <w:family w:val="swiss"/>
    <w:pitch w:val="variable"/>
    <w:sig w:usb0="E4002EFF" w:usb1="C200247B" w:usb2="00000009" w:usb3="00000000" w:csb0="200001FF" w:csb1="00000000"/>
  </w:font>
  <w:font w:name="??">
    <w:altName w:val="DejaVu Sans"/>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jc w:val="center"/>
    </w:pPr>
  </w:p>
  <w:p>
    <w:pPr>
      <w:pStyle w:val="23"/>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jc w:val="center"/>
    </w:pPr>
  </w:p>
  <w:p>
    <w:pPr>
      <w:pStyle w:val="23"/>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EA573AD"/>
    <w:multiLevelType w:val="singleLevel"/>
    <w:tmpl w:val="2EA573AD"/>
    <w:lvl w:ilvl="0">
      <w:start w:val="1"/>
      <w:numFmt w:val="decimal"/>
      <w:lvlRestart w:val="0"/>
      <w:lvlText w:val="%1."/>
      <w:lvlJc w:val="left"/>
      <w:pPr>
        <w:ind w:left="0" w:hanging="0"/>
      </w:pPr>
    </w:lvl>
  </w:abstractNum>
  <w:abstractNum w:abstractNumId="1">
    <w:nsid w:val="834F538B"/>
    <w:multiLevelType w:val="singleLevel"/>
    <w:tmpl w:val="834F538B"/>
    <w:lvl w:ilvl="0">
      <w:start w:val="1"/>
      <w:numFmt w:val="decimal"/>
      <w:lvlRestart w:val="0"/>
      <w:suff w:val="nothing"/>
      <w:lvlText w:val="%1．"/>
      <w:lvlJc w:val="left"/>
      <w:pPr>
        <w:ind w:left="0" w:firstLine="400"/>
      </w:pPr>
      <w:rPr>
        <w:rFonts w:hint="default"/>
        <w:sz w:val="32"/>
        <w:szCs w:val="32"/>
      </w:rPr>
    </w:lvl>
  </w:abstractNum>
  <w:abstractNum w:abstractNumId="2">
    <w:nsid w:val="50369970"/>
    <w:multiLevelType w:val="singleLevel"/>
    <w:tmpl w:val="50369970"/>
    <w:lvl w:ilvl="0">
      <w:start w:val="1"/>
      <w:numFmt w:val="decimal"/>
      <w:lvlRestart w:val="0"/>
      <w:suff w:val="nothing"/>
      <w:lvlText w:val="%1．"/>
      <w:lvlJc w:val="left"/>
      <w:pPr>
        <w:ind w:left="0" w:firstLine="400"/>
      </w:pPr>
      <w:rPr>
        <w:rFonts w:hint="default"/>
        <w:color w:val="auto"/>
        <w:sz w:val="32"/>
        <w:szCs w:val="32"/>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pPr>
      <w:snapToGrid w:val="0"/>
      <w:jc w:val="left"/>
    </w:pPr>
    <w:rPr>
      <w:sz w:val="18"/>
      <w:szCs w:val="18"/>
    </w:rPr>
  </w:style>
  <w:style w:type="paragraph" w:styleId="16">
    <w:name w:val="index 8"/>
    <w:basedOn w:val="0"/>
    <w:next w:val="0"/>
    <w:pPr>
      <w:ind w:leftChars="1400" w:left="1400"/>
    </w:pPr>
  </w:style>
  <w:style w:type="paragraph" w:styleId="17">
    <w:name w:val="Normal Indent"/>
    <w:basedOn w:val="0"/>
    <w:pPr>
      <w:ind w:firstLine="680"/>
    </w:pPr>
  </w:style>
  <w:style w:type="paragraph" w:styleId="18">
    <w:name w:val="Body Text"/>
    <w:basedOn w:val="0"/>
    <w:next w:val="16"/>
    <w:pPr>
      <w:spacing w:beforeLines="30" w:before="30"/>
    </w:pPr>
    <w:rPr>
      <w:rFonts w:ascii="仿宋_GB2312" w:eastAsia="仿宋_GB2312"/>
      <w:kern w:val="0"/>
      <w:sz w:val="30"/>
    </w:rPr>
  </w:style>
  <w:style w:type="paragraph" w:styleId="19">
    <w:name w:val="Body Text Indent"/>
    <w:basedOn w:val="0"/>
    <w:next w:val="20"/>
    <w:pPr>
      <w:spacing w:after="120"/>
      <w:ind w:leftChars="200" w:left="200"/>
    </w:pPr>
    <w:rPr>
      <w:rFonts w:ascii="仿宋_GB2312" w:hAnsi="仿宋_GB2312"/>
      <w:szCs w:val="32"/>
    </w:rPr>
  </w:style>
  <w:style w:type="paragraph" w:styleId="20">
    <w:name w:val="Body Text First Indent 2"/>
    <w:basedOn w:val="19"/>
    <w:pPr>
      <w:ind w:firstLineChars="200" w:firstLine="200"/>
    </w:pPr>
  </w:style>
  <w:style w:type="paragraph" w:styleId="21">
    <w:name w:val="toc 3"/>
    <w:basedOn w:val="0"/>
    <w:next w:val="0"/>
    <w:pPr>
      <w:tabs>
        <w:tab w:val="right" w:leader="dot" w:pos="8296"/>
      </w:tabs>
      <w:ind w:leftChars="400" w:left="400"/>
    </w:pPr>
  </w:style>
  <w:style w:type="paragraph" w:styleId="22">
    <w:name w:val="Balloon Text"/>
    <w:basedOn w:val="0"/>
    <w:rPr>
      <w:sz w:val="18"/>
      <w:szCs w:val="18"/>
    </w:rPr>
  </w:style>
  <w:style w:type="paragraph" w:styleId="23">
    <w:name w:val="footer"/>
    <w:basedOn w:val="0"/>
    <w:pPr>
      <w:tabs>
        <w:tab w:val="center" w:pos="4153"/>
        <w:tab w:val="right" w:pos="8306"/>
      </w:tabs>
      <w:snapToGrid w:val="0"/>
      <w:jc w:val="left"/>
    </w:pPr>
    <w:rPr>
      <w:rFonts w:ascii="Calibri" w:hAnsi="Calibri"/>
      <w:kern w:val="0"/>
      <w:sz w:val="18"/>
      <w:szCs w:val="18"/>
    </w:rPr>
  </w:style>
  <w:style w:type="paragraph" w:styleId="24">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5">
    <w:name w:val="toc 1"/>
    <w:basedOn w:val="0"/>
    <w:next w:val="0"/>
    <w:pPr>
      <w:tabs>
        <w:tab w:val="right" w:leader="dot" w:pos="8296"/>
      </w:tabs>
      <w:spacing w:before="93"/>
      <w:jc w:val="center"/>
    </w:pPr>
    <w:rPr>
      <w:rFonts w:ascii="仿宋" w:eastAsia="仿宋"/>
      <w:sz w:val="28"/>
      <w:szCs w:val="28"/>
    </w:rPr>
  </w:style>
  <w:style w:type="paragraph" w:styleId="26">
    <w:name w:val="toc 2"/>
    <w:basedOn w:val="0"/>
    <w:next w:val="0"/>
    <w:pPr>
      <w:tabs>
        <w:tab w:val="right" w:leader="dot" w:pos="8296"/>
      </w:tabs>
      <w:ind w:leftChars="200" w:left="200"/>
    </w:pPr>
  </w:style>
  <w:style w:type="character" w:styleId="27">
    <w:name w:val="Strong"/>
    <w:basedOn w:val="10"/>
    <w:rPr>
      <w:b/>
    </w:rPr>
  </w:style>
  <w:style w:type="character" w:styleId="28">
    <w:name w:val="Hyperlink"/>
    <w:basedOn w:val="10"/>
    <w:rPr>
      <w:color w:val="0000FF"/>
      <w:u w:val="single"/>
    </w:rPr>
  </w:style>
  <w:style w:type="paragraph" w:customStyle="1" w:styleId="29">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30">
    <w:name w:val="Header Char"/>
    <w:basedOn w:val="10"/>
    <w:rPr>
      <w:rFonts w:ascii="Times New Roman" w:hAnsi="Times New Roman"/>
      <w:sz w:val="18"/>
      <w:szCs w:val="18"/>
    </w:rPr>
  </w:style>
  <w:style w:type="character" w:customStyle="1" w:styleId="31">
    <w:name w:val="Footer Char"/>
    <w:basedOn w:val="10"/>
    <w:rPr>
      <w:rFonts w:ascii="Times New Roman" w:hAnsi="Times New Roman"/>
      <w:sz w:val="18"/>
      <w:szCs w:val="18"/>
    </w:rPr>
  </w:style>
  <w:style w:type="character" w:customStyle="1" w:styleId="32">
    <w:name w:val="Body Text Char"/>
    <w:basedOn w:val="10"/>
    <w:rPr>
      <w:rFonts w:ascii="Times New Roman" w:hAnsi="Times New Roman"/>
      <w:szCs w:val="24"/>
    </w:rPr>
  </w:style>
  <w:style w:type="paragraph" w:customStyle="1" w:styleId="33">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4">
    <w:name w:val="List Paragraph"/>
    <w:basedOn w:val="0"/>
    <w:pPr>
      <w:ind w:firstLineChars="200" w:firstLine="200"/>
    </w:pPr>
  </w:style>
  <w:style w:type="paragraph" w:customStyle="1" w:styleId="35">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6">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7">
    <w:name w:val="四号正文"/>
    <w:basedOn w:val="0"/>
    <w:pPr>
      <w:spacing w:line="360" w:lineRule="auto"/>
    </w:pPr>
    <w:rPr>
      <w:rFonts w:ascii="??" w:eastAsia="宋体" w:hAnsi="??"/>
      <w:color w:val="000000"/>
      <w:kern w:val="0"/>
      <w:sz w:val="28"/>
      <w:szCs w:val="21"/>
      <w:lang w:val="zh-CN"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chart" Target="charts/chart1.xml"/><Relationship Id="rId7" Type="http://schemas.openxmlformats.org/officeDocument/2006/relationships/chart" Target="charts/chart2.xml"/><Relationship Id="rId8" Type="http://schemas.openxmlformats.org/officeDocument/2006/relationships/chart" Target="charts/chart3.xml"/><Relationship Id="rId9" Type="http://schemas.openxmlformats.org/officeDocument/2006/relationships/chart" Target="charts/chart4.xml"/><Relationship Id="rId10" Type="http://schemas.openxmlformats.org/officeDocument/2006/relationships/chart" Target="charts/chart5.xml"/><Relationship Id="rId11" Type="http://schemas.openxmlformats.org/officeDocument/2006/relationships/chart" Target="charts/chart6.xml"/><Relationship Id="rId12" Type="http://schemas.openxmlformats.org/officeDocument/2006/relationships/chart" Target="charts/chart7.xml"/><Relationship Id="rId13" Type="http://schemas.openxmlformats.org/officeDocument/2006/relationships/styles" Target="styles.xml"/><Relationship Id="rId14" Type="http://schemas.openxmlformats.org/officeDocument/2006/relationships/numbering" Target="numbering.xml"/><Relationship Id="rId1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收入、支出决算总计变动（万元）</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'Sheet1'!$A$2:$A$3</c:f>
              <c:strCache>
                <c:ptCount val="2"/>
                <c:pt idx="0">
                  <c:v>2024年</c:v>
                </c:pt>
                <c:pt idx="1">
                  <c:v>2025年</c:v>
                </c:pt>
              </c:strCache>
            </c:strRef>
          </c:cat>
          <c:val>
            <c:numRef>
              <c:f>'Sheet1'!$B$2:$B$3</c:f>
              <c:numCache>
                <c:formatCode>General</c:formatCode>
                <c:ptCount val="2"/>
                <c:pt idx="0">
                  <c:v>2796.3</c:v>
                </c:pt>
                <c:pt idx="1">
                  <c:v>3571.46</c:v>
                </c:pt>
              </c:numCache>
            </c:numRef>
          </c:val>
        </c:ser>
        <c:overlap val="-25"/>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1"/>
        <c:axPos val="l"/>
        <c:numFmt formatCode="General" sourceLinked="1"/>
        <c:majorTickMark val="none"/>
        <c:minorTickMark val="none"/>
        <c:tickLblPos val="nextTo"/>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000000"/>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收入决算结构图（万元）</a:t>
            </a:r>
          </a:p>
        </c:rich>
      </c:tx>
      <c:layout/>
      <c:overlay val="0"/>
      <c:spPr>
        <a:noFill/>
        <a:ln>
          <a:noFill/>
        </a:ln>
      </c:spPr>
    </c:title>
    <c:autoTitleDeleted val="0"/>
    <c:plotArea>
      <c:layout/>
      <c:pieChart>
        <c:varyColors val="1"/>
        <c:ser>
          <c:idx val="0"/>
          <c:order val="0"/>
          <c:tx>
            <c:strRef>
              <c:f>'Sheet1 (2)'!$B$1</c:f>
              <c:strCache>
                <c:ptCount val="1"/>
                <c:pt idx="0">
                  <c:v>收入决算结构图（万元）</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 sourceLinked="0"/>
            <c:dLblPos val="inEnd"/>
            <c:showLegendKey val="0"/>
            <c:showVal val="0"/>
            <c:showCatName val="0"/>
            <c:showSerName val="0"/>
            <c:showPercent val="1"/>
            <c:showBubbleSize val="0"/>
            <c:showLeaderLines val="1"/>
          </c:dLbls>
          <c:cat>
            <c:strRef>
              <c:f>'Sheet1 (2)'!$A$2:$A$3</c:f>
              <c:strCache>
                <c:ptCount val="2"/>
                <c:pt idx="0">
                  <c:v>一般公共预算财政收入</c:v>
                </c:pt>
                <c:pt idx="1">
                  <c:v>政府性基金收入</c:v>
                </c:pt>
              </c:strCache>
            </c:strRef>
          </c:cat>
          <c:val>
            <c:numRef>
              <c:f>'Sheet1 (2)'!$B$2:$B$3</c:f>
              <c:numCache>
                <c:formatCode>General</c:formatCode>
                <c:ptCount val="2"/>
                <c:pt idx="0">
                  <c:v>2974.34</c:v>
                </c:pt>
                <c:pt idx="1">
                  <c:v>597.13</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000000"/>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支出决算图（万元）</a:t>
            </a:r>
          </a:p>
        </c:rich>
      </c:tx>
      <c:layout/>
      <c:overlay val="0"/>
      <c:spPr>
        <a:noFill/>
        <a:ln>
          <a:noFill/>
        </a:ln>
      </c:spPr>
    </c:title>
    <c:autoTitleDeleted val="0"/>
    <c:plotArea>
      <c:layout/>
      <c:pieChart>
        <c:varyColors val="1"/>
        <c:ser>
          <c:idx val="0"/>
          <c:order val="0"/>
          <c:tx>
            <c:strRef>
              <c:f>'Sheet1 (3)'!$B$1</c:f>
              <c:strCache>
                <c:ptCount val="1"/>
                <c:pt idx="0">
                  <c:v>支出决算图（万元）</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 sourceLinked="0"/>
            <c:dLblPos val="inEnd"/>
            <c:showLegendKey val="0"/>
            <c:showVal val="0"/>
            <c:showCatName val="0"/>
            <c:showSerName val="0"/>
            <c:showPercent val="1"/>
            <c:showBubbleSize val="0"/>
            <c:showLeaderLines val="1"/>
          </c:dLbls>
          <c:cat>
            <c:strRef>
              <c:f>'Sheet1 (3)'!$A$2:$A$3</c:f>
              <c:strCache>
                <c:ptCount val="2"/>
                <c:pt idx="0">
                  <c:v>基本支出</c:v>
                </c:pt>
                <c:pt idx="1">
                  <c:v>项目支出</c:v>
                </c:pt>
              </c:strCache>
            </c:strRef>
          </c:cat>
          <c:val>
            <c:numRef>
              <c:f>'Sheet1 (3)'!$B$2:$B$3</c:f>
              <c:numCache>
                <c:formatCode>General</c:formatCode>
                <c:ptCount val="2"/>
                <c:pt idx="0">
                  <c:v>1819.96</c:v>
                </c:pt>
                <c:pt idx="1">
                  <c:v>1874.6</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000000"/>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 (4)'!$B$1</c:f>
              <c:strCache>
                <c:ptCount val="1"/>
                <c:pt idx="0">
                  <c:v>财政拨款收、支决算总计变动（万元）</c:v>
                </c:pt>
              </c:strCache>
            </c:strRef>
          </c:tx>
          <c:spPr>
            <a:solidFill>
              <a:srgbClr val="4F81BD"/>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(4)'!$A$2:$A$3</c:f>
              <c:strCache>
                <c:ptCount val="2"/>
                <c:pt idx="0">
                  <c:v>2024年</c:v>
                </c:pt>
                <c:pt idx="1">
                  <c:v>2025年</c:v>
                </c:pt>
              </c:strCache>
            </c:strRef>
          </c:cat>
          <c:val>
            <c:numRef>
              <c:f>'Sheet1 (4)'!$B$2:$B$3</c:f>
              <c:numCache>
                <c:formatCode>General</c:formatCode>
                <c:ptCount val="2"/>
                <c:pt idx="0">
                  <c:v>2796.3</c:v>
                </c:pt>
                <c:pt idx="1">
                  <c:v>3571.46</c:v>
                </c:pt>
              </c:numCache>
            </c:numRef>
          </c:val>
        </c:ser>
        <c:overlap val="-25"/>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1"/>
        <c:axPos val="l"/>
        <c:numFmt formatCode="General" sourceLinked="1"/>
        <c:majorTickMark val="none"/>
        <c:minorTickMark val="none"/>
        <c:tickLblPos val="nextTo"/>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000000"/>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一般公共预算财政拨款支出（万元）</a:t>
            </a:r>
          </a:p>
        </c:rich>
      </c:tx>
      <c:layout/>
      <c:overlay val="0"/>
      <c:spPr>
        <a:noFill/>
        <a:ln>
          <a:noFill/>
        </a:ln>
      </c:spPr>
    </c:title>
    <c:autoTitleDeleted val="0"/>
    <c:plotArea>
      <c:layout/>
      <c:barChart>
        <c:barDir val="col"/>
        <c:grouping val="clustered"/>
        <c:varyColors val="0"/>
        <c:ser>
          <c:idx val="0"/>
          <c:order val="0"/>
          <c:tx>
            <c:strRef>
              <c:f>'Sheet1 (5)'!$B$1</c:f>
              <c:strCache>
                <c:ptCount val="1"/>
                <c:pt idx="0">
                  <c:v>一般公共预算财政拨款支出（万元）</c:v>
                </c:pt>
              </c:strCache>
            </c:strRef>
          </c:tx>
          <c:spPr>
            <a:solidFill>
              <a:srgbClr val="4F81BD"/>
            </a:solidFill>
            <a:ln>
              <a:noFill/>
            </a:ln>
          </c:spPr>
          <c:invertIfNegative val="0"/>
          <c:dLbls>
            <c:txPr>
              <a:bodyPr/>
              <a:lstStyle/>
              <a:p>
                <a:pPr>
                  <a:defRPr sz="1000" b="0" i="0" u="none" strike="noStrike" baseline="0">
                    <a:solidFill>
                      <a:srgbClr val="000000"/>
                    </a:solidFill>
                    <a:latin typeface="Times New Roman"/>
                    <a:ea typeface="宋体"/>
                    <a:cs typeface="Lucida Sans"/>
                  </a:defRPr>
                </a:pPr>
                <a:endParaRPr lang="zh-CN"/>
              </a:p>
            </c:txPr>
            <c:numFmt formatCode="General" sourceLinked="1"/>
            <c:showLegendKey val="0"/>
            <c:showVal val="0"/>
            <c:showCatName val="0"/>
            <c:showSerName val="0"/>
            <c:showPercent val="0"/>
            <c:showBubbleSize val="0"/>
            <c:showLeaderLines val="0"/>
          </c:dLbls>
          <c:cat>
            <c:strRef>
              <c:f>'Sheet1 (5)'!$A$2:$A$3</c:f>
              <c:strCache>
                <c:ptCount val="2"/>
                <c:pt idx="0">
                  <c:v>2024年</c:v>
                </c:pt>
                <c:pt idx="1">
                  <c:v>2025年</c:v>
                </c:pt>
              </c:strCache>
            </c:strRef>
          </c:cat>
          <c:val>
            <c:numRef>
              <c:f>'Sheet1 (5)'!$B$2:$B$3</c:f>
              <c:numCache>
                <c:formatCode>General</c:formatCode>
                <c:ptCount val="2"/>
                <c:pt idx="0">
                  <c:v>2796.3</c:v>
                </c:pt>
                <c:pt idx="1">
                  <c:v>2974.34</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000000"/>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一般公共预算财政拨款支出（万元）</a:t>
            </a:r>
          </a:p>
        </c:rich>
      </c:tx>
      <c:layout/>
      <c:overlay val="0"/>
      <c:spPr>
        <a:noFill/>
        <a:ln>
          <a:noFill/>
        </a:ln>
      </c:spPr>
    </c:title>
    <c:autoTitleDeleted val="0"/>
    <c:plotArea>
      <c:layout/>
      <c:pieChart>
        <c:varyColors val="1"/>
        <c:ser>
          <c:idx val="0"/>
          <c:order val="0"/>
          <c:tx>
            <c:strRef>
              <c:f>'Sheet1 (6)'!$B$1</c:f>
              <c:strCache>
                <c:ptCount val="1"/>
                <c:pt idx="0">
                  <c:v>一般公共预算财政拨款支出（万元）</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Pt>
            <c:idx val="4"/>
            <c:bubble3D val="0"/>
            <c:spPr>
              <a:solidFill>
                <a:srgbClr val="4BACC6"/>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 sourceLinked="0"/>
            <c:dLblPos val="inEnd"/>
            <c:showLegendKey val="0"/>
            <c:showVal val="0"/>
            <c:showCatName val="0"/>
            <c:showSerName val="0"/>
            <c:showPercent val="1"/>
            <c:showBubbleSize val="0"/>
            <c:showLeaderLines val="1"/>
          </c:dLbls>
          <c:cat>
            <c:strRef>
              <c:f>'Sheet1 (6)'!$A$2:$A$6</c:f>
              <c:strCache>
                <c:ptCount val="5"/>
                <c:pt idx="0">
                  <c:v>一般公共服务支出</c:v>
                </c:pt>
                <c:pt idx="1">
                  <c:v>教育支出</c:v>
                </c:pt>
                <c:pt idx="2">
                  <c:v>社会保障和就业支出</c:v>
                </c:pt>
                <c:pt idx="3">
                  <c:v>卫生健康支出</c:v>
                </c:pt>
                <c:pt idx="4">
                  <c:v>住房保障支出</c:v>
                </c:pt>
              </c:strCache>
            </c:strRef>
          </c:cat>
          <c:val>
            <c:numRef>
              <c:f>'Sheet1 (6)'!$B$2:$B$6</c:f>
              <c:numCache>
                <c:formatCode>General</c:formatCode>
                <c:ptCount val="5"/>
                <c:pt idx="0">
                  <c:v>2582.3</c:v>
                </c:pt>
                <c:pt idx="1">
                  <c:v>0.2</c:v>
                </c:pt>
                <c:pt idx="2">
                  <c:v>206.64</c:v>
                </c:pt>
                <c:pt idx="3">
                  <c:v>76.72</c:v>
                </c:pt>
                <c:pt idx="4">
                  <c:v>108.47</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Entry>
        <c:idx val="0"/>
        <c:txPr>
          <a:bodyPr/>
          <a:lstStyle/>
          <a:p>
            <a:pPr>
              <a:defRPr sz="900" b="0" i="0" u="none" strike="noStrike" baseline="0">
                <a:solidFill>
                  <a:srgbClr val="595959"/>
                </a:solidFill>
                <a:latin typeface="Times New Roman"/>
                <a:ea typeface="宋体"/>
                <a:cs typeface="Lucida Sans"/>
              </a:defRPr>
            </a:pPr>
            <a:endParaRPr lang="zh-CN"/>
          </a:p>
        </c:txPr>
      </c:legendEntry>
      <c:legendEntry>
        <c:idx val="1"/>
        <c:txPr>
          <a:bodyPr/>
          <a:lstStyle/>
          <a:p>
            <a:pPr>
              <a:defRPr sz="900" b="0" i="0" u="none" strike="noStrike" baseline="0">
                <a:solidFill>
                  <a:srgbClr val="595959"/>
                </a:solidFill>
                <a:latin typeface="Times New Roman"/>
                <a:ea typeface="宋体"/>
                <a:cs typeface="Lucida Sans"/>
              </a:defRPr>
            </a:pPr>
            <a:endParaRPr lang="zh-CN"/>
          </a:p>
        </c:txPr>
      </c:legendEntry>
      <c:legendEntry>
        <c:idx val="2"/>
        <c:txPr>
          <a:bodyPr/>
          <a:lstStyle/>
          <a:p>
            <a:pPr>
              <a:defRPr sz="900" b="0" i="0" u="none" strike="noStrike" baseline="0">
                <a:solidFill>
                  <a:srgbClr val="595959"/>
                </a:solidFill>
                <a:latin typeface="Times New Roman"/>
                <a:ea typeface="宋体"/>
                <a:cs typeface="Lucida Sans"/>
              </a:defRPr>
            </a:pPr>
            <a:endParaRPr lang="zh-CN"/>
          </a:p>
        </c:txPr>
      </c:legendEntry>
      <c:legendEntry>
        <c:idx val="3"/>
        <c:txPr>
          <a:bodyPr/>
          <a:lstStyle/>
          <a:p>
            <a:pPr>
              <a:defRPr sz="900" b="0" i="0" u="none" strike="noStrike" baseline="0">
                <a:solidFill>
                  <a:srgbClr val="595959"/>
                </a:solidFill>
                <a:latin typeface="Times New Roman"/>
                <a:ea typeface="宋体"/>
                <a:cs typeface="Lucida Sans"/>
              </a:defRPr>
            </a:pPr>
            <a:endParaRPr lang="zh-CN"/>
          </a:p>
        </c:txPr>
      </c:legendEntry>
    </c:legend>
    <c:plotVisOnly val="1"/>
    <c:dispBlanksAs val="gap"/>
    <c:showDLblsOverMax val="0"/>
  </c:chart>
  <c:spPr>
    <a:solidFill>
      <a:srgbClr val="FFFFFF"/>
    </a:solidFill>
    <a:ln w="6350">
      <a:solidFill>
        <a:srgbClr val="000000"/>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404040"/>
                </a:solidFill>
                <a:latin typeface="Times New Roman"/>
                <a:ea typeface="宋体"/>
                <a:cs typeface="Lucida Sans"/>
              </a:defRPr>
            </a:pPr>
            <a:r>
              <a:rPr lang="zh-CN"/>
              <a:t>“三公”经费财政拨款支出</a:t>
            </a:r>
          </a:p>
        </c:rich>
      </c:tx>
      <c:layout/>
      <c:overlay val="0"/>
      <c:spPr>
        <a:noFill/>
        <a:ln>
          <a:noFill/>
        </a:ln>
      </c:spPr>
    </c:title>
    <c:autoTitleDeleted val="0"/>
    <c:plotArea>
      <c:layout/>
      <c:pieChart>
        <c:varyColors val="1"/>
        <c:ser>
          <c:idx val="0"/>
          <c:order val="0"/>
          <c:tx>
            <c:strRef>
              <c:f>'Sheet1 (7)'!$B$1</c:f>
              <c:strCache>
                <c:ptCount val="1"/>
                <c:pt idx="0">
                  <c:v>“三公”经费财政拨款支出</c:v>
                </c:pt>
              </c:strCache>
            </c:strRef>
          </c:tx>
          <c:spPr>
            <a:ln>
              <a:noFill/>
            </a:ln>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Lucida Sans"/>
                  </a:defRPr>
                </a:pPr>
                <a:endParaRPr lang="zh-CN"/>
              </a:p>
            </c:txPr>
            <c:numFmt formatCode="0%" sourceLinked="0"/>
            <c:dLblPos val="inEnd"/>
            <c:showLegendKey val="0"/>
            <c:showVal val="0"/>
            <c:showCatName val="0"/>
            <c:showSerName val="0"/>
            <c:showPercent val="1"/>
            <c:showBubbleSize val="0"/>
            <c:showLeaderLines val="1"/>
          </c:dLbls>
          <c:cat>
            <c:strRef>
              <c:f>'Sheet1 (7)'!$A$2:$A$4</c:f>
              <c:strCache>
                <c:ptCount val="3"/>
                <c:pt idx="0">
                  <c:v>因公出国（境）费支出</c:v>
                </c:pt>
                <c:pt idx="1">
                  <c:v>公务用车购置及运行维护费支出</c:v>
                </c:pt>
                <c:pt idx="2">
                  <c:v>公务接待费支出</c:v>
                </c:pt>
              </c:strCache>
            </c:strRef>
          </c:cat>
          <c:val>
            <c:numRef>
              <c:f>'Sheet1 (7)'!$B$2:$B$4</c:f>
              <c:numCache>
                <c:formatCode>General</c:formatCode>
                <c:ptCount val="3"/>
                <c:pt idx="0">
                  <c:v>0.0</c:v>
                </c:pt>
                <c:pt idx="1">
                  <c:v>174.6</c:v>
                </c:pt>
                <c:pt idx="2">
                  <c:v>0.23</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000000"/>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211</TotalTime>
  <Application>Yozo_Office27021597764231179</Application>
  <Pages>34</Pages>
  <Words>11765</Words>
  <Characters>12918</Characters>
  <Lines>624</Lines>
  <Paragraphs>272</Paragraphs>
  <CharactersWithSpaces>12978</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2025-08-06T17:34:00Z</cp:lastPrinted>
  <dcterms:created xsi:type="dcterms:W3CDTF">2020-08-09T09:49:00Z</dcterms:created>
  <dcterms:modified xsi:type="dcterms:W3CDTF">2026-09-16T23:41:47Z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761F2593BC574C19B0346D775D9FFB13_13</vt:lpwstr>
  </property>
  <property fmtid="{D5CDD505-2E9C-101B-9397-08002B2CF9AE}" pid="4" name="KSOTemplateDocerSaveRecord">
    <vt:lpwstr>eyJoZGlkIjoiYzE2MDBlMDAzMTNhMThlOTQzMDNjNjFlZWI4YmVjZjAiLCJ1c2VySWQiOiI1MTQ3MzUwMTcifQ==</vt:lpwstr>
  </property>
</Properties>
</file>