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C11A6">
      <w:pPr>
        <w:spacing w:line="600" w:lineRule="exact"/>
        <w:jc w:val="center"/>
        <w:outlineLvl w:val="0"/>
        <w:rPr>
          <w:rFonts w:ascii="方正小标宋简体" w:hAnsi="宋体" w:eastAsia="方正小标宋简体"/>
          <w:color w:val="000000"/>
          <w:sz w:val="72"/>
          <w:szCs w:val="72"/>
        </w:rPr>
      </w:pPr>
      <w:bookmarkStart w:id="0" w:name="_Toc15306267"/>
    </w:p>
    <w:p w14:paraId="16E9C5A5">
      <w:pPr>
        <w:spacing w:line="600" w:lineRule="exact"/>
        <w:jc w:val="center"/>
        <w:outlineLvl w:val="0"/>
        <w:rPr>
          <w:rFonts w:ascii="方正小标宋简体" w:hAnsi="宋体" w:eastAsia="方正小标宋简体"/>
          <w:color w:val="000000"/>
          <w:sz w:val="72"/>
          <w:szCs w:val="72"/>
        </w:rPr>
      </w:pPr>
    </w:p>
    <w:p w14:paraId="7330264B">
      <w:pPr>
        <w:spacing w:line="600" w:lineRule="exact"/>
        <w:jc w:val="center"/>
        <w:outlineLvl w:val="0"/>
        <w:rPr>
          <w:rFonts w:ascii="方正小标宋简体" w:hAnsi="宋体" w:eastAsia="方正小标宋简体"/>
          <w:color w:val="000000"/>
          <w:sz w:val="72"/>
          <w:szCs w:val="72"/>
        </w:rPr>
      </w:pPr>
    </w:p>
    <w:p w14:paraId="43AC3F76">
      <w:pPr>
        <w:spacing w:line="600" w:lineRule="exact"/>
        <w:jc w:val="center"/>
        <w:outlineLvl w:val="0"/>
        <w:rPr>
          <w:rFonts w:ascii="方正小标宋简体" w:hAnsi="宋体" w:eastAsia="方正小标宋简体"/>
          <w:color w:val="000000"/>
          <w:sz w:val="72"/>
          <w:szCs w:val="72"/>
        </w:rPr>
      </w:pPr>
    </w:p>
    <w:p w14:paraId="3B1C0310">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77425"/>
      <w:bookmarkStart w:id="2" w:name="_Toc15378441"/>
      <w:bookmarkStart w:id="3" w:name="_Toc15396475"/>
      <w:bookmarkStart w:id="4" w:name="_Toc15377193"/>
      <w:bookmarkStart w:id="5" w:name="_Toc15396597"/>
      <w:r>
        <w:rPr>
          <w:rFonts w:ascii="黑体" w:hAnsi="黑体" w:eastAsia="黑体"/>
          <w:color w:val="000000"/>
          <w:sz w:val="72"/>
          <w:szCs w:val="72"/>
        </w:rPr>
        <w:t>2019</w:t>
      </w:r>
      <w:r>
        <w:rPr>
          <w:rFonts w:hint="eastAsia" w:ascii="方正小标宋简体" w:hAnsi="宋体" w:eastAsia="方正小标宋简体"/>
          <w:color w:val="000000"/>
          <w:sz w:val="72"/>
          <w:szCs w:val="72"/>
        </w:rPr>
        <w:t>年度</w:t>
      </w:r>
      <w:bookmarkEnd w:id="1"/>
      <w:bookmarkEnd w:id="2"/>
      <w:bookmarkEnd w:id="3"/>
      <w:bookmarkEnd w:id="4"/>
      <w:bookmarkEnd w:id="5"/>
    </w:p>
    <w:p w14:paraId="7640CB24">
      <w:pPr>
        <w:adjustRightInd w:val="0"/>
        <w:snapToGrid w:val="0"/>
        <w:spacing w:line="360" w:lineRule="auto"/>
        <w:jc w:val="center"/>
        <w:outlineLvl w:val="0"/>
        <w:rPr>
          <w:rFonts w:ascii="方正小标宋简体" w:hAnsi="宋体" w:eastAsia="方正小标宋简体"/>
          <w:color w:val="000000"/>
          <w:sz w:val="52"/>
          <w:szCs w:val="52"/>
        </w:rPr>
      </w:pPr>
      <w:bookmarkStart w:id="6" w:name="_Toc15396476"/>
      <w:bookmarkStart w:id="7" w:name="_Toc15396598"/>
      <w:bookmarkStart w:id="8" w:name="_Toc15377194"/>
      <w:bookmarkStart w:id="9" w:name="_Toc15378442"/>
      <w:bookmarkStart w:id="10" w:name="_Toc15377426"/>
      <w:r>
        <w:rPr>
          <w:rFonts w:hint="eastAsia" w:ascii="方正小标宋简体" w:hAnsi="宋体" w:eastAsia="方正小标宋简体"/>
          <w:color w:val="000000"/>
          <w:sz w:val="52"/>
          <w:szCs w:val="52"/>
        </w:rPr>
        <w:t>四川省阿坝州</w:t>
      </w:r>
      <w:bookmarkEnd w:id="0"/>
      <w:bookmarkStart w:id="11" w:name="_Toc15306268"/>
      <w:r>
        <w:rPr>
          <w:rFonts w:hint="eastAsia" w:ascii="方正小标宋简体" w:hAnsi="宋体" w:eastAsia="方正小标宋简体"/>
          <w:color w:val="000000"/>
          <w:sz w:val="52"/>
          <w:szCs w:val="52"/>
        </w:rPr>
        <w:t>法学会部门决算</w:t>
      </w:r>
      <w:bookmarkEnd w:id="6"/>
      <w:bookmarkEnd w:id="7"/>
      <w:bookmarkEnd w:id="8"/>
      <w:bookmarkEnd w:id="9"/>
      <w:bookmarkEnd w:id="10"/>
      <w:bookmarkEnd w:id="11"/>
    </w:p>
    <w:p w14:paraId="0F81D988">
      <w:pPr>
        <w:adjustRightInd w:val="0"/>
        <w:snapToGrid w:val="0"/>
        <w:spacing w:line="360" w:lineRule="auto"/>
        <w:jc w:val="center"/>
        <w:outlineLvl w:val="0"/>
        <w:rPr>
          <w:rFonts w:ascii="方正小标宋简体" w:hAnsi="宋体" w:eastAsia="方正小标宋简体"/>
          <w:color w:val="000000"/>
          <w:sz w:val="52"/>
          <w:szCs w:val="52"/>
        </w:rPr>
      </w:pPr>
    </w:p>
    <w:p w14:paraId="666F0473">
      <w:pPr>
        <w:widowControl/>
        <w:jc w:val="center"/>
        <w:rPr>
          <w:rFonts w:ascii="方正小标宋简体" w:hAnsi="宋体" w:eastAsia="方正小标宋简体"/>
          <w:color w:val="000000"/>
          <w:sz w:val="36"/>
          <w:szCs w:val="36"/>
        </w:rPr>
      </w:pPr>
    </w:p>
    <w:p w14:paraId="2A44D18C">
      <w:pPr>
        <w:rPr>
          <w:rFonts w:ascii="方正小标宋简体" w:hAnsi="宋体" w:eastAsia="方正小标宋简体"/>
          <w:sz w:val="36"/>
          <w:szCs w:val="36"/>
        </w:rPr>
      </w:pPr>
    </w:p>
    <w:p w14:paraId="66F7429D">
      <w:pPr>
        <w:rPr>
          <w:rFonts w:ascii="方正小标宋简体" w:hAnsi="宋体" w:eastAsia="方正小标宋简体"/>
          <w:sz w:val="36"/>
          <w:szCs w:val="36"/>
        </w:rPr>
      </w:pPr>
    </w:p>
    <w:p w14:paraId="1A1BAB87">
      <w:pPr>
        <w:rPr>
          <w:rFonts w:ascii="方正小标宋简体" w:hAnsi="宋体" w:eastAsia="方正小标宋简体"/>
          <w:sz w:val="36"/>
          <w:szCs w:val="36"/>
        </w:rPr>
      </w:pPr>
    </w:p>
    <w:p w14:paraId="15364C3A">
      <w:pPr>
        <w:rPr>
          <w:rFonts w:ascii="方正小标宋简体" w:hAnsi="宋体" w:eastAsia="方正小标宋简体"/>
          <w:sz w:val="36"/>
          <w:szCs w:val="36"/>
        </w:rPr>
      </w:pPr>
    </w:p>
    <w:p w14:paraId="787A434E">
      <w:pPr>
        <w:rPr>
          <w:rFonts w:ascii="方正小标宋简体" w:hAnsi="宋体" w:eastAsia="方正小标宋简体"/>
          <w:sz w:val="36"/>
          <w:szCs w:val="36"/>
        </w:rPr>
      </w:pPr>
    </w:p>
    <w:p w14:paraId="3D91184E">
      <w:pPr>
        <w:rPr>
          <w:rFonts w:ascii="方正小标宋简体" w:hAnsi="宋体" w:eastAsia="方正小标宋简体"/>
          <w:sz w:val="36"/>
          <w:szCs w:val="36"/>
        </w:rPr>
      </w:pPr>
    </w:p>
    <w:p w14:paraId="229D279E">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1CC1B945">
      <w:pPr>
        <w:widowControl/>
        <w:jc w:val="center"/>
        <w:rPr>
          <w:rFonts w:ascii="黑体" w:hAnsi="黑体" w:eastAsia="黑体"/>
          <w:sz w:val="28"/>
          <w:szCs w:val="28"/>
        </w:rPr>
      </w:pPr>
    </w:p>
    <w:p w14:paraId="3901F00E">
      <w:pPr>
        <w:pStyle w:val="10"/>
      </w:pPr>
      <w:r>
        <w:rPr>
          <w:rFonts w:hint="eastAsia"/>
        </w:rPr>
        <w:t>公开时间：</w:t>
      </w:r>
      <w:r>
        <w:t>2020</w:t>
      </w:r>
      <w:r>
        <w:rPr>
          <w:rFonts w:hint="eastAsia"/>
        </w:rPr>
        <w:t>年</w:t>
      </w:r>
      <w:r>
        <w:t>9</w:t>
      </w:r>
      <w:r>
        <w:rPr>
          <w:rFonts w:hint="eastAsia"/>
        </w:rPr>
        <w:t>月</w:t>
      </w:r>
      <w:r>
        <w:t>30</w:t>
      </w:r>
      <w:r>
        <w:rPr>
          <w:rFonts w:hint="eastAsia"/>
        </w:rPr>
        <w:t>日</w:t>
      </w:r>
    </w:p>
    <w:p w14:paraId="127077F9"/>
    <w:p w14:paraId="76EF12D7">
      <w:pPr>
        <w:pStyle w:val="10"/>
        <w:adjustRightInd w:val="0"/>
        <w:snapToGrid w:val="0"/>
        <w:spacing w:before="0" w:line="440" w:lineRule="exact"/>
        <w:jc w:val="left"/>
        <w:rPr>
          <w:sz w:val="24"/>
          <w:szCs w:val="24"/>
        </w:rPr>
      </w:pPr>
      <w:r>
        <w:rPr>
          <w:rFonts w:hint="eastAsia"/>
          <w:sz w:val="24"/>
        </w:rPr>
        <w:t>第一部分</w:t>
      </w:r>
      <w:r>
        <w:rPr>
          <w:sz w:val="24"/>
        </w:rPr>
        <w:t xml:space="preserve"> </w:t>
      </w:r>
      <w:r>
        <w:rPr>
          <w:rFonts w:hint="eastAsia"/>
          <w:sz w:val="24"/>
        </w:rPr>
        <w:t>部门概况</w:t>
      </w:r>
      <w:r>
        <w:rPr>
          <w:sz w:val="24"/>
        </w:rPr>
        <w:tab/>
      </w:r>
      <w:r>
        <w:rPr>
          <w:sz w:val="24"/>
        </w:rPr>
        <w:t>4</w:t>
      </w:r>
    </w:p>
    <w:p w14:paraId="131C8557">
      <w:pPr>
        <w:pStyle w:val="11"/>
        <w:adjustRightInd w:val="0"/>
        <w:snapToGrid w:val="0"/>
        <w:spacing w:line="440" w:lineRule="exact"/>
        <w:jc w:val="left"/>
        <w:rPr>
          <w:sz w:val="24"/>
        </w:rPr>
      </w:pPr>
      <w:r>
        <w:rPr>
          <w:rFonts w:hint="eastAsia"/>
          <w:sz w:val="24"/>
        </w:rPr>
        <w:t>一、基本职能及主要工作</w:t>
      </w:r>
      <w:r>
        <w:rPr>
          <w:sz w:val="24"/>
        </w:rPr>
        <w:tab/>
      </w:r>
      <w:r>
        <w:rPr>
          <w:sz w:val="24"/>
        </w:rPr>
        <w:t>4</w:t>
      </w:r>
    </w:p>
    <w:p w14:paraId="455A33E1">
      <w:pPr>
        <w:pStyle w:val="11"/>
        <w:adjustRightInd w:val="0"/>
        <w:snapToGrid w:val="0"/>
        <w:spacing w:line="440" w:lineRule="exact"/>
        <w:jc w:val="left"/>
        <w:rPr>
          <w:sz w:val="24"/>
        </w:rPr>
      </w:pPr>
      <w:r>
        <w:rPr>
          <w:rFonts w:hint="eastAsia"/>
          <w:sz w:val="24"/>
        </w:rPr>
        <w:t>二、机构设置</w:t>
      </w:r>
      <w:r>
        <w:rPr>
          <w:sz w:val="24"/>
        </w:rPr>
        <w:tab/>
      </w:r>
      <w:r>
        <w:rPr>
          <w:sz w:val="24"/>
        </w:rPr>
        <w:t>9</w:t>
      </w:r>
    </w:p>
    <w:p w14:paraId="37F1535F">
      <w:pPr>
        <w:pStyle w:val="10"/>
        <w:adjustRightInd w:val="0"/>
        <w:snapToGrid w:val="0"/>
        <w:spacing w:before="0" w:line="440" w:lineRule="exact"/>
        <w:jc w:val="left"/>
        <w:rPr>
          <w:sz w:val="24"/>
          <w:szCs w:val="24"/>
        </w:rPr>
      </w:pPr>
      <w:r>
        <w:rPr>
          <w:rFonts w:hint="eastAsia"/>
          <w:sz w:val="24"/>
        </w:rPr>
        <w:t>第二部分度部门决算情况说明</w:t>
      </w:r>
      <w:r>
        <w:rPr>
          <w:sz w:val="24"/>
        </w:rPr>
        <w:tab/>
      </w:r>
      <w:r>
        <w:rPr>
          <w:sz w:val="24"/>
        </w:rPr>
        <w:t>9</w:t>
      </w:r>
    </w:p>
    <w:p w14:paraId="6DAFC38F">
      <w:pPr>
        <w:pStyle w:val="11"/>
        <w:adjustRightInd w:val="0"/>
        <w:snapToGrid w:val="0"/>
        <w:spacing w:line="440" w:lineRule="exact"/>
        <w:jc w:val="left"/>
        <w:rPr>
          <w:sz w:val="24"/>
        </w:rPr>
      </w:pPr>
      <w:r>
        <w:rPr>
          <w:rFonts w:hint="eastAsia"/>
          <w:sz w:val="24"/>
        </w:rPr>
        <w:t>一、收入支出决算总体情况说明</w:t>
      </w:r>
      <w:r>
        <w:rPr>
          <w:sz w:val="24"/>
        </w:rPr>
        <w:tab/>
      </w:r>
      <w:r>
        <w:rPr>
          <w:sz w:val="24"/>
        </w:rPr>
        <w:t>9</w:t>
      </w:r>
    </w:p>
    <w:p w14:paraId="0E05150F">
      <w:pPr>
        <w:pStyle w:val="11"/>
        <w:adjustRightInd w:val="0"/>
        <w:snapToGrid w:val="0"/>
        <w:spacing w:line="440" w:lineRule="exact"/>
        <w:jc w:val="left"/>
        <w:rPr>
          <w:sz w:val="24"/>
        </w:rPr>
      </w:pPr>
      <w:r>
        <w:rPr>
          <w:rFonts w:hint="eastAsia"/>
          <w:sz w:val="24"/>
        </w:rPr>
        <w:t>二、收入决算情况说明</w:t>
      </w:r>
      <w:r>
        <w:rPr>
          <w:sz w:val="24"/>
        </w:rPr>
        <w:tab/>
      </w:r>
      <w:r>
        <w:rPr>
          <w:sz w:val="24"/>
        </w:rPr>
        <w:t>10</w:t>
      </w:r>
    </w:p>
    <w:p w14:paraId="7C4674C6">
      <w:pPr>
        <w:pStyle w:val="11"/>
        <w:adjustRightInd w:val="0"/>
        <w:snapToGrid w:val="0"/>
        <w:spacing w:line="440" w:lineRule="exact"/>
        <w:jc w:val="left"/>
        <w:rPr>
          <w:sz w:val="24"/>
        </w:rPr>
      </w:pPr>
      <w:r>
        <w:rPr>
          <w:rFonts w:hint="eastAsia"/>
          <w:sz w:val="24"/>
        </w:rPr>
        <w:t>三、支出决算情况说明</w:t>
      </w:r>
      <w:r>
        <w:rPr>
          <w:sz w:val="24"/>
        </w:rPr>
        <w:tab/>
      </w:r>
      <w:r>
        <w:rPr>
          <w:sz w:val="24"/>
        </w:rPr>
        <w:t>11</w:t>
      </w:r>
    </w:p>
    <w:p w14:paraId="7DF4FB3F">
      <w:pPr>
        <w:pStyle w:val="11"/>
        <w:adjustRightInd w:val="0"/>
        <w:snapToGrid w:val="0"/>
        <w:spacing w:line="440" w:lineRule="exact"/>
        <w:jc w:val="left"/>
        <w:rPr>
          <w:sz w:val="24"/>
        </w:rPr>
      </w:pPr>
      <w:r>
        <w:rPr>
          <w:rFonts w:hint="eastAsia"/>
          <w:sz w:val="24"/>
        </w:rPr>
        <w:t>四、财政拨款收入支出决算总体情况说明</w:t>
      </w:r>
      <w:r>
        <w:rPr>
          <w:sz w:val="24"/>
        </w:rPr>
        <w:tab/>
      </w:r>
      <w:r>
        <w:rPr>
          <w:sz w:val="24"/>
        </w:rPr>
        <w:t>11</w:t>
      </w:r>
    </w:p>
    <w:p w14:paraId="33DAC1F5">
      <w:pPr>
        <w:pStyle w:val="11"/>
        <w:adjustRightInd w:val="0"/>
        <w:snapToGrid w:val="0"/>
        <w:spacing w:line="440" w:lineRule="exact"/>
        <w:jc w:val="left"/>
        <w:rPr>
          <w:rFonts w:ascii="仿宋" w:hAnsi="仿宋" w:eastAsia="仿宋"/>
          <w:sz w:val="24"/>
        </w:rPr>
      </w:pPr>
      <w:r>
        <w:rPr>
          <w:rFonts w:hint="eastAsia"/>
          <w:sz w:val="24"/>
        </w:rPr>
        <w:t>五、一般公共预算财政拨款支出决算情况说明</w:t>
      </w:r>
      <w:r>
        <w:rPr>
          <w:sz w:val="24"/>
        </w:rPr>
        <w:tab/>
      </w:r>
      <w:r>
        <w:rPr>
          <w:sz w:val="24"/>
        </w:rPr>
        <w:t>12</w:t>
      </w:r>
    </w:p>
    <w:p w14:paraId="26305040">
      <w:pPr>
        <w:pStyle w:val="11"/>
        <w:adjustRightInd w:val="0"/>
        <w:snapToGrid w:val="0"/>
        <w:spacing w:line="440" w:lineRule="exact"/>
        <w:jc w:val="left"/>
        <w:rPr>
          <w:rFonts w:ascii="仿宋" w:hAnsi="仿宋" w:eastAsia="仿宋"/>
          <w:sz w:val="24"/>
        </w:rPr>
      </w:pPr>
      <w:r>
        <w:rPr>
          <w:rFonts w:hint="eastAsia"/>
          <w:sz w:val="24"/>
        </w:rPr>
        <w:t>六、一般公共预算财政拨款基本支出决算情况说明</w:t>
      </w:r>
      <w:r>
        <w:rPr>
          <w:sz w:val="24"/>
        </w:rPr>
        <w:tab/>
      </w:r>
      <w:r>
        <w:rPr>
          <w:sz w:val="24"/>
        </w:rPr>
        <w:t>14</w:t>
      </w:r>
    </w:p>
    <w:p w14:paraId="516A78C8">
      <w:pPr>
        <w:pStyle w:val="11"/>
        <w:adjustRightInd w:val="0"/>
        <w:snapToGrid w:val="0"/>
        <w:spacing w:line="440" w:lineRule="exact"/>
        <w:jc w:val="left"/>
        <w:rPr>
          <w:rFonts w:ascii="仿宋" w:hAnsi="仿宋" w:eastAsia="仿宋"/>
          <w:sz w:val="24"/>
        </w:rPr>
      </w:pPr>
      <w:r>
        <w:rPr>
          <w:rFonts w:hint="eastAsia"/>
          <w:sz w:val="24"/>
        </w:rPr>
        <w:t>七、</w:t>
      </w:r>
      <w:r>
        <w:rPr>
          <w:sz w:val="24"/>
        </w:rPr>
        <w:t>“</w:t>
      </w:r>
      <w:r>
        <w:rPr>
          <w:rFonts w:hint="eastAsia"/>
          <w:sz w:val="24"/>
        </w:rPr>
        <w:t>三公”经费财政拨款支出决算情况说明</w:t>
      </w:r>
      <w:r>
        <w:rPr>
          <w:sz w:val="24"/>
        </w:rPr>
        <w:tab/>
      </w:r>
      <w:r>
        <w:rPr>
          <w:sz w:val="24"/>
        </w:rPr>
        <w:t>15</w:t>
      </w:r>
    </w:p>
    <w:p w14:paraId="5DD516DB">
      <w:pPr>
        <w:pStyle w:val="11"/>
        <w:adjustRightInd w:val="0"/>
        <w:snapToGrid w:val="0"/>
        <w:spacing w:line="440" w:lineRule="exact"/>
        <w:jc w:val="left"/>
        <w:rPr>
          <w:rFonts w:ascii="仿宋" w:hAnsi="仿宋" w:eastAsia="仿宋"/>
          <w:sz w:val="24"/>
        </w:rPr>
      </w:pPr>
      <w:r>
        <w:rPr>
          <w:rFonts w:hint="eastAsia"/>
          <w:sz w:val="24"/>
        </w:rPr>
        <w:t>八、政府性基金预算支出决算情况说明</w:t>
      </w:r>
      <w:r>
        <w:rPr>
          <w:sz w:val="24"/>
        </w:rPr>
        <w:tab/>
      </w:r>
      <w:r>
        <w:rPr>
          <w:sz w:val="24"/>
        </w:rPr>
        <w:t>15</w:t>
      </w:r>
    </w:p>
    <w:p w14:paraId="0FA7898F">
      <w:pPr>
        <w:pStyle w:val="11"/>
        <w:adjustRightInd w:val="0"/>
        <w:snapToGrid w:val="0"/>
        <w:spacing w:line="440" w:lineRule="exact"/>
        <w:ind w:leftChars="0"/>
        <w:jc w:val="left"/>
        <w:rPr>
          <w:rFonts w:ascii="仿宋" w:hAnsi="仿宋" w:eastAsia="仿宋"/>
          <w:sz w:val="24"/>
        </w:rPr>
      </w:pPr>
      <w:r>
        <w:rPr>
          <w:rFonts w:hint="eastAsia" w:ascii="仿宋" w:hAnsi="仿宋" w:eastAsia="仿宋"/>
          <w:sz w:val="24"/>
        </w:rPr>
        <w:t>九、</w:t>
      </w:r>
      <w:r>
        <w:rPr>
          <w:sz w:val="24"/>
        </w:rPr>
        <w:t xml:space="preserve"> </w:t>
      </w:r>
      <w:r>
        <w:rPr>
          <w:rFonts w:hint="eastAsia"/>
          <w:sz w:val="24"/>
        </w:rPr>
        <w:t>国有资本经营预算支出决算情况说明</w:t>
      </w:r>
      <w:r>
        <w:rPr>
          <w:sz w:val="24"/>
        </w:rPr>
        <w:tab/>
      </w:r>
      <w:r>
        <w:rPr>
          <w:sz w:val="24"/>
        </w:rPr>
        <w:t>15</w:t>
      </w:r>
    </w:p>
    <w:p w14:paraId="3FFDC298">
      <w:pPr>
        <w:pStyle w:val="11"/>
        <w:adjustRightInd w:val="0"/>
        <w:snapToGrid w:val="0"/>
        <w:spacing w:line="440" w:lineRule="exact"/>
        <w:jc w:val="left"/>
        <w:rPr>
          <w:sz w:val="24"/>
        </w:rPr>
      </w:pPr>
      <w:r>
        <w:rPr>
          <w:rFonts w:hint="eastAsia"/>
        </w:rPr>
        <w:t>十、</w:t>
      </w:r>
      <w:r>
        <w:rPr>
          <w:rFonts w:hint="eastAsia"/>
          <w:sz w:val="24"/>
        </w:rPr>
        <w:t>其他重要事项的情况说明</w:t>
      </w:r>
      <w:r>
        <w:rPr>
          <w:sz w:val="24"/>
        </w:rPr>
        <w:tab/>
      </w:r>
      <w:r>
        <w:rPr>
          <w:sz w:val="24"/>
        </w:rPr>
        <w:t>15</w:t>
      </w:r>
    </w:p>
    <w:p w14:paraId="4E07D76A">
      <w:pPr>
        <w:pStyle w:val="10"/>
        <w:adjustRightInd w:val="0"/>
        <w:snapToGrid w:val="0"/>
        <w:spacing w:before="0" w:line="440" w:lineRule="exact"/>
        <w:jc w:val="left"/>
        <w:rPr>
          <w:sz w:val="24"/>
          <w:szCs w:val="24"/>
        </w:rPr>
      </w:pPr>
      <w:r>
        <w:rPr>
          <w:rFonts w:hint="eastAsia"/>
          <w:sz w:val="24"/>
        </w:rPr>
        <w:t>第三部分</w:t>
      </w:r>
      <w:r>
        <w:rPr>
          <w:sz w:val="24"/>
        </w:rPr>
        <w:t xml:space="preserve"> </w:t>
      </w:r>
      <w:r>
        <w:rPr>
          <w:rFonts w:hint="eastAsia"/>
          <w:sz w:val="24"/>
        </w:rPr>
        <w:t>名词解释</w:t>
      </w:r>
      <w:r>
        <w:rPr>
          <w:sz w:val="24"/>
        </w:rPr>
        <w:tab/>
      </w:r>
      <w:r>
        <w:rPr>
          <w:sz w:val="24"/>
        </w:rPr>
        <w:t>16</w:t>
      </w:r>
    </w:p>
    <w:p w14:paraId="3931285F">
      <w:pPr>
        <w:pStyle w:val="10"/>
        <w:adjustRightInd w:val="0"/>
        <w:snapToGrid w:val="0"/>
        <w:spacing w:before="0" w:line="440" w:lineRule="exact"/>
        <w:jc w:val="left"/>
        <w:rPr>
          <w:sz w:val="24"/>
          <w:szCs w:val="24"/>
        </w:rPr>
      </w:pPr>
      <w:r>
        <w:rPr>
          <w:rFonts w:hint="eastAsia"/>
          <w:sz w:val="24"/>
        </w:rPr>
        <w:t>第四部分</w:t>
      </w:r>
      <w:r>
        <w:rPr>
          <w:sz w:val="24"/>
        </w:rPr>
        <w:t xml:space="preserve"> </w:t>
      </w:r>
      <w:r>
        <w:rPr>
          <w:rFonts w:hint="eastAsia"/>
          <w:sz w:val="24"/>
        </w:rPr>
        <w:t>附件</w:t>
      </w:r>
      <w:r>
        <w:rPr>
          <w:sz w:val="24"/>
        </w:rPr>
        <w:tab/>
      </w:r>
      <w:r>
        <w:rPr>
          <w:sz w:val="24"/>
        </w:rPr>
        <w:t>18</w:t>
      </w:r>
    </w:p>
    <w:p w14:paraId="3141E95B">
      <w:pPr>
        <w:pStyle w:val="11"/>
        <w:adjustRightInd w:val="0"/>
        <w:snapToGrid w:val="0"/>
        <w:spacing w:line="440" w:lineRule="exact"/>
        <w:jc w:val="left"/>
        <w:rPr>
          <w:rFonts w:ascii="仿宋" w:hAnsi="仿宋" w:eastAsia="仿宋"/>
          <w:sz w:val="24"/>
        </w:rPr>
      </w:pPr>
      <w:r>
        <w:rPr>
          <w:rFonts w:hint="eastAsia"/>
          <w:sz w:val="24"/>
        </w:rPr>
        <w:t>附件</w:t>
      </w:r>
      <w:r>
        <w:rPr>
          <w:sz w:val="24"/>
        </w:rPr>
        <w:t>1</w:t>
      </w:r>
      <w:r>
        <w:rPr>
          <w:sz w:val="24"/>
        </w:rPr>
        <w:tab/>
      </w:r>
      <w:r>
        <w:rPr>
          <w:sz w:val="24"/>
        </w:rPr>
        <w:t>18</w:t>
      </w:r>
    </w:p>
    <w:p w14:paraId="22ED7F1E">
      <w:pPr>
        <w:pStyle w:val="11"/>
        <w:adjustRightInd w:val="0"/>
        <w:snapToGrid w:val="0"/>
        <w:spacing w:line="440" w:lineRule="exact"/>
        <w:jc w:val="left"/>
        <w:rPr>
          <w:rFonts w:ascii="仿宋" w:hAnsi="仿宋" w:eastAsia="仿宋"/>
          <w:sz w:val="24"/>
        </w:rPr>
      </w:pPr>
      <w:r>
        <w:rPr>
          <w:rFonts w:hint="eastAsia"/>
          <w:sz w:val="24"/>
        </w:rPr>
        <w:t>附件</w:t>
      </w:r>
      <w:r>
        <w:rPr>
          <w:sz w:val="24"/>
        </w:rPr>
        <w:t>2</w:t>
      </w:r>
      <w:r>
        <w:rPr>
          <w:sz w:val="24"/>
        </w:rPr>
        <w:tab/>
      </w:r>
      <w:r>
        <w:rPr>
          <w:sz w:val="24"/>
        </w:rPr>
        <w:t>18</w:t>
      </w:r>
    </w:p>
    <w:p w14:paraId="5AA91805">
      <w:pPr>
        <w:pStyle w:val="10"/>
        <w:adjustRightInd w:val="0"/>
        <w:snapToGrid w:val="0"/>
        <w:spacing w:before="0" w:line="440" w:lineRule="exact"/>
        <w:jc w:val="left"/>
        <w:rPr>
          <w:sz w:val="24"/>
          <w:szCs w:val="24"/>
        </w:rPr>
      </w:pPr>
      <w:r>
        <w:rPr>
          <w:rFonts w:hint="eastAsia"/>
          <w:sz w:val="24"/>
        </w:rPr>
        <w:t>第五部分</w:t>
      </w:r>
      <w:r>
        <w:rPr>
          <w:sz w:val="24"/>
        </w:rPr>
        <w:t xml:space="preserve"> </w:t>
      </w:r>
      <w:r>
        <w:rPr>
          <w:rFonts w:hint="eastAsia"/>
          <w:sz w:val="24"/>
        </w:rPr>
        <w:t>附表</w:t>
      </w:r>
      <w:r>
        <w:rPr>
          <w:sz w:val="24"/>
        </w:rPr>
        <w:tab/>
      </w:r>
      <w:r>
        <w:rPr>
          <w:sz w:val="24"/>
        </w:rPr>
        <w:t>22</w:t>
      </w:r>
    </w:p>
    <w:p w14:paraId="6A2B4704">
      <w:pPr>
        <w:pStyle w:val="11"/>
        <w:adjustRightInd w:val="0"/>
        <w:snapToGrid w:val="0"/>
        <w:spacing w:line="440" w:lineRule="exact"/>
        <w:jc w:val="left"/>
        <w:rPr>
          <w:rFonts w:ascii="仿宋" w:hAnsi="仿宋" w:eastAsia="仿宋"/>
          <w:sz w:val="24"/>
        </w:rPr>
      </w:pPr>
      <w:r>
        <w:rPr>
          <w:rFonts w:hint="eastAsia" w:ascii="仿宋" w:hAnsi="仿宋" w:eastAsia="仿宋"/>
          <w:sz w:val="24"/>
        </w:rPr>
        <w:t>一、</w:t>
      </w:r>
      <w:r>
        <w:rPr>
          <w:rFonts w:hint="eastAsia"/>
          <w:sz w:val="24"/>
        </w:rPr>
        <w:t>收入支出决算总表</w:t>
      </w:r>
      <w:r>
        <w:rPr>
          <w:sz w:val="24"/>
        </w:rPr>
        <w:tab/>
      </w:r>
      <w:r>
        <w:rPr>
          <w:sz w:val="24"/>
        </w:rPr>
        <w:t>22</w:t>
      </w:r>
    </w:p>
    <w:p w14:paraId="7C3A1C72">
      <w:pPr>
        <w:pStyle w:val="11"/>
        <w:adjustRightInd w:val="0"/>
        <w:snapToGrid w:val="0"/>
        <w:spacing w:line="440" w:lineRule="exact"/>
        <w:jc w:val="left"/>
        <w:rPr>
          <w:rFonts w:ascii="仿宋" w:hAnsi="仿宋" w:eastAsia="仿宋"/>
          <w:sz w:val="24"/>
        </w:rPr>
      </w:pPr>
      <w:r>
        <w:rPr>
          <w:rFonts w:hint="eastAsia" w:ascii="仿宋" w:hAnsi="仿宋" w:eastAsia="仿宋"/>
          <w:sz w:val="24"/>
        </w:rPr>
        <w:t>二、</w:t>
      </w:r>
      <w:r>
        <w:rPr>
          <w:rFonts w:hint="eastAsia"/>
          <w:sz w:val="24"/>
        </w:rPr>
        <w:t>收入</w:t>
      </w:r>
      <w:r>
        <w:rPr>
          <w:rFonts w:hint="eastAsia" w:ascii="仿宋" w:hAnsi="仿宋" w:eastAsia="仿宋"/>
          <w:sz w:val="24"/>
        </w:rPr>
        <w:t>决算</w:t>
      </w:r>
      <w:r>
        <w:rPr>
          <w:rFonts w:hint="eastAsia"/>
          <w:sz w:val="24"/>
        </w:rPr>
        <w:t>表</w:t>
      </w:r>
      <w:r>
        <w:rPr>
          <w:sz w:val="24"/>
        </w:rPr>
        <w:tab/>
      </w:r>
      <w:r>
        <w:rPr>
          <w:sz w:val="24"/>
        </w:rPr>
        <w:t>22</w:t>
      </w:r>
    </w:p>
    <w:p w14:paraId="0E294D40">
      <w:pPr>
        <w:pStyle w:val="11"/>
        <w:adjustRightInd w:val="0"/>
        <w:snapToGrid w:val="0"/>
        <w:spacing w:line="440" w:lineRule="exact"/>
        <w:jc w:val="left"/>
        <w:rPr>
          <w:rFonts w:ascii="仿宋" w:hAnsi="仿宋" w:eastAsia="仿宋"/>
          <w:sz w:val="24"/>
        </w:rPr>
      </w:pPr>
      <w:r>
        <w:rPr>
          <w:rFonts w:hint="eastAsia" w:ascii="仿宋" w:hAnsi="仿宋" w:eastAsia="仿宋"/>
          <w:sz w:val="24"/>
        </w:rPr>
        <w:t>三、</w:t>
      </w:r>
      <w:r>
        <w:rPr>
          <w:rFonts w:hint="eastAsia"/>
          <w:sz w:val="24"/>
        </w:rPr>
        <w:t>支出</w:t>
      </w:r>
      <w:r>
        <w:rPr>
          <w:rFonts w:hint="eastAsia" w:ascii="仿宋" w:hAnsi="仿宋" w:eastAsia="仿宋"/>
          <w:sz w:val="24"/>
        </w:rPr>
        <w:t>决算</w:t>
      </w:r>
      <w:r>
        <w:rPr>
          <w:rFonts w:hint="eastAsia"/>
          <w:sz w:val="24"/>
        </w:rPr>
        <w:t>表</w:t>
      </w:r>
      <w:r>
        <w:rPr>
          <w:sz w:val="24"/>
        </w:rPr>
        <w:tab/>
      </w:r>
      <w:r>
        <w:rPr>
          <w:sz w:val="24"/>
        </w:rPr>
        <w:t>22</w:t>
      </w:r>
    </w:p>
    <w:p w14:paraId="3E1C02E6">
      <w:pPr>
        <w:pStyle w:val="11"/>
        <w:adjustRightInd w:val="0"/>
        <w:snapToGrid w:val="0"/>
        <w:spacing w:line="440" w:lineRule="exact"/>
        <w:jc w:val="left"/>
        <w:rPr>
          <w:rFonts w:ascii="仿宋" w:hAnsi="仿宋" w:eastAsia="仿宋"/>
          <w:sz w:val="24"/>
        </w:rPr>
      </w:pPr>
      <w:r>
        <w:rPr>
          <w:rFonts w:hint="eastAsia" w:ascii="仿宋" w:hAnsi="仿宋" w:eastAsia="仿宋"/>
          <w:sz w:val="24"/>
        </w:rPr>
        <w:t>四、</w:t>
      </w:r>
      <w:r>
        <w:rPr>
          <w:rFonts w:hint="eastAsia"/>
          <w:sz w:val="24"/>
        </w:rPr>
        <w:t>财政拨款收入支出决算总表</w:t>
      </w:r>
      <w:r>
        <w:rPr>
          <w:sz w:val="24"/>
        </w:rPr>
        <w:tab/>
      </w:r>
      <w:r>
        <w:rPr>
          <w:sz w:val="24"/>
        </w:rPr>
        <w:t>22</w:t>
      </w:r>
    </w:p>
    <w:p w14:paraId="6D3025DC">
      <w:pPr>
        <w:pStyle w:val="11"/>
        <w:adjustRightInd w:val="0"/>
        <w:snapToGrid w:val="0"/>
        <w:spacing w:line="440" w:lineRule="exact"/>
        <w:jc w:val="left"/>
        <w:rPr>
          <w:rFonts w:ascii="仿宋" w:hAnsi="仿宋" w:eastAsia="仿宋"/>
          <w:sz w:val="24"/>
        </w:rPr>
      </w:pPr>
      <w:r>
        <w:rPr>
          <w:rFonts w:hint="eastAsia" w:ascii="仿宋" w:hAnsi="仿宋" w:eastAsia="仿宋"/>
          <w:sz w:val="24"/>
        </w:rPr>
        <w:t>五、财政拨款支出决算明细表</w:t>
      </w:r>
      <w:r>
        <w:rPr>
          <w:sz w:val="24"/>
        </w:rPr>
        <w:tab/>
      </w:r>
      <w:r>
        <w:rPr>
          <w:sz w:val="24"/>
        </w:rPr>
        <w:t>22</w:t>
      </w:r>
    </w:p>
    <w:p w14:paraId="0753A1C7">
      <w:pPr>
        <w:pStyle w:val="11"/>
        <w:adjustRightInd w:val="0"/>
        <w:snapToGrid w:val="0"/>
        <w:spacing w:line="440" w:lineRule="exact"/>
        <w:jc w:val="left"/>
        <w:rPr>
          <w:rFonts w:ascii="仿宋" w:hAnsi="仿宋" w:eastAsia="仿宋"/>
          <w:sz w:val="24"/>
        </w:rPr>
      </w:pPr>
      <w:r>
        <w:rPr>
          <w:rFonts w:hint="eastAsia" w:ascii="仿宋" w:hAnsi="仿宋" w:eastAsia="仿宋"/>
          <w:sz w:val="24"/>
        </w:rPr>
        <w:t>六、</w:t>
      </w:r>
      <w:r>
        <w:rPr>
          <w:rFonts w:hint="eastAsia"/>
          <w:sz w:val="24"/>
        </w:rPr>
        <w:t>一般公共预算财政拨款支出决算表</w:t>
      </w:r>
      <w:r>
        <w:rPr>
          <w:sz w:val="24"/>
        </w:rPr>
        <w:tab/>
      </w:r>
      <w:r>
        <w:rPr>
          <w:sz w:val="24"/>
        </w:rPr>
        <w:t>22</w:t>
      </w:r>
    </w:p>
    <w:p w14:paraId="60FF529A">
      <w:pPr>
        <w:pStyle w:val="11"/>
        <w:adjustRightInd w:val="0"/>
        <w:snapToGrid w:val="0"/>
        <w:spacing w:line="440" w:lineRule="exact"/>
        <w:jc w:val="left"/>
        <w:rPr>
          <w:rFonts w:ascii="仿宋" w:hAnsi="仿宋" w:eastAsia="仿宋"/>
          <w:sz w:val="24"/>
        </w:rPr>
      </w:pPr>
      <w:r>
        <w:rPr>
          <w:rFonts w:hint="eastAsia" w:ascii="仿宋" w:hAnsi="仿宋" w:eastAsia="仿宋"/>
          <w:sz w:val="24"/>
        </w:rPr>
        <w:t>七、</w:t>
      </w:r>
      <w:r>
        <w:rPr>
          <w:rFonts w:hint="eastAsia"/>
          <w:sz w:val="24"/>
        </w:rPr>
        <w:t>一般公共预算财政拨款支出决算明细表</w:t>
      </w:r>
      <w:r>
        <w:rPr>
          <w:sz w:val="24"/>
        </w:rPr>
        <w:tab/>
      </w:r>
      <w:r>
        <w:rPr>
          <w:sz w:val="24"/>
        </w:rPr>
        <w:t>22</w:t>
      </w:r>
    </w:p>
    <w:p w14:paraId="3C997DA8">
      <w:pPr>
        <w:pStyle w:val="11"/>
        <w:adjustRightInd w:val="0"/>
        <w:snapToGrid w:val="0"/>
        <w:spacing w:line="440" w:lineRule="exact"/>
        <w:jc w:val="left"/>
        <w:rPr>
          <w:rFonts w:ascii="仿宋" w:hAnsi="仿宋" w:eastAsia="仿宋"/>
          <w:sz w:val="24"/>
        </w:rPr>
      </w:pPr>
      <w:r>
        <w:rPr>
          <w:rFonts w:hint="eastAsia" w:ascii="仿宋" w:hAnsi="仿宋" w:eastAsia="仿宋"/>
          <w:sz w:val="24"/>
        </w:rPr>
        <w:t>八、</w:t>
      </w:r>
      <w:r>
        <w:rPr>
          <w:rFonts w:hint="eastAsia"/>
          <w:sz w:val="24"/>
        </w:rPr>
        <w:t>一般公共预算财政拨款基本支出决算表</w:t>
      </w:r>
      <w:r>
        <w:rPr>
          <w:sz w:val="24"/>
        </w:rPr>
        <w:tab/>
      </w:r>
      <w:r>
        <w:rPr>
          <w:sz w:val="24"/>
        </w:rPr>
        <w:t>22</w:t>
      </w:r>
    </w:p>
    <w:p w14:paraId="65CE961B">
      <w:pPr>
        <w:pStyle w:val="11"/>
        <w:adjustRightInd w:val="0"/>
        <w:snapToGrid w:val="0"/>
        <w:spacing w:line="440" w:lineRule="exact"/>
        <w:jc w:val="left"/>
        <w:rPr>
          <w:rFonts w:ascii="仿宋" w:hAnsi="仿宋" w:eastAsia="仿宋"/>
          <w:sz w:val="24"/>
        </w:rPr>
      </w:pPr>
      <w:r>
        <w:rPr>
          <w:rFonts w:hint="eastAsia" w:ascii="仿宋" w:hAnsi="仿宋" w:eastAsia="仿宋"/>
          <w:sz w:val="24"/>
        </w:rPr>
        <w:t>九、</w:t>
      </w:r>
      <w:r>
        <w:rPr>
          <w:rFonts w:hint="eastAsia"/>
          <w:sz w:val="24"/>
        </w:rPr>
        <w:t>一般公共预算财政拨款项目支出决算表</w:t>
      </w:r>
      <w:r>
        <w:rPr>
          <w:sz w:val="24"/>
        </w:rPr>
        <w:tab/>
      </w:r>
      <w:r>
        <w:rPr>
          <w:sz w:val="24"/>
        </w:rPr>
        <w:t>22</w:t>
      </w:r>
    </w:p>
    <w:p w14:paraId="1B11CE79">
      <w:pPr>
        <w:pStyle w:val="11"/>
        <w:adjustRightInd w:val="0"/>
        <w:snapToGrid w:val="0"/>
        <w:spacing w:line="440" w:lineRule="exact"/>
        <w:jc w:val="left"/>
        <w:rPr>
          <w:rFonts w:ascii="仿宋" w:hAnsi="仿宋" w:eastAsia="仿宋"/>
          <w:sz w:val="24"/>
        </w:rPr>
      </w:pPr>
      <w:r>
        <w:rPr>
          <w:rFonts w:hint="eastAsia" w:ascii="仿宋" w:hAnsi="仿宋" w:eastAsia="仿宋"/>
          <w:sz w:val="24"/>
        </w:rPr>
        <w:t>十、</w:t>
      </w:r>
      <w:r>
        <w:rPr>
          <w:rFonts w:hint="eastAsia"/>
          <w:sz w:val="24"/>
        </w:rPr>
        <w:t>一般公共预算财政拨款“三公”经费支出决算表</w:t>
      </w:r>
      <w:r>
        <w:rPr>
          <w:sz w:val="24"/>
        </w:rPr>
        <w:tab/>
      </w:r>
      <w:r>
        <w:rPr>
          <w:sz w:val="24"/>
        </w:rPr>
        <w:t>22</w:t>
      </w:r>
    </w:p>
    <w:p w14:paraId="4230ED17">
      <w:pPr>
        <w:pStyle w:val="11"/>
        <w:adjustRightInd w:val="0"/>
        <w:snapToGrid w:val="0"/>
        <w:spacing w:line="440" w:lineRule="exact"/>
        <w:jc w:val="left"/>
        <w:rPr>
          <w:rFonts w:ascii="仿宋" w:hAnsi="仿宋" w:eastAsia="仿宋"/>
          <w:sz w:val="24"/>
        </w:rPr>
      </w:pPr>
      <w:r>
        <w:rPr>
          <w:rFonts w:hint="eastAsia" w:ascii="仿宋" w:hAnsi="仿宋" w:eastAsia="仿宋"/>
          <w:sz w:val="24"/>
        </w:rPr>
        <w:t>十一、</w:t>
      </w:r>
      <w:r>
        <w:rPr>
          <w:rFonts w:hint="eastAsia"/>
          <w:sz w:val="24"/>
        </w:rPr>
        <w:t>政府性基金预算财政拨款收入支出决算表</w:t>
      </w:r>
      <w:r>
        <w:rPr>
          <w:sz w:val="24"/>
        </w:rPr>
        <w:tab/>
      </w:r>
      <w:r>
        <w:rPr>
          <w:sz w:val="24"/>
        </w:rPr>
        <w:t>22</w:t>
      </w:r>
    </w:p>
    <w:p w14:paraId="369EE915">
      <w:pPr>
        <w:pStyle w:val="11"/>
        <w:adjustRightInd w:val="0"/>
        <w:snapToGrid w:val="0"/>
        <w:spacing w:line="440" w:lineRule="exact"/>
        <w:jc w:val="left"/>
        <w:rPr>
          <w:rFonts w:ascii="仿宋" w:hAnsi="仿宋" w:eastAsia="仿宋"/>
          <w:sz w:val="24"/>
        </w:rPr>
      </w:pPr>
      <w:r>
        <w:rPr>
          <w:rFonts w:hint="eastAsia" w:ascii="仿宋" w:hAnsi="仿宋" w:eastAsia="仿宋"/>
          <w:sz w:val="24"/>
        </w:rPr>
        <w:t>十二、</w:t>
      </w:r>
      <w:r>
        <w:rPr>
          <w:rFonts w:hint="eastAsia"/>
          <w:sz w:val="24"/>
        </w:rPr>
        <w:t>政府性基金预算财政拨款“三公”经费支出决算表</w:t>
      </w:r>
      <w:r>
        <w:rPr>
          <w:sz w:val="24"/>
        </w:rPr>
        <w:tab/>
      </w:r>
      <w:r>
        <w:rPr>
          <w:sz w:val="24"/>
        </w:rPr>
        <w:t>22</w:t>
      </w:r>
    </w:p>
    <w:p w14:paraId="205060BD">
      <w:pPr>
        <w:pStyle w:val="11"/>
        <w:adjustRightInd w:val="0"/>
        <w:snapToGrid w:val="0"/>
        <w:spacing w:line="440" w:lineRule="exact"/>
        <w:jc w:val="left"/>
        <w:rPr>
          <w:rFonts w:ascii="仿宋" w:hAnsi="仿宋" w:eastAsia="仿宋"/>
          <w:sz w:val="24"/>
        </w:rPr>
      </w:pPr>
      <w:r>
        <w:rPr>
          <w:rFonts w:hint="eastAsia" w:ascii="仿宋" w:hAnsi="仿宋" w:eastAsia="仿宋"/>
          <w:sz w:val="24"/>
        </w:rPr>
        <w:t>十三、</w:t>
      </w:r>
      <w:r>
        <w:rPr>
          <w:rFonts w:hint="eastAsia"/>
          <w:sz w:val="24"/>
        </w:rPr>
        <w:t>国有资本经营预算支出决算表</w:t>
      </w:r>
      <w:r>
        <w:rPr>
          <w:sz w:val="24"/>
        </w:rPr>
        <w:tab/>
      </w:r>
      <w:r>
        <w:rPr>
          <w:sz w:val="24"/>
        </w:rPr>
        <w:t>22</w:t>
      </w:r>
    </w:p>
    <w:p w14:paraId="5677E653">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4C0962CF">
      <w:pPr>
        <w:pStyle w:val="2"/>
        <w:jc w:val="center"/>
        <w:rPr>
          <w:rStyle w:val="17"/>
          <w:rFonts w:ascii="黑体" w:hAnsi="黑体" w:eastAsia="黑体"/>
          <w:b/>
          <w:bCs w:val="0"/>
        </w:rPr>
      </w:pPr>
      <w:r>
        <w:rPr>
          <w:rFonts w:hint="eastAsia" w:ascii="黑体" w:hAnsi="黑体" w:eastAsia="黑体"/>
          <w:b w:val="0"/>
        </w:rPr>
        <w:t>第一部分</w:t>
      </w:r>
      <w:r>
        <w:rPr>
          <w:rFonts w:ascii="黑体" w:hAnsi="黑体" w:eastAsia="黑体"/>
          <w:b w:val="0"/>
        </w:rPr>
        <w:t xml:space="preserve"> </w:t>
      </w:r>
      <w:r>
        <w:rPr>
          <w:rStyle w:val="17"/>
          <w:rFonts w:hint="eastAsia" w:ascii="黑体" w:hAnsi="黑体" w:eastAsia="黑体"/>
          <w:b w:val="0"/>
          <w:bCs w:val="0"/>
        </w:rPr>
        <w:t>部门概况</w:t>
      </w:r>
      <w:bookmarkEnd w:id="12"/>
      <w:bookmarkEnd w:id="13"/>
    </w:p>
    <w:p w14:paraId="3202D866">
      <w:pPr>
        <w:widowControl/>
        <w:jc w:val="left"/>
        <w:rPr>
          <w:rFonts w:ascii="黑体" w:eastAsia="黑体"/>
          <w:color w:val="000000"/>
          <w:sz w:val="32"/>
          <w:szCs w:val="32"/>
        </w:rPr>
      </w:pPr>
    </w:p>
    <w:p w14:paraId="194F0D90">
      <w:pPr>
        <w:pStyle w:val="3"/>
        <w:rPr>
          <w:rStyle w:val="18"/>
          <w:rFonts w:ascii="仿宋" w:hAnsi="仿宋" w:eastAsia="仿宋"/>
          <w:b w:val="0"/>
          <w:bCs w:val="0"/>
        </w:rPr>
      </w:pPr>
      <w:bookmarkStart w:id="14" w:name="_Toc15396600"/>
      <w:bookmarkStart w:id="15" w:name="_Toc15377197"/>
      <w:r>
        <w:rPr>
          <w:rFonts w:hint="eastAsia" w:ascii="黑体" w:hAnsi="黑体" w:eastAsia="黑体"/>
          <w:b w:val="0"/>
          <w:color w:val="000000"/>
        </w:rPr>
        <w:t>一、基</w:t>
      </w:r>
      <w:r>
        <w:rPr>
          <w:rStyle w:val="18"/>
          <w:rFonts w:hint="eastAsia" w:ascii="黑体" w:hAnsi="黑体" w:eastAsia="黑体"/>
          <w:b w:val="0"/>
          <w:bCs w:val="0"/>
        </w:rPr>
        <w:t>本职能及主要工作</w:t>
      </w:r>
      <w:bookmarkEnd w:id="14"/>
      <w:bookmarkEnd w:id="15"/>
    </w:p>
    <w:p w14:paraId="329BBE7D">
      <w:pPr>
        <w:pStyle w:val="5"/>
        <w:adjustRightInd w:val="0"/>
        <w:snapToGrid w:val="0"/>
        <w:spacing w:before="93" w:line="600" w:lineRule="exact"/>
        <w:ind w:firstLine="672" w:firstLineChars="210"/>
        <w:outlineLvl w:val="2"/>
        <w:rPr>
          <w:rFonts w:ascii="仿宋" w:hAnsi="仿宋" w:eastAsia="仿宋"/>
          <w:bCs/>
          <w:color w:val="000000"/>
          <w:sz w:val="32"/>
          <w:szCs w:val="32"/>
        </w:rPr>
      </w:pPr>
      <w:bookmarkStart w:id="16" w:name="_Toc15377198"/>
      <w:bookmarkStart w:id="17" w:name="_Toc15378445"/>
      <w:r>
        <w:rPr>
          <w:rFonts w:hint="eastAsia" w:ascii="仿宋" w:hAnsi="仿宋" w:eastAsia="仿宋"/>
          <w:bCs/>
          <w:color w:val="000000"/>
          <w:sz w:val="32"/>
          <w:szCs w:val="32"/>
        </w:rPr>
        <w:t>（一）主要职能</w:t>
      </w:r>
    </w:p>
    <w:bookmarkEnd w:id="16"/>
    <w:bookmarkEnd w:id="17"/>
    <w:p w14:paraId="64110CD8">
      <w:pPr>
        <w:spacing w:line="560" w:lineRule="exact"/>
        <w:ind w:firstLine="555"/>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组织法学工作者、法律工作者学习和贯彻党的基本理论、基本路线、基本纲领、基本经验，提高政法素质和业务素质，坚持正确的政治方向；</w:t>
      </w:r>
    </w:p>
    <w:p w14:paraId="222BF58A">
      <w:pPr>
        <w:spacing w:line="560" w:lineRule="exact"/>
        <w:ind w:firstLine="555"/>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引领、繁荣法学研究，推进法律理论创新、法律制度创新和法律文化创新，为社会主义民主法制建设提供理论支持；</w:t>
      </w:r>
    </w:p>
    <w:p w14:paraId="03887016">
      <w:pPr>
        <w:spacing w:line="560" w:lineRule="exact"/>
        <w:ind w:firstLine="555"/>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参与政治协商、科学决策和民主监督，对社会主义民主法制建设中的重大理论问题和实践问题，进行学术研讨，提出对策和建议；</w:t>
      </w:r>
    </w:p>
    <w:p w14:paraId="3F6B2CE0">
      <w:pPr>
        <w:spacing w:line="560" w:lineRule="exact"/>
        <w:ind w:firstLine="555"/>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组织法学工作者、法律工作者深入实际进行调查研究，反映新情况，研究新问题，加强信息交流和传播；</w:t>
      </w:r>
    </w:p>
    <w:p w14:paraId="1E725647">
      <w:pPr>
        <w:spacing w:line="560" w:lineRule="exact"/>
        <w:ind w:firstLine="555"/>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参与地方立法总体规划的研究和法律、法规的起草、修改、咨询与论证工作；</w:t>
      </w:r>
    </w:p>
    <w:p w14:paraId="6870C79E">
      <w:pPr>
        <w:spacing w:line="560" w:lineRule="exact"/>
        <w:ind w:firstLine="555"/>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组织评选和表彰本州法学届、优秀法学成果的活动，营造尊重人才、鼓励创新的良好环境；</w:t>
      </w:r>
    </w:p>
    <w:p w14:paraId="07CC8C8A">
      <w:pPr>
        <w:spacing w:line="560" w:lineRule="exact"/>
        <w:ind w:firstLine="555"/>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参与本地法制宣传，主管主办本会法制、法学刊物，编辑出版《阿坝政法》和资料；</w:t>
      </w:r>
    </w:p>
    <w:p w14:paraId="0CB49016">
      <w:pPr>
        <w:spacing w:line="560" w:lineRule="exact"/>
        <w:ind w:firstLine="555"/>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发挥人才、智力优势，开展形式多样的法律服务；</w:t>
      </w:r>
    </w:p>
    <w:p w14:paraId="3DB504CE">
      <w:pPr>
        <w:spacing w:line="560" w:lineRule="exact"/>
        <w:ind w:firstLine="555"/>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指导、协调本州团体会员的工作；</w:t>
      </w:r>
    </w:p>
    <w:p w14:paraId="0ADDD2C5">
      <w:pPr>
        <w:spacing w:line="560" w:lineRule="exact"/>
        <w:ind w:firstLine="555"/>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履行本州法学研究和法学交流社团的职责，做好监督和管理工作；</w:t>
      </w:r>
    </w:p>
    <w:p w14:paraId="667F26E1">
      <w:pPr>
        <w:spacing w:line="560" w:lineRule="exact"/>
        <w:ind w:firstLine="555"/>
        <w:rPr>
          <w:rFonts w:ascii="仿宋_GB2312" w:eastAsia="仿宋_GB2312"/>
          <w:sz w:val="32"/>
          <w:szCs w:val="32"/>
        </w:rPr>
      </w:pPr>
      <w:r>
        <w:rPr>
          <w:rFonts w:ascii="仿宋_GB2312" w:eastAsia="仿宋_GB2312"/>
          <w:sz w:val="32"/>
          <w:szCs w:val="32"/>
        </w:rPr>
        <w:t>11.</w:t>
      </w:r>
      <w:r>
        <w:rPr>
          <w:rFonts w:hint="eastAsia" w:ascii="仿宋_GB2312" w:eastAsia="仿宋_GB2312"/>
          <w:sz w:val="32"/>
          <w:szCs w:val="32"/>
        </w:rPr>
        <w:t>反映本州广大会员和法学界、法律界和意见与要求，维护会员的合法利益。</w:t>
      </w:r>
    </w:p>
    <w:p w14:paraId="10C63262">
      <w:pPr>
        <w:pStyle w:val="5"/>
        <w:adjustRightInd w:val="0"/>
        <w:snapToGrid w:val="0"/>
        <w:spacing w:before="93" w:line="600" w:lineRule="exact"/>
        <w:ind w:firstLine="672" w:firstLineChars="210"/>
        <w:outlineLvl w:val="2"/>
        <w:rPr>
          <w:rFonts w:ascii="仿宋" w:hAnsi="仿宋" w:eastAsia="仿宋"/>
          <w:bCs/>
          <w:color w:val="000000"/>
          <w:sz w:val="32"/>
          <w:szCs w:val="32"/>
        </w:rPr>
      </w:pPr>
      <w:bookmarkStart w:id="18" w:name="_Toc15378446"/>
      <w:bookmarkStart w:id="19" w:name="_Toc15377199"/>
      <w:r>
        <w:rPr>
          <w:rFonts w:hint="eastAsia" w:ascii="仿宋" w:hAnsi="仿宋" w:eastAsia="仿宋"/>
          <w:bCs/>
          <w:color w:val="000000"/>
          <w:sz w:val="32"/>
          <w:szCs w:val="32"/>
        </w:rPr>
        <w:t>（二）</w:t>
      </w:r>
      <w:r>
        <w:rPr>
          <w:rFonts w:ascii="仿宋" w:hAnsi="仿宋" w:eastAsia="仿宋"/>
          <w:bCs/>
          <w:color w:val="000000"/>
          <w:sz w:val="32"/>
          <w:szCs w:val="32"/>
        </w:rPr>
        <w:t>2019</w:t>
      </w:r>
      <w:r>
        <w:rPr>
          <w:rFonts w:hint="eastAsia" w:ascii="仿宋" w:hAnsi="仿宋" w:eastAsia="仿宋"/>
          <w:bCs/>
          <w:color w:val="000000"/>
          <w:sz w:val="32"/>
          <w:szCs w:val="32"/>
        </w:rPr>
        <w:t>年重点工作完成情况</w:t>
      </w:r>
      <w:bookmarkEnd w:id="18"/>
      <w:bookmarkEnd w:id="19"/>
    </w:p>
    <w:p w14:paraId="7696292D">
      <w:pPr>
        <w:spacing w:line="560" w:lineRule="exact"/>
        <w:ind w:firstLine="643" w:firstLineChars="200"/>
        <w:rPr>
          <w:rFonts w:eastAsia="楷体_GB2312"/>
          <w:b/>
          <w:sz w:val="32"/>
          <w:szCs w:val="32"/>
        </w:rPr>
      </w:pPr>
      <w:r>
        <w:rPr>
          <w:rFonts w:eastAsia="楷体_GB2312"/>
          <w:b/>
          <w:sz w:val="32"/>
          <w:szCs w:val="32"/>
        </w:rPr>
        <w:t>1.</w:t>
      </w:r>
      <w:r>
        <w:rPr>
          <w:rFonts w:hint="eastAsia" w:eastAsia="楷体_GB2312"/>
          <w:b/>
          <w:sz w:val="32"/>
          <w:szCs w:val="32"/>
        </w:rPr>
        <w:t>以围绕中心服务大局为要务，助推全州经济社会发展</w:t>
      </w:r>
    </w:p>
    <w:p w14:paraId="4BAC141E">
      <w:pPr>
        <w:spacing w:line="560" w:lineRule="exact"/>
        <w:ind w:firstLine="640" w:firstLineChars="200"/>
        <w:rPr>
          <w:rFonts w:eastAsia="仿宋_GB2312"/>
          <w:kern w:val="0"/>
          <w:sz w:val="32"/>
          <w:szCs w:val="32"/>
        </w:rPr>
      </w:pPr>
      <w:r>
        <w:rPr>
          <w:rFonts w:hint="eastAsia" w:eastAsia="仿宋_GB2312"/>
          <w:kern w:val="0"/>
          <w:sz w:val="32"/>
          <w:szCs w:val="32"/>
        </w:rPr>
        <w:t>今年以来，</w:t>
      </w:r>
      <w:r>
        <w:rPr>
          <w:rFonts w:hint="eastAsia" w:eastAsia="仿宋_GB2312"/>
          <w:sz w:val="32"/>
          <w:szCs w:val="32"/>
        </w:rPr>
        <w:t>州法学会紧紧围绕全州工作大局，团结引领广大法学法律工作者，为推进法治阿坝和平安阿坝建设建言献策，在政治、经济、社会生活等各个领域，在立法、执法、司法、法律服务、法治宣传教育、培养法律人才等方面发挥了积极作用。为全州改革发展稳定大局、促进经济社会健康发展做出了积极贡献，成为推进全面依法治州的重要力量。今年，</w:t>
      </w:r>
      <w:r>
        <w:rPr>
          <w:rFonts w:hint="eastAsia" w:eastAsia="仿宋_GB2312"/>
          <w:color w:val="000000"/>
          <w:spacing w:val="6"/>
          <w:kern w:val="0"/>
          <w:sz w:val="32"/>
          <w:szCs w:val="32"/>
        </w:rPr>
        <w:t>围绕</w:t>
      </w:r>
      <w:r>
        <w:rPr>
          <w:rFonts w:hint="eastAsia" w:eastAsia="仿宋_GB2312"/>
          <w:kern w:val="0"/>
          <w:sz w:val="32"/>
          <w:szCs w:val="32"/>
        </w:rPr>
        <w:t>基层社会治理、金融风险防范与化解、知识产权保护、优化营商环境等方面，开展了前瞻性、深层次的法学研究，并形成专题报告，及时为党委、政府提供决策建议和智力支持。</w:t>
      </w:r>
      <w:r>
        <w:rPr>
          <w:rFonts w:hint="eastAsia" w:eastAsia="仿宋_GB2312"/>
          <w:sz w:val="32"/>
          <w:szCs w:val="32"/>
        </w:rPr>
        <w:t>各县（市）法学会也紧紧</w:t>
      </w:r>
      <w:r>
        <w:rPr>
          <w:rFonts w:hint="eastAsia" w:eastAsia="仿宋_GB2312"/>
          <w:bCs/>
          <w:sz w:val="32"/>
          <w:szCs w:val="32"/>
        </w:rPr>
        <w:t>围绕领导关注、群众关心的热点、难点法律问题，有计划、有重点、有步骤地组织研究，及时拿出高质量的成果和有针对性的对策建议，切实当好党委、政府的</w:t>
      </w:r>
      <w:r>
        <w:rPr>
          <w:rFonts w:eastAsia="仿宋_GB2312"/>
          <w:bCs/>
          <w:sz w:val="32"/>
          <w:szCs w:val="32"/>
        </w:rPr>
        <w:t>“</w:t>
      </w:r>
      <w:r>
        <w:rPr>
          <w:rFonts w:hint="eastAsia" w:eastAsia="仿宋_GB2312"/>
          <w:bCs/>
          <w:sz w:val="32"/>
          <w:szCs w:val="32"/>
        </w:rPr>
        <w:t>智囊团</w:t>
      </w:r>
      <w:r>
        <w:rPr>
          <w:rFonts w:eastAsia="仿宋_GB2312"/>
          <w:bCs/>
          <w:sz w:val="32"/>
          <w:szCs w:val="32"/>
        </w:rPr>
        <w:t>”“</w:t>
      </w:r>
      <w:r>
        <w:rPr>
          <w:rFonts w:hint="eastAsia" w:eastAsia="仿宋_GB2312"/>
          <w:bCs/>
          <w:sz w:val="32"/>
          <w:szCs w:val="32"/>
        </w:rPr>
        <w:t>思想库</w:t>
      </w:r>
      <w:r>
        <w:rPr>
          <w:rFonts w:eastAsia="仿宋_GB2312"/>
          <w:bCs/>
          <w:sz w:val="32"/>
          <w:szCs w:val="32"/>
        </w:rPr>
        <w:t>”</w:t>
      </w:r>
      <w:r>
        <w:rPr>
          <w:rFonts w:hint="eastAsia" w:eastAsia="仿宋_GB2312"/>
          <w:bCs/>
          <w:sz w:val="32"/>
          <w:szCs w:val="32"/>
        </w:rPr>
        <w:t>。如</w:t>
      </w:r>
      <w:r>
        <w:rPr>
          <w:rFonts w:eastAsia="仿宋_GB2312"/>
          <w:bCs/>
          <w:sz w:val="32"/>
          <w:szCs w:val="32"/>
        </w:rPr>
        <w:t>:</w:t>
      </w:r>
      <w:r>
        <w:rPr>
          <w:rFonts w:hint="eastAsia" w:eastAsia="仿宋_GB2312"/>
          <w:b/>
          <w:kern w:val="0"/>
          <w:sz w:val="32"/>
          <w:szCs w:val="32"/>
        </w:rPr>
        <w:t>茂县法学会</w:t>
      </w:r>
      <w:r>
        <w:rPr>
          <w:rFonts w:hint="eastAsia" w:eastAsia="仿宋_GB2312"/>
          <w:kern w:val="0"/>
          <w:sz w:val="32"/>
          <w:szCs w:val="32"/>
        </w:rPr>
        <w:t>围绕深化平安茂县建设各项具体工作，积极调查研究，提出多条建设性意见。</w:t>
      </w:r>
      <w:r>
        <w:rPr>
          <w:rFonts w:hint="eastAsia" w:eastAsia="仿宋_GB2312"/>
          <w:b/>
          <w:kern w:val="0"/>
          <w:sz w:val="32"/>
          <w:szCs w:val="32"/>
        </w:rPr>
        <w:t>九寨沟县法学会</w:t>
      </w:r>
      <w:r>
        <w:rPr>
          <w:rFonts w:hint="eastAsia" w:eastAsia="仿宋_GB2312"/>
          <w:kern w:val="0"/>
          <w:sz w:val="32"/>
          <w:szCs w:val="32"/>
        </w:rPr>
        <w:t>瞄准</w:t>
      </w:r>
      <w:r>
        <w:rPr>
          <w:rFonts w:hint="eastAsia" w:eastAsia="仿宋_GB2312"/>
          <w:bCs/>
          <w:color w:val="000000"/>
          <w:sz w:val="32"/>
          <w:szCs w:val="32"/>
          <w:shd w:val="clear" w:color="auto" w:fill="FFFEFB"/>
        </w:rPr>
        <w:t>灾后重建</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重点建设项目多、施工单位多、外来务工人员多</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的</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三多</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现象，突出解决重点工程项目法治宣传教育不足的问题，通过持续开展</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法律政策进工地</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法治体检</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等活动，组织律师为工地项目部提供</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点对点</w:t>
      </w:r>
      <w:r>
        <w:rPr>
          <w:rFonts w:eastAsia="仿宋_GB2312"/>
          <w:bCs/>
          <w:color w:val="000000"/>
          <w:sz w:val="32"/>
          <w:szCs w:val="32"/>
          <w:shd w:val="clear" w:color="auto" w:fill="FFFEFB"/>
        </w:rPr>
        <w:t>”</w:t>
      </w:r>
      <w:r>
        <w:rPr>
          <w:rFonts w:hint="eastAsia" w:eastAsia="仿宋_GB2312"/>
          <w:bCs/>
          <w:color w:val="000000"/>
          <w:sz w:val="32"/>
          <w:szCs w:val="32"/>
          <w:shd w:val="clear" w:color="auto" w:fill="FFFEFB"/>
        </w:rPr>
        <w:t>的一站式法治体检服务，审查劳动合同</w:t>
      </w:r>
      <w:r>
        <w:rPr>
          <w:rFonts w:eastAsia="仿宋_GB2312"/>
          <w:bCs/>
          <w:color w:val="000000"/>
          <w:sz w:val="32"/>
          <w:szCs w:val="32"/>
          <w:shd w:val="clear" w:color="auto" w:fill="FFFEFB"/>
        </w:rPr>
        <w:t>120</w:t>
      </w:r>
      <w:r>
        <w:rPr>
          <w:rFonts w:hint="eastAsia" w:eastAsia="仿宋_GB2312"/>
          <w:bCs/>
          <w:color w:val="000000"/>
          <w:sz w:val="32"/>
          <w:szCs w:val="32"/>
          <w:shd w:val="clear" w:color="auto" w:fill="FFFEFB"/>
        </w:rPr>
        <w:t>余份，提出法律意见</w:t>
      </w:r>
      <w:r>
        <w:rPr>
          <w:rFonts w:eastAsia="仿宋_GB2312"/>
          <w:bCs/>
          <w:color w:val="000000"/>
          <w:sz w:val="32"/>
          <w:szCs w:val="32"/>
          <w:shd w:val="clear" w:color="auto" w:fill="FFFEFB"/>
        </w:rPr>
        <w:t>20</w:t>
      </w:r>
      <w:r>
        <w:rPr>
          <w:rFonts w:hint="eastAsia" w:eastAsia="仿宋_GB2312"/>
          <w:bCs/>
          <w:color w:val="000000"/>
          <w:sz w:val="32"/>
          <w:szCs w:val="32"/>
          <w:shd w:val="clear" w:color="auto" w:fill="FFFEFB"/>
        </w:rPr>
        <w:t>余条，保障了重点建设项目的有序推进。</w:t>
      </w:r>
    </w:p>
    <w:p w14:paraId="649E5423">
      <w:pPr>
        <w:spacing w:line="560" w:lineRule="exact"/>
        <w:ind w:firstLine="664" w:firstLineChars="200"/>
        <w:rPr>
          <w:rFonts w:eastAsia="仿宋_GB2312"/>
          <w:sz w:val="32"/>
          <w:szCs w:val="32"/>
        </w:rPr>
      </w:pPr>
      <w:r>
        <w:rPr>
          <w:rFonts w:hint="eastAsia" w:eastAsia="仿宋_GB2312"/>
          <w:color w:val="000000"/>
          <w:spacing w:val="6"/>
          <w:kern w:val="0"/>
          <w:sz w:val="32"/>
          <w:szCs w:val="32"/>
        </w:rPr>
        <w:t>同时，</w:t>
      </w:r>
      <w:r>
        <w:rPr>
          <w:rFonts w:hint="eastAsia" w:eastAsia="仿宋_GB2312"/>
          <w:kern w:val="0"/>
          <w:sz w:val="32"/>
          <w:szCs w:val="32"/>
        </w:rPr>
        <w:t>针对我州</w:t>
      </w:r>
      <w:r>
        <w:rPr>
          <w:rFonts w:hint="eastAsia" w:eastAsia="仿宋_GB2312"/>
          <w:sz w:val="32"/>
          <w:szCs w:val="32"/>
        </w:rPr>
        <w:t>社会矛盾纠纷出现的新情况、新问题，且呈现出主体多元、范围广、原因复杂等特点的实际，充分发挥法学会会员来自各族各界、各行各业各部门的优势，紧紧抓住矛盾纠纷、涉法涉诉等环节，着力化解社会矛盾，助推藏区依法常态化治理工作深入开展。州法学会将全州</w:t>
      </w:r>
      <w:r>
        <w:rPr>
          <w:rFonts w:eastAsia="仿宋_GB2312"/>
          <w:sz w:val="32"/>
          <w:szCs w:val="32"/>
        </w:rPr>
        <w:t>109</w:t>
      </w:r>
      <w:r>
        <w:rPr>
          <w:rFonts w:hint="eastAsia" w:eastAsia="仿宋_GB2312"/>
          <w:sz w:val="32"/>
          <w:szCs w:val="32"/>
        </w:rPr>
        <w:t>名特邀调解员纳入法学会专家智库，有针对性地选择较疑难的矛盾纠纷，指导所属县（市）、乡（镇）和职能部门的法学会会员开展矛盾纠纷排查化解工作，切实</w:t>
      </w:r>
      <w:r>
        <w:rPr>
          <w:rFonts w:hint="eastAsia" w:eastAsia="仿宋_GB2312"/>
          <w:spacing w:val="6"/>
          <w:sz w:val="32"/>
          <w:szCs w:val="32"/>
        </w:rPr>
        <w:t>提高依法化解矛盾纠纷的能力和效果</w:t>
      </w:r>
      <w:r>
        <w:rPr>
          <w:rFonts w:hint="eastAsia" w:eastAsia="仿宋_GB2312"/>
          <w:sz w:val="32"/>
          <w:szCs w:val="32"/>
        </w:rPr>
        <w:t>。如，</w:t>
      </w:r>
      <w:r>
        <w:rPr>
          <w:rFonts w:hint="eastAsia" w:eastAsia="仿宋_GB2312"/>
          <w:b/>
          <w:sz w:val="32"/>
          <w:szCs w:val="32"/>
        </w:rPr>
        <w:t>壤塘县法学会</w:t>
      </w:r>
      <w:r>
        <w:rPr>
          <w:rFonts w:hint="eastAsia" w:eastAsia="仿宋_GB2312"/>
          <w:sz w:val="32"/>
          <w:szCs w:val="32"/>
        </w:rPr>
        <w:t>组织会员积极参与县域内“三山一界”重大矛盾纠纷的化解工作，与甘孜州炉霍县长达</w:t>
      </w:r>
      <w:r>
        <w:rPr>
          <w:rFonts w:eastAsia="仿宋_GB2312"/>
          <w:sz w:val="32"/>
          <w:szCs w:val="32"/>
        </w:rPr>
        <w:t>30</w:t>
      </w:r>
      <w:r>
        <w:rPr>
          <w:rFonts w:hint="eastAsia" w:eastAsia="仿宋_GB2312"/>
          <w:sz w:val="32"/>
          <w:szCs w:val="32"/>
        </w:rPr>
        <w:t>余年的边界草场纠纷得到有效稳控。各级法学会还充分发挥律师会员的专业优势，第一时间参与化解和代理涉法涉诉信访案件，稳控信访人，及时向政法机关提出法律处理意见，有效化解、处理涉法涉诉案件，确保了社会和谐稳定。截至目前，</w:t>
      </w:r>
      <w:r>
        <w:rPr>
          <w:rFonts w:hint="eastAsia" w:eastAsia="仿宋_GB2312"/>
          <w:b/>
          <w:sz w:val="32"/>
          <w:szCs w:val="32"/>
        </w:rPr>
        <w:t>小金、汶川、茂县、九寨沟</w:t>
      </w:r>
      <w:r>
        <w:rPr>
          <w:rFonts w:hint="eastAsia" w:eastAsia="仿宋_GB2312"/>
          <w:sz w:val="32"/>
          <w:szCs w:val="32"/>
        </w:rPr>
        <w:t>等县先后成立了</w:t>
      </w:r>
      <w:r>
        <w:rPr>
          <w:rFonts w:eastAsia="仿宋_GB2312"/>
          <w:sz w:val="32"/>
          <w:szCs w:val="32"/>
        </w:rPr>
        <w:t>26</w:t>
      </w:r>
      <w:r>
        <w:rPr>
          <w:rFonts w:hint="eastAsia" w:eastAsia="仿宋_GB2312"/>
          <w:sz w:val="32"/>
          <w:szCs w:val="32"/>
        </w:rPr>
        <w:t>个以个人姓名命名的专家调解室。</w:t>
      </w:r>
    </w:p>
    <w:p w14:paraId="566A1355">
      <w:pPr>
        <w:spacing w:line="560" w:lineRule="exact"/>
        <w:ind w:firstLine="643" w:firstLineChars="200"/>
        <w:rPr>
          <w:rFonts w:eastAsia="楷体_GB2312"/>
          <w:b/>
          <w:sz w:val="32"/>
          <w:szCs w:val="32"/>
        </w:rPr>
      </w:pPr>
      <w:r>
        <w:rPr>
          <w:rFonts w:eastAsia="楷体_GB2312"/>
          <w:b/>
          <w:sz w:val="32"/>
          <w:szCs w:val="32"/>
        </w:rPr>
        <w:t>2.</w:t>
      </w:r>
      <w:r>
        <w:rPr>
          <w:rFonts w:hint="eastAsia" w:eastAsia="楷体_GB2312"/>
          <w:b/>
          <w:sz w:val="32"/>
          <w:szCs w:val="32"/>
        </w:rPr>
        <w:t>以思想引领为先导，推动法学研究繁荣发展</w:t>
      </w:r>
    </w:p>
    <w:p w14:paraId="12F135EA">
      <w:pPr>
        <w:spacing w:line="560" w:lineRule="exact"/>
        <w:ind w:firstLine="640" w:firstLineChars="200"/>
        <w:rPr>
          <w:rFonts w:eastAsia="仿宋_GB2312"/>
          <w:spacing w:val="6"/>
          <w:sz w:val="32"/>
          <w:szCs w:val="32"/>
        </w:rPr>
      </w:pPr>
      <w:r>
        <w:rPr>
          <w:rFonts w:hint="eastAsia" w:eastAsia="仿宋_GB2312"/>
          <w:bCs/>
          <w:kern w:val="0"/>
          <w:sz w:val="32"/>
          <w:szCs w:val="32"/>
        </w:rPr>
        <w:t>始终坚持法学研究的正确政治方向，</w:t>
      </w:r>
      <w:r>
        <w:rPr>
          <w:rFonts w:hint="eastAsia" w:eastAsia="仿宋_GB2312"/>
          <w:sz w:val="32"/>
          <w:szCs w:val="32"/>
        </w:rPr>
        <w:t>狠抓党的群众路线教育、</w:t>
      </w:r>
      <w:r>
        <w:rPr>
          <w:rFonts w:eastAsia="仿宋_GB2312"/>
          <w:sz w:val="32"/>
          <w:szCs w:val="32"/>
        </w:rPr>
        <w:t>“</w:t>
      </w:r>
      <w:r>
        <w:rPr>
          <w:rFonts w:hint="eastAsia" w:eastAsia="仿宋_GB2312"/>
          <w:sz w:val="32"/>
          <w:szCs w:val="32"/>
        </w:rPr>
        <w:t>两学一做</w:t>
      </w:r>
      <w:r>
        <w:rPr>
          <w:rFonts w:eastAsia="仿宋_GB2312"/>
          <w:sz w:val="32"/>
          <w:szCs w:val="32"/>
        </w:rPr>
        <w:t>”“</w:t>
      </w:r>
      <w:r>
        <w:rPr>
          <w:rFonts w:hint="eastAsia" w:eastAsia="仿宋_GB2312"/>
          <w:sz w:val="32"/>
          <w:szCs w:val="32"/>
        </w:rPr>
        <w:t>不忘初心</w:t>
      </w:r>
      <w:r>
        <w:rPr>
          <w:rFonts w:hint="eastAsia" w:eastAsia="仿宋_GB2312"/>
          <w:sz w:val="32"/>
          <w:szCs w:val="32"/>
          <w:lang w:eastAsia="zh-CN"/>
        </w:rPr>
        <w:t>、</w:t>
      </w:r>
      <w:bookmarkStart w:id="68" w:name="_GoBack"/>
      <w:bookmarkEnd w:id="68"/>
      <w:r>
        <w:rPr>
          <w:rFonts w:hint="eastAsia" w:eastAsia="仿宋_GB2312"/>
          <w:sz w:val="32"/>
          <w:szCs w:val="32"/>
        </w:rPr>
        <w:t>牢记使命</w:t>
      </w:r>
      <w:r>
        <w:rPr>
          <w:rFonts w:eastAsia="仿宋_GB2312"/>
          <w:sz w:val="32"/>
          <w:szCs w:val="32"/>
        </w:rPr>
        <w:t>”</w:t>
      </w:r>
      <w:r>
        <w:rPr>
          <w:rFonts w:hint="eastAsia" w:eastAsia="仿宋_GB2312"/>
          <w:sz w:val="32"/>
          <w:szCs w:val="32"/>
        </w:rPr>
        <w:t>主题教育等，确保法学会会员在思想上政治上行动上同以习近平同志为核心的党中央保持高度一致，严守政治纪律、政治规矩，在大是大非面前旗帜鲜明，在重大原则问题上敢于发声、善于发声。</w:t>
      </w:r>
      <w:r>
        <w:rPr>
          <w:rFonts w:hint="eastAsia" w:eastAsia="仿宋_GB2312"/>
          <w:b/>
          <w:spacing w:val="6"/>
          <w:sz w:val="32"/>
          <w:szCs w:val="32"/>
        </w:rPr>
        <w:t>马尔康市</w:t>
      </w:r>
      <w:r>
        <w:rPr>
          <w:rFonts w:hint="eastAsia" w:eastAsia="仿宋_GB2312"/>
          <w:spacing w:val="6"/>
          <w:sz w:val="32"/>
          <w:szCs w:val="32"/>
        </w:rPr>
        <w:t>结合“不忘初心、牢记使命”主题教育活动，组织实务部门会员开展了“恪守初心为民，谱写法治春风”主题演讲比赛，通过生动的法治工作小故事，将现场激烈的</w:t>
      </w:r>
      <w:r>
        <w:rPr>
          <w:rFonts w:eastAsia="仿宋_GB2312"/>
          <w:spacing w:val="6"/>
          <w:sz w:val="32"/>
          <w:szCs w:val="32"/>
        </w:rPr>
        <w:t>PK</w:t>
      </w:r>
      <w:r>
        <w:rPr>
          <w:rFonts w:hint="eastAsia" w:eastAsia="仿宋_GB2312"/>
          <w:spacing w:val="6"/>
          <w:sz w:val="32"/>
          <w:szCs w:val="32"/>
        </w:rPr>
        <w:t>变成了鼓励广大群众知法、守法、爱法的故事大会。金川、红原、汶川、茂县、九寨沟等县通过讨论、讲座、专家咨询会等形式，积极咨政建言，研究提出破难题、化纠纷、解民忧、促民生、护民利的法律政策措施。同时，</w:t>
      </w:r>
      <w:r>
        <w:rPr>
          <w:rFonts w:hint="eastAsia" w:eastAsia="仿宋_GB2312"/>
          <w:spacing w:val="6"/>
          <w:kern w:val="0"/>
          <w:sz w:val="32"/>
          <w:szCs w:val="32"/>
        </w:rPr>
        <w:t>充分利用各类学术交流平台，先后</w:t>
      </w:r>
      <w:r>
        <w:rPr>
          <w:rFonts w:hint="eastAsia" w:eastAsia="仿宋_GB2312"/>
          <w:sz w:val="32"/>
          <w:szCs w:val="32"/>
        </w:rPr>
        <w:t>组织广大会员参加了</w:t>
      </w:r>
      <w:r>
        <w:rPr>
          <w:rFonts w:eastAsia="仿宋_GB2312"/>
          <w:sz w:val="32"/>
          <w:szCs w:val="32"/>
        </w:rPr>
        <w:t>“</w:t>
      </w:r>
      <w:r>
        <w:rPr>
          <w:rFonts w:hint="eastAsia" w:eastAsia="仿宋_GB2312"/>
          <w:sz w:val="32"/>
          <w:szCs w:val="32"/>
        </w:rPr>
        <w:t>中国</w:t>
      </w:r>
      <w:r>
        <w:rPr>
          <w:rFonts w:eastAsia="仿宋_GB2312"/>
          <w:sz w:val="32"/>
          <w:szCs w:val="32"/>
        </w:rPr>
        <w:t>·</w:t>
      </w:r>
      <w:r>
        <w:rPr>
          <w:rFonts w:hint="eastAsia" w:eastAsia="仿宋_GB2312"/>
          <w:sz w:val="32"/>
          <w:szCs w:val="32"/>
        </w:rPr>
        <w:t>西部法治论坛</w:t>
      </w:r>
      <w:r>
        <w:rPr>
          <w:rFonts w:eastAsia="仿宋_GB2312"/>
          <w:sz w:val="32"/>
          <w:szCs w:val="32"/>
        </w:rPr>
        <w:t>”</w:t>
      </w:r>
      <w:r>
        <w:rPr>
          <w:rFonts w:hint="eastAsia" w:eastAsia="仿宋_GB2312"/>
          <w:sz w:val="32"/>
          <w:szCs w:val="32"/>
        </w:rPr>
        <w:t>、</w:t>
      </w:r>
      <w:r>
        <w:rPr>
          <w:rFonts w:hint="eastAsia" w:ascii="仿宋_GB2312" w:eastAsia="仿宋_GB2312"/>
          <w:spacing w:val="6"/>
          <w:kern w:val="0"/>
          <w:sz w:val="32"/>
          <w:szCs w:val="32"/>
        </w:rPr>
        <w:t>“</w:t>
      </w:r>
      <w:r>
        <w:rPr>
          <w:rFonts w:hint="eastAsia" w:ascii="仿宋_GB2312" w:hAnsi="宋体" w:eastAsia="仿宋_GB2312"/>
          <w:bCs/>
          <w:color w:val="000000"/>
          <w:sz w:val="32"/>
          <w:szCs w:val="32"/>
        </w:rPr>
        <w:t>第十四届‘泛珠三角合作与发展法治论坛’暨第六届‘治蜀兴川’法治论坛</w:t>
      </w:r>
      <w:r>
        <w:rPr>
          <w:rFonts w:hint="eastAsia" w:eastAsia="仿宋_GB2312"/>
          <w:spacing w:val="6"/>
          <w:kern w:val="0"/>
          <w:sz w:val="32"/>
          <w:szCs w:val="32"/>
        </w:rPr>
        <w:t>等论坛，</w:t>
      </w:r>
      <w:r>
        <w:rPr>
          <w:rFonts w:hint="eastAsia" w:eastAsia="仿宋_GB2312"/>
          <w:sz w:val="32"/>
          <w:szCs w:val="32"/>
        </w:rPr>
        <w:t>形成研究成果</w:t>
      </w:r>
      <w:r>
        <w:rPr>
          <w:rFonts w:eastAsia="仿宋_GB2312"/>
          <w:sz w:val="32"/>
          <w:szCs w:val="32"/>
        </w:rPr>
        <w:t>90</w:t>
      </w:r>
      <w:r>
        <w:rPr>
          <w:rFonts w:hint="eastAsia" w:eastAsia="仿宋_GB2312"/>
          <w:sz w:val="32"/>
          <w:szCs w:val="32"/>
        </w:rPr>
        <w:t>余篇，其中</w:t>
      </w:r>
      <w:r>
        <w:rPr>
          <w:rFonts w:eastAsia="仿宋_GB2312"/>
          <w:sz w:val="32"/>
          <w:szCs w:val="32"/>
        </w:rPr>
        <w:t>7</w:t>
      </w:r>
      <w:r>
        <w:rPr>
          <w:rFonts w:hint="eastAsia" w:eastAsia="仿宋_GB2312"/>
          <w:sz w:val="32"/>
          <w:szCs w:val="32"/>
        </w:rPr>
        <w:t>篇文章获得相关论坛一、二、三等奖和优秀奖。州委政法委被评为第十四届</w:t>
      </w:r>
      <w:r>
        <w:rPr>
          <w:rFonts w:eastAsia="仿宋_GB2312"/>
          <w:sz w:val="32"/>
          <w:szCs w:val="32"/>
        </w:rPr>
        <w:t>“</w:t>
      </w:r>
      <w:r>
        <w:rPr>
          <w:rFonts w:hint="eastAsia" w:eastAsia="仿宋_GB2312"/>
          <w:sz w:val="32"/>
          <w:szCs w:val="32"/>
        </w:rPr>
        <w:t>泛珠三角合作与发展法治论坛</w:t>
      </w:r>
      <w:r>
        <w:rPr>
          <w:rFonts w:eastAsia="仿宋_GB2312"/>
          <w:sz w:val="32"/>
          <w:szCs w:val="32"/>
        </w:rPr>
        <w:t>”</w:t>
      </w:r>
      <w:r>
        <w:rPr>
          <w:rFonts w:hint="eastAsia" w:eastAsia="仿宋_GB2312"/>
          <w:sz w:val="32"/>
          <w:szCs w:val="32"/>
        </w:rPr>
        <w:t>暨第六届</w:t>
      </w:r>
      <w:r>
        <w:rPr>
          <w:rFonts w:eastAsia="仿宋_GB2312"/>
          <w:sz w:val="32"/>
          <w:szCs w:val="32"/>
        </w:rPr>
        <w:t>“</w:t>
      </w:r>
      <w:r>
        <w:rPr>
          <w:rFonts w:hint="eastAsia" w:eastAsia="仿宋_GB2312"/>
          <w:sz w:val="32"/>
          <w:szCs w:val="32"/>
        </w:rPr>
        <w:t>治蜀兴川</w:t>
      </w:r>
      <w:r>
        <w:rPr>
          <w:rFonts w:eastAsia="仿宋_GB2312"/>
          <w:sz w:val="32"/>
          <w:szCs w:val="32"/>
        </w:rPr>
        <w:t>”</w:t>
      </w:r>
      <w:r>
        <w:rPr>
          <w:rFonts w:hint="eastAsia" w:eastAsia="仿宋_GB2312"/>
          <w:sz w:val="32"/>
          <w:szCs w:val="32"/>
        </w:rPr>
        <w:t>法治论坛</w:t>
      </w:r>
      <w:r>
        <w:rPr>
          <w:rFonts w:eastAsia="仿宋_GB2312"/>
          <w:sz w:val="32"/>
          <w:szCs w:val="32"/>
        </w:rPr>
        <w:t xml:space="preserve"> “</w:t>
      </w:r>
      <w:r>
        <w:rPr>
          <w:rFonts w:hint="eastAsia" w:eastAsia="仿宋_GB2312"/>
          <w:sz w:val="32"/>
          <w:szCs w:val="32"/>
        </w:rPr>
        <w:t>优秀组织单位</w:t>
      </w:r>
      <w:r>
        <w:rPr>
          <w:rFonts w:eastAsia="仿宋_GB2312"/>
          <w:sz w:val="32"/>
          <w:szCs w:val="32"/>
        </w:rPr>
        <w:t>”</w:t>
      </w:r>
      <w:r>
        <w:rPr>
          <w:rFonts w:hint="eastAsia" w:eastAsia="仿宋_GB2312"/>
          <w:sz w:val="32"/>
          <w:szCs w:val="32"/>
        </w:rPr>
        <w:t>。</w:t>
      </w:r>
    </w:p>
    <w:p w14:paraId="3FD5E057">
      <w:pPr>
        <w:widowControl/>
        <w:spacing w:line="560" w:lineRule="exact"/>
        <w:ind w:firstLine="643" w:firstLineChars="200"/>
        <w:rPr>
          <w:rFonts w:eastAsia="楷体_GB2312"/>
          <w:b/>
          <w:bCs/>
          <w:sz w:val="32"/>
          <w:szCs w:val="32"/>
        </w:rPr>
      </w:pPr>
      <w:r>
        <w:rPr>
          <w:rFonts w:eastAsia="楷体_GB2312"/>
          <w:b/>
          <w:bCs/>
          <w:sz w:val="32"/>
          <w:szCs w:val="32"/>
        </w:rPr>
        <w:t>3.</w:t>
      </w:r>
      <w:r>
        <w:rPr>
          <w:rFonts w:hint="eastAsia" w:eastAsia="楷体_GB2312"/>
          <w:b/>
          <w:bCs/>
          <w:sz w:val="32"/>
          <w:szCs w:val="32"/>
        </w:rPr>
        <w:t>以法治宣传教育为抓手，积极营造全社会学法尊法守法用法的良好氛围</w:t>
      </w:r>
    </w:p>
    <w:p w14:paraId="0249B045">
      <w:pPr>
        <w:spacing w:line="560" w:lineRule="exact"/>
        <w:ind w:firstLine="640" w:firstLineChars="200"/>
        <w:rPr>
          <w:rFonts w:ascii="仿宋_GB2312" w:hAnsi="仿宋" w:eastAsia="仿宋_GB2312" w:cs="仿宋_GB2312"/>
          <w:sz w:val="32"/>
          <w:szCs w:val="32"/>
        </w:rPr>
      </w:pPr>
      <w:r>
        <w:rPr>
          <w:rFonts w:hint="eastAsia" w:eastAsia="仿宋_GB2312"/>
          <w:color w:val="000000"/>
          <w:sz w:val="32"/>
          <w:szCs w:val="32"/>
        </w:rPr>
        <w:t>今年，我州广大法律、法学工作者以</w:t>
      </w:r>
      <w:r>
        <w:rPr>
          <w:rFonts w:eastAsia="仿宋_GB2312"/>
          <w:color w:val="000000"/>
          <w:sz w:val="32"/>
          <w:szCs w:val="32"/>
        </w:rPr>
        <w:t>“</w:t>
      </w:r>
      <w:r>
        <w:rPr>
          <w:rFonts w:hint="eastAsia" w:eastAsia="仿宋_GB2312"/>
          <w:color w:val="000000"/>
          <w:sz w:val="32"/>
          <w:szCs w:val="32"/>
        </w:rPr>
        <w:t>贴近基层、贴近群众、贴近实际</w:t>
      </w:r>
      <w:r>
        <w:rPr>
          <w:rFonts w:eastAsia="仿宋_GB2312"/>
          <w:color w:val="000000"/>
          <w:sz w:val="32"/>
          <w:szCs w:val="32"/>
        </w:rPr>
        <w:t>”</w:t>
      </w:r>
      <w:r>
        <w:rPr>
          <w:rFonts w:hint="eastAsia" w:eastAsia="仿宋_GB2312"/>
          <w:color w:val="000000"/>
          <w:sz w:val="32"/>
          <w:szCs w:val="32"/>
        </w:rPr>
        <w:t>为基本要求，</w:t>
      </w:r>
      <w:r>
        <w:rPr>
          <w:rFonts w:hint="eastAsia" w:eastAsia="仿宋_GB2312"/>
          <w:sz w:val="32"/>
          <w:szCs w:val="32"/>
        </w:rPr>
        <w:t>以</w:t>
      </w:r>
      <w:r>
        <w:rPr>
          <w:rFonts w:eastAsia="仿宋_GB2312"/>
          <w:sz w:val="32"/>
          <w:szCs w:val="32"/>
        </w:rPr>
        <w:t>“</w:t>
      </w:r>
      <w:r>
        <w:rPr>
          <w:rFonts w:hint="eastAsia" w:eastAsia="仿宋_GB2312"/>
          <w:sz w:val="32"/>
          <w:szCs w:val="32"/>
        </w:rPr>
        <w:t>爱祖国、学法律、创和谐</w:t>
      </w:r>
      <w:r>
        <w:rPr>
          <w:rFonts w:eastAsia="仿宋_GB2312"/>
          <w:sz w:val="32"/>
          <w:szCs w:val="32"/>
        </w:rPr>
        <w:t>”</w:t>
      </w:r>
      <w:r>
        <w:rPr>
          <w:rFonts w:hint="eastAsia" w:eastAsia="仿宋_GB2312"/>
          <w:sz w:val="32"/>
          <w:szCs w:val="32"/>
        </w:rPr>
        <w:t>为主题，</w:t>
      </w:r>
      <w:r>
        <w:rPr>
          <w:rFonts w:hint="eastAsia" w:eastAsia="仿宋_GB2312"/>
          <w:bCs/>
          <w:kern w:val="0"/>
          <w:sz w:val="32"/>
          <w:szCs w:val="32"/>
        </w:rPr>
        <w:t>集中开展了</w:t>
      </w:r>
      <w:r>
        <w:rPr>
          <w:rFonts w:eastAsia="仿宋_GB2312"/>
          <w:bCs/>
          <w:kern w:val="0"/>
          <w:sz w:val="32"/>
          <w:szCs w:val="32"/>
        </w:rPr>
        <w:t>“</w:t>
      </w:r>
      <w:r>
        <w:rPr>
          <w:rFonts w:hint="eastAsia" w:eastAsia="仿宋_GB2312"/>
          <w:sz w:val="32"/>
          <w:szCs w:val="32"/>
        </w:rPr>
        <w:t>百名法学家百场报告会</w:t>
      </w:r>
      <w:r>
        <w:rPr>
          <w:rFonts w:eastAsia="仿宋_GB2312"/>
          <w:sz w:val="32"/>
          <w:szCs w:val="32"/>
        </w:rPr>
        <w:t>”</w:t>
      </w:r>
      <w:r>
        <w:rPr>
          <w:rFonts w:hint="eastAsia" w:eastAsia="仿宋_GB2312"/>
          <w:color w:val="000000"/>
          <w:spacing w:val="6"/>
          <w:kern w:val="0"/>
          <w:sz w:val="32"/>
          <w:szCs w:val="32"/>
        </w:rPr>
        <w:t>法治宣讲和</w:t>
      </w:r>
      <w:r>
        <w:rPr>
          <w:rFonts w:eastAsia="仿宋_GB2312"/>
          <w:bCs/>
          <w:kern w:val="0"/>
          <w:sz w:val="32"/>
          <w:szCs w:val="32"/>
        </w:rPr>
        <w:t>“</w:t>
      </w:r>
      <w:r>
        <w:rPr>
          <w:rFonts w:hint="eastAsia" w:eastAsia="仿宋_GB2312"/>
          <w:bCs/>
          <w:kern w:val="0"/>
          <w:sz w:val="32"/>
          <w:szCs w:val="32"/>
        </w:rPr>
        <w:t>青年普法志愿者法治文化基层行</w:t>
      </w:r>
      <w:r>
        <w:rPr>
          <w:rFonts w:eastAsia="仿宋_GB2312"/>
          <w:bCs/>
          <w:kern w:val="0"/>
          <w:sz w:val="32"/>
          <w:szCs w:val="32"/>
        </w:rPr>
        <w:t>”</w:t>
      </w:r>
      <w:r>
        <w:rPr>
          <w:rFonts w:hint="eastAsia" w:eastAsia="仿宋_GB2312"/>
          <w:bCs/>
          <w:kern w:val="0"/>
          <w:sz w:val="32"/>
          <w:szCs w:val="32"/>
        </w:rPr>
        <w:t>等活动，</w:t>
      </w:r>
      <w:r>
        <w:rPr>
          <w:rFonts w:hint="eastAsia" w:eastAsia="仿宋_GB2312"/>
          <w:color w:val="000000"/>
          <w:sz w:val="32"/>
          <w:szCs w:val="32"/>
        </w:rPr>
        <w:t>加强党员干部及广大农牧民群众的法制宣传教育，引导他们深度认知、高度信仰法治，全面构建了</w:t>
      </w:r>
      <w:r>
        <w:rPr>
          <w:rFonts w:eastAsia="仿宋_GB2312"/>
          <w:color w:val="000000"/>
          <w:sz w:val="32"/>
          <w:szCs w:val="32"/>
        </w:rPr>
        <w:t>“</w:t>
      </w:r>
      <w:r>
        <w:rPr>
          <w:rFonts w:hint="eastAsia" w:eastAsia="仿宋_GB2312"/>
          <w:color w:val="000000"/>
          <w:sz w:val="32"/>
          <w:szCs w:val="32"/>
        </w:rPr>
        <w:t>办事依法、遇事找法、解决问题用法、化解矛盾靠法</w:t>
      </w:r>
      <w:r>
        <w:rPr>
          <w:rFonts w:eastAsia="仿宋_GB2312"/>
          <w:color w:val="000000"/>
          <w:sz w:val="32"/>
          <w:szCs w:val="32"/>
        </w:rPr>
        <w:t>”</w:t>
      </w:r>
      <w:r>
        <w:rPr>
          <w:rFonts w:hint="eastAsia" w:eastAsia="仿宋_GB2312"/>
          <w:color w:val="000000"/>
          <w:sz w:val="32"/>
          <w:szCs w:val="32"/>
        </w:rPr>
        <w:t>的良好法治环境</w:t>
      </w:r>
      <w:r>
        <w:rPr>
          <w:rFonts w:hint="eastAsia" w:eastAsia="仿宋_GB2312"/>
          <w:sz w:val="32"/>
          <w:szCs w:val="32"/>
        </w:rPr>
        <w:t>。</w:t>
      </w:r>
      <w:r>
        <w:rPr>
          <w:rFonts w:hint="eastAsia" w:eastAsia="仿宋_GB2312"/>
          <w:kern w:val="0"/>
          <w:sz w:val="32"/>
          <w:szCs w:val="32"/>
        </w:rPr>
        <w:t>在今年</w:t>
      </w:r>
      <w:r>
        <w:rPr>
          <w:rFonts w:eastAsia="仿宋_GB2312"/>
          <w:kern w:val="0"/>
          <w:sz w:val="32"/>
          <w:szCs w:val="32"/>
        </w:rPr>
        <w:t>6</w:t>
      </w:r>
      <w:r>
        <w:rPr>
          <w:rFonts w:hint="eastAsia" w:eastAsia="仿宋_GB2312"/>
          <w:kern w:val="0"/>
          <w:sz w:val="32"/>
          <w:szCs w:val="32"/>
        </w:rPr>
        <w:t>月州委中心组（扩大）学习会和</w:t>
      </w:r>
      <w:r>
        <w:rPr>
          <w:rFonts w:eastAsia="仿宋_GB2312"/>
          <w:kern w:val="0"/>
          <w:sz w:val="32"/>
          <w:szCs w:val="32"/>
        </w:rPr>
        <w:t>8</w:t>
      </w:r>
      <w:r>
        <w:rPr>
          <w:rFonts w:hint="eastAsia" w:eastAsia="仿宋_GB2312"/>
          <w:kern w:val="0"/>
          <w:sz w:val="32"/>
          <w:szCs w:val="32"/>
        </w:rPr>
        <w:t>月</w:t>
      </w:r>
      <w:r>
        <w:rPr>
          <w:rFonts w:eastAsia="仿宋_GB2312"/>
          <w:color w:val="000000"/>
          <w:kern w:val="0"/>
          <w:sz w:val="32"/>
          <w:szCs w:val="32"/>
        </w:rPr>
        <w:t>“</w:t>
      </w:r>
      <w:r>
        <w:rPr>
          <w:rFonts w:hint="eastAsia" w:eastAsia="仿宋_GB2312"/>
          <w:color w:val="000000"/>
          <w:kern w:val="0"/>
          <w:sz w:val="32"/>
          <w:szCs w:val="32"/>
        </w:rPr>
        <w:t>领导干部读书班</w:t>
      </w:r>
      <w:r>
        <w:rPr>
          <w:rFonts w:eastAsia="仿宋_GB2312"/>
          <w:color w:val="000000"/>
          <w:kern w:val="0"/>
          <w:sz w:val="32"/>
          <w:szCs w:val="32"/>
        </w:rPr>
        <w:t>”</w:t>
      </w:r>
      <w:r>
        <w:rPr>
          <w:rFonts w:hint="eastAsia" w:eastAsia="仿宋_GB2312"/>
          <w:color w:val="000000"/>
          <w:kern w:val="0"/>
          <w:sz w:val="32"/>
          <w:szCs w:val="32"/>
        </w:rPr>
        <w:t>上，州委书记刘坪分别作了警示教育专题辅导和《做一名合格党员》的党课，</w:t>
      </w:r>
      <w:r>
        <w:rPr>
          <w:rFonts w:hint="eastAsia" w:eastAsia="仿宋_GB2312"/>
          <w:sz w:val="32"/>
          <w:szCs w:val="32"/>
        </w:rPr>
        <w:t>收到积极反响。州法学会、州司法局、州教育局、团州委联合组织“阿坝州藏汉双语法律政策宣讲团”深入马尔康、阿坝、若尔盖、红原、壤塘、松潘等六县（市）</w:t>
      </w:r>
      <w:r>
        <w:rPr>
          <w:rFonts w:eastAsia="仿宋_GB2312"/>
          <w:sz w:val="32"/>
          <w:szCs w:val="32"/>
        </w:rPr>
        <w:t>13</w:t>
      </w:r>
      <w:r>
        <w:rPr>
          <w:rFonts w:hint="eastAsia" w:eastAsia="仿宋_GB2312"/>
          <w:sz w:val="32"/>
          <w:szCs w:val="32"/>
        </w:rPr>
        <w:t>所中学，开展了法律政策进校园法治宣讲活动，</w:t>
      </w:r>
      <w:r>
        <w:rPr>
          <w:rFonts w:hint="eastAsia" w:ascii="仿宋_GB2312" w:hAnsi="微软雅黑" w:eastAsia="仿宋_GB2312"/>
          <w:spacing w:val="8"/>
          <w:sz w:val="32"/>
          <w:szCs w:val="32"/>
          <w:shd w:val="clear" w:color="auto" w:fill="FFFFFF"/>
        </w:rPr>
        <w:t>号召广大青少年心系祖国，从小事做起、从自身做起，自强不息，争做“中国好少年”。</w:t>
      </w:r>
      <w:r>
        <w:rPr>
          <w:rFonts w:hint="eastAsia" w:eastAsia="仿宋_GB2312"/>
          <w:sz w:val="32"/>
          <w:szCs w:val="32"/>
        </w:rPr>
        <w:t>各县（市）</w:t>
      </w:r>
      <w:r>
        <w:rPr>
          <w:rFonts w:hint="eastAsia" w:eastAsia="仿宋_GB2312"/>
          <w:spacing w:val="6"/>
          <w:kern w:val="0"/>
          <w:sz w:val="32"/>
          <w:szCs w:val="32"/>
        </w:rPr>
        <w:t>通过“法律宣传进寺庙”</w:t>
      </w:r>
      <w:r>
        <w:rPr>
          <w:rFonts w:eastAsia="仿宋_GB2312"/>
          <w:spacing w:val="6"/>
          <w:kern w:val="0"/>
          <w:sz w:val="32"/>
          <w:szCs w:val="32"/>
        </w:rPr>
        <w:t>“</w:t>
      </w:r>
      <w:r>
        <w:rPr>
          <w:rFonts w:hint="eastAsia" w:eastAsia="仿宋_GB2312"/>
          <w:spacing w:val="6"/>
          <w:kern w:val="0"/>
          <w:sz w:val="32"/>
          <w:szCs w:val="32"/>
        </w:rPr>
        <w:t>模拟巡回法庭</w:t>
      </w:r>
      <w:r>
        <w:rPr>
          <w:rFonts w:eastAsia="仿宋_GB2312"/>
          <w:spacing w:val="6"/>
          <w:kern w:val="0"/>
          <w:sz w:val="32"/>
          <w:szCs w:val="32"/>
        </w:rPr>
        <w:t>”“</w:t>
      </w:r>
      <w:r>
        <w:rPr>
          <w:rFonts w:hint="eastAsia" w:eastAsia="仿宋_GB2312"/>
          <w:spacing w:val="6"/>
          <w:kern w:val="0"/>
          <w:sz w:val="32"/>
          <w:szCs w:val="32"/>
        </w:rPr>
        <w:t>法治讲座</w:t>
      </w:r>
      <w:r>
        <w:rPr>
          <w:rFonts w:eastAsia="仿宋_GB2312"/>
          <w:spacing w:val="6"/>
          <w:kern w:val="0"/>
          <w:sz w:val="32"/>
          <w:szCs w:val="32"/>
        </w:rPr>
        <w:t>”“</w:t>
      </w:r>
      <w:r>
        <w:rPr>
          <w:rFonts w:hint="eastAsia" w:eastAsia="仿宋_GB2312"/>
          <w:spacing w:val="6"/>
          <w:kern w:val="0"/>
          <w:sz w:val="32"/>
          <w:szCs w:val="32"/>
        </w:rPr>
        <w:t>法治节目汇演</w:t>
      </w:r>
      <w:r>
        <w:rPr>
          <w:rFonts w:eastAsia="仿宋_GB2312"/>
          <w:spacing w:val="6"/>
          <w:kern w:val="0"/>
          <w:sz w:val="32"/>
          <w:szCs w:val="32"/>
        </w:rPr>
        <w:t>”</w:t>
      </w:r>
      <w:r>
        <w:rPr>
          <w:rFonts w:hint="eastAsia" w:eastAsia="仿宋_GB2312"/>
          <w:spacing w:val="6"/>
          <w:kern w:val="0"/>
          <w:sz w:val="32"/>
          <w:szCs w:val="32"/>
        </w:rPr>
        <w:t>等形式，</w:t>
      </w:r>
      <w:r>
        <w:rPr>
          <w:rFonts w:hint="eastAsia" w:eastAsia="仿宋_GB2312"/>
          <w:sz w:val="32"/>
          <w:szCs w:val="32"/>
        </w:rPr>
        <w:t>扎实开展法治宣传教育</w:t>
      </w:r>
      <w:r>
        <w:rPr>
          <w:rFonts w:hint="eastAsia" w:eastAsia="仿宋_GB2312"/>
          <w:bCs/>
          <w:sz w:val="32"/>
          <w:szCs w:val="32"/>
        </w:rPr>
        <w:t>。</w:t>
      </w:r>
      <w:r>
        <w:rPr>
          <w:rFonts w:hint="eastAsia" w:eastAsia="仿宋_GB2312"/>
          <w:sz w:val="32"/>
          <w:szCs w:val="32"/>
        </w:rPr>
        <w:t>今年以来，</w:t>
      </w:r>
      <w:r>
        <w:rPr>
          <w:rFonts w:hint="eastAsia" w:ascii="仿宋_GB2312" w:hAnsi="仿宋" w:eastAsia="仿宋_GB2312"/>
          <w:bCs/>
          <w:sz w:val="32"/>
          <w:szCs w:val="32"/>
        </w:rPr>
        <w:t>全州开展寺庙集中法治宣讲活动</w:t>
      </w:r>
      <w:r>
        <w:rPr>
          <w:rFonts w:ascii="仿宋_GB2312" w:hAnsi="仿宋" w:eastAsia="仿宋_GB2312"/>
          <w:bCs/>
          <w:sz w:val="32"/>
          <w:szCs w:val="32"/>
        </w:rPr>
        <w:t>4</w:t>
      </w:r>
      <w:r>
        <w:rPr>
          <w:rFonts w:hint="eastAsia" w:ascii="仿宋_GB2312" w:hAnsi="仿宋" w:eastAsia="仿宋_GB2312"/>
          <w:bCs/>
          <w:sz w:val="32"/>
          <w:szCs w:val="32"/>
        </w:rPr>
        <w:t>轮，开展寺庙法治宣讲</w:t>
      </w:r>
      <w:r>
        <w:rPr>
          <w:rFonts w:ascii="仿宋_GB2312" w:hAnsi="仿宋" w:eastAsia="仿宋_GB2312"/>
          <w:bCs/>
          <w:sz w:val="32"/>
          <w:szCs w:val="32"/>
        </w:rPr>
        <w:t>120</w:t>
      </w:r>
      <w:r>
        <w:rPr>
          <w:rFonts w:hint="eastAsia" w:ascii="仿宋_GB2312" w:hAnsi="仿宋" w:eastAsia="仿宋_GB2312"/>
          <w:bCs/>
          <w:sz w:val="32"/>
          <w:szCs w:val="32"/>
        </w:rPr>
        <w:t>余场次，发放法治文化产品</w:t>
      </w:r>
      <w:r>
        <w:rPr>
          <w:rFonts w:ascii="仿宋_GB2312" w:hAnsi="仿宋" w:eastAsia="仿宋_GB2312"/>
          <w:bCs/>
          <w:sz w:val="32"/>
          <w:szCs w:val="32"/>
        </w:rPr>
        <w:t>35000</w:t>
      </w:r>
      <w:r>
        <w:rPr>
          <w:rFonts w:hint="eastAsia" w:ascii="仿宋_GB2312" w:hAnsi="仿宋" w:eastAsia="仿宋_GB2312"/>
          <w:bCs/>
          <w:sz w:val="32"/>
          <w:szCs w:val="32"/>
        </w:rPr>
        <w:t>余件，发放各类宣传资料</w:t>
      </w:r>
      <w:r>
        <w:rPr>
          <w:rFonts w:ascii="仿宋_GB2312" w:hAnsi="仿宋" w:eastAsia="仿宋_GB2312"/>
          <w:bCs/>
          <w:sz w:val="32"/>
          <w:szCs w:val="32"/>
        </w:rPr>
        <w:t>50000</w:t>
      </w:r>
      <w:r>
        <w:rPr>
          <w:rFonts w:hint="eastAsia" w:ascii="仿宋_GB2312" w:hAnsi="仿宋" w:eastAsia="仿宋_GB2312"/>
          <w:bCs/>
          <w:sz w:val="32"/>
          <w:szCs w:val="32"/>
        </w:rPr>
        <w:t>余份，受教育僧尼</w:t>
      </w:r>
      <w:r>
        <w:rPr>
          <w:rFonts w:ascii="仿宋_GB2312" w:hAnsi="仿宋" w:eastAsia="仿宋_GB2312"/>
          <w:bCs/>
          <w:sz w:val="32"/>
          <w:szCs w:val="32"/>
        </w:rPr>
        <w:t>15000</w:t>
      </w:r>
      <w:r>
        <w:rPr>
          <w:rFonts w:hint="eastAsia" w:ascii="仿宋_GB2312" w:hAnsi="仿宋" w:eastAsia="仿宋_GB2312"/>
          <w:bCs/>
          <w:sz w:val="32"/>
          <w:szCs w:val="32"/>
        </w:rPr>
        <w:t>余人次。</w:t>
      </w:r>
      <w:r>
        <w:rPr>
          <w:rFonts w:hint="eastAsia" w:eastAsia="仿宋_GB2312"/>
          <w:sz w:val="32"/>
          <w:szCs w:val="32"/>
        </w:rPr>
        <w:t>开展专题学法</w:t>
      </w:r>
      <w:r>
        <w:rPr>
          <w:rFonts w:eastAsia="仿宋_GB2312"/>
          <w:sz w:val="32"/>
          <w:szCs w:val="32"/>
        </w:rPr>
        <w:t>120</w:t>
      </w:r>
      <w:r>
        <w:rPr>
          <w:rFonts w:hint="eastAsia" w:eastAsia="仿宋_GB2312"/>
          <w:sz w:val="32"/>
          <w:szCs w:val="32"/>
        </w:rPr>
        <w:t>余次</w:t>
      </w:r>
      <w:r>
        <w:rPr>
          <w:rFonts w:hint="eastAsia" w:eastAsia="仿宋_GB2312"/>
          <w:color w:val="000000"/>
          <w:sz w:val="32"/>
          <w:szCs w:val="32"/>
        </w:rPr>
        <w:t>，</w:t>
      </w:r>
      <w:r>
        <w:rPr>
          <w:rFonts w:hint="eastAsia" w:eastAsia="仿宋_GB2312"/>
          <w:sz w:val="32"/>
          <w:szCs w:val="32"/>
        </w:rPr>
        <w:t>普法宣传</w:t>
      </w:r>
      <w:r>
        <w:rPr>
          <w:rFonts w:eastAsia="仿宋_GB2312"/>
          <w:sz w:val="32"/>
          <w:szCs w:val="32"/>
        </w:rPr>
        <w:t>2700</w:t>
      </w:r>
      <w:r>
        <w:rPr>
          <w:rFonts w:hint="eastAsia" w:eastAsia="仿宋_GB2312"/>
          <w:sz w:val="32"/>
          <w:szCs w:val="32"/>
        </w:rPr>
        <w:t>余场次，组织文艺汇演</w:t>
      </w:r>
      <w:r>
        <w:rPr>
          <w:rFonts w:eastAsia="仿宋_GB2312"/>
          <w:sz w:val="32"/>
          <w:szCs w:val="32"/>
        </w:rPr>
        <w:t>60</w:t>
      </w:r>
      <w:r>
        <w:rPr>
          <w:rFonts w:hint="eastAsia" w:eastAsia="仿宋_GB2312"/>
          <w:sz w:val="32"/>
          <w:szCs w:val="32"/>
        </w:rPr>
        <w:t>余场次，发放普法材料</w:t>
      </w:r>
      <w:r>
        <w:rPr>
          <w:rFonts w:eastAsia="仿宋_GB2312"/>
          <w:sz w:val="32"/>
          <w:szCs w:val="32"/>
        </w:rPr>
        <w:t>50</w:t>
      </w:r>
      <w:r>
        <w:rPr>
          <w:rFonts w:hint="eastAsia" w:eastAsia="仿宋_GB2312"/>
          <w:sz w:val="32"/>
          <w:szCs w:val="32"/>
        </w:rPr>
        <w:t>余万册，普法对象达</w:t>
      </w:r>
      <w:r>
        <w:rPr>
          <w:rFonts w:eastAsia="仿宋_GB2312"/>
          <w:sz w:val="32"/>
          <w:szCs w:val="32"/>
        </w:rPr>
        <w:t>54</w:t>
      </w:r>
      <w:r>
        <w:rPr>
          <w:rFonts w:hint="eastAsia" w:eastAsia="仿宋_GB2312"/>
          <w:sz w:val="32"/>
          <w:szCs w:val="32"/>
        </w:rPr>
        <w:t>万人</w:t>
      </w:r>
      <w:r>
        <w:rPr>
          <w:rFonts w:hint="eastAsia" w:eastAsia="仿宋_GB2312"/>
          <w:spacing w:val="6"/>
          <w:kern w:val="0"/>
          <w:sz w:val="32"/>
          <w:szCs w:val="32"/>
        </w:rPr>
        <w:t>。特别是</w:t>
      </w:r>
      <w:r>
        <w:rPr>
          <w:rFonts w:eastAsia="仿宋_GB2312"/>
          <w:sz w:val="32"/>
          <w:szCs w:val="32"/>
        </w:rPr>
        <w:t>“</w:t>
      </w:r>
      <w:r>
        <w:rPr>
          <w:rFonts w:hint="eastAsia" w:eastAsia="仿宋_GB2312"/>
          <w:sz w:val="32"/>
          <w:szCs w:val="32"/>
        </w:rPr>
        <w:t>藏汉双语宣讲团</w:t>
      </w:r>
      <w:r>
        <w:rPr>
          <w:rFonts w:eastAsia="仿宋_GB2312"/>
          <w:sz w:val="32"/>
          <w:szCs w:val="32"/>
        </w:rPr>
        <w:t>”</w:t>
      </w:r>
      <w:r>
        <w:rPr>
          <w:rFonts w:eastAsia="仿宋_GB2312"/>
          <w:spacing w:val="6"/>
          <w:kern w:val="0"/>
          <w:sz w:val="32"/>
          <w:szCs w:val="32"/>
        </w:rPr>
        <w:t>“</w:t>
      </w:r>
      <w:r>
        <w:rPr>
          <w:rFonts w:hint="eastAsia" w:eastAsia="仿宋_GB2312"/>
          <w:spacing w:val="6"/>
          <w:kern w:val="0"/>
          <w:sz w:val="32"/>
          <w:szCs w:val="32"/>
        </w:rPr>
        <w:t>姐妹宣讲团</w:t>
      </w:r>
      <w:r>
        <w:rPr>
          <w:rFonts w:eastAsia="仿宋_GB2312"/>
          <w:spacing w:val="6"/>
          <w:kern w:val="0"/>
          <w:sz w:val="32"/>
          <w:szCs w:val="32"/>
        </w:rPr>
        <w:t>”“</w:t>
      </w:r>
      <w:r>
        <w:rPr>
          <w:rFonts w:hint="eastAsia" w:eastAsia="仿宋_GB2312"/>
          <w:spacing w:val="6"/>
          <w:kern w:val="0"/>
          <w:sz w:val="32"/>
          <w:szCs w:val="32"/>
        </w:rPr>
        <w:t>马背宣讲团</w:t>
      </w:r>
      <w:r>
        <w:rPr>
          <w:rFonts w:eastAsia="仿宋_GB2312"/>
          <w:spacing w:val="6"/>
          <w:kern w:val="0"/>
          <w:sz w:val="32"/>
          <w:szCs w:val="32"/>
        </w:rPr>
        <w:t>”</w:t>
      </w:r>
      <w:r>
        <w:rPr>
          <w:rFonts w:hint="eastAsia" w:eastAsia="仿宋_GB2312"/>
          <w:spacing w:val="6"/>
          <w:kern w:val="0"/>
          <w:sz w:val="32"/>
          <w:szCs w:val="32"/>
        </w:rPr>
        <w:t>、谢尔山说唱等普法宣传活动受到广大农牧民群众一致好评。</w:t>
      </w:r>
      <w:r>
        <w:rPr>
          <w:rFonts w:hint="eastAsia" w:ascii="仿宋_GB2312" w:eastAsia="仿宋_GB2312"/>
          <w:bCs/>
          <w:color w:val="000000"/>
          <w:sz w:val="32"/>
          <w:szCs w:val="32"/>
        </w:rPr>
        <w:t>整合资源，依托《阿坝政法》政法内刊，组织筛选优秀论文、案例分析、调研报告等进行刊载，引导广大法学爱好者和法律工作者积极开展法学理论和实践研究，繁荣和丰富地方法学文化，截至目前，共编辑《阿坝政法》</w:t>
      </w:r>
      <w:r>
        <w:rPr>
          <w:rFonts w:ascii="仿宋_GB2312" w:eastAsia="仿宋_GB2312"/>
          <w:bCs/>
          <w:color w:val="000000"/>
          <w:sz w:val="32"/>
          <w:szCs w:val="32"/>
        </w:rPr>
        <w:t>6</w:t>
      </w:r>
      <w:r>
        <w:rPr>
          <w:rFonts w:hint="eastAsia" w:ascii="仿宋_GB2312" w:eastAsia="仿宋_GB2312"/>
          <w:bCs/>
          <w:color w:val="000000"/>
          <w:sz w:val="32"/>
          <w:szCs w:val="32"/>
        </w:rPr>
        <w:t>期。</w:t>
      </w:r>
    </w:p>
    <w:p w14:paraId="711A4CE4">
      <w:pPr>
        <w:spacing w:line="560" w:lineRule="exact"/>
        <w:ind w:firstLine="643" w:firstLineChars="200"/>
        <w:rPr>
          <w:rFonts w:eastAsia="楷体_GB2312"/>
          <w:b/>
          <w:sz w:val="32"/>
          <w:szCs w:val="32"/>
        </w:rPr>
      </w:pPr>
      <w:r>
        <w:rPr>
          <w:rFonts w:eastAsia="楷体_GB2312"/>
          <w:b/>
          <w:sz w:val="32"/>
          <w:szCs w:val="32"/>
        </w:rPr>
        <w:t>4.</w:t>
      </w:r>
      <w:r>
        <w:rPr>
          <w:rFonts w:hint="eastAsia" w:eastAsia="楷体_GB2312"/>
          <w:b/>
          <w:sz w:val="32"/>
          <w:szCs w:val="32"/>
        </w:rPr>
        <w:t>以</w:t>
      </w:r>
      <w:r>
        <w:rPr>
          <w:rFonts w:eastAsia="楷体_GB2312"/>
          <w:b/>
          <w:sz w:val="32"/>
          <w:szCs w:val="32"/>
        </w:rPr>
        <w:t>“</w:t>
      </w:r>
      <w:r>
        <w:rPr>
          <w:rFonts w:hint="eastAsia" w:eastAsia="楷体_GB2312"/>
          <w:b/>
          <w:sz w:val="32"/>
          <w:szCs w:val="32"/>
        </w:rPr>
        <w:t>政治性、先进性、群众性</w:t>
      </w:r>
      <w:r>
        <w:rPr>
          <w:rFonts w:eastAsia="楷体_GB2312"/>
          <w:b/>
          <w:sz w:val="32"/>
          <w:szCs w:val="32"/>
        </w:rPr>
        <w:t>”</w:t>
      </w:r>
      <w:r>
        <w:rPr>
          <w:rFonts w:hint="eastAsia" w:eastAsia="楷体_GB2312"/>
          <w:b/>
          <w:sz w:val="32"/>
          <w:szCs w:val="32"/>
        </w:rPr>
        <w:t>为标准，努力打造过硬法学会队伍</w:t>
      </w:r>
    </w:p>
    <w:p w14:paraId="5C7381A6">
      <w:pPr>
        <w:spacing w:line="560" w:lineRule="exact"/>
        <w:ind w:firstLine="640" w:firstLineChars="200"/>
        <w:rPr>
          <w:rFonts w:eastAsia="仿宋_GB2312"/>
          <w:kern w:val="0"/>
          <w:sz w:val="32"/>
          <w:szCs w:val="32"/>
        </w:rPr>
      </w:pPr>
      <w:r>
        <w:rPr>
          <w:rFonts w:hint="eastAsia" w:eastAsia="仿宋_GB2312"/>
          <w:kern w:val="0"/>
          <w:sz w:val="32"/>
          <w:szCs w:val="32"/>
        </w:rPr>
        <w:t>按照省州法学会工作安排部署，狠抓基层法学会</w:t>
      </w:r>
      <w:r>
        <w:rPr>
          <w:rFonts w:eastAsia="仿宋_GB2312"/>
          <w:kern w:val="0"/>
          <w:sz w:val="32"/>
          <w:szCs w:val="32"/>
        </w:rPr>
        <w:t>“</w:t>
      </w:r>
      <w:r>
        <w:rPr>
          <w:rFonts w:hint="eastAsia" w:eastAsia="仿宋_GB2312"/>
          <w:kern w:val="0"/>
          <w:sz w:val="32"/>
          <w:szCs w:val="32"/>
        </w:rPr>
        <w:t>实体化、实战化</w:t>
      </w:r>
      <w:r>
        <w:rPr>
          <w:rFonts w:eastAsia="仿宋_GB2312"/>
          <w:kern w:val="0"/>
          <w:sz w:val="32"/>
          <w:szCs w:val="32"/>
        </w:rPr>
        <w:t>”</w:t>
      </w:r>
      <w:r>
        <w:rPr>
          <w:rFonts w:hint="eastAsia" w:eastAsia="仿宋_GB2312"/>
          <w:kern w:val="0"/>
          <w:sz w:val="32"/>
          <w:szCs w:val="32"/>
        </w:rPr>
        <w:t>建设。</w:t>
      </w:r>
      <w:r>
        <w:rPr>
          <w:rFonts w:eastAsia="仿宋_GB2312"/>
          <w:kern w:val="0"/>
          <w:sz w:val="32"/>
          <w:szCs w:val="32"/>
        </w:rPr>
        <w:t>2019</w:t>
      </w:r>
      <w:r>
        <w:rPr>
          <w:rFonts w:hint="eastAsia" w:eastAsia="仿宋_GB2312"/>
          <w:kern w:val="0"/>
          <w:sz w:val="32"/>
          <w:szCs w:val="32"/>
        </w:rPr>
        <w:t>年，州法学会通过</w:t>
      </w:r>
      <w:r>
        <w:rPr>
          <w:rFonts w:eastAsia="仿宋_GB2312"/>
          <w:kern w:val="0"/>
          <w:sz w:val="32"/>
          <w:szCs w:val="32"/>
        </w:rPr>
        <w:t>“</w:t>
      </w:r>
      <w:r>
        <w:rPr>
          <w:rFonts w:hint="eastAsia" w:eastAsia="仿宋_GB2312"/>
          <w:kern w:val="0"/>
          <w:sz w:val="32"/>
          <w:szCs w:val="32"/>
        </w:rPr>
        <w:t>点对点</w:t>
      </w:r>
      <w:r>
        <w:rPr>
          <w:rFonts w:eastAsia="仿宋_GB2312"/>
          <w:kern w:val="0"/>
          <w:sz w:val="32"/>
          <w:szCs w:val="32"/>
        </w:rPr>
        <w:t>”</w:t>
      </w:r>
      <w:r>
        <w:rPr>
          <w:rFonts w:hint="eastAsia" w:eastAsia="仿宋_GB2312"/>
          <w:kern w:val="0"/>
          <w:sz w:val="32"/>
          <w:szCs w:val="32"/>
        </w:rPr>
        <w:t>通报、致县（市）委书记的一封信等方式，全面完成</w:t>
      </w:r>
      <w:r>
        <w:rPr>
          <w:rFonts w:eastAsia="仿宋_GB2312"/>
          <w:kern w:val="0"/>
          <w:sz w:val="32"/>
          <w:szCs w:val="32"/>
        </w:rPr>
        <w:t>13</w:t>
      </w:r>
      <w:r>
        <w:rPr>
          <w:rFonts w:hint="eastAsia" w:eastAsia="仿宋_GB2312"/>
          <w:kern w:val="0"/>
          <w:sz w:val="32"/>
          <w:szCs w:val="32"/>
        </w:rPr>
        <w:t>县（市）法学会、法学会党组及其成员建设工作，在</w:t>
      </w:r>
      <w:r>
        <w:rPr>
          <w:rFonts w:hint="eastAsia" w:eastAsia="仿宋_GB2312"/>
          <w:sz w:val="32"/>
          <w:szCs w:val="32"/>
        </w:rPr>
        <w:t>三州民族地区率先</w:t>
      </w:r>
      <w:r>
        <w:rPr>
          <w:rFonts w:hint="eastAsia" w:eastAsia="仿宋_GB2312"/>
          <w:kern w:val="0"/>
          <w:sz w:val="32"/>
          <w:szCs w:val="32"/>
        </w:rPr>
        <w:t>实现了州、县（市）两级法学会、</w:t>
      </w:r>
      <w:r>
        <w:rPr>
          <w:rFonts w:hint="eastAsia" w:eastAsia="仿宋_GB2312"/>
          <w:sz w:val="32"/>
          <w:szCs w:val="32"/>
        </w:rPr>
        <w:t>两级法学会党组及其成员</w:t>
      </w:r>
      <w:r>
        <w:rPr>
          <w:rFonts w:hint="eastAsia" w:eastAsia="仿宋_GB2312"/>
          <w:kern w:val="0"/>
          <w:sz w:val="32"/>
          <w:szCs w:val="32"/>
        </w:rPr>
        <w:t>建设</w:t>
      </w:r>
      <w:r>
        <w:rPr>
          <w:rFonts w:eastAsia="仿宋_GB2312"/>
          <w:kern w:val="0"/>
          <w:sz w:val="32"/>
          <w:szCs w:val="32"/>
        </w:rPr>
        <w:t>“</w:t>
      </w:r>
      <w:r>
        <w:rPr>
          <w:rFonts w:hint="eastAsia" w:eastAsia="仿宋_GB2312"/>
          <w:kern w:val="0"/>
          <w:sz w:val="32"/>
          <w:szCs w:val="32"/>
        </w:rPr>
        <w:t>全覆盖</w:t>
      </w:r>
      <w:r>
        <w:rPr>
          <w:rFonts w:eastAsia="仿宋_GB2312"/>
          <w:kern w:val="0"/>
          <w:sz w:val="32"/>
          <w:szCs w:val="32"/>
        </w:rPr>
        <w:t>”</w:t>
      </w:r>
      <w:r>
        <w:rPr>
          <w:rFonts w:hint="eastAsia" w:eastAsia="仿宋_GB2312"/>
          <w:kern w:val="0"/>
          <w:sz w:val="32"/>
          <w:szCs w:val="32"/>
        </w:rPr>
        <w:t>和</w:t>
      </w:r>
      <w:r>
        <w:rPr>
          <w:rFonts w:eastAsia="仿宋_GB2312"/>
          <w:kern w:val="0"/>
          <w:sz w:val="32"/>
          <w:szCs w:val="32"/>
        </w:rPr>
        <w:t>“</w:t>
      </w:r>
      <w:r>
        <w:rPr>
          <w:rFonts w:hint="eastAsia" w:eastAsia="仿宋_GB2312"/>
          <w:spacing w:val="6"/>
          <w:sz w:val="32"/>
          <w:szCs w:val="32"/>
        </w:rPr>
        <w:t>人员、经费等基本保障落实</w:t>
      </w:r>
      <w:r>
        <w:rPr>
          <w:rFonts w:eastAsia="仿宋_GB2312"/>
          <w:spacing w:val="6"/>
          <w:sz w:val="32"/>
          <w:szCs w:val="32"/>
        </w:rPr>
        <w:t>”</w:t>
      </w:r>
      <w:r>
        <w:rPr>
          <w:rFonts w:hint="eastAsia" w:eastAsia="仿宋_GB2312"/>
          <w:kern w:val="0"/>
          <w:sz w:val="32"/>
          <w:szCs w:val="32"/>
        </w:rPr>
        <w:t>的目标</w:t>
      </w:r>
      <w:r>
        <w:rPr>
          <w:rFonts w:hint="eastAsia" w:eastAsia="仿宋_GB2312"/>
          <w:sz w:val="32"/>
          <w:szCs w:val="32"/>
        </w:rPr>
        <w:t>。</w:t>
      </w:r>
      <w:r>
        <w:rPr>
          <w:rFonts w:hint="eastAsia" w:eastAsia="仿宋_GB2312"/>
          <w:kern w:val="0"/>
          <w:sz w:val="32"/>
          <w:szCs w:val="32"/>
        </w:rPr>
        <w:t>今年，州、县（市）两级法学个人会员达</w:t>
      </w:r>
      <w:r>
        <w:rPr>
          <w:rFonts w:eastAsia="仿宋_GB2312"/>
          <w:kern w:val="0"/>
          <w:sz w:val="32"/>
          <w:szCs w:val="32"/>
        </w:rPr>
        <w:t>1400</w:t>
      </w:r>
      <w:r>
        <w:rPr>
          <w:rFonts w:hint="eastAsia" w:eastAsia="仿宋_GB2312"/>
          <w:kern w:val="0"/>
          <w:sz w:val="32"/>
          <w:szCs w:val="32"/>
        </w:rPr>
        <w:t>余名，覆盖政法、组织、民政、文化、旅游等多个系统，涉及</w:t>
      </w:r>
      <w:r>
        <w:rPr>
          <w:rFonts w:eastAsia="仿宋_GB2312"/>
          <w:kern w:val="0"/>
          <w:sz w:val="32"/>
          <w:szCs w:val="32"/>
        </w:rPr>
        <w:t>20</w:t>
      </w:r>
      <w:r>
        <w:rPr>
          <w:rFonts w:hint="eastAsia" w:eastAsia="仿宋_GB2312"/>
          <w:kern w:val="0"/>
          <w:sz w:val="32"/>
          <w:szCs w:val="32"/>
        </w:rPr>
        <w:t>多个职业。</w:t>
      </w:r>
      <w:r>
        <w:rPr>
          <w:rFonts w:hint="eastAsia" w:eastAsia="仿宋_GB2312"/>
          <w:sz w:val="32"/>
          <w:szCs w:val="32"/>
        </w:rPr>
        <w:t>配齐配强基层法学会党组成员</w:t>
      </w:r>
      <w:r>
        <w:rPr>
          <w:rFonts w:eastAsia="仿宋_GB2312"/>
          <w:sz w:val="32"/>
          <w:szCs w:val="32"/>
        </w:rPr>
        <w:t>88</w:t>
      </w:r>
      <w:r>
        <w:rPr>
          <w:rFonts w:hint="eastAsia" w:eastAsia="仿宋_GB2312"/>
          <w:sz w:val="32"/>
          <w:szCs w:val="32"/>
        </w:rPr>
        <w:t>人，各级法学会党组开展活动共</w:t>
      </w:r>
      <w:r>
        <w:rPr>
          <w:rFonts w:eastAsia="仿宋_GB2312"/>
          <w:sz w:val="32"/>
          <w:szCs w:val="32"/>
        </w:rPr>
        <w:t>23</w:t>
      </w:r>
      <w:r>
        <w:rPr>
          <w:rFonts w:hint="eastAsia" w:eastAsia="仿宋_GB2312"/>
          <w:sz w:val="32"/>
          <w:szCs w:val="32"/>
        </w:rPr>
        <w:t>次，参与会员达</w:t>
      </w:r>
      <w:r>
        <w:rPr>
          <w:rFonts w:eastAsia="仿宋_GB2312"/>
          <w:sz w:val="32"/>
          <w:szCs w:val="32"/>
        </w:rPr>
        <w:t>400</w:t>
      </w:r>
      <w:r>
        <w:rPr>
          <w:rFonts w:hint="eastAsia" w:eastAsia="仿宋_GB2312"/>
          <w:sz w:val="32"/>
          <w:szCs w:val="32"/>
        </w:rPr>
        <w:t>余人。</w:t>
      </w:r>
    </w:p>
    <w:p w14:paraId="36F229A4">
      <w:pPr>
        <w:spacing w:line="560" w:lineRule="exact"/>
        <w:ind w:firstLine="650" w:firstLineChars="196"/>
        <w:rPr>
          <w:rFonts w:ascii="仿宋" w:hAnsi="仿宋" w:eastAsia="仿宋"/>
          <w:bCs/>
          <w:color w:val="000000"/>
          <w:sz w:val="32"/>
          <w:szCs w:val="32"/>
        </w:rPr>
      </w:pPr>
      <w:r>
        <w:rPr>
          <w:rFonts w:hint="eastAsia" w:eastAsia="仿宋_GB2312"/>
          <w:spacing w:val="6"/>
          <w:sz w:val="32"/>
          <w:szCs w:val="32"/>
        </w:rPr>
        <w:t>同时，按照省、州进一步加强法学会会员队伍建设的意见，今年年初，州法学会列出《阿坝州各县（市）</w:t>
      </w:r>
      <w:r>
        <w:rPr>
          <w:rFonts w:hint="eastAsia" w:eastAsia="仿宋_GB2312"/>
          <w:color w:val="000000"/>
          <w:spacing w:val="6"/>
          <w:sz w:val="32"/>
          <w:szCs w:val="32"/>
        </w:rPr>
        <w:t>重点乡（镇）法律服务诊所（站、室）、法学会会员之家建设名单》，切实</w:t>
      </w:r>
      <w:r>
        <w:rPr>
          <w:rFonts w:hint="eastAsia" w:eastAsia="仿宋_GB2312"/>
          <w:spacing w:val="6"/>
          <w:sz w:val="32"/>
          <w:szCs w:val="32"/>
        </w:rPr>
        <w:t>培养一批热心法治公益事业、支持法学会工作并愿意承担法学会委托工作任务的骨干会员队伍。截至目前，州、县（市）两级</w:t>
      </w:r>
      <w:r>
        <w:rPr>
          <w:rFonts w:eastAsia="仿宋_GB2312"/>
          <w:spacing w:val="6"/>
          <w:sz w:val="32"/>
          <w:szCs w:val="32"/>
        </w:rPr>
        <w:t>“</w:t>
      </w:r>
      <w:r>
        <w:rPr>
          <w:rFonts w:hint="eastAsia" w:eastAsia="仿宋_GB2312"/>
          <w:spacing w:val="6"/>
          <w:sz w:val="32"/>
          <w:szCs w:val="32"/>
        </w:rPr>
        <w:t>会员之家</w:t>
      </w:r>
      <w:r>
        <w:rPr>
          <w:rFonts w:eastAsia="仿宋_GB2312"/>
          <w:spacing w:val="6"/>
          <w:sz w:val="32"/>
          <w:szCs w:val="32"/>
        </w:rPr>
        <w:t>”</w:t>
      </w:r>
      <w:r>
        <w:rPr>
          <w:rFonts w:hint="eastAsia" w:eastAsia="仿宋_GB2312"/>
          <w:spacing w:val="6"/>
          <w:sz w:val="32"/>
          <w:szCs w:val="32"/>
        </w:rPr>
        <w:t>建设工作已全面完成，实现“全覆盖”。全州</w:t>
      </w:r>
      <w:r>
        <w:rPr>
          <w:rFonts w:eastAsia="仿宋_GB2312"/>
          <w:spacing w:val="6"/>
          <w:sz w:val="32"/>
          <w:szCs w:val="32"/>
        </w:rPr>
        <w:t>“</w:t>
      </w:r>
      <w:r>
        <w:rPr>
          <w:rFonts w:hint="eastAsia" w:eastAsia="仿宋_GB2312"/>
          <w:spacing w:val="6"/>
          <w:sz w:val="32"/>
          <w:szCs w:val="32"/>
        </w:rPr>
        <w:t>会员之家</w:t>
      </w:r>
      <w:r>
        <w:rPr>
          <w:rFonts w:eastAsia="仿宋_GB2312"/>
          <w:spacing w:val="6"/>
          <w:sz w:val="32"/>
          <w:szCs w:val="32"/>
        </w:rPr>
        <w:t>”</w:t>
      </w:r>
      <w:r>
        <w:rPr>
          <w:rFonts w:hint="eastAsia" w:eastAsia="仿宋_GB2312"/>
          <w:spacing w:val="6"/>
          <w:sz w:val="32"/>
          <w:szCs w:val="32"/>
        </w:rPr>
        <w:t>总面积达</w:t>
      </w:r>
      <w:r>
        <w:rPr>
          <w:rFonts w:eastAsia="仿宋_GB2312"/>
          <w:spacing w:val="6"/>
          <w:sz w:val="32"/>
          <w:szCs w:val="32"/>
        </w:rPr>
        <w:t>290</w:t>
      </w:r>
      <w:r>
        <w:rPr>
          <w:rFonts w:hint="eastAsia" w:eastAsia="仿宋_GB2312"/>
          <w:spacing w:val="6"/>
          <w:sz w:val="32"/>
          <w:szCs w:val="32"/>
        </w:rPr>
        <w:t>平方米，设施设备齐全，年均经费保障</w:t>
      </w:r>
      <w:r>
        <w:rPr>
          <w:rFonts w:eastAsia="仿宋_GB2312"/>
          <w:spacing w:val="6"/>
          <w:sz w:val="32"/>
          <w:szCs w:val="32"/>
        </w:rPr>
        <w:t>27.4</w:t>
      </w:r>
      <w:r>
        <w:rPr>
          <w:rFonts w:hint="eastAsia" w:eastAsia="仿宋_GB2312"/>
          <w:spacing w:val="6"/>
          <w:sz w:val="32"/>
          <w:szCs w:val="32"/>
        </w:rPr>
        <w:t>万元。</w:t>
      </w:r>
    </w:p>
    <w:p w14:paraId="0B688A77">
      <w:pPr>
        <w:pStyle w:val="3"/>
        <w:rPr>
          <w:rStyle w:val="18"/>
          <w:b w:val="0"/>
          <w:bCs w:val="0"/>
        </w:rPr>
      </w:pPr>
      <w:bookmarkStart w:id="20" w:name="_Toc15396601"/>
      <w:bookmarkStart w:id="21" w:name="_Toc15377200"/>
      <w:r>
        <w:rPr>
          <w:rFonts w:hint="eastAsia" w:ascii="黑体" w:eastAsia="黑体"/>
          <w:b w:val="0"/>
          <w:color w:val="000000"/>
        </w:rPr>
        <w:t>二、</w:t>
      </w:r>
      <w:r>
        <w:rPr>
          <w:rFonts w:hint="eastAsia" w:ascii="黑体" w:hAnsi="黑体" w:eastAsia="黑体"/>
          <w:b w:val="0"/>
          <w:color w:val="000000"/>
        </w:rPr>
        <w:t>机</w:t>
      </w:r>
      <w:r>
        <w:rPr>
          <w:rStyle w:val="18"/>
          <w:rFonts w:hint="eastAsia" w:ascii="黑体" w:hAnsi="黑体" w:eastAsia="黑体"/>
          <w:b w:val="0"/>
          <w:bCs w:val="0"/>
        </w:rPr>
        <w:t>构设置</w:t>
      </w:r>
      <w:bookmarkEnd w:id="20"/>
      <w:bookmarkEnd w:id="21"/>
    </w:p>
    <w:p w14:paraId="1C259D5B">
      <w:pPr>
        <w:spacing w:line="576" w:lineRule="exact"/>
        <w:ind w:firstLine="627" w:firstLineChars="196"/>
        <w:rPr>
          <w:rFonts w:ascii="仿宋_GB2312" w:hAnsi="黑体" w:eastAsia="仿宋_GB2312" w:cs="仿宋_GB2312"/>
          <w:color w:val="000000"/>
          <w:kern w:val="0"/>
          <w:sz w:val="32"/>
          <w:szCs w:val="32"/>
        </w:rPr>
      </w:pPr>
      <w:r>
        <w:rPr>
          <w:rFonts w:hint="eastAsia" w:ascii="仿宋_GB2312" w:hAnsi="黑体" w:eastAsia="仿宋_GB2312" w:cs="仿宋_GB2312"/>
          <w:color w:val="000000"/>
          <w:kern w:val="0"/>
          <w:sz w:val="32"/>
          <w:szCs w:val="32"/>
        </w:rPr>
        <w:t>本部门属一级预算单位，无下属二级预算单位。内设办公室、研究室。事业编制数</w:t>
      </w:r>
      <w:r>
        <w:rPr>
          <w:rFonts w:ascii="仿宋_GB2312" w:hAnsi="黑体" w:eastAsia="仿宋_GB2312" w:cs="仿宋_GB2312"/>
          <w:color w:val="000000"/>
          <w:kern w:val="0"/>
          <w:sz w:val="32"/>
          <w:szCs w:val="32"/>
        </w:rPr>
        <w:t>4</w:t>
      </w:r>
      <w:r>
        <w:rPr>
          <w:rFonts w:hint="eastAsia" w:ascii="仿宋_GB2312" w:hAnsi="黑体" w:eastAsia="仿宋_GB2312" w:cs="仿宋_GB2312"/>
          <w:color w:val="000000"/>
          <w:kern w:val="0"/>
          <w:sz w:val="32"/>
          <w:szCs w:val="32"/>
        </w:rPr>
        <w:t>人，实有</w:t>
      </w:r>
      <w:r>
        <w:rPr>
          <w:rFonts w:ascii="仿宋_GB2312" w:hAnsi="黑体" w:eastAsia="仿宋_GB2312" w:cs="仿宋_GB2312"/>
          <w:color w:val="000000"/>
          <w:kern w:val="0"/>
          <w:sz w:val="32"/>
          <w:szCs w:val="32"/>
        </w:rPr>
        <w:t>3</w:t>
      </w:r>
      <w:r>
        <w:rPr>
          <w:rFonts w:hint="eastAsia" w:ascii="仿宋_GB2312" w:hAnsi="黑体" w:eastAsia="仿宋_GB2312" w:cs="仿宋_GB2312"/>
          <w:color w:val="000000"/>
          <w:kern w:val="0"/>
          <w:sz w:val="32"/>
          <w:szCs w:val="32"/>
        </w:rPr>
        <w:t>人。</w:t>
      </w:r>
    </w:p>
    <w:p w14:paraId="0077E9C8">
      <w:pPr>
        <w:pStyle w:val="2"/>
        <w:ind w:right="440"/>
        <w:jc w:val="right"/>
        <w:rPr>
          <w:rStyle w:val="17"/>
          <w:rFonts w:ascii="黑体" w:hAnsi="黑体" w:eastAsia="黑体"/>
          <w:b w:val="0"/>
          <w:bCs w:val="0"/>
        </w:rPr>
      </w:pPr>
      <w:bookmarkStart w:id="22" w:name="_Toc15396602"/>
      <w:bookmarkStart w:id="23" w:name="_Toc15377204"/>
      <w:r>
        <w:rPr>
          <w:rFonts w:hint="eastAsia" w:ascii="黑体" w:hAnsi="黑体" w:eastAsia="黑体"/>
          <w:b w:val="0"/>
          <w:color w:val="000000"/>
        </w:rPr>
        <w:t>第二部分</w:t>
      </w:r>
      <w:r>
        <w:rPr>
          <w:rFonts w:ascii="黑体" w:hAnsi="黑体" w:eastAsia="黑体"/>
          <w:color w:val="000000"/>
        </w:rPr>
        <w:t xml:space="preserve"> </w:t>
      </w:r>
      <w:r>
        <w:rPr>
          <w:rStyle w:val="17"/>
          <w:rFonts w:ascii="黑体" w:hAnsi="黑体" w:eastAsia="黑体"/>
          <w:b w:val="0"/>
          <w:bCs w:val="0"/>
        </w:rPr>
        <w:t>2019</w:t>
      </w:r>
      <w:r>
        <w:rPr>
          <w:rStyle w:val="17"/>
          <w:rFonts w:hint="eastAsia" w:ascii="黑体" w:hAnsi="黑体" w:eastAsia="黑体"/>
          <w:b w:val="0"/>
          <w:bCs w:val="0"/>
        </w:rPr>
        <w:t>年度部门决算情况说明</w:t>
      </w:r>
      <w:bookmarkEnd w:id="22"/>
      <w:bookmarkEnd w:id="23"/>
    </w:p>
    <w:p w14:paraId="400F87E8"/>
    <w:p w14:paraId="2DD5D595">
      <w:pPr>
        <w:pStyle w:val="28"/>
        <w:numPr>
          <w:ilvl w:val="0"/>
          <w:numId w:val="1"/>
        </w:numPr>
        <w:spacing w:line="600" w:lineRule="exact"/>
        <w:ind w:firstLineChars="0"/>
        <w:outlineLvl w:val="1"/>
        <w:rPr>
          <w:rStyle w:val="18"/>
          <w:rFonts w:ascii="黑体" w:hAnsi="黑体" w:eastAsia="黑体"/>
          <w:b w:val="0"/>
        </w:rPr>
      </w:pPr>
      <w:bookmarkStart w:id="24" w:name="_Toc15396603"/>
      <w:bookmarkStart w:id="25" w:name="_Toc15377205"/>
      <w:r>
        <w:rPr>
          <w:rFonts w:hint="eastAsia" w:ascii="黑体" w:hAnsi="黑体" w:eastAsia="黑体"/>
          <w:color w:val="000000"/>
          <w:sz w:val="32"/>
          <w:szCs w:val="32"/>
        </w:rPr>
        <w:t>收</w:t>
      </w:r>
      <w:r>
        <w:rPr>
          <w:rStyle w:val="18"/>
          <w:rFonts w:hint="eastAsia" w:ascii="黑体" w:hAnsi="黑体" w:eastAsia="黑体"/>
          <w:b w:val="0"/>
        </w:rPr>
        <w:t>入支出决算总体情况说明</w:t>
      </w:r>
      <w:bookmarkEnd w:id="24"/>
      <w:bookmarkEnd w:id="25"/>
    </w:p>
    <w:p w14:paraId="3F7B739E">
      <w:pPr>
        <w:spacing w:line="600" w:lineRule="exact"/>
        <w:ind w:firstLine="640" w:firstLineChars="200"/>
        <w:rPr>
          <w:rFonts w:ascii="仿宋_GB2312" w:eastAsia="仿宋_GB2312"/>
          <w:color w:val="000000"/>
          <w:sz w:val="32"/>
          <w:szCs w:val="32"/>
        </w:rPr>
      </w:pPr>
      <w:r>
        <w:rPr>
          <w:rFonts w:ascii="仿宋_GB2312" w:hAnsi="黑体" w:eastAsia="仿宋_GB2312" w:cs="仿宋_GB2312"/>
          <w:color w:val="000000"/>
          <w:kern w:val="0"/>
          <w:sz w:val="32"/>
          <w:szCs w:val="32"/>
        </w:rPr>
        <w:t>2019</w:t>
      </w:r>
      <w:r>
        <w:rPr>
          <w:rFonts w:hint="eastAsia" w:ascii="仿宋_GB2312" w:hAnsi="黑体" w:eastAsia="仿宋_GB2312" w:cs="仿宋_GB2312"/>
          <w:color w:val="000000"/>
          <w:kern w:val="0"/>
          <w:sz w:val="32"/>
          <w:szCs w:val="32"/>
        </w:rPr>
        <w:t>年度收、支总计</w:t>
      </w:r>
      <w:r>
        <w:rPr>
          <w:rFonts w:ascii="仿宋_GB2312" w:hAnsi="黑体" w:eastAsia="仿宋_GB2312" w:cs="仿宋_GB2312"/>
          <w:color w:val="000000"/>
          <w:kern w:val="0"/>
          <w:sz w:val="32"/>
          <w:szCs w:val="32"/>
        </w:rPr>
        <w:t>55.82</w:t>
      </w:r>
      <w:r>
        <w:rPr>
          <w:rFonts w:hint="eastAsia" w:ascii="仿宋_GB2312" w:hAnsi="黑体" w:eastAsia="仿宋_GB2312" w:cs="仿宋_GB2312"/>
          <w:color w:val="000000"/>
          <w:kern w:val="0"/>
          <w:sz w:val="32"/>
          <w:szCs w:val="32"/>
        </w:rPr>
        <w:t>万元。与</w:t>
      </w:r>
      <w:r>
        <w:rPr>
          <w:rFonts w:ascii="仿宋_GB2312" w:hAnsi="黑体" w:eastAsia="仿宋_GB2312" w:cs="仿宋_GB2312"/>
          <w:color w:val="000000"/>
          <w:kern w:val="0"/>
          <w:sz w:val="32"/>
          <w:szCs w:val="32"/>
        </w:rPr>
        <w:t>2018</w:t>
      </w:r>
      <w:r>
        <w:rPr>
          <w:rFonts w:hint="eastAsia" w:ascii="仿宋_GB2312" w:hAnsi="黑体" w:eastAsia="仿宋_GB2312" w:cs="仿宋_GB2312"/>
          <w:color w:val="000000"/>
          <w:kern w:val="0"/>
          <w:sz w:val="32"/>
          <w:szCs w:val="32"/>
        </w:rPr>
        <w:t>年相比，收、支总计各增加</w:t>
      </w:r>
      <w:r>
        <w:rPr>
          <w:rFonts w:ascii="仿宋_GB2312" w:hAnsi="黑体" w:eastAsia="仿宋_GB2312" w:cs="仿宋_GB2312"/>
          <w:color w:val="000000"/>
          <w:kern w:val="0"/>
          <w:sz w:val="32"/>
          <w:szCs w:val="32"/>
        </w:rPr>
        <w:t xml:space="preserve"> 2.54</w:t>
      </w:r>
      <w:r>
        <w:rPr>
          <w:rFonts w:hint="eastAsia" w:ascii="仿宋_GB2312" w:hAnsi="黑体" w:eastAsia="仿宋_GB2312" w:cs="仿宋_GB2312"/>
          <w:color w:val="000000"/>
          <w:kern w:val="0"/>
          <w:sz w:val="32"/>
          <w:szCs w:val="32"/>
        </w:rPr>
        <w:t>万元，增长</w:t>
      </w:r>
      <w:r>
        <w:rPr>
          <w:rFonts w:ascii="仿宋_GB2312" w:hAnsi="黑体" w:eastAsia="仿宋_GB2312" w:cs="仿宋_GB2312"/>
          <w:color w:val="000000"/>
          <w:kern w:val="0"/>
          <w:sz w:val="32"/>
          <w:szCs w:val="32"/>
        </w:rPr>
        <w:t xml:space="preserve"> 4.77%</w:t>
      </w:r>
      <w:r>
        <w:rPr>
          <w:rFonts w:hint="eastAsia" w:ascii="仿宋_GB2312" w:hAnsi="黑体" w:eastAsia="仿宋_GB2312" w:cs="仿宋_GB2312"/>
          <w:color w:val="000000"/>
          <w:kern w:val="0"/>
          <w:sz w:val="32"/>
          <w:szCs w:val="32"/>
        </w:rPr>
        <w:t>。主要变动原因是</w:t>
      </w:r>
      <w:r>
        <w:rPr>
          <w:rFonts w:hint="eastAsia" w:ascii="仿宋_GB2312" w:eastAsia="仿宋_GB2312"/>
          <w:color w:val="000000"/>
          <w:sz w:val="32"/>
          <w:szCs w:val="32"/>
        </w:rPr>
        <w:t>是职工基本养老保险、职工职业年金、职工绩效工资等有所变化。</w:t>
      </w:r>
    </w:p>
    <w:p w14:paraId="25161AE8">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：收、支决算总计变动情况图）（柱状图）</w:t>
      </w:r>
    </w:p>
    <w:p w14:paraId="1A5FA2C3">
      <w:pPr>
        <w:spacing w:line="600" w:lineRule="exact"/>
        <w:ind w:firstLine="640" w:firstLineChars="200"/>
        <w:rPr>
          <w:rFonts w:ascii="仿宋" w:hAnsi="仿宋" w:eastAsia="仿宋"/>
          <w:color w:val="000000"/>
          <w:sz w:val="32"/>
          <w:szCs w:val="32"/>
        </w:rPr>
      </w:pPr>
    </w:p>
    <w:p w14:paraId="7CD03292">
      <w:pPr>
        <w:spacing w:line="600" w:lineRule="exact"/>
        <w:ind w:firstLine="640" w:firstLineChars="200"/>
        <w:rPr>
          <w:rFonts w:ascii="仿宋" w:hAnsi="仿宋" w:eastAsia="仿宋"/>
          <w:color w:val="000000"/>
          <w:sz w:val="32"/>
          <w:szCs w:val="32"/>
        </w:rPr>
      </w:pPr>
    </w:p>
    <w:p w14:paraId="2B7898B0">
      <w:pPr>
        <w:spacing w:line="600" w:lineRule="exact"/>
        <w:ind w:firstLine="420" w:firstLineChars="200"/>
        <w:rPr>
          <w:rFonts w:ascii="仿宋" w:hAnsi="仿宋" w:eastAsia="仿宋"/>
          <w:color w:val="000000"/>
          <w:sz w:val="32"/>
          <w:szCs w:val="32"/>
        </w:rPr>
      </w:pPr>
      <w:r>
        <w:pict>
          <v:shape id="_x0000_s1026" o:spid="_x0000_s1026" o:spt="75" type="#_x0000_t75" style="position:absolute;left:0pt;margin-left:32.05pt;margin-top:18.45pt;height:74.9pt;width:346.1pt;z-index:-251654144;mso-width-relative:page;mso-height-relative:page;" o:ole="t" filled="f" o:preferrelative="t" stroked="f" coordsize="21600,21600">
            <v:path/>
            <v:fill on="f" focussize="0,0"/>
            <v:stroke on="f" joinstyle="miter"/>
            <v:imagedata r:id="rId7" o:title=""/>
            <o:lock v:ext="edit" aspectratio="t"/>
          </v:shape>
          <o:OLEObject Type="Embed" ProgID="Excel.Chart.8" ShapeID="_x0000_s1026" DrawAspect="Content" ObjectID="_1468075725" r:id="rId6">
            <o:LockedField>false</o:LockedField>
          </o:OLEObject>
        </w:pict>
      </w:r>
    </w:p>
    <w:p w14:paraId="375B24F7">
      <w:pPr>
        <w:spacing w:line="600" w:lineRule="exact"/>
        <w:ind w:firstLine="640" w:firstLineChars="200"/>
        <w:rPr>
          <w:rFonts w:ascii="仿宋" w:hAnsi="仿宋" w:eastAsia="仿宋"/>
          <w:color w:val="000000"/>
          <w:sz w:val="32"/>
          <w:szCs w:val="32"/>
        </w:rPr>
      </w:pPr>
    </w:p>
    <w:p w14:paraId="7B5563C8">
      <w:pPr>
        <w:spacing w:line="600" w:lineRule="exact"/>
        <w:ind w:firstLine="640" w:firstLineChars="200"/>
        <w:rPr>
          <w:rFonts w:ascii="仿宋" w:hAnsi="仿宋" w:eastAsia="仿宋"/>
          <w:color w:val="000000"/>
          <w:sz w:val="32"/>
          <w:szCs w:val="32"/>
        </w:rPr>
      </w:pPr>
    </w:p>
    <w:p w14:paraId="5FC1A3B5">
      <w:pPr>
        <w:spacing w:line="600" w:lineRule="exact"/>
        <w:ind w:firstLine="640" w:firstLineChars="200"/>
        <w:rPr>
          <w:rFonts w:ascii="仿宋" w:hAnsi="仿宋" w:eastAsia="仿宋"/>
          <w:color w:val="000000"/>
          <w:sz w:val="32"/>
          <w:szCs w:val="32"/>
        </w:rPr>
      </w:pPr>
    </w:p>
    <w:p w14:paraId="2418254E">
      <w:pPr>
        <w:spacing w:line="600" w:lineRule="exact"/>
        <w:ind w:firstLine="640" w:firstLineChars="200"/>
        <w:rPr>
          <w:rFonts w:ascii="仿宋" w:hAnsi="仿宋" w:eastAsia="仿宋"/>
          <w:color w:val="000000"/>
          <w:sz w:val="32"/>
          <w:szCs w:val="32"/>
        </w:rPr>
      </w:pPr>
    </w:p>
    <w:p w14:paraId="385CF787">
      <w:pPr>
        <w:pStyle w:val="28"/>
        <w:numPr>
          <w:ilvl w:val="0"/>
          <w:numId w:val="1"/>
        </w:numPr>
        <w:spacing w:line="600" w:lineRule="exact"/>
        <w:ind w:firstLineChars="0"/>
        <w:outlineLvl w:val="1"/>
        <w:rPr>
          <w:rStyle w:val="18"/>
          <w:rFonts w:ascii="黑体" w:hAnsi="黑体" w:eastAsia="黑体"/>
          <w:b w:val="0"/>
        </w:rPr>
      </w:pPr>
      <w:bookmarkStart w:id="26" w:name="_Toc15377206"/>
      <w:bookmarkStart w:id="27" w:name="_Toc15396604"/>
      <w:r>
        <w:rPr>
          <w:rFonts w:hint="eastAsia" w:ascii="黑体" w:hAnsi="黑体" w:eastAsia="黑体"/>
          <w:color w:val="000000"/>
          <w:sz w:val="32"/>
          <w:szCs w:val="32"/>
        </w:rPr>
        <w:t>收</w:t>
      </w:r>
      <w:r>
        <w:rPr>
          <w:rStyle w:val="18"/>
          <w:rFonts w:hint="eastAsia" w:ascii="黑体" w:hAnsi="黑体" w:eastAsia="黑体"/>
          <w:b w:val="0"/>
        </w:rPr>
        <w:t>入决算情况说明</w:t>
      </w:r>
      <w:bookmarkEnd w:id="26"/>
      <w:bookmarkEnd w:id="27"/>
    </w:p>
    <w:p w14:paraId="4C2CE458">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 xml:space="preserve">2019 </w:t>
      </w:r>
      <w:r>
        <w:rPr>
          <w:rFonts w:hint="eastAsia" w:ascii="仿宋" w:hAnsi="仿宋" w:eastAsia="仿宋"/>
          <w:color w:val="000000"/>
          <w:sz w:val="32"/>
          <w:szCs w:val="32"/>
        </w:rPr>
        <w:t>年本年收入合计</w:t>
      </w:r>
      <w:r>
        <w:rPr>
          <w:rFonts w:ascii="仿宋" w:hAnsi="仿宋" w:eastAsia="仿宋"/>
          <w:color w:val="000000"/>
          <w:sz w:val="32"/>
          <w:szCs w:val="32"/>
        </w:rPr>
        <w:t>44.31</w:t>
      </w:r>
      <w:r>
        <w:rPr>
          <w:rFonts w:hint="eastAsia" w:ascii="仿宋" w:hAnsi="仿宋" w:eastAsia="仿宋"/>
          <w:color w:val="000000"/>
          <w:sz w:val="32"/>
          <w:szCs w:val="32"/>
        </w:rPr>
        <w:t>万元，其中：一般公共预算财政拨款收入</w:t>
      </w:r>
      <w:r>
        <w:rPr>
          <w:rFonts w:ascii="仿宋" w:hAnsi="仿宋" w:eastAsia="仿宋"/>
          <w:color w:val="000000"/>
          <w:sz w:val="32"/>
          <w:szCs w:val="32"/>
        </w:rPr>
        <w:t>44.31</w:t>
      </w:r>
      <w:r>
        <w:rPr>
          <w:rFonts w:hint="eastAsia" w:ascii="仿宋" w:hAnsi="仿宋" w:eastAsia="仿宋"/>
          <w:color w:val="000000"/>
          <w:sz w:val="32"/>
          <w:szCs w:val="32"/>
        </w:rPr>
        <w:t>万元，占</w:t>
      </w:r>
      <w:r>
        <w:rPr>
          <w:rFonts w:ascii="仿宋" w:hAnsi="仿宋" w:eastAsia="仿宋"/>
          <w:color w:val="000000"/>
          <w:sz w:val="32"/>
          <w:szCs w:val="32"/>
        </w:rPr>
        <w:t xml:space="preserve"> 100.00%</w:t>
      </w:r>
      <w:r>
        <w:rPr>
          <w:rFonts w:hint="eastAsia" w:ascii="仿宋" w:hAnsi="仿宋" w:eastAsia="仿宋"/>
          <w:color w:val="000000"/>
          <w:sz w:val="32"/>
          <w:szCs w:val="32"/>
        </w:rPr>
        <w:t>；政府性基金预算财政拨款收入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；上级补助收入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；事业收入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；经营收入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；附属单位上缴收入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；其他收入</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w:t>
      </w:r>
    </w:p>
    <w:p w14:paraId="1900CE1F">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：收入决算结构图）（饼状图）</w:t>
      </w:r>
    </w:p>
    <w:p w14:paraId="4590F6ED">
      <w:pPr>
        <w:spacing w:line="600" w:lineRule="exact"/>
        <w:ind w:firstLine="420" w:firstLineChars="200"/>
        <w:rPr>
          <w:rFonts w:ascii="仿宋" w:hAnsi="仿宋" w:eastAsia="仿宋"/>
          <w:color w:val="000000"/>
          <w:sz w:val="32"/>
          <w:szCs w:val="32"/>
        </w:rPr>
      </w:pPr>
      <w:r>
        <w:pict>
          <v:shape id="_x0000_s1027" o:spid="_x0000_s1027" o:spt="75" type="#_x0000_t75" style="position:absolute;left:0pt;margin-left:152.8pt;margin-top:39.25pt;height:75.85pt;width:178.55pt;z-index:251661312;mso-width-relative:page;mso-height-relative:page;" o:ole="t" filled="f" o:preferrelative="t" stroked="f" coordsize="21600,21600">
            <v:path/>
            <v:fill on="f" focussize="0,0"/>
            <v:stroke on="f" joinstyle="miter"/>
            <v:imagedata r:id="rId9" o:title=""/>
            <o:lock v:ext="edit" aspectratio="t"/>
          </v:shape>
          <o:OLEObject Type="Embed" ProgID="Excel.Chart.8" ShapeID="_x0000_s1027" DrawAspect="Content" ObjectID="_1468075726" r:id="rId8">
            <o:LockedField>false</o:LockedField>
          </o:OLEObject>
        </w:pict>
      </w:r>
    </w:p>
    <w:p w14:paraId="38DB6B2E">
      <w:pPr>
        <w:spacing w:line="600" w:lineRule="exact"/>
        <w:ind w:firstLine="640" w:firstLineChars="200"/>
        <w:rPr>
          <w:rFonts w:ascii="仿宋" w:hAnsi="仿宋" w:eastAsia="仿宋"/>
          <w:color w:val="000000"/>
          <w:sz w:val="32"/>
          <w:szCs w:val="32"/>
        </w:rPr>
      </w:pPr>
    </w:p>
    <w:p w14:paraId="036420DC">
      <w:pPr>
        <w:spacing w:line="600" w:lineRule="exact"/>
        <w:ind w:firstLine="640" w:firstLineChars="200"/>
        <w:rPr>
          <w:rFonts w:ascii="仿宋" w:hAnsi="仿宋" w:eastAsia="仿宋"/>
          <w:color w:val="000000"/>
          <w:sz w:val="32"/>
          <w:szCs w:val="32"/>
        </w:rPr>
      </w:pPr>
    </w:p>
    <w:p w14:paraId="2E486741">
      <w:pPr>
        <w:pStyle w:val="28"/>
        <w:numPr>
          <w:ilvl w:val="0"/>
          <w:numId w:val="1"/>
        </w:numPr>
        <w:spacing w:line="600" w:lineRule="exact"/>
        <w:ind w:firstLineChars="0"/>
        <w:outlineLvl w:val="1"/>
        <w:rPr>
          <w:rStyle w:val="18"/>
          <w:rFonts w:ascii="黑体" w:hAnsi="黑体" w:eastAsia="黑体"/>
          <w:b w:val="0"/>
        </w:rPr>
      </w:pPr>
      <w:bookmarkStart w:id="28" w:name="_Toc15377207"/>
      <w:bookmarkStart w:id="29" w:name="_Toc15396605"/>
      <w:r>
        <w:rPr>
          <w:rFonts w:hint="eastAsia" w:ascii="黑体" w:hAnsi="黑体" w:eastAsia="黑体"/>
          <w:color w:val="000000"/>
          <w:sz w:val="32"/>
          <w:szCs w:val="32"/>
        </w:rPr>
        <w:t>支</w:t>
      </w:r>
      <w:r>
        <w:rPr>
          <w:rStyle w:val="18"/>
          <w:rFonts w:hint="eastAsia" w:ascii="黑体" w:hAnsi="黑体" w:eastAsia="黑体"/>
          <w:b w:val="0"/>
        </w:rPr>
        <w:t>出决算情况说明</w:t>
      </w:r>
      <w:bookmarkEnd w:id="28"/>
      <w:bookmarkEnd w:id="29"/>
    </w:p>
    <w:p w14:paraId="5544E31B">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 xml:space="preserve">2019 </w:t>
      </w:r>
      <w:r>
        <w:rPr>
          <w:rFonts w:hint="eastAsia" w:ascii="仿宋" w:hAnsi="仿宋" w:eastAsia="仿宋"/>
          <w:color w:val="000000"/>
          <w:sz w:val="32"/>
          <w:szCs w:val="32"/>
        </w:rPr>
        <w:t>年本年支出合计</w:t>
      </w:r>
      <w:r>
        <w:rPr>
          <w:rFonts w:ascii="仿宋" w:hAnsi="仿宋" w:eastAsia="仿宋"/>
          <w:color w:val="000000"/>
          <w:sz w:val="32"/>
          <w:szCs w:val="32"/>
        </w:rPr>
        <w:t>55.82</w:t>
      </w:r>
      <w:r>
        <w:rPr>
          <w:rFonts w:hint="eastAsia" w:ascii="仿宋" w:hAnsi="仿宋" w:eastAsia="仿宋"/>
          <w:color w:val="000000"/>
          <w:sz w:val="32"/>
          <w:szCs w:val="32"/>
        </w:rPr>
        <w:t>万元，其中：基本支出</w:t>
      </w:r>
      <w:r>
        <w:rPr>
          <w:rFonts w:ascii="仿宋" w:hAnsi="仿宋" w:eastAsia="仿宋"/>
          <w:color w:val="000000"/>
          <w:sz w:val="32"/>
          <w:szCs w:val="32"/>
        </w:rPr>
        <w:t>55.82</w:t>
      </w:r>
      <w:r>
        <w:rPr>
          <w:rFonts w:hint="eastAsia" w:ascii="仿宋" w:hAnsi="仿宋" w:eastAsia="仿宋"/>
          <w:color w:val="000000"/>
          <w:sz w:val="32"/>
          <w:szCs w:val="32"/>
        </w:rPr>
        <w:t>万元，占</w:t>
      </w:r>
      <w:r>
        <w:rPr>
          <w:rFonts w:ascii="仿宋" w:hAnsi="仿宋" w:eastAsia="仿宋"/>
          <w:color w:val="000000"/>
          <w:sz w:val="32"/>
          <w:szCs w:val="32"/>
        </w:rPr>
        <w:t xml:space="preserve"> 100.00%</w:t>
      </w:r>
      <w:r>
        <w:rPr>
          <w:rFonts w:hint="eastAsia" w:ascii="仿宋" w:hAnsi="仿宋" w:eastAsia="仿宋"/>
          <w:color w:val="000000"/>
          <w:sz w:val="32"/>
          <w:szCs w:val="32"/>
        </w:rPr>
        <w:t>；项目支出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；上缴上级支出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；经营支出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；对附属单位补助支出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 xml:space="preserve"> 0.00%</w:t>
      </w:r>
      <w:r>
        <w:rPr>
          <w:rFonts w:hint="eastAsia" w:ascii="仿宋" w:hAnsi="仿宋" w:eastAsia="仿宋"/>
          <w:color w:val="000000"/>
          <w:sz w:val="32"/>
          <w:szCs w:val="32"/>
        </w:rPr>
        <w:t>。</w:t>
      </w:r>
    </w:p>
    <w:p w14:paraId="54BE60BD">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p>
    <w:p w14:paraId="5B3F82D0">
      <w:pPr>
        <w:spacing w:line="600" w:lineRule="exact"/>
        <w:ind w:firstLine="420" w:firstLineChars="200"/>
        <w:rPr>
          <w:rFonts w:ascii="仿宋" w:hAnsi="仿宋" w:eastAsia="仿宋"/>
          <w:color w:val="000000"/>
          <w:sz w:val="32"/>
          <w:szCs w:val="32"/>
        </w:rPr>
      </w:pPr>
      <w:r>
        <w:pict>
          <v:shape id="_x0000_s1028" o:spid="_x0000_s1028" o:spt="75" type="#_x0000_t75" style="position:absolute;left:0pt;margin-left:146.65pt;margin-top:53.65pt;height:75.85pt;width:172.3pt;z-index:251663360;mso-width-relative:page;mso-height-relative:page;" o:ole="t" filled="f" o:preferrelative="t" stroked="f" coordsize="21600,21600">
            <v:path/>
            <v:fill on="f" focussize="0,0"/>
            <v:stroke on="f" joinstyle="miter"/>
            <v:imagedata r:id="rId11" o:title=""/>
            <o:lock v:ext="edit" aspectratio="t"/>
          </v:shape>
          <o:OLEObject Type="Embed" ProgID="Excel.Chart.8" ShapeID="_x0000_s1028" DrawAspect="Content" ObjectID="_1468075727" r:id="rId10">
            <o:LockedField>false</o:LockedField>
          </o:OLEObject>
        </w:pict>
      </w:r>
      <w:r>
        <w:pict>
          <v:shape id="_x0000_s1029" o:spid="_x0000_s1029" o:spt="75" type="#_x0000_t75" style="position:absolute;left:0pt;margin-left:228.1pt;margin-top:435.15pt;height:63.35pt;width:198.25pt;z-index:251660288;mso-width-relative:page;mso-height-relative:page;" o:ole="t" filled="f" o:preferrelative="t" stroked="f" coordsize="21600,21600">
            <v:path/>
            <v:fill on="f" focussize="0,0"/>
            <v:stroke on="f" joinstyle="miter"/>
            <v:imagedata r:id="rId13" o:title=""/>
            <o:lock v:ext="edit" aspectratio="t"/>
          </v:shape>
          <o:OLEObject Type="Embed" ProgID="Excel.Chart.8" ShapeID="_x0000_s1029" DrawAspect="Content" ObjectID="_1468075728" r:id="rId12">
            <o:LockedField>false</o:LockedField>
          </o:OLEObject>
        </w:pict>
      </w:r>
      <w:r>
        <w:pict>
          <v:shape id="_x0000_s1030" o:spid="_x0000_s1030" o:spt="75" type="#_x0000_t75" style="position:absolute;left:0pt;margin-left:228.1pt;margin-top:435.15pt;height:63.35pt;width:198.25pt;z-index:251659264;mso-width-relative:page;mso-height-relative:page;" o:ole="t" filled="f" o:preferrelative="t" stroked="f" coordsize="21600,21600">
            <v:path/>
            <v:fill on="f" focussize="0,0"/>
            <v:stroke on="f" joinstyle="miter"/>
            <v:imagedata r:id="rId15" o:title=""/>
            <o:lock v:ext="edit" aspectratio="t"/>
          </v:shape>
          <o:OLEObject Type="Embed" ProgID="Excel.Chart.8" ShapeID="_x0000_s1030" DrawAspect="Content" ObjectID="_1468075729" r:id="rId14">
            <o:LockedField>false</o:LockedField>
          </o:OLEObject>
        </w:pict>
      </w:r>
    </w:p>
    <w:p w14:paraId="4DDE6648">
      <w:pPr>
        <w:spacing w:line="600" w:lineRule="exact"/>
        <w:ind w:firstLine="640" w:firstLineChars="200"/>
        <w:rPr>
          <w:rFonts w:ascii="仿宋" w:hAnsi="仿宋" w:eastAsia="仿宋"/>
          <w:color w:val="000000"/>
          <w:sz w:val="32"/>
          <w:szCs w:val="32"/>
        </w:rPr>
      </w:pPr>
    </w:p>
    <w:p w14:paraId="6548AAED">
      <w:pPr>
        <w:spacing w:line="600" w:lineRule="exact"/>
        <w:ind w:firstLine="640" w:firstLineChars="200"/>
        <w:rPr>
          <w:rFonts w:ascii="仿宋" w:hAnsi="仿宋" w:eastAsia="仿宋"/>
          <w:color w:val="000000"/>
          <w:sz w:val="32"/>
          <w:szCs w:val="32"/>
        </w:rPr>
      </w:pPr>
    </w:p>
    <w:p w14:paraId="08999205">
      <w:pPr>
        <w:spacing w:line="600" w:lineRule="exact"/>
        <w:ind w:firstLine="640" w:firstLineChars="200"/>
        <w:rPr>
          <w:rFonts w:ascii="仿宋" w:hAnsi="仿宋" w:eastAsia="仿宋"/>
          <w:color w:val="000000"/>
          <w:sz w:val="32"/>
          <w:szCs w:val="32"/>
        </w:rPr>
      </w:pPr>
    </w:p>
    <w:p w14:paraId="62B05A81">
      <w:pPr>
        <w:spacing w:line="600" w:lineRule="exact"/>
        <w:ind w:firstLine="640" w:firstLineChars="200"/>
        <w:rPr>
          <w:rFonts w:ascii="仿宋" w:hAnsi="仿宋" w:eastAsia="仿宋"/>
          <w:color w:val="000000"/>
          <w:sz w:val="32"/>
          <w:szCs w:val="32"/>
        </w:rPr>
      </w:pPr>
    </w:p>
    <w:p w14:paraId="08408CC7">
      <w:pPr>
        <w:spacing w:line="600" w:lineRule="exact"/>
        <w:ind w:firstLine="640" w:firstLineChars="200"/>
        <w:rPr>
          <w:rFonts w:ascii="仿宋" w:hAnsi="仿宋" w:eastAsia="仿宋"/>
          <w:color w:val="000000"/>
          <w:sz w:val="32"/>
          <w:szCs w:val="32"/>
        </w:rPr>
      </w:pPr>
    </w:p>
    <w:p w14:paraId="194E11D6">
      <w:pPr>
        <w:spacing w:line="600" w:lineRule="exact"/>
        <w:ind w:firstLine="640" w:firstLineChars="200"/>
        <w:outlineLvl w:val="1"/>
        <w:rPr>
          <w:rStyle w:val="18"/>
          <w:rFonts w:ascii="黑体" w:hAnsi="黑体" w:eastAsia="黑体"/>
          <w:b w:val="0"/>
        </w:rPr>
      </w:pPr>
      <w:bookmarkStart w:id="30" w:name="_Toc15396606"/>
      <w:bookmarkStart w:id="31" w:name="_Toc15377208"/>
      <w:r>
        <w:rPr>
          <w:rFonts w:hint="eastAsia" w:ascii="黑体" w:hAnsi="黑体" w:eastAsia="黑体"/>
          <w:color w:val="000000"/>
          <w:sz w:val="32"/>
          <w:szCs w:val="32"/>
        </w:rPr>
        <w:t>四、财</w:t>
      </w:r>
      <w:r>
        <w:rPr>
          <w:rStyle w:val="18"/>
          <w:rFonts w:hint="eastAsia" w:ascii="黑体" w:hAnsi="黑体" w:eastAsia="黑体"/>
          <w:b w:val="0"/>
        </w:rPr>
        <w:t>政拨款收入支出决算总体情况说明</w:t>
      </w:r>
      <w:bookmarkEnd w:id="30"/>
      <w:bookmarkEnd w:id="31"/>
    </w:p>
    <w:p w14:paraId="29627302">
      <w:pPr>
        <w:spacing w:line="600" w:lineRule="exact"/>
        <w:ind w:firstLine="640"/>
        <w:rPr>
          <w:rFonts w:ascii="仿宋" w:hAnsi="仿宋" w:eastAsia="仿宋"/>
          <w:color w:val="000000"/>
          <w:sz w:val="32"/>
          <w:szCs w:val="32"/>
        </w:rPr>
      </w:pPr>
      <w:r>
        <w:rPr>
          <w:rFonts w:ascii="仿宋" w:hAnsi="仿宋" w:eastAsia="仿宋"/>
          <w:color w:val="000000"/>
          <w:sz w:val="32"/>
          <w:szCs w:val="32"/>
        </w:rPr>
        <w:t xml:space="preserve">2019 </w:t>
      </w:r>
      <w:r>
        <w:rPr>
          <w:rFonts w:hint="eastAsia" w:ascii="仿宋" w:hAnsi="仿宋" w:eastAsia="仿宋"/>
          <w:color w:val="000000"/>
          <w:sz w:val="32"/>
          <w:szCs w:val="32"/>
        </w:rPr>
        <w:t>年财政拨款收、支总计占</w:t>
      </w:r>
      <w:r>
        <w:rPr>
          <w:rFonts w:ascii="仿宋" w:hAnsi="仿宋" w:eastAsia="仿宋"/>
          <w:color w:val="000000"/>
          <w:sz w:val="32"/>
          <w:szCs w:val="32"/>
        </w:rPr>
        <w:t>55.82</w:t>
      </w:r>
      <w:r>
        <w:rPr>
          <w:rFonts w:hint="eastAsia" w:ascii="仿宋" w:hAnsi="仿宋" w:eastAsia="仿宋"/>
          <w:color w:val="000000"/>
          <w:sz w:val="32"/>
          <w:szCs w:val="32"/>
        </w:rPr>
        <w:t>；万元。与</w:t>
      </w:r>
      <w:r>
        <w:rPr>
          <w:rFonts w:ascii="仿宋" w:hAnsi="仿宋" w:eastAsia="仿宋"/>
          <w:color w:val="000000"/>
          <w:sz w:val="32"/>
          <w:szCs w:val="32"/>
        </w:rPr>
        <w:t>2018</w:t>
      </w:r>
      <w:r>
        <w:rPr>
          <w:rFonts w:hint="eastAsia" w:ascii="仿宋" w:hAnsi="仿宋" w:eastAsia="仿宋"/>
          <w:color w:val="000000"/>
          <w:sz w:val="32"/>
          <w:szCs w:val="32"/>
        </w:rPr>
        <w:t>年相比，财政拨款收、支总计各增加</w:t>
      </w:r>
      <w:r>
        <w:rPr>
          <w:rFonts w:ascii="仿宋" w:hAnsi="仿宋" w:eastAsia="仿宋"/>
          <w:color w:val="000000"/>
          <w:sz w:val="32"/>
          <w:szCs w:val="32"/>
        </w:rPr>
        <w:t>2.54</w:t>
      </w:r>
      <w:r>
        <w:rPr>
          <w:rFonts w:hint="eastAsia" w:ascii="仿宋" w:hAnsi="仿宋" w:eastAsia="仿宋"/>
          <w:color w:val="000000"/>
          <w:sz w:val="32"/>
          <w:szCs w:val="32"/>
        </w:rPr>
        <w:t>万元，增长</w:t>
      </w:r>
      <w:r>
        <w:rPr>
          <w:rFonts w:ascii="仿宋" w:hAnsi="仿宋" w:eastAsia="仿宋"/>
          <w:color w:val="000000"/>
          <w:sz w:val="32"/>
          <w:szCs w:val="32"/>
        </w:rPr>
        <w:t xml:space="preserve"> 4.77%</w:t>
      </w:r>
      <w:r>
        <w:rPr>
          <w:rFonts w:hint="eastAsia" w:ascii="仿宋" w:hAnsi="仿宋" w:eastAsia="仿宋"/>
          <w:color w:val="000000"/>
          <w:sz w:val="32"/>
          <w:szCs w:val="32"/>
        </w:rPr>
        <w:t>。主要变动原因是</w:t>
      </w:r>
      <w:r>
        <w:rPr>
          <w:rFonts w:hint="eastAsia" w:ascii="仿宋_GB2312" w:eastAsia="仿宋_GB2312"/>
          <w:color w:val="000000"/>
          <w:sz w:val="32"/>
          <w:szCs w:val="32"/>
        </w:rPr>
        <w:t>是职工基本养老保险、职工职业年金、职工绩效工资等有所变化。</w:t>
      </w:r>
    </w:p>
    <w:p w14:paraId="1A65925C">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p w14:paraId="4A378190">
      <w:pPr>
        <w:spacing w:line="600" w:lineRule="exact"/>
        <w:ind w:firstLine="640" w:firstLineChars="200"/>
        <w:rPr>
          <w:rFonts w:ascii="仿宋" w:hAnsi="仿宋" w:eastAsia="仿宋"/>
          <w:color w:val="000000"/>
          <w:sz w:val="32"/>
          <w:szCs w:val="32"/>
        </w:rPr>
      </w:pPr>
    </w:p>
    <w:p w14:paraId="3364095E">
      <w:pPr>
        <w:spacing w:line="600" w:lineRule="exact"/>
        <w:ind w:firstLine="420" w:firstLineChars="200"/>
        <w:rPr>
          <w:rFonts w:ascii="仿宋" w:hAnsi="仿宋" w:eastAsia="仿宋"/>
          <w:color w:val="000000"/>
          <w:sz w:val="32"/>
          <w:szCs w:val="32"/>
        </w:rPr>
      </w:pPr>
      <w:r>
        <w:pict>
          <v:shape id="_x0000_s1031" o:spid="_x0000_s1031" o:spt="75" type="#_x0000_t75" style="position:absolute;left:0pt;margin-left:32.05pt;margin-top:22.1pt;height:74.9pt;width:346.1pt;z-index:-251652096;mso-width-relative:page;mso-height-relative:page;" o:ole="t" filled="f" o:preferrelative="t" stroked="f" coordsize="21600,21600">
            <v:path/>
            <v:fill on="f" focussize="0,0"/>
            <v:stroke on="f" joinstyle="miter"/>
            <v:imagedata r:id="rId17" o:title=""/>
            <o:lock v:ext="edit" aspectratio="t"/>
          </v:shape>
          <o:OLEObject Type="Embed" ProgID="Excel.Chart.8" ShapeID="_x0000_s1031" DrawAspect="Content" ObjectID="_1468075730" r:id="rId16">
            <o:LockedField>false</o:LockedField>
          </o:OLEObject>
        </w:pict>
      </w:r>
    </w:p>
    <w:p w14:paraId="4B2E5E78">
      <w:pPr>
        <w:spacing w:line="600" w:lineRule="exact"/>
        <w:ind w:firstLine="640" w:firstLineChars="200"/>
        <w:rPr>
          <w:rFonts w:ascii="仿宋" w:hAnsi="仿宋" w:eastAsia="仿宋"/>
          <w:color w:val="000000"/>
          <w:sz w:val="32"/>
          <w:szCs w:val="32"/>
        </w:rPr>
      </w:pPr>
    </w:p>
    <w:p w14:paraId="11C120FD">
      <w:pPr>
        <w:spacing w:line="600" w:lineRule="exact"/>
        <w:ind w:firstLine="640" w:firstLineChars="200"/>
        <w:rPr>
          <w:rFonts w:ascii="仿宋" w:hAnsi="仿宋" w:eastAsia="仿宋"/>
          <w:color w:val="000000"/>
          <w:sz w:val="32"/>
          <w:szCs w:val="32"/>
        </w:rPr>
      </w:pPr>
    </w:p>
    <w:p w14:paraId="5B8F2964">
      <w:pPr>
        <w:spacing w:line="600" w:lineRule="exact"/>
        <w:ind w:firstLine="640"/>
        <w:rPr>
          <w:rFonts w:ascii="仿宋" w:hAnsi="仿宋" w:eastAsia="仿宋"/>
          <w:b/>
          <w:color w:val="00B050"/>
          <w:sz w:val="32"/>
          <w:szCs w:val="32"/>
        </w:rPr>
      </w:pPr>
    </w:p>
    <w:p w14:paraId="03F7FD7E">
      <w:pPr>
        <w:spacing w:line="600" w:lineRule="exact"/>
        <w:ind w:firstLine="640" w:firstLineChars="200"/>
        <w:outlineLvl w:val="1"/>
        <w:rPr>
          <w:rStyle w:val="18"/>
          <w:rFonts w:ascii="黑体" w:hAnsi="黑体" w:eastAsia="黑体"/>
          <w:b w:val="0"/>
        </w:rPr>
      </w:pPr>
      <w:bookmarkStart w:id="32" w:name="_Toc15377209"/>
      <w:bookmarkStart w:id="33"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18"/>
          <w:rFonts w:hint="eastAsia" w:ascii="黑体" w:hAnsi="黑体" w:eastAsia="黑体"/>
          <w:b w:val="0"/>
        </w:rPr>
        <w:t>般公共预算财政拨款支出决算情况说明</w:t>
      </w:r>
      <w:bookmarkEnd w:id="32"/>
      <w:bookmarkEnd w:id="33"/>
    </w:p>
    <w:p w14:paraId="24DBF6BA">
      <w:pPr>
        <w:spacing w:line="600" w:lineRule="exact"/>
        <w:ind w:firstLine="643" w:firstLineChars="200"/>
        <w:outlineLvl w:val="2"/>
        <w:rPr>
          <w:rFonts w:ascii="仿宋" w:hAnsi="仿宋" w:eastAsia="仿宋"/>
          <w:b/>
          <w:color w:val="000000"/>
          <w:sz w:val="32"/>
          <w:szCs w:val="32"/>
        </w:rPr>
      </w:pPr>
      <w:bookmarkStart w:id="34" w:name="_Toc15377210"/>
      <w:r>
        <w:rPr>
          <w:rFonts w:hint="eastAsia" w:ascii="仿宋" w:hAnsi="仿宋" w:eastAsia="仿宋"/>
          <w:b/>
          <w:color w:val="000000"/>
          <w:sz w:val="32"/>
          <w:szCs w:val="32"/>
        </w:rPr>
        <w:t>（一）一般公共预算财政拨款支出决算总体情况</w:t>
      </w:r>
      <w:bookmarkEnd w:id="34"/>
    </w:p>
    <w:p w14:paraId="6F8CBE68">
      <w:pPr>
        <w:spacing w:line="600" w:lineRule="exact"/>
        <w:ind w:firstLine="640"/>
        <w:rPr>
          <w:rFonts w:ascii="仿宋" w:hAnsi="仿宋" w:eastAsia="仿宋"/>
          <w:color w:val="000000"/>
          <w:sz w:val="32"/>
          <w:szCs w:val="32"/>
        </w:rPr>
      </w:pPr>
      <w:r>
        <w:rPr>
          <w:rFonts w:ascii="仿宋" w:hAnsi="仿宋" w:eastAsia="仿宋"/>
          <w:color w:val="000000"/>
          <w:sz w:val="32"/>
          <w:szCs w:val="32"/>
        </w:rPr>
        <w:t xml:space="preserve">2019 </w:t>
      </w:r>
      <w:r>
        <w:rPr>
          <w:rFonts w:hint="eastAsia" w:ascii="仿宋" w:hAnsi="仿宋" w:eastAsia="仿宋"/>
          <w:color w:val="000000"/>
          <w:sz w:val="32"/>
          <w:szCs w:val="32"/>
        </w:rPr>
        <w:t>年一般公共预算财政拨款支出</w:t>
      </w:r>
      <w:r>
        <w:rPr>
          <w:rFonts w:ascii="仿宋" w:hAnsi="仿宋" w:eastAsia="仿宋"/>
          <w:color w:val="000000"/>
          <w:sz w:val="32"/>
          <w:szCs w:val="32"/>
        </w:rPr>
        <w:t>55.82</w:t>
      </w:r>
      <w:r>
        <w:rPr>
          <w:rFonts w:hint="eastAsia" w:ascii="仿宋" w:hAnsi="仿宋" w:eastAsia="仿宋"/>
          <w:color w:val="000000"/>
          <w:sz w:val="32"/>
          <w:szCs w:val="32"/>
        </w:rPr>
        <w:t>万元，占本年支出合计的</w:t>
      </w:r>
      <w:r>
        <w:rPr>
          <w:rFonts w:ascii="仿宋" w:hAnsi="仿宋" w:eastAsia="仿宋"/>
          <w:color w:val="000000"/>
          <w:sz w:val="32"/>
          <w:szCs w:val="32"/>
        </w:rPr>
        <w:t xml:space="preserve"> 100.00%</w:t>
      </w:r>
      <w:r>
        <w:rPr>
          <w:rFonts w:hint="eastAsia" w:ascii="仿宋" w:hAnsi="仿宋" w:eastAsia="仿宋"/>
          <w:color w:val="000000"/>
          <w:sz w:val="32"/>
          <w:szCs w:val="32"/>
        </w:rPr>
        <w:t>。与</w:t>
      </w:r>
      <w:r>
        <w:rPr>
          <w:rFonts w:ascii="仿宋" w:hAnsi="仿宋" w:eastAsia="仿宋"/>
          <w:color w:val="000000"/>
          <w:sz w:val="32"/>
          <w:szCs w:val="32"/>
        </w:rPr>
        <w:t>2018</w:t>
      </w:r>
      <w:r>
        <w:rPr>
          <w:rFonts w:hint="eastAsia" w:ascii="仿宋" w:hAnsi="仿宋" w:eastAsia="仿宋"/>
          <w:color w:val="000000"/>
          <w:sz w:val="32"/>
          <w:szCs w:val="32"/>
        </w:rPr>
        <w:t>年相比，一般公共预算财政拨款增加</w:t>
      </w:r>
      <w:r>
        <w:rPr>
          <w:rFonts w:ascii="仿宋" w:hAnsi="仿宋" w:eastAsia="仿宋"/>
          <w:color w:val="000000"/>
          <w:sz w:val="32"/>
          <w:szCs w:val="32"/>
        </w:rPr>
        <w:t>2.54</w:t>
      </w:r>
      <w:r>
        <w:rPr>
          <w:rFonts w:hint="eastAsia" w:ascii="仿宋" w:hAnsi="仿宋" w:eastAsia="仿宋"/>
          <w:color w:val="000000"/>
          <w:sz w:val="32"/>
          <w:szCs w:val="32"/>
        </w:rPr>
        <w:t>万元，增长</w:t>
      </w:r>
      <w:r>
        <w:rPr>
          <w:rFonts w:ascii="仿宋" w:hAnsi="仿宋" w:eastAsia="仿宋"/>
          <w:color w:val="000000"/>
          <w:sz w:val="32"/>
          <w:szCs w:val="32"/>
        </w:rPr>
        <w:t xml:space="preserve"> 4.77%</w:t>
      </w:r>
      <w:r>
        <w:rPr>
          <w:rFonts w:hint="eastAsia" w:ascii="仿宋" w:hAnsi="仿宋" w:eastAsia="仿宋"/>
          <w:color w:val="000000"/>
          <w:sz w:val="32"/>
          <w:szCs w:val="32"/>
        </w:rPr>
        <w:t>。主要变动原因是</w:t>
      </w:r>
      <w:r>
        <w:rPr>
          <w:rFonts w:hint="eastAsia" w:ascii="仿宋_GB2312" w:eastAsia="仿宋_GB2312"/>
          <w:color w:val="000000"/>
          <w:sz w:val="32"/>
          <w:szCs w:val="32"/>
        </w:rPr>
        <w:t>是职工基本养老保险、职工职业年金、职工绩效工资等有所变化。</w:t>
      </w:r>
    </w:p>
    <w:p w14:paraId="1781BFCA">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：一般公共预算财政拨款支出决算变动情况）（柱状图）</w:t>
      </w:r>
    </w:p>
    <w:p w14:paraId="0764274F">
      <w:pPr>
        <w:spacing w:line="600" w:lineRule="exact"/>
        <w:ind w:firstLine="420" w:firstLineChars="200"/>
        <w:rPr>
          <w:rFonts w:ascii="仿宋" w:hAnsi="仿宋" w:eastAsia="仿宋"/>
          <w:color w:val="000000"/>
          <w:sz w:val="32"/>
          <w:szCs w:val="32"/>
        </w:rPr>
      </w:pPr>
      <w:r>
        <w:pict>
          <v:shape id="_x0000_s1032" o:spid="_x0000_s1032" o:spt="75" type="#_x0000_t75" style="position:absolute;left:0pt;margin-left:42.55pt;margin-top:28.7pt;height:74.9pt;width:346.1pt;z-index:-251650048;mso-width-relative:page;mso-height-relative:page;" o:ole="t" filled="f" o:preferrelative="t" stroked="f" coordsize="21600,21600">
            <v:path/>
            <v:fill on="f" focussize="0,0"/>
            <v:stroke on="f" joinstyle="miter"/>
            <v:imagedata r:id="rId19" o:title=""/>
            <o:lock v:ext="edit" aspectratio="t"/>
          </v:shape>
          <o:OLEObject Type="Embed" ProgID="Excel.Chart.8" ShapeID="_x0000_s1032" DrawAspect="Content" ObjectID="_1468075731" r:id="rId18">
            <o:LockedField>false</o:LockedField>
          </o:OLEObject>
        </w:pict>
      </w:r>
    </w:p>
    <w:p w14:paraId="1314FEA4">
      <w:pPr>
        <w:spacing w:line="600" w:lineRule="exact"/>
        <w:ind w:firstLine="640" w:firstLineChars="200"/>
        <w:rPr>
          <w:rFonts w:ascii="仿宋" w:hAnsi="仿宋" w:eastAsia="仿宋"/>
          <w:color w:val="000000"/>
          <w:sz w:val="32"/>
          <w:szCs w:val="32"/>
        </w:rPr>
      </w:pPr>
    </w:p>
    <w:p w14:paraId="70C5C741">
      <w:pPr>
        <w:spacing w:line="600" w:lineRule="exact"/>
        <w:ind w:firstLine="640" w:firstLineChars="200"/>
        <w:rPr>
          <w:rFonts w:ascii="仿宋" w:hAnsi="仿宋" w:eastAsia="仿宋"/>
          <w:color w:val="000000"/>
          <w:sz w:val="32"/>
          <w:szCs w:val="32"/>
        </w:rPr>
      </w:pPr>
    </w:p>
    <w:p w14:paraId="1241EA68">
      <w:pPr>
        <w:spacing w:line="600" w:lineRule="exact"/>
        <w:ind w:firstLine="640" w:firstLineChars="200"/>
        <w:rPr>
          <w:rFonts w:ascii="仿宋" w:hAnsi="仿宋" w:eastAsia="仿宋"/>
          <w:color w:val="000000"/>
          <w:sz w:val="32"/>
          <w:szCs w:val="32"/>
        </w:rPr>
      </w:pPr>
    </w:p>
    <w:p w14:paraId="50E09A57">
      <w:pPr>
        <w:spacing w:line="600" w:lineRule="exact"/>
        <w:ind w:firstLine="643" w:firstLineChars="200"/>
        <w:outlineLvl w:val="2"/>
        <w:rPr>
          <w:rFonts w:ascii="仿宋" w:hAnsi="仿宋" w:eastAsia="仿宋"/>
          <w:b/>
          <w:color w:val="000000"/>
          <w:sz w:val="32"/>
          <w:szCs w:val="32"/>
        </w:rPr>
      </w:pPr>
      <w:bookmarkStart w:id="35" w:name="_Toc15377211"/>
      <w:r>
        <w:rPr>
          <w:rFonts w:hint="eastAsia" w:ascii="仿宋" w:hAnsi="仿宋" w:eastAsia="仿宋"/>
          <w:b/>
          <w:color w:val="000000"/>
          <w:sz w:val="32"/>
          <w:szCs w:val="32"/>
        </w:rPr>
        <w:t>（二）一般公共预算财政拨款支出决算结构情况</w:t>
      </w:r>
      <w:bookmarkEnd w:id="35"/>
    </w:p>
    <w:p w14:paraId="3447DE3F">
      <w:pPr>
        <w:spacing w:line="600" w:lineRule="exact"/>
        <w:ind w:firstLine="640"/>
        <w:rPr>
          <w:rFonts w:ascii="仿宋" w:hAnsi="仿宋" w:eastAsia="仿宋"/>
          <w:color w:val="000000"/>
          <w:sz w:val="32"/>
          <w:szCs w:val="32"/>
        </w:rPr>
      </w:pPr>
      <w:r>
        <w:rPr>
          <w:rFonts w:ascii="仿宋" w:hAnsi="仿宋" w:eastAsia="仿宋"/>
          <w:color w:val="000000"/>
          <w:sz w:val="32"/>
          <w:szCs w:val="32"/>
        </w:rPr>
        <w:t>2019</w:t>
      </w:r>
      <w:r>
        <w:rPr>
          <w:rFonts w:hint="eastAsia" w:ascii="仿宋" w:hAnsi="仿宋" w:eastAsia="仿宋"/>
          <w:color w:val="000000"/>
          <w:sz w:val="32"/>
          <w:szCs w:val="32"/>
        </w:rPr>
        <w:t>年一般公共预算财政拨款支出</w:t>
      </w:r>
      <w:r>
        <w:rPr>
          <w:rFonts w:ascii="仿宋" w:hAnsi="仿宋" w:eastAsia="仿宋"/>
          <w:color w:val="000000"/>
          <w:sz w:val="32"/>
          <w:szCs w:val="32"/>
        </w:rPr>
        <w:t>55.82</w:t>
      </w:r>
      <w:r>
        <w:rPr>
          <w:rFonts w:hint="eastAsia" w:ascii="仿宋" w:hAnsi="仿宋" w:eastAsia="仿宋"/>
          <w:color w:val="000000"/>
          <w:sz w:val="32"/>
          <w:szCs w:val="32"/>
        </w:rPr>
        <w:t>万元，主要用于以下方面</w:t>
      </w:r>
      <w:r>
        <w:rPr>
          <w:rFonts w:ascii="仿宋" w:hAnsi="仿宋" w:eastAsia="仿宋"/>
          <w:color w:val="000000"/>
          <w:sz w:val="32"/>
          <w:szCs w:val="32"/>
        </w:rPr>
        <w:t>:</w:t>
      </w:r>
      <w:r>
        <w:rPr>
          <w:rFonts w:hint="eastAsia" w:ascii="仿宋" w:hAnsi="仿宋" w:eastAsia="仿宋"/>
          <w:color w:val="000000"/>
          <w:sz w:val="32"/>
          <w:szCs w:val="32"/>
        </w:rPr>
        <w:t>一般公共服务（类）支出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；外交支出（类）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，国防支出（类）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；公共安全支出（类）</w:t>
      </w:r>
      <w:r>
        <w:rPr>
          <w:rFonts w:ascii="仿宋" w:hAnsi="仿宋" w:eastAsia="仿宋"/>
          <w:color w:val="000000"/>
          <w:sz w:val="32"/>
          <w:szCs w:val="32"/>
        </w:rPr>
        <w:t>43.07</w:t>
      </w:r>
      <w:r>
        <w:rPr>
          <w:rFonts w:hint="eastAsia" w:ascii="仿宋" w:hAnsi="仿宋" w:eastAsia="仿宋"/>
          <w:color w:val="000000"/>
          <w:sz w:val="32"/>
          <w:szCs w:val="32"/>
        </w:rPr>
        <w:t>万元，占</w:t>
      </w:r>
      <w:r>
        <w:rPr>
          <w:rFonts w:ascii="仿宋" w:hAnsi="仿宋" w:eastAsia="仿宋"/>
          <w:color w:val="000000"/>
          <w:sz w:val="32"/>
          <w:szCs w:val="32"/>
        </w:rPr>
        <w:t>77.16%</w:t>
      </w:r>
      <w:r>
        <w:rPr>
          <w:rFonts w:hint="eastAsia" w:ascii="仿宋" w:hAnsi="仿宋" w:eastAsia="仿宋"/>
          <w:color w:val="000000"/>
          <w:sz w:val="32"/>
          <w:szCs w:val="32"/>
        </w:rPr>
        <w:t>；教育支出（类）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；科学技术（类）支出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；文化旅游体育与传媒（类）支出</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；社会保障和就业（类）支出</w:t>
      </w:r>
      <w:r>
        <w:rPr>
          <w:rFonts w:ascii="仿宋" w:hAnsi="仿宋" w:eastAsia="仿宋"/>
          <w:color w:val="000000"/>
          <w:sz w:val="32"/>
          <w:szCs w:val="32"/>
        </w:rPr>
        <w:t>5.99</w:t>
      </w:r>
      <w:r>
        <w:rPr>
          <w:rFonts w:hint="eastAsia" w:ascii="仿宋" w:hAnsi="仿宋" w:eastAsia="仿宋"/>
          <w:color w:val="000000"/>
          <w:sz w:val="32"/>
          <w:szCs w:val="32"/>
        </w:rPr>
        <w:t>万元，占</w:t>
      </w:r>
      <w:r>
        <w:rPr>
          <w:rFonts w:ascii="仿宋" w:hAnsi="仿宋" w:eastAsia="仿宋"/>
          <w:color w:val="000000"/>
          <w:sz w:val="32"/>
          <w:szCs w:val="32"/>
        </w:rPr>
        <w:t>10.73%</w:t>
      </w:r>
      <w:r>
        <w:rPr>
          <w:rFonts w:hint="eastAsia" w:ascii="仿宋" w:hAnsi="仿宋" w:eastAsia="仿宋"/>
          <w:color w:val="000000"/>
          <w:sz w:val="32"/>
          <w:szCs w:val="32"/>
        </w:rPr>
        <w:t>；卫生健康支出（类）</w:t>
      </w:r>
      <w:r>
        <w:rPr>
          <w:rFonts w:ascii="仿宋" w:hAnsi="仿宋" w:eastAsia="仿宋"/>
          <w:color w:val="000000"/>
          <w:sz w:val="32"/>
          <w:szCs w:val="32"/>
        </w:rPr>
        <w:t>2.78</w:t>
      </w:r>
      <w:r>
        <w:rPr>
          <w:rFonts w:hint="eastAsia" w:ascii="仿宋" w:hAnsi="仿宋" w:eastAsia="仿宋"/>
          <w:color w:val="000000"/>
          <w:sz w:val="32"/>
          <w:szCs w:val="32"/>
        </w:rPr>
        <w:t>万元，占</w:t>
      </w:r>
      <w:r>
        <w:rPr>
          <w:rFonts w:ascii="仿宋" w:hAnsi="仿宋" w:eastAsia="仿宋"/>
          <w:color w:val="000000"/>
          <w:sz w:val="32"/>
          <w:szCs w:val="32"/>
        </w:rPr>
        <w:t>4.98%%</w:t>
      </w:r>
      <w:r>
        <w:rPr>
          <w:rFonts w:hint="eastAsia" w:ascii="仿宋" w:hAnsi="仿宋" w:eastAsia="仿宋"/>
          <w:color w:val="000000"/>
          <w:sz w:val="32"/>
          <w:szCs w:val="32"/>
        </w:rPr>
        <w:t>；节能环保支出（类）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；城乡社区支出（类）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；农林水支出（类）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；交通运输支出（类）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；资源勘探信息等支出（类）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；商业服务业等支出（类）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；金融支出（类）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；援助其他地区支出（类）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；自然资源海洋气象等支出（类）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；住房保障支出（类）</w:t>
      </w:r>
      <w:r>
        <w:rPr>
          <w:rFonts w:ascii="仿宋" w:hAnsi="仿宋" w:eastAsia="仿宋"/>
          <w:color w:val="000000"/>
          <w:sz w:val="32"/>
          <w:szCs w:val="32"/>
        </w:rPr>
        <w:t>3.98</w:t>
      </w:r>
      <w:r>
        <w:rPr>
          <w:rFonts w:hint="eastAsia" w:ascii="仿宋" w:hAnsi="仿宋" w:eastAsia="仿宋"/>
          <w:color w:val="000000"/>
          <w:sz w:val="32"/>
          <w:szCs w:val="32"/>
        </w:rPr>
        <w:t>万元，占</w:t>
      </w:r>
      <w:r>
        <w:rPr>
          <w:rFonts w:ascii="仿宋" w:hAnsi="仿宋" w:eastAsia="仿宋"/>
          <w:color w:val="000000"/>
          <w:sz w:val="32"/>
          <w:szCs w:val="32"/>
        </w:rPr>
        <w:t>7.13%</w:t>
      </w:r>
      <w:r>
        <w:rPr>
          <w:rFonts w:hint="eastAsia" w:ascii="仿宋" w:hAnsi="仿宋" w:eastAsia="仿宋"/>
          <w:color w:val="000000"/>
          <w:sz w:val="32"/>
          <w:szCs w:val="32"/>
        </w:rPr>
        <w:t>；粮油物资储备支出（类）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；灾害防治及应急管理支出（类）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；其他支出（类）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；债务还本支出（类）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；债务付息支出（类）</w:t>
      </w:r>
      <w:r>
        <w:rPr>
          <w:rFonts w:ascii="仿宋" w:hAnsi="仿宋" w:eastAsia="仿宋"/>
          <w:color w:val="000000"/>
          <w:sz w:val="32"/>
          <w:szCs w:val="32"/>
        </w:rPr>
        <w:t>0.00</w:t>
      </w:r>
      <w:r>
        <w:rPr>
          <w:rFonts w:hint="eastAsia" w:ascii="仿宋" w:hAnsi="仿宋" w:eastAsia="仿宋"/>
          <w:color w:val="000000"/>
          <w:sz w:val="32"/>
          <w:szCs w:val="32"/>
        </w:rPr>
        <w:t>万元，占</w:t>
      </w:r>
      <w:r>
        <w:rPr>
          <w:rFonts w:ascii="仿宋" w:hAnsi="仿宋" w:eastAsia="仿宋"/>
          <w:color w:val="000000"/>
          <w:sz w:val="32"/>
          <w:szCs w:val="32"/>
        </w:rPr>
        <w:t>0.00%</w:t>
      </w:r>
      <w:r>
        <w:rPr>
          <w:rFonts w:hint="eastAsia" w:ascii="仿宋" w:hAnsi="仿宋" w:eastAsia="仿宋"/>
          <w:color w:val="000000"/>
          <w:sz w:val="32"/>
          <w:szCs w:val="32"/>
        </w:rPr>
        <w:t>。</w:t>
      </w:r>
    </w:p>
    <w:p w14:paraId="3DC01590">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：一般公共预算财政拨款支出决算结构）（饼状图）</w:t>
      </w:r>
    </w:p>
    <w:p w14:paraId="6FE36351">
      <w:pPr>
        <w:spacing w:line="600" w:lineRule="exact"/>
        <w:ind w:firstLine="640" w:firstLineChars="200"/>
        <w:rPr>
          <w:rFonts w:ascii="仿宋" w:hAnsi="仿宋" w:eastAsia="仿宋"/>
          <w:color w:val="000000"/>
          <w:sz w:val="32"/>
          <w:szCs w:val="32"/>
        </w:rPr>
      </w:pPr>
    </w:p>
    <w:p w14:paraId="0E3B5EF2">
      <w:pPr>
        <w:spacing w:line="600" w:lineRule="exact"/>
        <w:ind w:firstLine="420" w:firstLineChars="200"/>
        <w:rPr>
          <w:rFonts w:ascii="仿宋" w:hAnsi="仿宋" w:eastAsia="仿宋"/>
          <w:color w:val="000000"/>
          <w:sz w:val="32"/>
          <w:szCs w:val="32"/>
        </w:rPr>
      </w:pPr>
      <w:r>
        <w:pict>
          <v:shape id="_x0000_s1033" o:spid="_x0000_s1033" o:spt="75" type="#_x0000_t75" style="position:absolute;left:0pt;margin-left:67.4pt;margin-top:38.15pt;height:80.65pt;width:189.1pt;z-index:251665408;mso-width-relative:page;mso-height-relative:page;" o:ole="t" filled="f" o:preferrelative="t" stroked="f" coordsize="21600,21600">
            <v:path/>
            <v:fill on="f" focussize="0,0"/>
            <v:stroke on="f" joinstyle="miter"/>
            <v:imagedata r:id="rId21" o:title=""/>
            <o:lock v:ext="edit" aspectratio="t"/>
          </v:shape>
          <o:OLEObject Type="Embed" ProgID="Excel.Chart.8" ShapeID="_x0000_s1033" DrawAspect="Content" ObjectID="_1468075732" r:id="rId20">
            <o:LockedField>false</o:LockedField>
          </o:OLEObject>
        </w:pict>
      </w:r>
    </w:p>
    <w:p w14:paraId="7C83894C">
      <w:pPr>
        <w:spacing w:line="600" w:lineRule="exact"/>
        <w:ind w:firstLine="640" w:firstLineChars="200"/>
        <w:rPr>
          <w:rFonts w:ascii="仿宋" w:hAnsi="仿宋" w:eastAsia="仿宋"/>
          <w:color w:val="000000"/>
          <w:sz w:val="32"/>
          <w:szCs w:val="32"/>
        </w:rPr>
      </w:pPr>
    </w:p>
    <w:p w14:paraId="6600C7BE">
      <w:pPr>
        <w:spacing w:line="600" w:lineRule="exact"/>
        <w:ind w:firstLine="640" w:firstLineChars="200"/>
        <w:rPr>
          <w:rFonts w:ascii="仿宋" w:hAnsi="仿宋" w:eastAsia="仿宋"/>
          <w:color w:val="000000"/>
          <w:sz w:val="32"/>
          <w:szCs w:val="32"/>
        </w:rPr>
      </w:pPr>
    </w:p>
    <w:p w14:paraId="3AB29AFA">
      <w:pPr>
        <w:spacing w:line="600" w:lineRule="exact"/>
        <w:ind w:firstLine="640" w:firstLineChars="200"/>
        <w:rPr>
          <w:rFonts w:ascii="仿宋" w:hAnsi="仿宋" w:eastAsia="仿宋"/>
          <w:color w:val="000000"/>
          <w:sz w:val="32"/>
          <w:szCs w:val="32"/>
        </w:rPr>
      </w:pPr>
    </w:p>
    <w:p w14:paraId="386249FD">
      <w:pPr>
        <w:spacing w:line="600" w:lineRule="exact"/>
        <w:ind w:firstLine="643" w:firstLineChars="200"/>
        <w:outlineLvl w:val="2"/>
        <w:rPr>
          <w:rFonts w:ascii="仿宋" w:hAnsi="仿宋" w:eastAsia="仿宋"/>
          <w:b/>
          <w:color w:val="000000"/>
          <w:sz w:val="32"/>
          <w:szCs w:val="32"/>
        </w:rPr>
      </w:pPr>
      <w:bookmarkStart w:id="36" w:name="_Toc15377212"/>
      <w:r>
        <w:rPr>
          <w:rFonts w:hint="eastAsia" w:ascii="仿宋" w:hAnsi="仿宋" w:eastAsia="仿宋"/>
          <w:b/>
          <w:color w:val="000000"/>
          <w:sz w:val="32"/>
          <w:szCs w:val="32"/>
        </w:rPr>
        <w:t>（三）一般公共预算财政拨款支出决算具体情况</w:t>
      </w:r>
      <w:bookmarkEnd w:id="36"/>
    </w:p>
    <w:p w14:paraId="5714E40F">
      <w:pPr>
        <w:spacing w:line="560" w:lineRule="exact"/>
        <w:ind w:firstLine="640" w:firstLineChars="200"/>
        <w:rPr>
          <w:rFonts w:ascii="仿宋" w:hAnsi="仿宋" w:eastAsia="仿宋"/>
          <w:color w:val="000000"/>
          <w:sz w:val="32"/>
          <w:szCs w:val="32"/>
        </w:rPr>
      </w:pPr>
      <w:r>
        <w:rPr>
          <w:rFonts w:ascii="仿宋" w:hAnsi="仿宋" w:eastAsia="仿宋"/>
          <w:color w:val="000000"/>
          <w:sz w:val="32"/>
          <w:szCs w:val="32"/>
        </w:rPr>
        <w:t>2019</w:t>
      </w:r>
      <w:r>
        <w:rPr>
          <w:rFonts w:hint="eastAsia" w:ascii="仿宋" w:hAnsi="仿宋" w:eastAsia="仿宋"/>
          <w:color w:val="000000"/>
          <w:sz w:val="32"/>
          <w:szCs w:val="32"/>
        </w:rPr>
        <w:t>年一般公共预算支出决算数为</w:t>
      </w:r>
      <w:r>
        <w:rPr>
          <w:rFonts w:ascii="仿宋" w:hAnsi="仿宋" w:eastAsia="仿宋"/>
          <w:color w:val="000000"/>
          <w:sz w:val="32"/>
          <w:szCs w:val="32"/>
        </w:rPr>
        <w:t>55.82</w:t>
      </w:r>
      <w:r>
        <w:rPr>
          <w:rFonts w:hint="eastAsia" w:ascii="仿宋" w:hAnsi="仿宋" w:eastAsia="仿宋"/>
          <w:color w:val="000000"/>
          <w:sz w:val="32"/>
          <w:szCs w:val="32"/>
        </w:rPr>
        <w:t>，完成预算</w:t>
      </w:r>
      <w:r>
        <w:rPr>
          <w:rFonts w:ascii="仿宋" w:hAnsi="仿宋" w:eastAsia="仿宋"/>
          <w:color w:val="000000"/>
          <w:sz w:val="32"/>
          <w:szCs w:val="32"/>
        </w:rPr>
        <w:t>100.00%</w:t>
      </w:r>
      <w:r>
        <w:rPr>
          <w:rFonts w:hint="eastAsia" w:ascii="仿宋" w:hAnsi="仿宋" w:eastAsia="仿宋"/>
          <w:color w:val="000000"/>
          <w:sz w:val="32"/>
          <w:szCs w:val="32"/>
        </w:rPr>
        <w:t>。其中：</w:t>
      </w:r>
    </w:p>
    <w:p w14:paraId="1454583B">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公共安全支出（类）公安（款）事业运行（项）</w:t>
      </w:r>
      <w:r>
        <w:rPr>
          <w:rFonts w:ascii="仿宋_GB2312" w:eastAsia="仿宋_GB2312"/>
          <w:color w:val="000000"/>
          <w:sz w:val="32"/>
          <w:szCs w:val="32"/>
        </w:rPr>
        <w:t>2040250</w:t>
      </w:r>
      <w:r>
        <w:rPr>
          <w:rFonts w:hint="eastAsia" w:ascii="仿宋_GB2312" w:eastAsia="仿宋_GB2312"/>
          <w:color w:val="000000"/>
          <w:sz w:val="32"/>
          <w:szCs w:val="32"/>
        </w:rPr>
        <w:t>：</w:t>
      </w:r>
      <w:r>
        <w:rPr>
          <w:rFonts w:ascii="仿宋_GB2312" w:eastAsia="仿宋_GB2312"/>
          <w:color w:val="000000"/>
          <w:sz w:val="32"/>
          <w:szCs w:val="32"/>
        </w:rPr>
        <w:t>2019</w:t>
      </w:r>
      <w:r>
        <w:rPr>
          <w:rFonts w:hint="eastAsia" w:ascii="仿宋_GB2312" w:eastAsia="仿宋_GB2312"/>
          <w:color w:val="000000"/>
          <w:sz w:val="32"/>
          <w:szCs w:val="32"/>
        </w:rPr>
        <w:t>年决算数为</w:t>
      </w:r>
      <w:r>
        <w:rPr>
          <w:rFonts w:ascii="仿宋_GB2312" w:eastAsia="仿宋_GB2312"/>
          <w:color w:val="000000"/>
          <w:sz w:val="32"/>
          <w:szCs w:val="32"/>
        </w:rPr>
        <w:t>43.07</w:t>
      </w:r>
      <w:r>
        <w:rPr>
          <w:rFonts w:hint="eastAsia" w:ascii="仿宋_GB2312" w:eastAsia="仿宋_GB2312"/>
          <w:color w:val="000000"/>
          <w:sz w:val="32"/>
          <w:szCs w:val="32"/>
        </w:rPr>
        <w:t>万元，完成预算</w:t>
      </w:r>
      <w:r>
        <w:rPr>
          <w:rFonts w:ascii="仿宋_GB2312" w:eastAsia="仿宋_GB2312"/>
          <w:color w:val="000000"/>
          <w:sz w:val="32"/>
          <w:szCs w:val="32"/>
        </w:rPr>
        <w:t>100%</w:t>
      </w:r>
      <w:r>
        <w:rPr>
          <w:rFonts w:hint="eastAsia" w:ascii="仿宋_GB2312" w:eastAsia="仿宋_GB2312"/>
          <w:color w:val="000000"/>
          <w:sz w:val="32"/>
          <w:szCs w:val="32"/>
        </w:rPr>
        <w:t>。</w:t>
      </w:r>
    </w:p>
    <w:p w14:paraId="4EBA6B9C">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rPr>
        <w:t>社会保障和就业（类）行政事业单位离退休（款）机关事业单位基本养老保险缴费支出★（项）</w:t>
      </w:r>
      <w:r>
        <w:rPr>
          <w:rFonts w:ascii="仿宋_GB2312" w:eastAsia="仿宋_GB2312"/>
          <w:color w:val="000000"/>
          <w:sz w:val="32"/>
          <w:szCs w:val="32"/>
        </w:rPr>
        <w:t>2080505</w:t>
      </w:r>
      <w:r>
        <w:rPr>
          <w:rFonts w:hint="eastAsia" w:ascii="仿宋_GB2312" w:eastAsia="仿宋_GB2312"/>
          <w:color w:val="000000"/>
          <w:sz w:val="32"/>
          <w:szCs w:val="32"/>
        </w:rPr>
        <w:t>：</w:t>
      </w:r>
      <w:r>
        <w:rPr>
          <w:rFonts w:ascii="仿宋_GB2312" w:eastAsia="仿宋_GB2312"/>
          <w:color w:val="000000"/>
          <w:sz w:val="32"/>
          <w:szCs w:val="32"/>
        </w:rPr>
        <w:t>2019</w:t>
      </w:r>
      <w:r>
        <w:rPr>
          <w:rFonts w:hint="eastAsia" w:ascii="仿宋_GB2312" w:eastAsia="仿宋_GB2312"/>
          <w:color w:val="000000"/>
          <w:sz w:val="32"/>
          <w:szCs w:val="32"/>
        </w:rPr>
        <w:t>年决算数为</w:t>
      </w:r>
      <w:r>
        <w:rPr>
          <w:rFonts w:ascii="仿宋_GB2312" w:eastAsia="仿宋_GB2312"/>
          <w:color w:val="000000"/>
          <w:sz w:val="32"/>
          <w:szCs w:val="32"/>
        </w:rPr>
        <w:t>4.03</w:t>
      </w:r>
      <w:r>
        <w:rPr>
          <w:rFonts w:hint="eastAsia" w:ascii="仿宋_GB2312" w:eastAsia="仿宋_GB2312"/>
          <w:color w:val="000000"/>
          <w:sz w:val="32"/>
          <w:szCs w:val="32"/>
        </w:rPr>
        <w:t>万元，完成预算</w:t>
      </w:r>
      <w:r>
        <w:rPr>
          <w:rFonts w:ascii="仿宋_GB2312" w:eastAsia="仿宋_GB2312"/>
          <w:color w:val="000000"/>
          <w:sz w:val="32"/>
          <w:szCs w:val="32"/>
        </w:rPr>
        <w:t>100%</w:t>
      </w:r>
      <w:r>
        <w:rPr>
          <w:rFonts w:hint="eastAsia" w:ascii="仿宋_GB2312" w:eastAsia="仿宋_GB2312"/>
          <w:color w:val="000000"/>
          <w:sz w:val="32"/>
          <w:szCs w:val="32"/>
        </w:rPr>
        <w:t>，决算数等于预算数。</w:t>
      </w:r>
    </w:p>
    <w:p w14:paraId="2205EAA4">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3.</w:t>
      </w:r>
      <w:r>
        <w:rPr>
          <w:rFonts w:hint="eastAsia" w:ascii="仿宋_GB2312" w:eastAsia="仿宋_GB2312"/>
          <w:color w:val="000000"/>
          <w:sz w:val="32"/>
          <w:szCs w:val="32"/>
        </w:rPr>
        <w:t>社会保障和就业（类）行政事业单位离退休（款）机关事业单位职业年金缴费支出★（项）</w:t>
      </w:r>
      <w:r>
        <w:rPr>
          <w:rFonts w:ascii="仿宋_GB2312" w:eastAsia="仿宋_GB2312"/>
          <w:color w:val="000000"/>
          <w:sz w:val="32"/>
          <w:szCs w:val="32"/>
        </w:rPr>
        <w:t>2080506</w:t>
      </w:r>
      <w:r>
        <w:rPr>
          <w:rFonts w:hint="eastAsia" w:ascii="仿宋_GB2312" w:eastAsia="仿宋_GB2312"/>
          <w:color w:val="000000"/>
          <w:sz w:val="32"/>
          <w:szCs w:val="32"/>
        </w:rPr>
        <w:t>：</w:t>
      </w:r>
      <w:r>
        <w:rPr>
          <w:rFonts w:ascii="仿宋_GB2312" w:eastAsia="仿宋_GB2312"/>
          <w:color w:val="000000"/>
          <w:sz w:val="32"/>
          <w:szCs w:val="32"/>
        </w:rPr>
        <w:t>2019</w:t>
      </w:r>
      <w:r>
        <w:rPr>
          <w:rFonts w:hint="eastAsia" w:ascii="仿宋_GB2312" w:eastAsia="仿宋_GB2312"/>
          <w:color w:val="000000"/>
          <w:sz w:val="32"/>
          <w:szCs w:val="32"/>
        </w:rPr>
        <w:t>年决算数为</w:t>
      </w:r>
      <w:r>
        <w:rPr>
          <w:rFonts w:ascii="仿宋_GB2312" w:eastAsia="仿宋_GB2312"/>
          <w:color w:val="000000"/>
          <w:sz w:val="32"/>
          <w:szCs w:val="32"/>
        </w:rPr>
        <w:t>1.96</w:t>
      </w:r>
      <w:r>
        <w:rPr>
          <w:rFonts w:hint="eastAsia" w:ascii="仿宋_GB2312" w:eastAsia="仿宋_GB2312"/>
          <w:color w:val="000000"/>
          <w:sz w:val="32"/>
          <w:szCs w:val="32"/>
        </w:rPr>
        <w:t>万元，完成预算</w:t>
      </w:r>
      <w:r>
        <w:rPr>
          <w:rFonts w:ascii="仿宋_GB2312" w:eastAsia="仿宋_GB2312"/>
          <w:color w:val="000000"/>
          <w:sz w:val="32"/>
          <w:szCs w:val="32"/>
        </w:rPr>
        <w:t>100%</w:t>
      </w:r>
      <w:r>
        <w:rPr>
          <w:rFonts w:hint="eastAsia" w:ascii="仿宋_GB2312" w:eastAsia="仿宋_GB2312"/>
          <w:color w:val="000000"/>
          <w:sz w:val="32"/>
          <w:szCs w:val="32"/>
        </w:rPr>
        <w:t>，决算数等于预算数。</w:t>
      </w:r>
    </w:p>
    <w:p w14:paraId="589D9BAE">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4.</w:t>
      </w:r>
      <w:r>
        <w:rPr>
          <w:rFonts w:hint="eastAsia" w:ascii="仿宋_GB2312" w:eastAsia="仿宋_GB2312"/>
          <w:color w:val="000000"/>
          <w:sz w:val="32"/>
          <w:szCs w:val="32"/>
        </w:rPr>
        <w:t>医疗卫生和计划生育（类）行政事业单位医疗★（款）其他行政事业单位医疗支出★（项）</w:t>
      </w:r>
      <w:r>
        <w:rPr>
          <w:rFonts w:ascii="仿宋_GB2312" w:eastAsia="仿宋_GB2312"/>
          <w:color w:val="000000"/>
          <w:sz w:val="32"/>
          <w:szCs w:val="32"/>
        </w:rPr>
        <w:t>2010501</w:t>
      </w:r>
      <w:r>
        <w:rPr>
          <w:rFonts w:hint="eastAsia" w:ascii="仿宋_GB2312" w:eastAsia="仿宋_GB2312"/>
          <w:color w:val="000000"/>
          <w:sz w:val="32"/>
          <w:szCs w:val="32"/>
        </w:rPr>
        <w:t>：</w:t>
      </w:r>
      <w:r>
        <w:rPr>
          <w:rFonts w:ascii="仿宋_GB2312" w:eastAsia="仿宋_GB2312"/>
          <w:color w:val="000000"/>
          <w:sz w:val="32"/>
          <w:szCs w:val="32"/>
        </w:rPr>
        <w:t>2019</w:t>
      </w:r>
      <w:r>
        <w:rPr>
          <w:rFonts w:hint="eastAsia" w:ascii="仿宋_GB2312" w:eastAsia="仿宋_GB2312"/>
          <w:color w:val="000000"/>
          <w:sz w:val="32"/>
          <w:szCs w:val="32"/>
        </w:rPr>
        <w:t>年决算数为</w:t>
      </w:r>
      <w:r>
        <w:rPr>
          <w:rFonts w:ascii="仿宋_GB2312" w:eastAsia="仿宋_GB2312"/>
          <w:color w:val="000000"/>
          <w:sz w:val="32"/>
          <w:szCs w:val="32"/>
        </w:rPr>
        <w:t>2.78</w:t>
      </w:r>
      <w:r>
        <w:rPr>
          <w:rFonts w:hint="eastAsia" w:ascii="仿宋_GB2312" w:eastAsia="仿宋_GB2312"/>
          <w:color w:val="000000"/>
          <w:sz w:val="32"/>
          <w:szCs w:val="32"/>
        </w:rPr>
        <w:t>万元，完成预算</w:t>
      </w:r>
      <w:r>
        <w:rPr>
          <w:rFonts w:ascii="仿宋_GB2312" w:eastAsia="仿宋_GB2312"/>
          <w:color w:val="000000"/>
          <w:sz w:val="32"/>
          <w:szCs w:val="32"/>
        </w:rPr>
        <w:t>100%</w:t>
      </w:r>
      <w:r>
        <w:rPr>
          <w:rFonts w:hint="eastAsia" w:ascii="仿宋_GB2312" w:eastAsia="仿宋_GB2312"/>
          <w:color w:val="000000"/>
          <w:sz w:val="32"/>
          <w:szCs w:val="32"/>
        </w:rPr>
        <w:t>，决算数等于预算数。</w:t>
      </w:r>
    </w:p>
    <w:p w14:paraId="726666ED">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5.</w:t>
      </w:r>
      <w:r>
        <w:rPr>
          <w:rFonts w:hint="eastAsia" w:ascii="仿宋_GB2312" w:eastAsia="仿宋_GB2312"/>
          <w:color w:val="000000"/>
          <w:sz w:val="32"/>
          <w:szCs w:val="32"/>
        </w:rPr>
        <w:t>住房保障（类）住房改革支出（款）住房公积金（项）</w:t>
      </w:r>
      <w:r>
        <w:rPr>
          <w:rFonts w:ascii="仿宋_GB2312" w:eastAsia="仿宋_GB2312"/>
          <w:color w:val="000000"/>
          <w:sz w:val="32"/>
          <w:szCs w:val="32"/>
        </w:rPr>
        <w:t>2210201</w:t>
      </w:r>
      <w:r>
        <w:rPr>
          <w:rFonts w:hint="eastAsia" w:ascii="仿宋_GB2312" w:eastAsia="仿宋_GB2312"/>
          <w:color w:val="000000"/>
          <w:sz w:val="32"/>
          <w:szCs w:val="32"/>
        </w:rPr>
        <w:t>：</w:t>
      </w:r>
      <w:r>
        <w:rPr>
          <w:rFonts w:ascii="仿宋_GB2312" w:eastAsia="仿宋_GB2312"/>
          <w:color w:val="000000"/>
          <w:sz w:val="32"/>
          <w:szCs w:val="32"/>
        </w:rPr>
        <w:t>2019</w:t>
      </w:r>
      <w:r>
        <w:rPr>
          <w:rFonts w:hint="eastAsia" w:ascii="仿宋_GB2312" w:eastAsia="仿宋_GB2312"/>
          <w:color w:val="000000"/>
          <w:sz w:val="32"/>
          <w:szCs w:val="32"/>
        </w:rPr>
        <w:t>年决算数为</w:t>
      </w:r>
      <w:r>
        <w:rPr>
          <w:rFonts w:ascii="仿宋_GB2312" w:eastAsia="仿宋_GB2312"/>
          <w:color w:val="000000"/>
          <w:sz w:val="32"/>
          <w:szCs w:val="32"/>
        </w:rPr>
        <w:t>3.98</w:t>
      </w:r>
      <w:r>
        <w:rPr>
          <w:rFonts w:hint="eastAsia" w:ascii="仿宋_GB2312" w:eastAsia="仿宋_GB2312"/>
          <w:color w:val="000000"/>
          <w:sz w:val="32"/>
          <w:szCs w:val="32"/>
        </w:rPr>
        <w:t>万元，完成预算</w:t>
      </w:r>
      <w:r>
        <w:rPr>
          <w:rFonts w:ascii="仿宋_GB2312" w:eastAsia="仿宋_GB2312"/>
          <w:color w:val="000000"/>
          <w:sz w:val="32"/>
          <w:szCs w:val="32"/>
        </w:rPr>
        <w:t>100%</w:t>
      </w:r>
      <w:r>
        <w:rPr>
          <w:rFonts w:hint="eastAsia" w:ascii="仿宋_GB2312" w:eastAsia="仿宋_GB2312"/>
          <w:color w:val="000000"/>
          <w:sz w:val="32"/>
          <w:szCs w:val="32"/>
        </w:rPr>
        <w:t>，决算数等于预算数。</w:t>
      </w:r>
    </w:p>
    <w:p w14:paraId="72A3BBB8">
      <w:pPr>
        <w:tabs>
          <w:tab w:val="right" w:pos="8306"/>
        </w:tabs>
        <w:spacing w:line="600" w:lineRule="exact"/>
        <w:ind w:firstLine="640"/>
        <w:outlineLvl w:val="1"/>
        <w:rPr>
          <w:rStyle w:val="18"/>
        </w:rPr>
      </w:pPr>
      <w:bookmarkStart w:id="37" w:name="_Toc15377214"/>
      <w:bookmarkStart w:id="38"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18"/>
          <w:rFonts w:hint="eastAsia" w:ascii="黑体" w:hAnsi="黑体" w:eastAsia="黑体"/>
          <w:b w:val="0"/>
        </w:rPr>
        <w:t>般公共预算财政拨款基本支出决算情况说明</w:t>
      </w:r>
      <w:bookmarkEnd w:id="37"/>
      <w:bookmarkEnd w:id="38"/>
      <w:r>
        <w:rPr>
          <w:rStyle w:val="18"/>
          <w:rFonts w:ascii="黑体" w:hAnsi="黑体" w:eastAsia="黑体"/>
          <w:b w:val="0"/>
        </w:rPr>
        <w:tab/>
      </w:r>
    </w:p>
    <w:p w14:paraId="768B7896">
      <w:pPr>
        <w:spacing w:line="600" w:lineRule="exact"/>
        <w:ind w:firstLine="640"/>
        <w:rPr>
          <w:rFonts w:ascii="仿宋" w:hAnsi="仿宋" w:eastAsia="仿宋"/>
          <w:color w:val="000000"/>
          <w:sz w:val="32"/>
          <w:szCs w:val="32"/>
        </w:rPr>
      </w:pPr>
      <w:r>
        <w:rPr>
          <w:rFonts w:ascii="仿宋" w:hAnsi="仿宋" w:eastAsia="仿宋"/>
          <w:color w:val="000000"/>
          <w:sz w:val="32"/>
          <w:szCs w:val="32"/>
        </w:rPr>
        <w:t>2019</w:t>
      </w:r>
      <w:r>
        <w:rPr>
          <w:rFonts w:hint="eastAsia" w:ascii="仿宋" w:hAnsi="仿宋" w:eastAsia="仿宋"/>
          <w:color w:val="000000"/>
          <w:sz w:val="32"/>
          <w:szCs w:val="32"/>
        </w:rPr>
        <w:t>年一般公共预算财政拨款基本支出</w:t>
      </w:r>
      <w:r>
        <w:rPr>
          <w:rFonts w:ascii="仿宋" w:hAnsi="仿宋" w:eastAsia="仿宋"/>
          <w:color w:val="000000"/>
          <w:sz w:val="32"/>
          <w:szCs w:val="32"/>
        </w:rPr>
        <w:t>55.82</w:t>
      </w:r>
      <w:r>
        <w:rPr>
          <w:rFonts w:hint="eastAsia" w:ascii="仿宋" w:hAnsi="仿宋" w:eastAsia="仿宋"/>
          <w:color w:val="000000"/>
          <w:sz w:val="32"/>
          <w:szCs w:val="32"/>
        </w:rPr>
        <w:t>万元，其中：</w:t>
      </w:r>
    </w:p>
    <w:p w14:paraId="4473BCAB">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人员经费</w:t>
      </w:r>
      <w:r>
        <w:rPr>
          <w:rFonts w:ascii="仿宋" w:hAnsi="仿宋" w:eastAsia="仿宋"/>
          <w:color w:val="000000"/>
          <w:sz w:val="32"/>
          <w:szCs w:val="32"/>
        </w:rPr>
        <w:t>50.31</w:t>
      </w:r>
      <w:r>
        <w:rPr>
          <w:rFonts w:hint="eastAsia" w:ascii="仿宋" w:hAnsi="仿宋" w:eastAsia="仿宋"/>
          <w:color w:val="000000"/>
          <w:sz w:val="32"/>
          <w:szCs w:val="32"/>
        </w:rPr>
        <w:t>万元，主要包括：基本工资、津贴补贴、奖金、伙食补助费、绩效工资、机关事业单位基本养老保险缴费、职业年金缴费、</w:t>
      </w:r>
      <w:r>
        <w:rPr>
          <w:rFonts w:ascii="仿宋" w:hAnsi="仿宋" w:eastAsia="仿宋"/>
          <w:color w:val="000000"/>
          <w:sz w:val="32"/>
          <w:szCs w:val="32"/>
        </w:rPr>
        <w:t xml:space="preserve"> </w:t>
      </w:r>
      <w:r>
        <w:rPr>
          <w:rFonts w:hint="eastAsia" w:ascii="仿宋" w:hAnsi="仿宋" w:eastAsia="仿宋"/>
          <w:color w:val="000000"/>
          <w:sz w:val="32"/>
          <w:szCs w:val="32"/>
        </w:rPr>
        <w:t>其</w:t>
      </w:r>
      <w:r>
        <w:rPr>
          <w:rFonts w:ascii="仿宋" w:hAnsi="仿宋" w:eastAsia="仿宋"/>
          <w:color w:val="000000"/>
          <w:sz w:val="32"/>
          <w:szCs w:val="32"/>
        </w:rPr>
        <w:t xml:space="preserve"> </w:t>
      </w:r>
      <w:r>
        <w:rPr>
          <w:rFonts w:hint="eastAsia" w:ascii="仿宋" w:hAnsi="仿宋" w:eastAsia="仿宋"/>
          <w:color w:val="000000"/>
          <w:sz w:val="32"/>
          <w:szCs w:val="32"/>
        </w:rPr>
        <w:t>他社会保障缴费、其他工资福利支出、离休费、退休费、抚恤金、生活补助、医疗费补助、奖励金、住房公积金、其他对个人和家庭的补助支出等。</w:t>
      </w:r>
    </w:p>
    <w:p w14:paraId="7954E8AC">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日常公用经费</w:t>
      </w:r>
      <w:r>
        <w:rPr>
          <w:rFonts w:ascii="仿宋" w:hAnsi="仿宋" w:eastAsia="仿宋"/>
          <w:color w:val="000000"/>
          <w:sz w:val="32"/>
          <w:szCs w:val="32"/>
        </w:rPr>
        <w:t>5.52</w:t>
      </w:r>
      <w:r>
        <w:rPr>
          <w:rFonts w:hint="eastAsia" w:ascii="仿宋" w:hAnsi="仿宋" w:eastAsia="仿宋"/>
          <w:color w:val="000000"/>
          <w:sz w:val="32"/>
          <w:szCs w:val="32"/>
        </w:rPr>
        <w:t>万元，主要包括：办公费、印刷费、咨询费、手续费、水费、电费、邮电费、取暖费、物业管理费、差旅费、因公出国</w:t>
      </w:r>
      <w:r>
        <w:rPr>
          <w:rFonts w:ascii="仿宋" w:hAnsi="仿宋" w:eastAsia="仿宋"/>
          <w:color w:val="000000"/>
          <w:sz w:val="32"/>
          <w:szCs w:val="32"/>
        </w:rPr>
        <w:t xml:space="preserve"> </w:t>
      </w:r>
      <w:r>
        <w:rPr>
          <w:rFonts w:hint="eastAsia" w:ascii="仿宋" w:hAnsi="仿宋" w:eastAsia="仿宋"/>
          <w:color w:val="000000"/>
          <w:sz w:val="32"/>
          <w:szCs w:val="32"/>
        </w:rPr>
        <w:t>（境）费用、维修（护）费、租赁费、会议费、培训费、公务接待费、劳务费、委托业务费、工会经费、福利费、公务用车运行维护费、其他交通费、税金及附加费</w:t>
      </w:r>
      <w:r>
        <w:rPr>
          <w:rFonts w:ascii="仿宋" w:hAnsi="仿宋" w:eastAsia="仿宋"/>
          <w:color w:val="000000"/>
          <w:sz w:val="32"/>
          <w:szCs w:val="32"/>
        </w:rPr>
        <w:t xml:space="preserve"> </w:t>
      </w:r>
      <w:r>
        <w:rPr>
          <w:rFonts w:hint="eastAsia" w:ascii="仿宋" w:hAnsi="仿宋" w:eastAsia="仿宋"/>
          <w:color w:val="000000"/>
          <w:sz w:val="32"/>
          <w:szCs w:val="32"/>
        </w:rPr>
        <w:t>用、其他商品和服务支出、办公设备购置、专用设备购置、信息网络及软件购置更新、其他资本性支出等。</w:t>
      </w:r>
    </w:p>
    <w:p w14:paraId="49BE1CF0">
      <w:pPr>
        <w:spacing w:line="600" w:lineRule="exact"/>
        <w:ind w:firstLine="640"/>
        <w:outlineLvl w:val="1"/>
        <w:rPr>
          <w:rStyle w:val="18"/>
          <w:rFonts w:ascii="黑体" w:hAnsi="黑体" w:eastAsia="黑体"/>
          <w:b w:val="0"/>
        </w:rPr>
      </w:pPr>
      <w:bookmarkStart w:id="39" w:name="_Toc15396609"/>
      <w:bookmarkStart w:id="40" w:name="_Toc15377215"/>
      <w:r>
        <w:rPr>
          <w:rFonts w:hint="eastAsia" w:ascii="黑体" w:eastAsia="黑体"/>
          <w:color w:val="000000"/>
          <w:sz w:val="32"/>
          <w:szCs w:val="32"/>
        </w:rPr>
        <w:t>七、</w:t>
      </w:r>
      <w:r>
        <w:rPr>
          <w:rStyle w:val="18"/>
          <w:rFonts w:hint="eastAsia" w:ascii="黑体" w:hAnsi="黑体" w:eastAsia="黑体"/>
        </w:rPr>
        <w:t>“</w:t>
      </w:r>
      <w:r>
        <w:rPr>
          <w:rStyle w:val="18"/>
          <w:rFonts w:hint="eastAsia" w:ascii="黑体" w:hAnsi="黑体" w:eastAsia="黑体"/>
          <w:b w:val="0"/>
        </w:rPr>
        <w:t>三公”经费财政拨款支出决算情况说明</w:t>
      </w:r>
      <w:bookmarkEnd w:id="39"/>
      <w:bookmarkEnd w:id="40"/>
    </w:p>
    <w:p w14:paraId="18F03F42">
      <w:pPr>
        <w:spacing w:line="600" w:lineRule="exact"/>
        <w:ind w:firstLine="640"/>
        <w:outlineLvl w:val="1"/>
        <w:rPr>
          <w:rFonts w:ascii="仿宋_GB2312" w:eastAsia="仿宋_GB2312"/>
          <w:color w:val="000000"/>
          <w:sz w:val="32"/>
          <w:szCs w:val="32"/>
        </w:rPr>
      </w:pPr>
      <w:bookmarkStart w:id="41" w:name="_Toc15377218"/>
      <w:bookmarkStart w:id="42" w:name="_Toc15396610"/>
      <w:r>
        <w:rPr>
          <w:rFonts w:ascii="仿宋_GB2312" w:eastAsia="仿宋_GB2312"/>
          <w:color w:val="000000"/>
          <w:sz w:val="32"/>
          <w:szCs w:val="32"/>
        </w:rPr>
        <w:t>2019</w:t>
      </w:r>
      <w:r>
        <w:rPr>
          <w:rFonts w:hint="eastAsia" w:ascii="仿宋_GB2312" w:eastAsia="仿宋_GB2312"/>
          <w:color w:val="000000"/>
          <w:sz w:val="32"/>
          <w:szCs w:val="32"/>
        </w:rPr>
        <w:t>年无“三公”经费财政拨款支出。主要原因是</w:t>
      </w:r>
      <w:r>
        <w:rPr>
          <w:rFonts w:hint="eastAsia" w:ascii="仿宋_GB2312" w:eastAsia="仿宋_GB2312"/>
          <w:color w:val="333333"/>
          <w:sz w:val="32"/>
          <w:szCs w:val="32"/>
        </w:rPr>
        <w:t>无因公出国（境）费；</w:t>
      </w:r>
      <w:r>
        <w:rPr>
          <w:rFonts w:hint="eastAsia" w:ascii="仿宋_GB2312" w:eastAsia="仿宋_GB2312"/>
          <w:color w:val="000000"/>
          <w:sz w:val="32"/>
          <w:szCs w:val="32"/>
        </w:rPr>
        <w:t>州法学会无公务用车，公务用车由州委政法委提供；无公务接待。</w:t>
      </w:r>
    </w:p>
    <w:p w14:paraId="304AADA4">
      <w:pPr>
        <w:spacing w:line="600" w:lineRule="exact"/>
        <w:ind w:firstLine="640"/>
        <w:outlineLvl w:val="1"/>
        <w:rPr>
          <w:rStyle w:val="18"/>
          <w:rFonts w:ascii="黑体" w:hAnsi="黑体" w:eastAsia="黑体"/>
        </w:rPr>
      </w:pPr>
      <w:r>
        <w:rPr>
          <w:rFonts w:hint="eastAsia" w:ascii="黑体" w:eastAsia="黑体"/>
          <w:color w:val="000000"/>
          <w:sz w:val="32"/>
          <w:szCs w:val="32"/>
        </w:rPr>
        <w:t>八、</w:t>
      </w:r>
      <w:r>
        <w:rPr>
          <w:rStyle w:val="18"/>
          <w:rFonts w:hint="eastAsia" w:ascii="黑体" w:hAnsi="黑体" w:eastAsia="黑体"/>
          <w:b w:val="0"/>
        </w:rPr>
        <w:t>政府性基金预算支出决算情况说明</w:t>
      </w:r>
      <w:bookmarkEnd w:id="41"/>
      <w:bookmarkEnd w:id="42"/>
    </w:p>
    <w:p w14:paraId="6110E4D4">
      <w:pPr>
        <w:spacing w:line="600" w:lineRule="exact"/>
        <w:ind w:firstLine="640"/>
        <w:rPr>
          <w:rFonts w:ascii="仿宋" w:hAnsi="仿宋" w:eastAsia="仿宋"/>
          <w:color w:val="000000"/>
          <w:sz w:val="32"/>
          <w:szCs w:val="32"/>
        </w:rPr>
      </w:pPr>
      <w:r>
        <w:rPr>
          <w:rFonts w:ascii="仿宋" w:hAnsi="仿宋" w:eastAsia="仿宋"/>
          <w:color w:val="000000"/>
          <w:sz w:val="32"/>
          <w:szCs w:val="32"/>
        </w:rPr>
        <w:t>2019</w:t>
      </w:r>
      <w:r>
        <w:rPr>
          <w:rFonts w:hint="eastAsia" w:ascii="仿宋" w:hAnsi="仿宋" w:eastAsia="仿宋"/>
          <w:color w:val="000000"/>
          <w:sz w:val="32"/>
          <w:szCs w:val="32"/>
        </w:rPr>
        <w:t>年政府性基金预算拨款支出</w:t>
      </w:r>
      <w:r>
        <w:rPr>
          <w:rFonts w:ascii="仿宋" w:hAnsi="仿宋" w:eastAsia="仿宋"/>
          <w:color w:val="000000"/>
          <w:sz w:val="32"/>
          <w:szCs w:val="32"/>
        </w:rPr>
        <w:t>0.00</w:t>
      </w:r>
      <w:r>
        <w:rPr>
          <w:rFonts w:hint="eastAsia" w:ascii="仿宋" w:hAnsi="仿宋" w:eastAsia="仿宋"/>
          <w:color w:val="000000"/>
          <w:sz w:val="32"/>
          <w:szCs w:val="32"/>
        </w:rPr>
        <w:t>万元。</w:t>
      </w:r>
    </w:p>
    <w:p w14:paraId="2C3A7001">
      <w:pPr>
        <w:numPr>
          <w:ilvl w:val="0"/>
          <w:numId w:val="2"/>
        </w:numPr>
        <w:spacing w:line="600" w:lineRule="exact"/>
        <w:ind w:firstLine="640"/>
        <w:outlineLvl w:val="1"/>
        <w:rPr>
          <w:rStyle w:val="18"/>
          <w:rFonts w:ascii="黑体" w:hAnsi="黑体" w:eastAsia="黑体"/>
          <w:b w:val="0"/>
        </w:rPr>
      </w:pPr>
      <w:bookmarkStart w:id="43" w:name="_Toc15377219"/>
      <w:bookmarkStart w:id="44" w:name="_Toc15396611"/>
      <w:r>
        <w:rPr>
          <w:rStyle w:val="18"/>
          <w:rFonts w:hint="eastAsia" w:ascii="黑体" w:hAnsi="黑体" w:eastAsia="黑体"/>
          <w:b w:val="0"/>
        </w:rPr>
        <w:t>国有资本经营预算支出决算情况说明</w:t>
      </w:r>
      <w:bookmarkEnd w:id="43"/>
      <w:bookmarkEnd w:id="44"/>
    </w:p>
    <w:p w14:paraId="5A530E32">
      <w:pPr>
        <w:spacing w:line="600" w:lineRule="exact"/>
        <w:ind w:firstLine="640"/>
        <w:rPr>
          <w:rFonts w:ascii="仿宋" w:hAnsi="仿宋" w:eastAsia="仿宋"/>
          <w:color w:val="000000"/>
          <w:sz w:val="32"/>
          <w:szCs w:val="32"/>
        </w:rPr>
      </w:pPr>
      <w:r>
        <w:rPr>
          <w:rFonts w:ascii="仿宋" w:hAnsi="仿宋" w:eastAsia="仿宋"/>
          <w:color w:val="000000"/>
          <w:sz w:val="32"/>
          <w:szCs w:val="32"/>
        </w:rPr>
        <w:t>2019</w:t>
      </w:r>
      <w:r>
        <w:rPr>
          <w:rFonts w:hint="eastAsia" w:ascii="仿宋" w:hAnsi="仿宋" w:eastAsia="仿宋"/>
          <w:color w:val="000000"/>
          <w:sz w:val="32"/>
          <w:szCs w:val="32"/>
        </w:rPr>
        <w:t>年国有资本经营预算拨款支出</w:t>
      </w:r>
      <w:r>
        <w:rPr>
          <w:rFonts w:ascii="仿宋" w:hAnsi="仿宋" w:eastAsia="仿宋"/>
          <w:color w:val="000000"/>
          <w:sz w:val="32"/>
          <w:szCs w:val="32"/>
        </w:rPr>
        <w:t>0.00</w:t>
      </w:r>
      <w:r>
        <w:rPr>
          <w:rFonts w:hint="eastAsia" w:ascii="仿宋" w:hAnsi="仿宋" w:eastAsia="仿宋"/>
          <w:color w:val="000000"/>
          <w:sz w:val="32"/>
          <w:szCs w:val="32"/>
        </w:rPr>
        <w:t>万元。</w:t>
      </w:r>
    </w:p>
    <w:p w14:paraId="63EF8ADD">
      <w:pPr>
        <w:spacing w:line="600" w:lineRule="exact"/>
        <w:ind w:firstLine="800" w:firstLineChars="250"/>
        <w:outlineLvl w:val="1"/>
        <w:rPr>
          <w:rStyle w:val="18"/>
          <w:rFonts w:ascii="黑体" w:hAnsi="黑体" w:eastAsia="黑体"/>
        </w:rPr>
      </w:pPr>
      <w:bookmarkStart w:id="45" w:name="_Toc15377221"/>
      <w:bookmarkStart w:id="46" w:name="_Toc15396612"/>
      <w:r>
        <w:rPr>
          <w:rFonts w:hint="eastAsia" w:ascii="黑体" w:hAnsi="黑体" w:eastAsia="黑体"/>
          <w:color w:val="000000"/>
          <w:sz w:val="32"/>
          <w:szCs w:val="32"/>
        </w:rPr>
        <w:t>十</w:t>
      </w:r>
      <w:r>
        <w:rPr>
          <w:rStyle w:val="18"/>
          <w:rFonts w:hint="eastAsia" w:ascii="黑体" w:hAnsi="黑体" w:eastAsia="黑体"/>
        </w:rPr>
        <w:t>、</w:t>
      </w:r>
      <w:r>
        <w:rPr>
          <w:rStyle w:val="18"/>
          <w:rFonts w:hint="eastAsia" w:ascii="黑体" w:hAnsi="黑体" w:eastAsia="黑体"/>
          <w:b w:val="0"/>
        </w:rPr>
        <w:t>其他重要事项的情况说明</w:t>
      </w:r>
      <w:bookmarkEnd w:id="45"/>
      <w:bookmarkEnd w:id="46"/>
    </w:p>
    <w:p w14:paraId="42D0F591">
      <w:pPr>
        <w:spacing w:line="600" w:lineRule="exact"/>
        <w:ind w:firstLine="643" w:firstLineChars="200"/>
        <w:outlineLvl w:val="2"/>
        <w:rPr>
          <w:rFonts w:ascii="仿宋" w:hAnsi="仿宋" w:eastAsia="仿宋"/>
          <w:color w:val="000000"/>
          <w:sz w:val="32"/>
          <w:szCs w:val="32"/>
        </w:rPr>
      </w:pPr>
      <w:bookmarkStart w:id="47" w:name="_Toc15377222"/>
      <w:r>
        <w:rPr>
          <w:rFonts w:hint="eastAsia" w:ascii="仿宋" w:hAnsi="仿宋" w:eastAsia="仿宋"/>
          <w:b/>
          <w:color w:val="000000"/>
          <w:sz w:val="32"/>
          <w:szCs w:val="32"/>
        </w:rPr>
        <w:t>（一）机关运行经费支出情况</w:t>
      </w:r>
      <w:bookmarkEnd w:id="47"/>
    </w:p>
    <w:p w14:paraId="5E9B898E">
      <w:pPr>
        <w:spacing w:line="600" w:lineRule="exact"/>
        <w:ind w:firstLine="640" w:firstLineChars="200"/>
        <w:rPr>
          <w:rFonts w:ascii="仿宋" w:hAnsi="仿宋" w:eastAsia="仿宋"/>
          <w:b/>
          <w:color w:val="FF0000"/>
          <w:sz w:val="32"/>
          <w:szCs w:val="32"/>
        </w:rPr>
      </w:pPr>
      <w:r>
        <w:rPr>
          <w:rFonts w:ascii="仿宋" w:hAnsi="仿宋" w:eastAsia="仿宋"/>
          <w:color w:val="000000"/>
          <w:sz w:val="32"/>
          <w:szCs w:val="32"/>
        </w:rPr>
        <w:t xml:space="preserve">2019 </w:t>
      </w:r>
      <w:r>
        <w:rPr>
          <w:rFonts w:hint="eastAsia" w:ascii="仿宋" w:hAnsi="仿宋" w:eastAsia="仿宋"/>
          <w:color w:val="000000"/>
          <w:sz w:val="32"/>
          <w:szCs w:val="32"/>
        </w:rPr>
        <w:t>年，四川省阿坝州法学会（本级）机关运行经费支出</w:t>
      </w:r>
      <w:r>
        <w:rPr>
          <w:rFonts w:ascii="仿宋" w:hAnsi="仿宋" w:eastAsia="仿宋"/>
          <w:color w:val="000000"/>
          <w:sz w:val="32"/>
          <w:szCs w:val="32"/>
        </w:rPr>
        <w:t>5.52</w:t>
      </w:r>
      <w:r>
        <w:rPr>
          <w:rFonts w:hint="eastAsia" w:ascii="仿宋" w:hAnsi="仿宋" w:eastAsia="仿宋"/>
          <w:color w:val="000000"/>
          <w:sz w:val="32"/>
          <w:szCs w:val="32"/>
        </w:rPr>
        <w:t>万元，比</w:t>
      </w:r>
      <w:r>
        <w:rPr>
          <w:rFonts w:ascii="仿宋" w:hAnsi="仿宋" w:eastAsia="仿宋"/>
          <w:color w:val="000000"/>
          <w:sz w:val="32"/>
          <w:szCs w:val="32"/>
        </w:rPr>
        <w:t>2018</w:t>
      </w:r>
      <w:r>
        <w:rPr>
          <w:rFonts w:hint="eastAsia" w:ascii="仿宋" w:hAnsi="仿宋" w:eastAsia="仿宋"/>
          <w:color w:val="000000"/>
          <w:sz w:val="32"/>
          <w:szCs w:val="32"/>
        </w:rPr>
        <w:t>年减少</w:t>
      </w:r>
      <w:r>
        <w:rPr>
          <w:rFonts w:ascii="仿宋" w:hAnsi="仿宋" w:eastAsia="仿宋"/>
          <w:color w:val="000000"/>
          <w:sz w:val="32"/>
          <w:szCs w:val="32"/>
        </w:rPr>
        <w:t>1.87</w:t>
      </w:r>
      <w:r>
        <w:rPr>
          <w:rFonts w:hint="eastAsia" w:ascii="仿宋" w:hAnsi="仿宋" w:eastAsia="仿宋"/>
          <w:color w:val="000000"/>
          <w:sz w:val="32"/>
          <w:szCs w:val="32"/>
        </w:rPr>
        <w:t>万元，同比有所下降（或与</w:t>
      </w:r>
      <w:r>
        <w:rPr>
          <w:rFonts w:ascii="仿宋" w:hAnsi="仿宋" w:eastAsia="仿宋"/>
          <w:color w:val="000000"/>
          <w:sz w:val="32"/>
          <w:szCs w:val="32"/>
        </w:rPr>
        <w:t>2018</w:t>
      </w:r>
      <w:r>
        <w:rPr>
          <w:rFonts w:hint="eastAsia" w:ascii="仿宋" w:hAnsi="仿宋" w:eastAsia="仿宋"/>
          <w:color w:val="000000"/>
          <w:sz w:val="32"/>
          <w:szCs w:val="32"/>
        </w:rPr>
        <w:t>年决算数持平）。主要原因是预算比上年有所减少。</w:t>
      </w:r>
    </w:p>
    <w:p w14:paraId="3BE48E6B">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48" w:name="_Toc15377223"/>
      <w:r>
        <w:rPr>
          <w:rFonts w:hint="eastAsia" w:ascii="仿宋" w:hAnsi="仿宋" w:eastAsia="仿宋"/>
          <w:b/>
          <w:color w:val="000000"/>
          <w:sz w:val="32"/>
          <w:szCs w:val="32"/>
        </w:rPr>
        <w:t>（二）政府采购支出情况</w:t>
      </w:r>
      <w:bookmarkEnd w:id="48"/>
    </w:p>
    <w:p w14:paraId="26DBE766">
      <w:pPr>
        <w:spacing w:line="600" w:lineRule="exact"/>
        <w:ind w:firstLine="640" w:firstLineChars="200"/>
        <w:rPr>
          <w:rFonts w:ascii="仿宋_GB2312" w:eastAsia="仿宋_GB2312"/>
          <w:color w:val="000000"/>
          <w:sz w:val="32"/>
          <w:szCs w:val="32"/>
        </w:rPr>
      </w:pPr>
      <w:bookmarkStart w:id="49" w:name="_Toc15377224"/>
      <w:r>
        <w:rPr>
          <w:rFonts w:ascii="仿宋_GB2312" w:eastAsia="仿宋_GB2312"/>
          <w:color w:val="000000"/>
          <w:sz w:val="32"/>
          <w:szCs w:val="32"/>
        </w:rPr>
        <w:t>2019</w:t>
      </w:r>
      <w:r>
        <w:rPr>
          <w:rFonts w:hint="eastAsia" w:ascii="仿宋_GB2312" w:eastAsia="仿宋_GB2312"/>
          <w:color w:val="000000"/>
          <w:sz w:val="32"/>
          <w:szCs w:val="32"/>
        </w:rPr>
        <w:t>年为政府采购支出。</w:t>
      </w:r>
    </w:p>
    <w:p w14:paraId="34F5A9D0">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（三）国有资产占有使用情况</w:t>
      </w:r>
      <w:bookmarkEnd w:id="49"/>
    </w:p>
    <w:p w14:paraId="05DC49B8">
      <w:pPr>
        <w:autoSpaceDE w:val="0"/>
        <w:autoSpaceDN w:val="0"/>
        <w:adjustRightInd w:val="0"/>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2019</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日，无公务用车。无单价</w:t>
      </w:r>
      <w:r>
        <w:rPr>
          <w:rFonts w:ascii="仿宋_GB2312" w:eastAsia="仿宋_GB2312"/>
          <w:color w:val="000000"/>
          <w:sz w:val="32"/>
          <w:szCs w:val="32"/>
        </w:rPr>
        <w:t>50</w:t>
      </w:r>
      <w:r>
        <w:rPr>
          <w:rFonts w:hint="eastAsia" w:ascii="仿宋_GB2312" w:eastAsia="仿宋_GB2312"/>
          <w:color w:val="000000"/>
          <w:sz w:val="32"/>
          <w:szCs w:val="32"/>
        </w:rPr>
        <w:t>万元以上通用设备和单价</w:t>
      </w:r>
      <w:r>
        <w:rPr>
          <w:rFonts w:ascii="仿宋_GB2312" w:eastAsia="仿宋_GB2312"/>
          <w:color w:val="000000"/>
          <w:sz w:val="32"/>
          <w:szCs w:val="32"/>
        </w:rPr>
        <w:t>100</w:t>
      </w:r>
      <w:r>
        <w:rPr>
          <w:rFonts w:hint="eastAsia" w:ascii="仿宋_GB2312" w:eastAsia="仿宋_GB2312"/>
          <w:color w:val="000000"/>
          <w:sz w:val="32"/>
          <w:szCs w:val="32"/>
        </w:rPr>
        <w:t>万元以上专用设备。</w:t>
      </w:r>
    </w:p>
    <w:p w14:paraId="766D4842">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00C3E22D">
      <w:pPr>
        <w:spacing w:line="600" w:lineRule="atLeast"/>
        <w:ind w:firstLine="640" w:firstLineChars="200"/>
        <w:rPr>
          <w:rFonts w:ascii="仿宋_GB2312" w:eastAsia="仿宋_GB2312"/>
          <w:color w:val="000000"/>
          <w:sz w:val="32"/>
          <w:szCs w:val="32"/>
        </w:rPr>
      </w:pPr>
      <w:r>
        <w:rPr>
          <w:rFonts w:hint="eastAsia" w:ascii="仿宋_GB2312" w:hAnsi="仿宋_GB2312" w:eastAsia="仿宋_GB2312" w:cs="仿宋_GB2312"/>
          <w:sz w:val="32"/>
          <w:szCs w:val="32"/>
        </w:rPr>
        <w:t>根据预算绩效管理要求，本部门（单位）在年初预算编制阶段，组织</w:t>
      </w:r>
      <w:r>
        <w:rPr>
          <w:rFonts w:hint="eastAsia" w:ascii="仿宋_GB2312" w:eastAsia="仿宋_GB2312"/>
          <w:sz w:val="32"/>
          <w:szCs w:val="32"/>
        </w:rPr>
        <w:t>对</w:t>
      </w:r>
      <w:r>
        <w:rPr>
          <w:rFonts w:ascii="仿宋_GB2312" w:eastAsia="仿宋_GB2312"/>
          <w:sz w:val="32"/>
          <w:szCs w:val="32"/>
        </w:rPr>
        <w:t>2019</w:t>
      </w:r>
      <w:r>
        <w:rPr>
          <w:rFonts w:hint="eastAsia" w:ascii="仿宋_GB2312" w:eastAsia="仿宋_GB2312"/>
          <w:sz w:val="32"/>
          <w:szCs w:val="32"/>
        </w:rPr>
        <w:t>年一般公共预算支出开展了绩效目标管理，涉及财政资金</w:t>
      </w:r>
      <w:r>
        <w:rPr>
          <w:rFonts w:ascii="仿宋_GB2312" w:eastAsia="仿宋_GB2312"/>
          <w:sz w:val="32"/>
          <w:szCs w:val="32"/>
        </w:rPr>
        <w:t>5.52</w:t>
      </w:r>
      <w:r>
        <w:rPr>
          <w:rFonts w:hint="eastAsia" w:ascii="仿宋_GB2312" w:eastAsia="仿宋_GB2312"/>
          <w:sz w:val="32"/>
          <w:szCs w:val="32"/>
        </w:rPr>
        <w:t>万元，</w:t>
      </w:r>
      <w:r>
        <w:rPr>
          <w:rFonts w:hint="eastAsia" w:ascii="仿宋_GB2312" w:eastAsia="仿宋_GB2312"/>
          <w:color w:val="000000"/>
          <w:sz w:val="32"/>
          <w:szCs w:val="32"/>
        </w:rPr>
        <w:t>覆盖率达到</w:t>
      </w:r>
      <w:r>
        <w:rPr>
          <w:rFonts w:ascii="仿宋_GB2312" w:eastAsia="仿宋_GB2312"/>
          <w:color w:val="000000"/>
          <w:sz w:val="32"/>
          <w:szCs w:val="32"/>
        </w:rPr>
        <w:t>100%</w:t>
      </w:r>
      <w:r>
        <w:rPr>
          <w:rFonts w:hint="eastAsia" w:ascii="仿宋_GB2312" w:hAnsi="仿宋_GB2312" w:eastAsia="仿宋_GB2312" w:cs="仿宋_GB2312"/>
          <w:sz w:val="32"/>
          <w:szCs w:val="32"/>
        </w:rPr>
        <w:t>。</w:t>
      </w:r>
    </w:p>
    <w:p w14:paraId="7AD6224E">
      <w:pPr>
        <w:spacing w:line="600" w:lineRule="atLeast"/>
        <w:ind w:firstLine="640" w:firstLineChars="200"/>
        <w:rPr>
          <w:rFonts w:ascii="仿宋_GB2312" w:eastAsia="仿宋_GB2312"/>
          <w:color w:val="000000"/>
          <w:sz w:val="32"/>
          <w:szCs w:val="32"/>
        </w:rPr>
      </w:pPr>
      <w:r>
        <w:rPr>
          <w:rFonts w:hint="eastAsia" w:ascii="仿宋_GB2312" w:eastAsia="仿宋_GB2312"/>
          <w:color w:val="000000"/>
          <w:sz w:val="32"/>
          <w:szCs w:val="32"/>
        </w:rPr>
        <w:t>按照预算绩效管理要求，本部门对</w:t>
      </w:r>
      <w:r>
        <w:rPr>
          <w:rFonts w:ascii="仿宋_GB2312" w:eastAsia="仿宋_GB2312"/>
          <w:color w:val="000000"/>
          <w:sz w:val="32"/>
          <w:szCs w:val="32"/>
        </w:rPr>
        <w:t>2019</w:t>
      </w:r>
      <w:r>
        <w:rPr>
          <w:rFonts w:hint="eastAsia" w:ascii="仿宋_GB2312" w:eastAsia="仿宋_GB2312"/>
          <w:color w:val="000000"/>
          <w:sz w:val="32"/>
          <w:szCs w:val="32"/>
        </w:rPr>
        <w:t>年整体支出开展绩效自评，自评得分</w:t>
      </w:r>
      <w:r>
        <w:rPr>
          <w:rFonts w:ascii="仿宋_GB2312" w:eastAsia="仿宋_GB2312"/>
          <w:color w:val="000000"/>
          <w:sz w:val="32"/>
          <w:szCs w:val="32"/>
        </w:rPr>
        <w:t>89</w:t>
      </w:r>
      <w:r>
        <w:rPr>
          <w:rFonts w:hint="eastAsia" w:ascii="仿宋_GB2312" w:eastAsia="仿宋_GB2312"/>
          <w:color w:val="000000"/>
          <w:sz w:val="32"/>
          <w:szCs w:val="32"/>
        </w:rPr>
        <w:t>分，存在的问题：一是</w:t>
      </w:r>
      <w:r>
        <w:rPr>
          <w:rFonts w:hint="eastAsia" w:ascii="仿宋_GB2312" w:eastAsia="仿宋_GB2312"/>
          <w:sz w:val="32"/>
          <w:szCs w:val="32"/>
        </w:rPr>
        <w:t>上半年预算执行进度较慢</w:t>
      </w:r>
      <w:r>
        <w:rPr>
          <w:rFonts w:hint="eastAsia" w:ascii="仿宋_GB2312" w:eastAsia="仿宋_GB2312"/>
          <w:color w:val="000000"/>
          <w:sz w:val="32"/>
          <w:szCs w:val="32"/>
        </w:rPr>
        <w:t>，二是</w:t>
      </w:r>
      <w:r>
        <w:rPr>
          <w:rFonts w:hint="eastAsia" w:ascii="仿宋_GB2312" w:eastAsia="仿宋_GB2312"/>
          <w:sz w:val="32"/>
          <w:szCs w:val="32"/>
        </w:rPr>
        <w:t>预算编制水平有待进一步提高</w:t>
      </w:r>
      <w:r>
        <w:rPr>
          <w:rFonts w:hint="eastAsia" w:ascii="仿宋_GB2312" w:eastAsia="仿宋_GB2312"/>
          <w:color w:val="000000"/>
          <w:sz w:val="32"/>
          <w:szCs w:val="32"/>
        </w:rPr>
        <w:t>，三是</w:t>
      </w:r>
      <w:r>
        <w:rPr>
          <w:rFonts w:hint="eastAsia" w:ascii="仿宋_GB2312" w:eastAsia="仿宋_GB2312"/>
          <w:sz w:val="32"/>
          <w:szCs w:val="32"/>
        </w:rPr>
        <w:t>预算管理规范性有待加强</w:t>
      </w:r>
      <w:r>
        <w:rPr>
          <w:rFonts w:hint="eastAsia" w:ascii="仿宋_GB2312" w:eastAsia="仿宋_GB2312"/>
          <w:color w:val="000000"/>
          <w:sz w:val="32"/>
          <w:szCs w:val="32"/>
        </w:rPr>
        <w:t>。下一步改进措施：</w:t>
      </w:r>
      <w:r>
        <w:rPr>
          <w:rFonts w:hint="eastAsia" w:ascii="仿宋_GB2312" w:eastAsia="仿宋_GB2312"/>
          <w:sz w:val="32"/>
          <w:szCs w:val="32"/>
        </w:rPr>
        <w:t>继续做好财政资金预算编制工作</w:t>
      </w:r>
      <w:r>
        <w:rPr>
          <w:rFonts w:hint="eastAsia" w:ascii="仿宋_GB2312" w:eastAsia="仿宋_GB2312"/>
          <w:color w:val="000000"/>
          <w:sz w:val="32"/>
          <w:szCs w:val="32"/>
        </w:rPr>
        <w:t>，</w:t>
      </w:r>
      <w:r>
        <w:rPr>
          <w:rFonts w:hint="eastAsia" w:ascii="仿宋_GB2312" w:eastAsia="仿宋_GB2312"/>
          <w:sz w:val="32"/>
          <w:szCs w:val="32"/>
        </w:rPr>
        <w:t>强化责任落实制度，加强内控制度建设</w:t>
      </w:r>
      <w:r>
        <w:rPr>
          <w:rFonts w:hint="eastAsia" w:ascii="仿宋_GB2312" w:eastAsia="仿宋_GB2312"/>
          <w:color w:val="000000"/>
          <w:sz w:val="32"/>
          <w:szCs w:val="32"/>
        </w:rPr>
        <w:t>。</w:t>
      </w:r>
    </w:p>
    <w:p w14:paraId="359EFFA1">
      <w:pPr>
        <w:spacing w:line="600" w:lineRule="atLeast"/>
        <w:ind w:firstLine="640" w:firstLineChars="200"/>
        <w:rPr>
          <w:rFonts w:ascii="仿宋_GB2312" w:eastAsia="仿宋_GB2312"/>
          <w:color w:val="000000"/>
          <w:sz w:val="32"/>
          <w:szCs w:val="32"/>
        </w:rPr>
      </w:pPr>
    </w:p>
    <w:p w14:paraId="22D0EE7A">
      <w:pPr>
        <w:numPr>
          <w:ilvl w:val="0"/>
          <w:numId w:val="3"/>
        </w:numPr>
        <w:spacing w:line="600" w:lineRule="exact"/>
        <w:ind w:firstLine="663"/>
        <w:jc w:val="center"/>
        <w:outlineLvl w:val="0"/>
        <w:rPr>
          <w:rStyle w:val="17"/>
          <w:rFonts w:ascii="黑体" w:hAnsi="黑体" w:eastAsia="黑体"/>
          <w:b w:val="0"/>
        </w:rPr>
      </w:pPr>
      <w:bookmarkStart w:id="50" w:name="_Toc15396614"/>
      <w:bookmarkStart w:id="51" w:name="_Toc15377226"/>
      <w:r>
        <w:rPr>
          <w:rFonts w:hint="eastAsia" w:ascii="黑体" w:hAnsi="黑体" w:eastAsia="黑体"/>
          <w:b/>
          <w:color w:val="000000"/>
          <w:sz w:val="44"/>
          <w:szCs w:val="44"/>
        </w:rPr>
        <w:t>名</w:t>
      </w:r>
      <w:r>
        <w:rPr>
          <w:rStyle w:val="17"/>
          <w:rFonts w:hint="eastAsia" w:ascii="黑体" w:hAnsi="黑体" w:eastAsia="黑体"/>
          <w:b w:val="0"/>
        </w:rPr>
        <w:t>词解释</w:t>
      </w:r>
    </w:p>
    <w:p w14:paraId="21E091EB">
      <w:pPr>
        <w:spacing w:line="600" w:lineRule="exact"/>
        <w:jc w:val="left"/>
        <w:rPr>
          <w:rFonts w:ascii="宋体"/>
          <w:b/>
          <w:color w:val="000000"/>
          <w:sz w:val="44"/>
          <w:szCs w:val="44"/>
        </w:rPr>
      </w:pPr>
    </w:p>
    <w:p w14:paraId="42C6B01B">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．财政拨款收入：指省级财政当年拨付的资金。</w:t>
      </w:r>
    </w:p>
    <w:p w14:paraId="51ED533E">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rPr>
        <w:t>．其他收入：指除上述“财政拨款收入”、“事业收入”、“经营收入”等以外的收入。</w:t>
      </w:r>
    </w:p>
    <w:p w14:paraId="471AB739">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3</w:t>
      </w:r>
      <w:r>
        <w:rPr>
          <w:rFonts w:hint="eastAsia" w:ascii="仿宋_GB2312" w:eastAsia="仿宋_GB2312"/>
          <w:color w:val="000000"/>
          <w:sz w:val="32"/>
          <w:szCs w:val="32"/>
        </w:rPr>
        <w:t>．公共安全支出（类）公安（款）行政运行（项）</w:t>
      </w:r>
      <w:r>
        <w:rPr>
          <w:rFonts w:ascii="仿宋_GB2312" w:eastAsia="仿宋_GB2312"/>
          <w:color w:val="000000"/>
          <w:sz w:val="32"/>
          <w:szCs w:val="32"/>
        </w:rPr>
        <w:t>:</w:t>
      </w:r>
      <w:r>
        <w:rPr>
          <w:rFonts w:hint="eastAsia" w:ascii="仿宋_GB2312" w:eastAsia="仿宋_GB2312"/>
          <w:color w:val="000000"/>
          <w:sz w:val="32"/>
          <w:szCs w:val="32"/>
        </w:rPr>
        <w:t>指主要用于在职在编人员基本工资、津贴补贴，保障机关正常运转的日常公用支出。</w:t>
      </w:r>
    </w:p>
    <w:p w14:paraId="658C0007">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4</w:t>
      </w:r>
      <w:r>
        <w:rPr>
          <w:rFonts w:hint="eastAsia" w:ascii="仿宋_GB2312" w:eastAsia="仿宋_GB2312"/>
          <w:color w:val="000000"/>
          <w:sz w:val="32"/>
          <w:szCs w:val="32"/>
        </w:rPr>
        <w:t>．公共安全支出（类）公安（款）一般行政管理事务（项）</w:t>
      </w:r>
      <w:r>
        <w:rPr>
          <w:rFonts w:ascii="仿宋_GB2312" w:eastAsia="仿宋_GB2312"/>
          <w:color w:val="000000"/>
          <w:sz w:val="32"/>
          <w:szCs w:val="32"/>
        </w:rPr>
        <w:t>:</w:t>
      </w:r>
      <w:r>
        <w:rPr>
          <w:rFonts w:hint="eastAsia" w:ascii="仿宋_GB2312" w:eastAsia="仿宋_GB2312"/>
          <w:color w:val="000000"/>
          <w:sz w:val="32"/>
          <w:szCs w:val="32"/>
        </w:rPr>
        <w:t>指主要用于有序开展反恐维稳、社会治安综合治理、司法体制和社会体制改革、依法治省、政法队伍建设、政法部门服务保障经济发展、信息化建设以及见义勇为等重点工作。</w:t>
      </w:r>
    </w:p>
    <w:p w14:paraId="56DA77DB">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5</w:t>
      </w:r>
      <w:r>
        <w:rPr>
          <w:rFonts w:hint="eastAsia" w:ascii="仿宋_GB2312" w:eastAsia="仿宋_GB2312"/>
          <w:color w:val="000000"/>
          <w:sz w:val="32"/>
          <w:szCs w:val="32"/>
        </w:rPr>
        <w:t>．社会保障和就业支出（类）行政事业单位离退休（款）未归口管理的行政单位离退休（项）</w:t>
      </w:r>
      <w:r>
        <w:rPr>
          <w:rFonts w:ascii="仿宋_GB2312" w:eastAsia="仿宋_GB2312"/>
          <w:color w:val="000000"/>
          <w:sz w:val="32"/>
          <w:szCs w:val="32"/>
        </w:rPr>
        <w:t>:</w:t>
      </w:r>
      <w:r>
        <w:rPr>
          <w:rFonts w:hint="eastAsia" w:ascii="仿宋_GB2312" w:eastAsia="仿宋_GB2312"/>
          <w:color w:val="000000"/>
          <w:sz w:val="32"/>
          <w:szCs w:val="32"/>
        </w:rPr>
        <w:t>指主要用于离退休人员离退休费和津补贴。</w:t>
      </w:r>
    </w:p>
    <w:p w14:paraId="6B27E3D0">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6</w:t>
      </w:r>
      <w:r>
        <w:rPr>
          <w:rFonts w:hint="eastAsia" w:ascii="仿宋_GB2312" w:eastAsia="仿宋_GB2312"/>
          <w:color w:val="000000"/>
          <w:sz w:val="32"/>
          <w:szCs w:val="32"/>
        </w:rPr>
        <w:t>．社会保障和就业支出（类）行政事业单位离退休（款）机关事业单位基本养老保险缴费支出（项）</w:t>
      </w:r>
      <w:r>
        <w:rPr>
          <w:rFonts w:ascii="仿宋_GB2312" w:eastAsia="仿宋_GB2312"/>
          <w:color w:val="000000"/>
          <w:sz w:val="32"/>
          <w:szCs w:val="32"/>
        </w:rPr>
        <w:t>:</w:t>
      </w:r>
      <w:r>
        <w:rPr>
          <w:rFonts w:hint="eastAsia" w:ascii="仿宋_GB2312" w:eastAsia="仿宋_GB2312"/>
          <w:color w:val="000000"/>
          <w:sz w:val="32"/>
          <w:szCs w:val="32"/>
        </w:rPr>
        <w:t>指主要用于离退休人员离退休费和津补贴。</w:t>
      </w:r>
    </w:p>
    <w:p w14:paraId="61F8F814">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7</w:t>
      </w:r>
      <w:r>
        <w:rPr>
          <w:rFonts w:hint="eastAsia" w:ascii="仿宋_GB2312" w:eastAsia="仿宋_GB2312"/>
          <w:color w:val="000000"/>
          <w:sz w:val="32"/>
          <w:szCs w:val="32"/>
        </w:rPr>
        <w:t>．社会保障和就业支出（类）其他社会保障和就业支出（款）其他社会保障和就业支出（项）</w:t>
      </w:r>
      <w:r>
        <w:rPr>
          <w:rFonts w:ascii="仿宋_GB2312" w:eastAsia="仿宋_GB2312"/>
          <w:color w:val="000000"/>
          <w:sz w:val="32"/>
          <w:szCs w:val="32"/>
        </w:rPr>
        <w:t>:</w:t>
      </w:r>
      <w:r>
        <w:rPr>
          <w:rFonts w:hint="eastAsia" w:ascii="仿宋_GB2312" w:eastAsia="仿宋_GB2312"/>
          <w:color w:val="000000"/>
          <w:sz w:val="32"/>
          <w:szCs w:val="32"/>
        </w:rPr>
        <w:t>指其它用于社会保障和就业方面的支出。</w:t>
      </w:r>
    </w:p>
    <w:p w14:paraId="4F1384C7">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8</w:t>
      </w:r>
      <w:r>
        <w:rPr>
          <w:rFonts w:hint="eastAsia" w:ascii="仿宋_GB2312" w:eastAsia="仿宋_GB2312"/>
          <w:color w:val="000000"/>
          <w:sz w:val="32"/>
          <w:szCs w:val="32"/>
        </w:rPr>
        <w:t>．医疗卫生与计划生育支出（类）医疗保障（款）行政单位医疗（项）：指财政部门集中安排的行政单位基本医疗保险缴费经费。</w:t>
      </w:r>
    </w:p>
    <w:p w14:paraId="68791927">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．医疗卫生与计划生育支出（类）医疗保障（款）公务员医疗补助（项）</w:t>
      </w:r>
      <w:r>
        <w:rPr>
          <w:rFonts w:ascii="仿宋_GB2312" w:eastAsia="仿宋_GB2312"/>
          <w:color w:val="000000"/>
          <w:sz w:val="32"/>
          <w:szCs w:val="32"/>
        </w:rPr>
        <w:t>:</w:t>
      </w:r>
      <w:r>
        <w:rPr>
          <w:rFonts w:hint="eastAsia" w:ascii="仿宋_GB2312" w:eastAsia="仿宋_GB2312"/>
          <w:color w:val="000000"/>
          <w:sz w:val="32"/>
          <w:szCs w:val="32"/>
        </w:rPr>
        <w:t>指财政部门集中安排的公务员医疗补助经费。</w:t>
      </w:r>
    </w:p>
    <w:p w14:paraId="49223B60">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10</w:t>
      </w:r>
      <w:r>
        <w:rPr>
          <w:rFonts w:hint="eastAsia" w:ascii="仿宋_GB2312" w:eastAsia="仿宋_GB2312"/>
          <w:color w:val="000000"/>
          <w:sz w:val="32"/>
          <w:szCs w:val="32"/>
        </w:rPr>
        <w:t>．住房保障支出（类）住房改革支出（款）住房公积金（项）</w:t>
      </w:r>
      <w:r>
        <w:rPr>
          <w:rFonts w:ascii="仿宋_GB2312" w:eastAsia="仿宋_GB2312"/>
          <w:color w:val="000000"/>
          <w:sz w:val="32"/>
          <w:szCs w:val="32"/>
        </w:rPr>
        <w:t>:</w:t>
      </w:r>
      <w:r>
        <w:rPr>
          <w:rFonts w:hint="eastAsia" w:ascii="仿宋_GB2312" w:eastAsia="仿宋_GB2312"/>
          <w:color w:val="000000"/>
          <w:sz w:val="32"/>
          <w:szCs w:val="32"/>
        </w:rPr>
        <w:t>指按照相关政策规定比例为个人缴纳的住房公积金。</w:t>
      </w:r>
    </w:p>
    <w:p w14:paraId="0C903A7F">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11</w:t>
      </w:r>
      <w:r>
        <w:rPr>
          <w:rFonts w:hint="eastAsia" w:ascii="仿宋_GB2312" w:eastAsia="仿宋_GB2312"/>
          <w:color w:val="000000"/>
          <w:sz w:val="32"/>
          <w:szCs w:val="32"/>
        </w:rPr>
        <w:t>．住房保障支出（类）住房改革支出（款）购房补贴（项）</w:t>
      </w:r>
      <w:r>
        <w:rPr>
          <w:rFonts w:ascii="仿宋_GB2312" w:eastAsia="仿宋_GB2312"/>
          <w:color w:val="000000"/>
          <w:sz w:val="32"/>
          <w:szCs w:val="32"/>
        </w:rPr>
        <w:t>:</w:t>
      </w:r>
      <w:r>
        <w:rPr>
          <w:rFonts w:hint="eastAsia" w:ascii="仿宋_GB2312" w:eastAsia="仿宋_GB2312"/>
          <w:color w:val="000000"/>
          <w:sz w:val="32"/>
          <w:szCs w:val="32"/>
        </w:rPr>
        <w:t>指按照相关政策规定，向符合条件的个人发放的用于购买住房的补贴。</w:t>
      </w:r>
    </w:p>
    <w:p w14:paraId="7FC65587">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12</w:t>
      </w:r>
      <w:r>
        <w:rPr>
          <w:rFonts w:hint="eastAsia" w:ascii="仿宋_GB2312" w:eastAsia="仿宋_GB2312"/>
          <w:color w:val="000000"/>
          <w:sz w:val="32"/>
          <w:szCs w:val="32"/>
        </w:rPr>
        <w:t>．年末结转和结余：指本年度或以前年度预算安排、因客观条件发生变化无法按原计划实施，需延迟到以后年度按有关规定继续使用的资金。</w:t>
      </w:r>
    </w:p>
    <w:p w14:paraId="1D3CE04E">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13</w:t>
      </w:r>
      <w:r>
        <w:rPr>
          <w:rFonts w:hint="eastAsia" w:ascii="仿宋_GB2312" w:eastAsia="仿宋_GB2312"/>
          <w:color w:val="000000"/>
          <w:sz w:val="32"/>
          <w:szCs w:val="32"/>
        </w:rPr>
        <w:t>．基本支出：是用于保障省委政法委机关、省法学会、省政法研究所正常运转的日常支出，包括基本工资、津贴补贴等人员经费以及办公费、印刷费、水电费等日常公用经费。</w:t>
      </w:r>
      <w:r>
        <w:rPr>
          <w:rFonts w:ascii="仿宋_GB2312" w:eastAsia="仿宋_GB2312"/>
          <w:color w:val="000000"/>
          <w:sz w:val="32"/>
          <w:szCs w:val="32"/>
        </w:rPr>
        <w:t xml:space="preserve">  </w:t>
      </w:r>
      <w:r>
        <w:rPr>
          <w:rFonts w:hint="eastAsia" w:ascii="仿宋_GB2312" w:eastAsia="仿宋_GB2312"/>
          <w:color w:val="000000"/>
          <w:sz w:val="32"/>
          <w:szCs w:val="32"/>
        </w:rPr>
        <w:t>　　</w:t>
      </w:r>
      <w:r>
        <w:rPr>
          <w:rFonts w:ascii="仿宋_GB2312" w:eastAsia="仿宋_GB2312"/>
          <w:color w:val="000000"/>
          <w:sz w:val="32"/>
          <w:szCs w:val="32"/>
        </w:rPr>
        <w:t>14</w:t>
      </w:r>
      <w:r>
        <w:rPr>
          <w:rFonts w:hint="eastAsia" w:ascii="仿宋_GB2312" w:eastAsia="仿宋_GB2312"/>
          <w:color w:val="000000"/>
          <w:sz w:val="32"/>
          <w:szCs w:val="32"/>
        </w:rPr>
        <w:t>．项目支出：是用于保障省委政法委机关、省法学会、省政法研究所，为完成特定的行政工作任务或事业发展目标，用于专项业务工作的经费支出。</w:t>
      </w:r>
    </w:p>
    <w:p w14:paraId="2D842642">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15</w:t>
      </w:r>
      <w:r>
        <w:rPr>
          <w:rFonts w:hint="eastAsia" w:ascii="仿宋_GB2312" w:eastAsia="仿宋_GB2312"/>
          <w:color w:val="000000"/>
          <w:sz w:val="32"/>
          <w:szCs w:val="32"/>
        </w:rPr>
        <w:t>．“三公”经费：纳入省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4C1F076">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16</w:t>
      </w:r>
      <w:r>
        <w:rPr>
          <w:rFonts w:hint="eastAsia" w:ascii="仿宋_GB2312" w:eastAsia="仿宋_GB2312"/>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50"/>
    <w:p w14:paraId="2207E555">
      <w:pPr>
        <w:spacing w:line="600" w:lineRule="exact"/>
        <w:jc w:val="center"/>
        <w:outlineLvl w:val="0"/>
        <w:rPr>
          <w:rStyle w:val="17"/>
          <w:rFonts w:ascii="黑体" w:hAnsi="黑体" w:eastAsia="黑体"/>
          <w:b w:val="0"/>
        </w:rPr>
      </w:pPr>
      <w:r>
        <w:rPr>
          <w:rFonts w:hint="eastAsia" w:ascii="黑体" w:hAnsi="黑体" w:eastAsia="黑体"/>
          <w:color w:val="000000"/>
          <w:sz w:val="44"/>
          <w:szCs w:val="44"/>
        </w:rPr>
        <w:t>第</w:t>
      </w:r>
      <w:r>
        <w:rPr>
          <w:rStyle w:val="17"/>
          <w:rFonts w:hint="eastAsia" w:ascii="黑体" w:hAnsi="黑体" w:eastAsia="黑体"/>
          <w:b w:val="0"/>
        </w:rPr>
        <w:t>四部分</w:t>
      </w:r>
      <w:r>
        <w:rPr>
          <w:rStyle w:val="17"/>
          <w:rFonts w:ascii="黑体" w:hAnsi="黑体" w:eastAsia="黑体"/>
          <w:b w:val="0"/>
        </w:rPr>
        <w:t xml:space="preserve"> </w:t>
      </w:r>
      <w:r>
        <w:rPr>
          <w:rStyle w:val="17"/>
          <w:rFonts w:hint="eastAsia" w:ascii="黑体" w:hAnsi="黑体" w:eastAsia="黑体"/>
          <w:b w:val="0"/>
        </w:rPr>
        <w:t>附件</w:t>
      </w:r>
    </w:p>
    <w:p w14:paraId="2542383B">
      <w:pPr>
        <w:spacing w:line="600" w:lineRule="exact"/>
        <w:jc w:val="center"/>
        <w:outlineLvl w:val="0"/>
        <w:rPr>
          <w:rStyle w:val="17"/>
        </w:rPr>
      </w:pPr>
    </w:p>
    <w:p w14:paraId="2BE07890">
      <w:pPr>
        <w:pStyle w:val="3"/>
        <w:rPr>
          <w:rStyle w:val="17"/>
          <w:rFonts w:ascii="仿宋" w:hAnsi="仿宋" w:eastAsia="仿宋"/>
          <w:b w:val="0"/>
          <w:bCs w:val="0"/>
          <w:sz w:val="32"/>
          <w:szCs w:val="32"/>
        </w:rPr>
      </w:pPr>
      <w:bookmarkStart w:id="52" w:name="_Toc15396615"/>
      <w:r>
        <w:rPr>
          <w:rStyle w:val="17"/>
          <w:rFonts w:hint="eastAsia" w:ascii="仿宋" w:hAnsi="仿宋" w:eastAsia="仿宋"/>
          <w:b w:val="0"/>
          <w:bCs w:val="0"/>
          <w:sz w:val="32"/>
          <w:szCs w:val="32"/>
        </w:rPr>
        <w:t>附件</w:t>
      </w:r>
      <w:r>
        <w:rPr>
          <w:rStyle w:val="17"/>
          <w:rFonts w:ascii="仿宋" w:hAnsi="仿宋" w:eastAsia="仿宋"/>
          <w:b w:val="0"/>
          <w:bCs w:val="0"/>
          <w:sz w:val="32"/>
          <w:szCs w:val="32"/>
        </w:rPr>
        <w:t>1</w:t>
      </w:r>
      <w:bookmarkEnd w:id="52"/>
    </w:p>
    <w:p w14:paraId="702597D5">
      <w:pPr>
        <w:spacing w:line="600" w:lineRule="exact"/>
        <w:jc w:val="center"/>
        <w:outlineLvl w:val="0"/>
        <w:rPr>
          <w:rFonts w:ascii="黑体" w:hAnsi="黑体" w:eastAsia="黑体" w:cs="方正小标宋简体"/>
          <w:sz w:val="36"/>
          <w:szCs w:val="36"/>
        </w:rPr>
      </w:pPr>
      <w:bookmarkStart w:id="53" w:name="_Toc15396616"/>
      <w:r>
        <w:rPr>
          <w:rFonts w:hint="eastAsia" w:ascii="黑体" w:hAnsi="黑体" w:eastAsia="黑体" w:cs="方正小标宋简体"/>
          <w:sz w:val="36"/>
          <w:szCs w:val="36"/>
        </w:rPr>
        <w:t>阿坝州法学会</w:t>
      </w:r>
      <w:r>
        <w:rPr>
          <w:rFonts w:ascii="黑体" w:hAnsi="黑体" w:eastAsia="黑体" w:cs="方正小标宋简体"/>
          <w:sz w:val="36"/>
          <w:szCs w:val="36"/>
        </w:rPr>
        <w:t>2019</w:t>
      </w:r>
      <w:r>
        <w:rPr>
          <w:rFonts w:hint="eastAsia" w:ascii="黑体" w:hAnsi="黑体" w:eastAsia="黑体" w:cs="方正小标宋简体"/>
          <w:sz w:val="36"/>
          <w:szCs w:val="36"/>
        </w:rPr>
        <w:t>年部门整体支出绩效评价报告</w:t>
      </w:r>
      <w:bookmarkEnd w:id="53"/>
    </w:p>
    <w:p w14:paraId="159DE851">
      <w:pPr>
        <w:spacing w:line="580" w:lineRule="exact"/>
        <w:ind w:firstLine="640" w:firstLineChars="200"/>
        <w:rPr>
          <w:rFonts w:ascii="黑体" w:hAnsi="黑体" w:eastAsia="黑体" w:cs="黑体"/>
          <w:sz w:val="32"/>
          <w:szCs w:val="32"/>
        </w:rPr>
      </w:pPr>
    </w:p>
    <w:p w14:paraId="740228B3">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一、部门（单位）概况</w:t>
      </w:r>
    </w:p>
    <w:p w14:paraId="5C8D3ECF">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（一）机构组成</w:t>
      </w:r>
    </w:p>
    <w:p w14:paraId="2F3D5B2A">
      <w:pPr>
        <w:pStyle w:val="5"/>
        <w:adjustRightInd w:val="0"/>
        <w:snapToGrid w:val="0"/>
        <w:spacing w:before="93" w:line="600" w:lineRule="exact"/>
        <w:ind w:firstLine="672" w:firstLineChars="210"/>
        <w:rPr>
          <w:rFonts w:ascii="仿宋" w:hAnsi="仿宋" w:eastAsia="仿宋" w:cs="仿宋_GB2312"/>
          <w:sz w:val="32"/>
          <w:szCs w:val="32"/>
        </w:rPr>
      </w:pPr>
      <w:r>
        <w:rPr>
          <w:rFonts w:hint="eastAsia"/>
          <w:sz w:val="32"/>
          <w:szCs w:val="32"/>
        </w:rPr>
        <w:t>本部门属一级预算单位，无下属二级预算单位。</w:t>
      </w:r>
      <w:r>
        <w:rPr>
          <w:rFonts w:hint="eastAsia" w:ascii="仿宋" w:hAnsi="仿宋" w:eastAsia="仿宋"/>
          <w:sz w:val="32"/>
          <w:szCs w:val="32"/>
        </w:rPr>
        <w:t>内设办公室、研究室。</w:t>
      </w:r>
    </w:p>
    <w:p w14:paraId="1D5E2583">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（二）机构职能</w:t>
      </w:r>
    </w:p>
    <w:p w14:paraId="4D13AFE4">
      <w:pPr>
        <w:spacing w:line="560" w:lineRule="exact"/>
        <w:ind w:firstLine="555"/>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组织法学工作者、法律工作者学习和贯彻党的基本理论、基本路线、基本纲领、基本经验，提高政法素质和业务素质，坚持正确的政治方向；</w:t>
      </w:r>
    </w:p>
    <w:p w14:paraId="55DC6752">
      <w:pPr>
        <w:spacing w:line="560" w:lineRule="exact"/>
        <w:ind w:firstLine="555"/>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引领、繁荣法学研究，推进法律理论创新、法律制度创新和法律文化创新，为社会主义民主法制建设提供理论支持；</w:t>
      </w:r>
    </w:p>
    <w:p w14:paraId="5A198DD7">
      <w:pPr>
        <w:spacing w:line="560" w:lineRule="exact"/>
        <w:ind w:firstLine="555"/>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参与政治协商、科学决策和民主监督，对社会主义民主法制建设中的重大理论问题和实践问题，进行学术研讨，提出对策和建议；</w:t>
      </w:r>
    </w:p>
    <w:p w14:paraId="17A63047">
      <w:pPr>
        <w:spacing w:line="560" w:lineRule="exact"/>
        <w:ind w:firstLine="555"/>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组织法学工作者、法律工作者深入实际进行调查研究，反映新情况，研究新问题，加强信息交流和传播；</w:t>
      </w:r>
    </w:p>
    <w:p w14:paraId="6D580680">
      <w:pPr>
        <w:spacing w:line="560" w:lineRule="exact"/>
        <w:ind w:firstLine="555"/>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参与地方立法总体规划的研究和法律、法规的起草、修改、咨询与论证工作；</w:t>
      </w:r>
    </w:p>
    <w:p w14:paraId="300CDC89">
      <w:pPr>
        <w:spacing w:line="560" w:lineRule="exact"/>
        <w:ind w:firstLine="555"/>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组织评选和表彰本州法学届、优秀法学成果的活动，营造尊重人才、鼓励创新的良好环境；</w:t>
      </w:r>
    </w:p>
    <w:p w14:paraId="59103AEB">
      <w:pPr>
        <w:spacing w:line="560" w:lineRule="exact"/>
        <w:ind w:firstLine="555"/>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参与本地法制宣传，主管主办本会法制、法学刊物，编辑出版《阿坝政法》和资料；</w:t>
      </w:r>
    </w:p>
    <w:p w14:paraId="6EE69338">
      <w:pPr>
        <w:spacing w:line="560" w:lineRule="exact"/>
        <w:ind w:firstLine="555"/>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发挥人才、智力优势，开展形式多样的法律服务；</w:t>
      </w:r>
    </w:p>
    <w:p w14:paraId="5290662D">
      <w:pPr>
        <w:spacing w:line="560" w:lineRule="exact"/>
        <w:ind w:firstLine="555"/>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指导、协调本州团体会员的工作；</w:t>
      </w:r>
    </w:p>
    <w:p w14:paraId="0B225F9D">
      <w:pPr>
        <w:spacing w:line="560" w:lineRule="exact"/>
        <w:ind w:firstLine="555"/>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履行本州法学研究和法学交流社团的职责，做好监督和管理工作；</w:t>
      </w:r>
    </w:p>
    <w:p w14:paraId="5C4ABAA9">
      <w:pPr>
        <w:spacing w:line="560" w:lineRule="exact"/>
        <w:ind w:firstLine="555"/>
        <w:rPr>
          <w:rFonts w:ascii="仿宋_GB2312" w:eastAsia="仿宋_GB2312"/>
          <w:sz w:val="32"/>
          <w:szCs w:val="32"/>
        </w:rPr>
      </w:pPr>
      <w:r>
        <w:rPr>
          <w:rFonts w:ascii="仿宋_GB2312" w:eastAsia="仿宋_GB2312"/>
          <w:sz w:val="32"/>
          <w:szCs w:val="32"/>
        </w:rPr>
        <w:t>11.</w:t>
      </w:r>
      <w:r>
        <w:rPr>
          <w:rFonts w:hint="eastAsia" w:ascii="仿宋_GB2312" w:eastAsia="仿宋_GB2312"/>
          <w:sz w:val="32"/>
          <w:szCs w:val="32"/>
        </w:rPr>
        <w:t>反映本州广大会员和法学界、法律界和意见与要求，维护会员的合法利益。</w:t>
      </w:r>
    </w:p>
    <w:p w14:paraId="2B54FF7E">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（三）人员概况</w:t>
      </w:r>
    </w:p>
    <w:p w14:paraId="7FBA42E8">
      <w:pPr>
        <w:spacing w:line="560" w:lineRule="exact"/>
        <w:ind w:firstLine="555"/>
        <w:rPr>
          <w:rFonts w:ascii="仿宋_GB2312" w:eastAsia="仿宋_GB2312"/>
          <w:sz w:val="32"/>
          <w:szCs w:val="32"/>
        </w:rPr>
      </w:pPr>
      <w:r>
        <w:rPr>
          <w:rFonts w:hint="eastAsia" w:ascii="仿宋_GB2312" w:eastAsia="仿宋_GB2312"/>
          <w:sz w:val="32"/>
          <w:szCs w:val="32"/>
        </w:rPr>
        <w:t>事业编制数</w:t>
      </w:r>
      <w:r>
        <w:rPr>
          <w:rFonts w:ascii="仿宋_GB2312" w:eastAsia="仿宋_GB2312"/>
          <w:sz w:val="32"/>
          <w:szCs w:val="32"/>
        </w:rPr>
        <w:t>4</w:t>
      </w:r>
      <w:r>
        <w:rPr>
          <w:rFonts w:hint="eastAsia" w:ascii="仿宋_GB2312" w:eastAsia="仿宋_GB2312"/>
          <w:sz w:val="32"/>
          <w:szCs w:val="32"/>
        </w:rPr>
        <w:t>人，实有</w:t>
      </w:r>
      <w:r>
        <w:rPr>
          <w:rFonts w:ascii="仿宋_GB2312" w:eastAsia="仿宋_GB2312"/>
          <w:sz w:val="32"/>
          <w:szCs w:val="32"/>
        </w:rPr>
        <w:t>3</w:t>
      </w:r>
      <w:r>
        <w:rPr>
          <w:rFonts w:hint="eastAsia" w:ascii="仿宋_GB2312" w:eastAsia="仿宋_GB2312"/>
          <w:sz w:val="32"/>
          <w:szCs w:val="32"/>
        </w:rPr>
        <w:t>人。</w:t>
      </w:r>
    </w:p>
    <w:p w14:paraId="2C3FF927">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二、部门财政资金收支情况</w:t>
      </w:r>
    </w:p>
    <w:p w14:paraId="6ECB699C">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（一）部门财政资金收入情况</w:t>
      </w:r>
    </w:p>
    <w:p w14:paraId="75A51646">
      <w:pPr>
        <w:spacing w:line="560" w:lineRule="exact"/>
        <w:ind w:firstLine="555"/>
        <w:rPr>
          <w:rFonts w:ascii="仿宋_GB2312" w:eastAsia="仿宋_GB2312"/>
          <w:sz w:val="32"/>
          <w:szCs w:val="32"/>
        </w:rPr>
      </w:pPr>
      <w:r>
        <w:rPr>
          <w:rFonts w:ascii="仿宋_GB2312" w:eastAsia="仿宋_GB2312"/>
          <w:sz w:val="32"/>
          <w:szCs w:val="32"/>
        </w:rPr>
        <w:t>2019</w:t>
      </w:r>
      <w:r>
        <w:rPr>
          <w:rFonts w:hint="eastAsia" w:ascii="仿宋_GB2312" w:eastAsia="仿宋_GB2312"/>
          <w:sz w:val="32"/>
          <w:szCs w:val="32"/>
        </w:rPr>
        <w:t>年本年收入合计</w:t>
      </w:r>
      <w:r>
        <w:rPr>
          <w:rFonts w:ascii="仿宋_GB2312" w:eastAsia="仿宋_GB2312"/>
          <w:sz w:val="32"/>
          <w:szCs w:val="32"/>
        </w:rPr>
        <w:t>55.82</w:t>
      </w:r>
      <w:r>
        <w:rPr>
          <w:rFonts w:hint="eastAsia" w:ascii="仿宋_GB2312" w:eastAsia="仿宋_GB2312"/>
          <w:sz w:val="32"/>
          <w:szCs w:val="32"/>
        </w:rPr>
        <w:t>万元，其中：一般公共预算财政拨款收入</w:t>
      </w:r>
      <w:r>
        <w:rPr>
          <w:rFonts w:ascii="仿宋_GB2312" w:eastAsia="仿宋_GB2312"/>
          <w:sz w:val="32"/>
          <w:szCs w:val="32"/>
        </w:rPr>
        <w:t>55.82</w:t>
      </w:r>
      <w:r>
        <w:rPr>
          <w:rFonts w:hint="eastAsia" w:ascii="仿宋_GB2312" w:eastAsia="仿宋_GB2312"/>
          <w:sz w:val="32"/>
          <w:szCs w:val="32"/>
        </w:rPr>
        <w:t>万元，占</w:t>
      </w:r>
      <w:r>
        <w:rPr>
          <w:rFonts w:ascii="仿宋_GB2312" w:eastAsia="仿宋_GB2312"/>
          <w:sz w:val="32"/>
          <w:szCs w:val="32"/>
        </w:rPr>
        <w:t>100%</w:t>
      </w:r>
      <w:r>
        <w:rPr>
          <w:rFonts w:hint="eastAsia" w:ascii="仿宋_GB2312" w:eastAsia="仿宋_GB2312"/>
          <w:sz w:val="32"/>
          <w:szCs w:val="32"/>
        </w:rPr>
        <w:t>；其他收入</w:t>
      </w:r>
      <w:r>
        <w:rPr>
          <w:rFonts w:ascii="仿宋_GB2312" w:eastAsia="仿宋_GB2312"/>
          <w:sz w:val="32"/>
          <w:szCs w:val="32"/>
        </w:rPr>
        <w:t>0</w:t>
      </w:r>
      <w:r>
        <w:rPr>
          <w:rFonts w:hint="eastAsia" w:ascii="仿宋_GB2312" w:eastAsia="仿宋_GB2312"/>
          <w:sz w:val="32"/>
          <w:szCs w:val="32"/>
        </w:rPr>
        <w:t>万元。</w:t>
      </w:r>
    </w:p>
    <w:p w14:paraId="7CE090DD">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（二）部门财政资金支出情况</w:t>
      </w:r>
    </w:p>
    <w:p w14:paraId="52AA14A4">
      <w:pPr>
        <w:spacing w:line="600" w:lineRule="exact"/>
        <w:ind w:firstLine="640"/>
        <w:rPr>
          <w:rFonts w:ascii="仿宋_GB2312" w:eastAsia="仿宋_GB2312"/>
          <w:sz w:val="32"/>
          <w:szCs w:val="32"/>
        </w:rPr>
      </w:pPr>
      <w:r>
        <w:rPr>
          <w:rFonts w:ascii="仿宋_GB2312" w:eastAsia="仿宋_GB2312"/>
          <w:sz w:val="32"/>
          <w:szCs w:val="32"/>
        </w:rPr>
        <w:t>2019</w:t>
      </w:r>
      <w:r>
        <w:rPr>
          <w:rFonts w:hint="eastAsia" w:ascii="仿宋_GB2312" w:eastAsia="仿宋_GB2312"/>
          <w:sz w:val="32"/>
          <w:szCs w:val="32"/>
        </w:rPr>
        <w:t>年本年支出合计</w:t>
      </w:r>
      <w:r>
        <w:rPr>
          <w:rFonts w:ascii="仿宋_GB2312" w:eastAsia="仿宋_GB2312"/>
          <w:sz w:val="32"/>
          <w:szCs w:val="32"/>
        </w:rPr>
        <w:t>55.82</w:t>
      </w:r>
      <w:r>
        <w:rPr>
          <w:rFonts w:hint="eastAsia" w:ascii="仿宋_GB2312" w:eastAsia="仿宋_GB2312"/>
          <w:sz w:val="32"/>
          <w:szCs w:val="32"/>
        </w:rPr>
        <w:t>万元，其中：基本支出</w:t>
      </w:r>
      <w:r>
        <w:rPr>
          <w:rFonts w:ascii="仿宋_GB2312" w:eastAsia="仿宋_GB2312"/>
          <w:sz w:val="32"/>
          <w:szCs w:val="32"/>
        </w:rPr>
        <w:t>55.82</w:t>
      </w:r>
      <w:r>
        <w:rPr>
          <w:rFonts w:hint="eastAsia" w:ascii="仿宋_GB2312" w:eastAsia="仿宋_GB2312"/>
          <w:sz w:val="32"/>
          <w:szCs w:val="32"/>
        </w:rPr>
        <w:t>万元，占</w:t>
      </w:r>
      <w:r>
        <w:rPr>
          <w:rFonts w:ascii="仿宋_GB2312" w:eastAsia="仿宋_GB2312"/>
          <w:sz w:val="32"/>
          <w:szCs w:val="32"/>
        </w:rPr>
        <w:t>100%</w:t>
      </w:r>
      <w:r>
        <w:rPr>
          <w:rFonts w:hint="eastAsia" w:ascii="仿宋_GB2312" w:eastAsia="仿宋_GB2312"/>
          <w:sz w:val="32"/>
          <w:szCs w:val="32"/>
        </w:rPr>
        <w:t>；项目支出</w:t>
      </w:r>
      <w:r>
        <w:rPr>
          <w:rFonts w:ascii="仿宋_GB2312" w:eastAsia="仿宋_GB2312"/>
          <w:sz w:val="32"/>
          <w:szCs w:val="32"/>
        </w:rPr>
        <w:t>0</w:t>
      </w:r>
      <w:r>
        <w:rPr>
          <w:rFonts w:hint="eastAsia" w:ascii="仿宋_GB2312" w:eastAsia="仿宋_GB2312"/>
          <w:sz w:val="32"/>
          <w:szCs w:val="32"/>
        </w:rPr>
        <w:t>万元。</w:t>
      </w:r>
    </w:p>
    <w:p w14:paraId="3B5AB401">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三、部门整体预算绩效管理情况（根据适用指标体系进行调整）</w:t>
      </w:r>
    </w:p>
    <w:p w14:paraId="56F695F0">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（一）部门预算管理</w:t>
      </w:r>
    </w:p>
    <w:p w14:paraId="655F3A04">
      <w:pPr>
        <w:spacing w:line="580" w:lineRule="exact"/>
        <w:ind w:firstLine="640" w:firstLineChars="200"/>
        <w:rPr>
          <w:rFonts w:ascii="仿宋_GB2312" w:eastAsia="仿宋_GB2312"/>
          <w:color w:val="333333"/>
          <w:sz w:val="32"/>
          <w:szCs w:val="32"/>
        </w:rPr>
      </w:pPr>
      <w:r>
        <w:rPr>
          <w:rFonts w:hint="eastAsia" w:ascii="仿宋_GB2312" w:eastAsia="仿宋_GB2312"/>
          <w:color w:val="333333"/>
          <w:sz w:val="32"/>
          <w:szCs w:val="32"/>
        </w:rPr>
        <w:t>以预算编制为引领，以支出管理为核心，扎实做好</w:t>
      </w:r>
      <w:r>
        <w:rPr>
          <w:rFonts w:ascii="仿宋_GB2312" w:eastAsia="仿宋_GB2312"/>
          <w:color w:val="333333"/>
          <w:sz w:val="32"/>
          <w:szCs w:val="32"/>
        </w:rPr>
        <w:t xml:space="preserve">2018 </w:t>
      </w:r>
      <w:r>
        <w:rPr>
          <w:rFonts w:hint="eastAsia" w:ascii="仿宋_GB2312" w:eastAsia="仿宋_GB2312"/>
          <w:color w:val="333333"/>
          <w:sz w:val="32"/>
          <w:szCs w:val="32"/>
        </w:rPr>
        <w:t>年预算工作。一是严格按照财政局预算编制要求，认真贯彻落实州委州政府关于“厉行节约”的要求，扎实做好预算工作，确保预算编制的科学性和准确性。二是加强支出进度管理，完善预算动态监控，主动作为，提前谋划，在完成一般性支出压减任务的情况下，确保了机关运行和重大项目的实施。</w:t>
      </w:r>
    </w:p>
    <w:p w14:paraId="7922C185">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（二）专项预算管理</w:t>
      </w:r>
    </w:p>
    <w:p w14:paraId="725F45F6">
      <w:pPr>
        <w:spacing w:line="580" w:lineRule="exact"/>
        <w:ind w:firstLine="640" w:firstLineChars="200"/>
        <w:rPr>
          <w:rFonts w:ascii="仿宋_GB2312" w:eastAsia="仿宋_GB2312"/>
          <w:color w:val="333333"/>
          <w:sz w:val="32"/>
          <w:szCs w:val="32"/>
        </w:rPr>
      </w:pPr>
      <w:r>
        <w:rPr>
          <w:rFonts w:hint="eastAsia" w:ascii="仿宋_GB2312" w:eastAsia="仿宋_GB2312"/>
          <w:color w:val="333333"/>
          <w:sz w:val="32"/>
          <w:szCs w:val="32"/>
        </w:rPr>
        <w:t>严格按照专项资金预算使用管理执行，进一步规范“三公”经费管理，从严控制“三公”经费开支。无因公出国（境）费预算和支出，无公务接待费支出。</w:t>
      </w:r>
    </w:p>
    <w:p w14:paraId="7361414A">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（三）结果应用情况。</w:t>
      </w:r>
    </w:p>
    <w:p w14:paraId="7B644DD6">
      <w:pPr>
        <w:spacing w:line="580" w:lineRule="exact"/>
        <w:ind w:firstLine="640" w:firstLineChars="200"/>
        <w:rPr>
          <w:rFonts w:ascii="仿宋_GB2312" w:eastAsia="仿宋_GB2312"/>
          <w:color w:val="333333"/>
          <w:sz w:val="32"/>
          <w:szCs w:val="32"/>
        </w:rPr>
      </w:pPr>
      <w:r>
        <w:rPr>
          <w:rFonts w:ascii="仿宋_GB2312" w:eastAsia="仿宋_GB2312"/>
          <w:color w:val="333333"/>
          <w:sz w:val="32"/>
          <w:szCs w:val="32"/>
        </w:rPr>
        <w:t xml:space="preserve">2019 </w:t>
      </w:r>
      <w:r>
        <w:rPr>
          <w:rFonts w:hint="eastAsia" w:ascii="仿宋_GB2312" w:eastAsia="仿宋_GB2312"/>
          <w:color w:val="333333"/>
          <w:sz w:val="32"/>
          <w:szCs w:val="32"/>
        </w:rPr>
        <w:t>年，州委政法委全面贯彻落实州委州政府重大决策部署，按照“规范、高效、廉洁”要求，围绕中心，服务大局，高效运转，改革创新，在完成一般性支出压减任务的情况下，确保了机关运行和重大项目的实施，工作质量和服务效能整体提升。</w:t>
      </w:r>
    </w:p>
    <w:p w14:paraId="25FF2FD4">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四、评价结论及建议</w:t>
      </w:r>
    </w:p>
    <w:p w14:paraId="562EE4DC">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（一）评价结论</w:t>
      </w:r>
    </w:p>
    <w:p w14:paraId="0B2DB135">
      <w:pPr>
        <w:spacing w:line="580" w:lineRule="exact"/>
        <w:ind w:firstLine="640" w:firstLineChars="200"/>
        <w:rPr>
          <w:rFonts w:ascii="仿宋" w:hAnsi="仿宋" w:eastAsia="仿宋" w:cs="仿宋_GB2312"/>
          <w:sz w:val="32"/>
          <w:szCs w:val="32"/>
        </w:rPr>
      </w:pPr>
      <w:r>
        <w:rPr>
          <w:rFonts w:hint="eastAsia" w:ascii="仿宋_GB2312" w:eastAsia="仿宋_GB2312"/>
          <w:color w:val="333333"/>
          <w:sz w:val="32"/>
          <w:szCs w:val="32"/>
        </w:rPr>
        <w:t>从自评情况来看，预、决算编制合理，支出规范，财政支出既确保了机关正常运转，财政支出绩效良好</w:t>
      </w:r>
      <w:r>
        <w:rPr>
          <w:rFonts w:hint="eastAsia" w:ascii="仿宋" w:hAnsi="仿宋" w:eastAsia="仿宋" w:cs="仿宋_GB2312"/>
          <w:sz w:val="32"/>
          <w:szCs w:val="32"/>
        </w:rPr>
        <w:t>。</w:t>
      </w:r>
    </w:p>
    <w:p w14:paraId="31694790">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（二）存在问题</w:t>
      </w:r>
    </w:p>
    <w:p w14:paraId="11418289">
      <w:pPr>
        <w:spacing w:line="600" w:lineRule="exact"/>
        <w:ind w:firstLine="640" w:firstLineChars="200"/>
        <w:rPr>
          <w:rFonts w:ascii="仿宋_GB2312" w:eastAsia="仿宋_GB2312"/>
          <w:color w:val="333333"/>
          <w:sz w:val="32"/>
          <w:szCs w:val="32"/>
        </w:rPr>
      </w:pPr>
      <w:r>
        <w:rPr>
          <w:rFonts w:hint="eastAsia" w:ascii="仿宋_GB2312" w:eastAsia="仿宋_GB2312"/>
          <w:color w:val="333333"/>
          <w:sz w:val="32"/>
          <w:szCs w:val="32"/>
        </w:rPr>
        <w:t>整体支出绩效评价工作还存在个别项目绩效考核指标不准确、不完善，绩效管理信息支撑工作有待加强的情况。</w:t>
      </w:r>
    </w:p>
    <w:p w14:paraId="57AC7807">
      <w:pPr>
        <w:spacing w:line="580" w:lineRule="exact"/>
        <w:ind w:firstLine="640" w:firstLineChars="200"/>
        <w:rPr>
          <w:rFonts w:ascii="仿宋" w:hAnsi="仿宋" w:eastAsia="仿宋" w:cs="仿宋_GB2312"/>
          <w:sz w:val="32"/>
          <w:szCs w:val="32"/>
        </w:rPr>
      </w:pPr>
    </w:p>
    <w:p w14:paraId="5473549A">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（三）改进建议</w:t>
      </w:r>
    </w:p>
    <w:p w14:paraId="3A156661">
      <w:pPr>
        <w:spacing w:line="580" w:lineRule="exact"/>
        <w:ind w:firstLine="640" w:firstLineChars="200"/>
        <w:rPr>
          <w:rFonts w:ascii="仿宋_GB2312" w:eastAsia="仿宋_GB2312"/>
          <w:color w:val="333333"/>
          <w:sz w:val="32"/>
          <w:szCs w:val="32"/>
        </w:rPr>
      </w:pPr>
      <w:r>
        <w:rPr>
          <w:rFonts w:hint="eastAsia" w:ascii="仿宋_GB2312" w:eastAsia="仿宋_GB2312"/>
          <w:color w:val="333333"/>
          <w:sz w:val="32"/>
          <w:szCs w:val="32"/>
        </w:rPr>
        <w:t>建议进一步完善绩效考核指标和开发专业绩效管理软件。</w:t>
      </w:r>
    </w:p>
    <w:p w14:paraId="6BDAAD13">
      <w:pPr>
        <w:spacing w:line="600" w:lineRule="exact"/>
        <w:jc w:val="center"/>
        <w:outlineLvl w:val="0"/>
        <w:rPr>
          <w:rFonts w:ascii="仿宋_GB2312" w:hAnsi="仿宋_GB2312" w:eastAsia="仿宋_GB2312" w:cs="仿宋_GB2312"/>
          <w:sz w:val="32"/>
          <w:szCs w:val="32"/>
        </w:rPr>
      </w:pPr>
    </w:p>
    <w:p w14:paraId="1CF94E2F">
      <w:pPr>
        <w:widowControl/>
        <w:jc w:val="left"/>
        <w:rPr>
          <w:rStyle w:val="17"/>
          <w:rFonts w:ascii="黑体" w:hAnsi="黑体" w:eastAsia="黑体"/>
          <w:b w:val="0"/>
        </w:rPr>
      </w:pPr>
      <w:r>
        <w:rPr>
          <w:rStyle w:val="17"/>
          <w:rFonts w:ascii="黑体" w:hAnsi="黑体" w:eastAsia="黑体"/>
          <w:b w:val="0"/>
        </w:rPr>
        <w:br w:type="page"/>
      </w:r>
    </w:p>
    <w:p w14:paraId="1FBF64AF">
      <w:pPr>
        <w:spacing w:line="600" w:lineRule="exact"/>
        <w:jc w:val="center"/>
        <w:outlineLvl w:val="0"/>
        <w:rPr>
          <w:rStyle w:val="17"/>
          <w:rFonts w:ascii="黑体" w:hAnsi="黑体" w:eastAsia="黑体"/>
          <w:b w:val="0"/>
        </w:rPr>
      </w:pPr>
      <w:bookmarkStart w:id="54" w:name="_Toc15396618"/>
      <w:r>
        <w:rPr>
          <w:rFonts w:hint="eastAsia" w:ascii="黑体" w:hAnsi="黑体" w:eastAsia="黑体"/>
          <w:color w:val="000000"/>
          <w:sz w:val="44"/>
          <w:szCs w:val="44"/>
        </w:rPr>
        <w:t>第</w:t>
      </w:r>
      <w:r>
        <w:rPr>
          <w:rStyle w:val="17"/>
          <w:rFonts w:hint="eastAsia" w:ascii="黑体" w:hAnsi="黑体" w:eastAsia="黑体"/>
          <w:b w:val="0"/>
        </w:rPr>
        <w:t>五部分</w:t>
      </w:r>
      <w:r>
        <w:rPr>
          <w:rStyle w:val="17"/>
          <w:rFonts w:ascii="黑体" w:hAnsi="黑体" w:eastAsia="黑体"/>
          <w:b w:val="0"/>
        </w:rPr>
        <w:t xml:space="preserve"> </w:t>
      </w:r>
      <w:r>
        <w:rPr>
          <w:rStyle w:val="17"/>
          <w:rFonts w:hint="eastAsia" w:ascii="黑体" w:hAnsi="黑体" w:eastAsia="黑体"/>
          <w:b w:val="0"/>
        </w:rPr>
        <w:t>附表</w:t>
      </w:r>
      <w:bookmarkEnd w:id="51"/>
      <w:bookmarkEnd w:id="54"/>
    </w:p>
    <w:p w14:paraId="5277CFC1">
      <w:pPr>
        <w:spacing w:line="600" w:lineRule="exact"/>
        <w:jc w:val="center"/>
        <w:outlineLvl w:val="0"/>
        <w:rPr>
          <w:rFonts w:ascii="仿宋" w:hAnsi="仿宋" w:eastAsia="仿宋"/>
          <w:b/>
          <w:color w:val="000000"/>
          <w:sz w:val="44"/>
          <w:szCs w:val="44"/>
        </w:rPr>
      </w:pPr>
    </w:p>
    <w:p w14:paraId="1F7BD1D3">
      <w:pPr>
        <w:pStyle w:val="3"/>
        <w:rPr>
          <w:rFonts w:ascii="仿宋" w:hAnsi="仿宋" w:eastAsia="仿宋"/>
          <w:color w:val="000000"/>
        </w:rPr>
      </w:pPr>
      <w:bookmarkStart w:id="55" w:name="_Toc15396619"/>
      <w:r>
        <w:rPr>
          <w:rFonts w:hint="eastAsia" w:ascii="仿宋" w:hAnsi="仿宋" w:eastAsia="仿宋"/>
          <w:b w:val="0"/>
          <w:color w:val="000000"/>
        </w:rPr>
        <w:t>一、收</w:t>
      </w:r>
      <w:r>
        <w:rPr>
          <w:rStyle w:val="18"/>
          <w:rFonts w:hint="eastAsia" w:ascii="仿宋" w:hAnsi="仿宋" w:eastAsia="仿宋"/>
          <w:b w:val="0"/>
          <w:bCs w:val="0"/>
        </w:rPr>
        <w:t>入支出决算总表</w:t>
      </w:r>
      <w:bookmarkEnd w:id="55"/>
    </w:p>
    <w:p w14:paraId="18CA942E">
      <w:pPr>
        <w:pStyle w:val="3"/>
        <w:rPr>
          <w:rFonts w:ascii="仿宋" w:hAnsi="仿宋" w:eastAsia="仿宋"/>
          <w:color w:val="000000"/>
        </w:rPr>
      </w:pPr>
      <w:bookmarkStart w:id="56" w:name="_Toc15396620"/>
      <w:r>
        <w:rPr>
          <w:rFonts w:hint="eastAsia" w:ascii="仿宋" w:hAnsi="仿宋" w:eastAsia="仿宋"/>
          <w:b w:val="0"/>
          <w:color w:val="000000"/>
        </w:rPr>
        <w:t>二、收</w:t>
      </w:r>
      <w:r>
        <w:rPr>
          <w:rStyle w:val="18"/>
          <w:rFonts w:hint="eastAsia" w:ascii="仿宋" w:hAnsi="仿宋" w:eastAsia="仿宋"/>
          <w:b w:val="0"/>
          <w:bCs w:val="0"/>
        </w:rPr>
        <w:t>入决算表</w:t>
      </w:r>
      <w:bookmarkEnd w:id="56"/>
    </w:p>
    <w:p w14:paraId="3492A43A">
      <w:pPr>
        <w:pStyle w:val="3"/>
        <w:rPr>
          <w:rFonts w:ascii="仿宋" w:hAnsi="仿宋" w:eastAsia="仿宋"/>
          <w:color w:val="000000"/>
        </w:rPr>
      </w:pPr>
      <w:bookmarkStart w:id="57" w:name="_Toc15396621"/>
      <w:r>
        <w:rPr>
          <w:rStyle w:val="18"/>
          <w:rFonts w:hint="eastAsia" w:ascii="仿宋" w:hAnsi="仿宋" w:eastAsia="仿宋"/>
          <w:b w:val="0"/>
          <w:bCs w:val="0"/>
        </w:rPr>
        <w:t>三、</w:t>
      </w:r>
      <w:r>
        <w:rPr>
          <w:rFonts w:hint="eastAsia" w:ascii="仿宋" w:hAnsi="仿宋" w:eastAsia="仿宋"/>
          <w:b w:val="0"/>
          <w:color w:val="000000"/>
        </w:rPr>
        <w:t>支</w:t>
      </w:r>
      <w:r>
        <w:rPr>
          <w:rStyle w:val="18"/>
          <w:rFonts w:hint="eastAsia" w:ascii="仿宋" w:hAnsi="仿宋" w:eastAsia="仿宋"/>
          <w:b w:val="0"/>
          <w:bCs w:val="0"/>
        </w:rPr>
        <w:t>出决算表</w:t>
      </w:r>
      <w:bookmarkEnd w:id="57"/>
    </w:p>
    <w:p w14:paraId="5BB06AB7">
      <w:pPr>
        <w:pStyle w:val="3"/>
        <w:rPr>
          <w:rFonts w:ascii="仿宋" w:hAnsi="仿宋" w:eastAsia="仿宋"/>
          <w:b w:val="0"/>
          <w:color w:val="000000"/>
        </w:rPr>
      </w:pPr>
      <w:bookmarkStart w:id="58" w:name="_Toc15396622"/>
      <w:r>
        <w:rPr>
          <w:rStyle w:val="18"/>
          <w:rFonts w:hint="eastAsia" w:ascii="仿宋" w:hAnsi="仿宋" w:eastAsia="仿宋"/>
          <w:b w:val="0"/>
          <w:bCs w:val="0"/>
        </w:rPr>
        <w:t>四、</w:t>
      </w:r>
      <w:r>
        <w:rPr>
          <w:rFonts w:hint="eastAsia" w:ascii="仿宋" w:hAnsi="仿宋" w:eastAsia="仿宋"/>
          <w:b w:val="0"/>
          <w:color w:val="000000"/>
        </w:rPr>
        <w:t>财</w:t>
      </w:r>
      <w:r>
        <w:rPr>
          <w:rStyle w:val="18"/>
          <w:rFonts w:hint="eastAsia" w:ascii="仿宋" w:hAnsi="仿宋" w:eastAsia="仿宋"/>
          <w:b w:val="0"/>
          <w:bCs w:val="0"/>
        </w:rPr>
        <w:t>政拨款收入支出决算总表</w:t>
      </w:r>
      <w:bookmarkEnd w:id="58"/>
    </w:p>
    <w:p w14:paraId="40E316E9">
      <w:pPr>
        <w:pStyle w:val="3"/>
        <w:rPr>
          <w:rStyle w:val="18"/>
          <w:rFonts w:ascii="仿宋" w:hAnsi="仿宋" w:eastAsia="仿宋"/>
          <w:b w:val="0"/>
          <w:bCs w:val="0"/>
        </w:rPr>
      </w:pPr>
      <w:bookmarkStart w:id="59" w:name="_Toc15396623"/>
      <w:r>
        <w:rPr>
          <w:rStyle w:val="18"/>
          <w:rFonts w:hint="eastAsia" w:ascii="仿宋" w:hAnsi="仿宋" w:eastAsia="仿宋"/>
          <w:b w:val="0"/>
          <w:bCs w:val="0"/>
        </w:rPr>
        <w:t>五、</w:t>
      </w:r>
      <w:r>
        <w:rPr>
          <w:rFonts w:hint="eastAsia" w:ascii="仿宋" w:hAnsi="仿宋" w:eastAsia="仿宋"/>
          <w:b w:val="0"/>
          <w:color w:val="000000"/>
        </w:rPr>
        <w:t>财</w:t>
      </w:r>
      <w:r>
        <w:rPr>
          <w:rStyle w:val="18"/>
          <w:rFonts w:hint="eastAsia" w:ascii="仿宋" w:hAnsi="仿宋" w:eastAsia="仿宋"/>
          <w:b w:val="0"/>
          <w:bCs w:val="0"/>
        </w:rPr>
        <w:t>政拨款支出决算明细表</w:t>
      </w:r>
      <w:bookmarkEnd w:id="59"/>
      <w:bookmarkStart w:id="60" w:name="_Toc15396624"/>
    </w:p>
    <w:p w14:paraId="7DBC5859">
      <w:pPr>
        <w:pStyle w:val="3"/>
        <w:rPr>
          <w:rFonts w:ascii="仿宋" w:hAnsi="仿宋" w:eastAsia="仿宋"/>
          <w:color w:val="000000"/>
        </w:rPr>
      </w:pPr>
      <w:r>
        <w:rPr>
          <w:rStyle w:val="18"/>
          <w:rFonts w:hint="eastAsia" w:ascii="仿宋" w:hAnsi="仿宋" w:eastAsia="仿宋"/>
          <w:b w:val="0"/>
          <w:bCs w:val="0"/>
        </w:rPr>
        <w:t>六、</w:t>
      </w:r>
      <w:r>
        <w:rPr>
          <w:rFonts w:hint="eastAsia" w:ascii="仿宋" w:hAnsi="仿宋" w:eastAsia="仿宋"/>
          <w:b w:val="0"/>
          <w:color w:val="000000"/>
        </w:rPr>
        <w:t>一</w:t>
      </w:r>
      <w:r>
        <w:rPr>
          <w:rStyle w:val="18"/>
          <w:rFonts w:hint="eastAsia" w:ascii="仿宋" w:hAnsi="仿宋" w:eastAsia="仿宋"/>
          <w:b w:val="0"/>
          <w:bCs w:val="0"/>
        </w:rPr>
        <w:t>般公共预算财政拨款支出决算表</w:t>
      </w:r>
      <w:bookmarkEnd w:id="60"/>
    </w:p>
    <w:p w14:paraId="5A444BB7">
      <w:pPr>
        <w:pStyle w:val="3"/>
        <w:rPr>
          <w:rFonts w:ascii="仿宋" w:hAnsi="仿宋" w:eastAsia="仿宋"/>
          <w:color w:val="000000"/>
        </w:rPr>
      </w:pPr>
      <w:bookmarkStart w:id="61" w:name="_Toc15396625"/>
      <w:r>
        <w:rPr>
          <w:rStyle w:val="18"/>
          <w:rFonts w:hint="eastAsia" w:ascii="仿宋" w:hAnsi="仿宋" w:eastAsia="仿宋"/>
          <w:b w:val="0"/>
          <w:bCs w:val="0"/>
        </w:rPr>
        <w:t>七、</w:t>
      </w:r>
      <w:r>
        <w:rPr>
          <w:rFonts w:hint="eastAsia" w:ascii="仿宋" w:hAnsi="仿宋" w:eastAsia="仿宋"/>
          <w:b w:val="0"/>
          <w:color w:val="000000"/>
        </w:rPr>
        <w:t>一</w:t>
      </w:r>
      <w:r>
        <w:rPr>
          <w:rStyle w:val="18"/>
          <w:rFonts w:hint="eastAsia" w:ascii="仿宋" w:hAnsi="仿宋" w:eastAsia="仿宋"/>
          <w:b w:val="0"/>
          <w:bCs w:val="0"/>
        </w:rPr>
        <w:t>般公共预算财政拨款支出决算明细表</w:t>
      </w:r>
      <w:bookmarkEnd w:id="61"/>
    </w:p>
    <w:p w14:paraId="68E01799">
      <w:pPr>
        <w:pStyle w:val="3"/>
        <w:rPr>
          <w:rFonts w:ascii="仿宋" w:hAnsi="仿宋" w:eastAsia="仿宋"/>
          <w:color w:val="000000"/>
        </w:rPr>
      </w:pPr>
      <w:bookmarkStart w:id="62" w:name="_Toc15396626"/>
      <w:r>
        <w:rPr>
          <w:rStyle w:val="18"/>
          <w:rFonts w:hint="eastAsia" w:ascii="仿宋" w:hAnsi="仿宋" w:eastAsia="仿宋"/>
          <w:b w:val="0"/>
          <w:bCs w:val="0"/>
        </w:rPr>
        <w:t>八、</w:t>
      </w:r>
      <w:r>
        <w:rPr>
          <w:rFonts w:hint="eastAsia" w:ascii="仿宋" w:hAnsi="仿宋" w:eastAsia="仿宋"/>
          <w:b w:val="0"/>
          <w:color w:val="000000"/>
        </w:rPr>
        <w:t>一</w:t>
      </w:r>
      <w:r>
        <w:rPr>
          <w:rStyle w:val="18"/>
          <w:rFonts w:hint="eastAsia" w:ascii="仿宋" w:hAnsi="仿宋" w:eastAsia="仿宋"/>
          <w:b w:val="0"/>
          <w:bCs w:val="0"/>
        </w:rPr>
        <w:t>般公共预算财政拨款基本支出决算表</w:t>
      </w:r>
      <w:bookmarkEnd w:id="62"/>
    </w:p>
    <w:p w14:paraId="4DDCD336">
      <w:pPr>
        <w:pStyle w:val="3"/>
        <w:rPr>
          <w:rFonts w:ascii="仿宋" w:hAnsi="仿宋" w:eastAsia="仿宋"/>
          <w:color w:val="000000"/>
        </w:rPr>
      </w:pPr>
      <w:bookmarkStart w:id="63" w:name="_Toc15396627"/>
      <w:r>
        <w:rPr>
          <w:rStyle w:val="18"/>
          <w:rFonts w:hint="eastAsia" w:ascii="仿宋" w:hAnsi="仿宋" w:eastAsia="仿宋"/>
          <w:b w:val="0"/>
          <w:bCs w:val="0"/>
        </w:rPr>
        <w:t>九、</w:t>
      </w:r>
      <w:r>
        <w:rPr>
          <w:rFonts w:hint="eastAsia" w:ascii="仿宋" w:hAnsi="仿宋" w:eastAsia="仿宋"/>
          <w:b w:val="0"/>
          <w:color w:val="000000"/>
        </w:rPr>
        <w:t>一</w:t>
      </w:r>
      <w:r>
        <w:rPr>
          <w:rStyle w:val="18"/>
          <w:rFonts w:hint="eastAsia" w:ascii="仿宋" w:hAnsi="仿宋" w:eastAsia="仿宋"/>
          <w:b w:val="0"/>
          <w:bCs w:val="0"/>
        </w:rPr>
        <w:t>般公共预算财政拨款项目支出决算表</w:t>
      </w:r>
      <w:bookmarkEnd w:id="63"/>
    </w:p>
    <w:p w14:paraId="1AB4A4CA">
      <w:pPr>
        <w:pStyle w:val="3"/>
        <w:rPr>
          <w:rFonts w:ascii="仿宋" w:hAnsi="仿宋" w:eastAsia="仿宋"/>
          <w:color w:val="000000"/>
        </w:rPr>
      </w:pPr>
      <w:bookmarkStart w:id="64" w:name="_Toc15396628"/>
      <w:r>
        <w:rPr>
          <w:rStyle w:val="18"/>
          <w:rFonts w:hint="eastAsia" w:ascii="仿宋" w:hAnsi="仿宋" w:eastAsia="仿宋"/>
          <w:b w:val="0"/>
          <w:bCs w:val="0"/>
        </w:rPr>
        <w:t>十、</w:t>
      </w:r>
      <w:r>
        <w:rPr>
          <w:rFonts w:hint="eastAsia" w:ascii="仿宋" w:hAnsi="仿宋" w:eastAsia="仿宋"/>
          <w:b w:val="0"/>
          <w:color w:val="000000"/>
        </w:rPr>
        <w:t>一</w:t>
      </w:r>
      <w:r>
        <w:rPr>
          <w:rStyle w:val="18"/>
          <w:rFonts w:hint="eastAsia" w:ascii="仿宋" w:hAnsi="仿宋" w:eastAsia="仿宋"/>
          <w:b w:val="0"/>
          <w:bCs w:val="0"/>
        </w:rPr>
        <w:t>般公共预算财政拨款“三公”经费支出决算表</w:t>
      </w:r>
      <w:bookmarkEnd w:id="64"/>
    </w:p>
    <w:p w14:paraId="1123C483">
      <w:pPr>
        <w:pStyle w:val="3"/>
        <w:rPr>
          <w:rFonts w:ascii="仿宋" w:hAnsi="仿宋" w:eastAsia="仿宋"/>
          <w:color w:val="000000"/>
        </w:rPr>
      </w:pPr>
      <w:bookmarkStart w:id="65" w:name="_Toc15396629"/>
      <w:r>
        <w:rPr>
          <w:rStyle w:val="18"/>
          <w:rFonts w:hint="eastAsia" w:ascii="仿宋" w:hAnsi="仿宋" w:eastAsia="仿宋"/>
          <w:b w:val="0"/>
          <w:bCs w:val="0"/>
        </w:rPr>
        <w:t>十一、</w:t>
      </w:r>
      <w:r>
        <w:rPr>
          <w:rFonts w:hint="eastAsia" w:ascii="仿宋" w:hAnsi="仿宋" w:eastAsia="仿宋"/>
          <w:b w:val="0"/>
          <w:color w:val="000000"/>
        </w:rPr>
        <w:t>政</w:t>
      </w:r>
      <w:r>
        <w:rPr>
          <w:rStyle w:val="18"/>
          <w:rFonts w:hint="eastAsia" w:ascii="仿宋" w:hAnsi="仿宋" w:eastAsia="仿宋"/>
          <w:b w:val="0"/>
          <w:bCs w:val="0"/>
        </w:rPr>
        <w:t>府性基金预算财政拨款收入支出决算表</w:t>
      </w:r>
      <w:bookmarkEnd w:id="65"/>
    </w:p>
    <w:p w14:paraId="5A9FF176">
      <w:pPr>
        <w:pStyle w:val="3"/>
        <w:rPr>
          <w:rFonts w:ascii="仿宋" w:hAnsi="仿宋" w:eastAsia="仿宋"/>
          <w:color w:val="000000"/>
        </w:rPr>
      </w:pPr>
      <w:bookmarkStart w:id="66" w:name="_Toc15396630"/>
      <w:r>
        <w:rPr>
          <w:rStyle w:val="18"/>
          <w:rFonts w:hint="eastAsia" w:ascii="仿宋" w:hAnsi="仿宋" w:eastAsia="仿宋"/>
          <w:b w:val="0"/>
          <w:bCs w:val="0"/>
        </w:rPr>
        <w:t>十二、</w:t>
      </w:r>
      <w:r>
        <w:rPr>
          <w:rFonts w:hint="eastAsia" w:ascii="仿宋" w:hAnsi="仿宋" w:eastAsia="仿宋"/>
          <w:b w:val="0"/>
          <w:color w:val="000000"/>
        </w:rPr>
        <w:t>政</w:t>
      </w:r>
      <w:r>
        <w:rPr>
          <w:rStyle w:val="18"/>
          <w:rFonts w:hint="eastAsia" w:ascii="仿宋" w:hAnsi="仿宋" w:eastAsia="仿宋"/>
          <w:b w:val="0"/>
          <w:bCs w:val="0"/>
        </w:rPr>
        <w:t>府性基金预算财政拨款“三公”经费支出决算表</w:t>
      </w:r>
      <w:bookmarkEnd w:id="66"/>
    </w:p>
    <w:p w14:paraId="14CE8E3D">
      <w:pPr>
        <w:pStyle w:val="3"/>
      </w:pPr>
      <w:bookmarkStart w:id="67" w:name="_Toc15396631"/>
      <w:r>
        <w:rPr>
          <w:rStyle w:val="18"/>
          <w:rFonts w:hint="eastAsia" w:ascii="仿宋" w:hAnsi="仿宋" w:eastAsia="仿宋"/>
          <w:b w:val="0"/>
          <w:bCs w:val="0"/>
        </w:rPr>
        <w:t>十三、</w:t>
      </w:r>
      <w:r>
        <w:rPr>
          <w:rFonts w:hint="eastAsia" w:ascii="仿宋" w:hAnsi="仿宋" w:eastAsia="仿宋"/>
          <w:b w:val="0"/>
          <w:color w:val="000000"/>
        </w:rPr>
        <w:t>国</w:t>
      </w:r>
      <w:r>
        <w:rPr>
          <w:rStyle w:val="18"/>
          <w:rFonts w:hint="eastAsia" w:ascii="仿宋" w:hAnsi="仿宋" w:eastAsia="仿宋"/>
          <w:b w:val="0"/>
          <w:bCs w:val="0"/>
        </w:rPr>
        <w:t>有资本经营预算支出决算表</w:t>
      </w:r>
      <w:bookmarkEnd w:id="67"/>
    </w:p>
    <w:p w14:paraId="742C5F6D"/>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599EB">
    <w:pPr>
      <w:pStyle w:val="8"/>
      <w:jc w:val="center"/>
    </w:pPr>
    <w:r>
      <w:fldChar w:fldCharType="begin"/>
    </w:r>
    <w:r>
      <w:instrText xml:space="preserve">PAGE   \* MERGEFORMAT</w:instrText>
    </w:r>
    <w:r>
      <w:fldChar w:fldCharType="separate"/>
    </w:r>
    <w:r>
      <w:rPr>
        <w:lang w:val="zh-CN"/>
      </w:rPr>
      <w:t>5</w:t>
    </w:r>
    <w:r>
      <w:rPr>
        <w:lang w:val="zh-CN"/>
      </w:rPr>
      <w:fldChar w:fldCharType="end"/>
    </w:r>
  </w:p>
  <w:p w14:paraId="0F2DD60A">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8CE2B">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2">
    <w:nsid w:val="73C8055E"/>
    <w:multiLevelType w:val="singleLevel"/>
    <w:tmpl w:val="73C8055E"/>
    <w:lvl w:ilvl="0" w:tentative="0">
      <w:start w:val="3"/>
      <w:numFmt w:val="chineseCounting"/>
      <w:suff w:val="space"/>
      <w:lvlText w:val="第%1部分"/>
      <w:lvlJc w:val="left"/>
      <w:rPr>
        <w:rFonts w:hint="eastAsia"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1361C"/>
    <w:rsid w:val="00000065"/>
    <w:rsid w:val="00007990"/>
    <w:rsid w:val="000201B1"/>
    <w:rsid w:val="000222C6"/>
    <w:rsid w:val="0002549F"/>
    <w:rsid w:val="00044FB3"/>
    <w:rsid w:val="000468DB"/>
    <w:rsid w:val="0006487A"/>
    <w:rsid w:val="00065F8F"/>
    <w:rsid w:val="00067B6A"/>
    <w:rsid w:val="00070A43"/>
    <w:rsid w:val="000768F2"/>
    <w:rsid w:val="00090688"/>
    <w:rsid w:val="0009184B"/>
    <w:rsid w:val="00094236"/>
    <w:rsid w:val="0009593C"/>
    <w:rsid w:val="00097322"/>
    <w:rsid w:val="000A6A92"/>
    <w:rsid w:val="000B047F"/>
    <w:rsid w:val="000B5923"/>
    <w:rsid w:val="000B5A48"/>
    <w:rsid w:val="000B6FF3"/>
    <w:rsid w:val="000C3467"/>
    <w:rsid w:val="000C3CA6"/>
    <w:rsid w:val="000D1267"/>
    <w:rsid w:val="000D1D50"/>
    <w:rsid w:val="000D2A75"/>
    <w:rsid w:val="000D5782"/>
    <w:rsid w:val="000E221E"/>
    <w:rsid w:val="000E6613"/>
    <w:rsid w:val="000E7119"/>
    <w:rsid w:val="001121D2"/>
    <w:rsid w:val="00114E9B"/>
    <w:rsid w:val="00141757"/>
    <w:rsid w:val="00142216"/>
    <w:rsid w:val="00144D6A"/>
    <w:rsid w:val="0014729F"/>
    <w:rsid w:val="00157BAB"/>
    <w:rsid w:val="001654D1"/>
    <w:rsid w:val="00174518"/>
    <w:rsid w:val="0018106D"/>
    <w:rsid w:val="001877A7"/>
    <w:rsid w:val="00191536"/>
    <w:rsid w:val="00196687"/>
    <w:rsid w:val="001B51EF"/>
    <w:rsid w:val="001C0962"/>
    <w:rsid w:val="001D7531"/>
    <w:rsid w:val="001E54E5"/>
    <w:rsid w:val="001E737D"/>
    <w:rsid w:val="001F0592"/>
    <w:rsid w:val="001F7506"/>
    <w:rsid w:val="002006CD"/>
    <w:rsid w:val="00202B36"/>
    <w:rsid w:val="00204B7A"/>
    <w:rsid w:val="00204CDE"/>
    <w:rsid w:val="0021101A"/>
    <w:rsid w:val="00213BEB"/>
    <w:rsid w:val="00220536"/>
    <w:rsid w:val="002223EE"/>
    <w:rsid w:val="00224154"/>
    <w:rsid w:val="00235629"/>
    <w:rsid w:val="00244930"/>
    <w:rsid w:val="00260C38"/>
    <w:rsid w:val="002616C0"/>
    <w:rsid w:val="00265372"/>
    <w:rsid w:val="002662AA"/>
    <w:rsid w:val="00271A5B"/>
    <w:rsid w:val="00273342"/>
    <w:rsid w:val="00280496"/>
    <w:rsid w:val="00294DC9"/>
    <w:rsid w:val="00295495"/>
    <w:rsid w:val="002A06E2"/>
    <w:rsid w:val="002A31DE"/>
    <w:rsid w:val="002A4E81"/>
    <w:rsid w:val="002B2613"/>
    <w:rsid w:val="002D19B0"/>
    <w:rsid w:val="002D6D05"/>
    <w:rsid w:val="002F1818"/>
    <w:rsid w:val="002F567B"/>
    <w:rsid w:val="00303DD4"/>
    <w:rsid w:val="0030677A"/>
    <w:rsid w:val="003216A9"/>
    <w:rsid w:val="00335A74"/>
    <w:rsid w:val="00361FF4"/>
    <w:rsid w:val="0036561B"/>
    <w:rsid w:val="0037013F"/>
    <w:rsid w:val="00380C92"/>
    <w:rsid w:val="003A484F"/>
    <w:rsid w:val="003A4883"/>
    <w:rsid w:val="003B0BE0"/>
    <w:rsid w:val="003B0C1B"/>
    <w:rsid w:val="003B688C"/>
    <w:rsid w:val="003C0291"/>
    <w:rsid w:val="003C39AE"/>
    <w:rsid w:val="003C7B60"/>
    <w:rsid w:val="003D0C0F"/>
    <w:rsid w:val="003D1FB2"/>
    <w:rsid w:val="003D39BC"/>
    <w:rsid w:val="003D66DA"/>
    <w:rsid w:val="003E1310"/>
    <w:rsid w:val="003E6F55"/>
    <w:rsid w:val="003F6619"/>
    <w:rsid w:val="00406254"/>
    <w:rsid w:val="00406D73"/>
    <w:rsid w:val="00416CD4"/>
    <w:rsid w:val="004223DE"/>
    <w:rsid w:val="00434489"/>
    <w:rsid w:val="00435C32"/>
    <w:rsid w:val="00437085"/>
    <w:rsid w:val="00443880"/>
    <w:rsid w:val="004464F4"/>
    <w:rsid w:val="0044767E"/>
    <w:rsid w:val="00471401"/>
    <w:rsid w:val="00473F31"/>
    <w:rsid w:val="0048263A"/>
    <w:rsid w:val="004839BD"/>
    <w:rsid w:val="00487E5D"/>
    <w:rsid w:val="004A711F"/>
    <w:rsid w:val="004B199D"/>
    <w:rsid w:val="004B4690"/>
    <w:rsid w:val="004E0A2D"/>
    <w:rsid w:val="004E206B"/>
    <w:rsid w:val="004E6DF7"/>
    <w:rsid w:val="004F0FBD"/>
    <w:rsid w:val="004F403E"/>
    <w:rsid w:val="00505A47"/>
    <w:rsid w:val="00512FDA"/>
    <w:rsid w:val="00520DA0"/>
    <w:rsid w:val="0054257D"/>
    <w:rsid w:val="005664BB"/>
    <w:rsid w:val="00566FFA"/>
    <w:rsid w:val="0057481D"/>
    <w:rsid w:val="00575F0B"/>
    <w:rsid w:val="0058486E"/>
    <w:rsid w:val="00585B33"/>
    <w:rsid w:val="0059014D"/>
    <w:rsid w:val="005A45CB"/>
    <w:rsid w:val="005B5C64"/>
    <w:rsid w:val="005B7A19"/>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282F"/>
    <w:rsid w:val="00632BBC"/>
    <w:rsid w:val="00633463"/>
    <w:rsid w:val="00634C9A"/>
    <w:rsid w:val="006440E4"/>
    <w:rsid w:val="006554F7"/>
    <w:rsid w:val="0066343B"/>
    <w:rsid w:val="00664777"/>
    <w:rsid w:val="00671146"/>
    <w:rsid w:val="006720C4"/>
    <w:rsid w:val="006748A4"/>
    <w:rsid w:val="00676A35"/>
    <w:rsid w:val="00681A31"/>
    <w:rsid w:val="00683E73"/>
    <w:rsid w:val="00684289"/>
    <w:rsid w:val="006A2D08"/>
    <w:rsid w:val="006A3141"/>
    <w:rsid w:val="006A5E34"/>
    <w:rsid w:val="006B2422"/>
    <w:rsid w:val="006B2B9A"/>
    <w:rsid w:val="006C1937"/>
    <w:rsid w:val="006C5ED8"/>
    <w:rsid w:val="006C6B14"/>
    <w:rsid w:val="006F020C"/>
    <w:rsid w:val="0070380E"/>
    <w:rsid w:val="007127B7"/>
    <w:rsid w:val="0071798E"/>
    <w:rsid w:val="0072180E"/>
    <w:rsid w:val="00727533"/>
    <w:rsid w:val="007416B6"/>
    <w:rsid w:val="007444C5"/>
    <w:rsid w:val="00746F48"/>
    <w:rsid w:val="0075404D"/>
    <w:rsid w:val="0076182A"/>
    <w:rsid w:val="00762E2E"/>
    <w:rsid w:val="00763944"/>
    <w:rsid w:val="00767B7E"/>
    <w:rsid w:val="007770C3"/>
    <w:rsid w:val="0078272D"/>
    <w:rsid w:val="00782DD5"/>
    <w:rsid w:val="00784D24"/>
    <w:rsid w:val="00785FBA"/>
    <w:rsid w:val="00786E4A"/>
    <w:rsid w:val="007875EB"/>
    <w:rsid w:val="0079426B"/>
    <w:rsid w:val="007972D7"/>
    <w:rsid w:val="007D1682"/>
    <w:rsid w:val="007D312A"/>
    <w:rsid w:val="007D3F19"/>
    <w:rsid w:val="007E23B0"/>
    <w:rsid w:val="007F1991"/>
    <w:rsid w:val="007F1E69"/>
    <w:rsid w:val="007F2C2F"/>
    <w:rsid w:val="007F55FC"/>
    <w:rsid w:val="007F5665"/>
    <w:rsid w:val="00800112"/>
    <w:rsid w:val="00813348"/>
    <w:rsid w:val="00823DAE"/>
    <w:rsid w:val="008253BB"/>
    <w:rsid w:val="0083256E"/>
    <w:rsid w:val="00833962"/>
    <w:rsid w:val="0083706E"/>
    <w:rsid w:val="008408F6"/>
    <w:rsid w:val="008423A5"/>
    <w:rsid w:val="00846892"/>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13B96"/>
    <w:rsid w:val="00923564"/>
    <w:rsid w:val="00923601"/>
    <w:rsid w:val="0092392E"/>
    <w:rsid w:val="009315F9"/>
    <w:rsid w:val="00933499"/>
    <w:rsid w:val="00935C98"/>
    <w:rsid w:val="00946945"/>
    <w:rsid w:val="00950A2D"/>
    <w:rsid w:val="00951248"/>
    <w:rsid w:val="0095152F"/>
    <w:rsid w:val="0095296B"/>
    <w:rsid w:val="00954C49"/>
    <w:rsid w:val="00955E37"/>
    <w:rsid w:val="00961A44"/>
    <w:rsid w:val="0097099F"/>
    <w:rsid w:val="00971435"/>
    <w:rsid w:val="00971997"/>
    <w:rsid w:val="00971FFC"/>
    <w:rsid w:val="0098180E"/>
    <w:rsid w:val="0098660A"/>
    <w:rsid w:val="009931C3"/>
    <w:rsid w:val="009B2C43"/>
    <w:rsid w:val="009B4EAE"/>
    <w:rsid w:val="009B7573"/>
    <w:rsid w:val="009C22F4"/>
    <w:rsid w:val="009C2E98"/>
    <w:rsid w:val="009C37FB"/>
    <w:rsid w:val="009D29CA"/>
    <w:rsid w:val="009D3447"/>
    <w:rsid w:val="009D4711"/>
    <w:rsid w:val="009F1185"/>
    <w:rsid w:val="009F18CD"/>
    <w:rsid w:val="009F2A13"/>
    <w:rsid w:val="009F7527"/>
    <w:rsid w:val="00A034C4"/>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744F2"/>
    <w:rsid w:val="00A87F45"/>
    <w:rsid w:val="00A91760"/>
    <w:rsid w:val="00A92550"/>
    <w:rsid w:val="00A93B00"/>
    <w:rsid w:val="00A93B83"/>
    <w:rsid w:val="00A93C21"/>
    <w:rsid w:val="00A94EE4"/>
    <w:rsid w:val="00AB64C9"/>
    <w:rsid w:val="00AC3C6A"/>
    <w:rsid w:val="00AD0F83"/>
    <w:rsid w:val="00AD5620"/>
    <w:rsid w:val="00AD656B"/>
    <w:rsid w:val="00AD7C1B"/>
    <w:rsid w:val="00AE16BA"/>
    <w:rsid w:val="00AE1EBE"/>
    <w:rsid w:val="00AF37A0"/>
    <w:rsid w:val="00B03C9D"/>
    <w:rsid w:val="00B060AE"/>
    <w:rsid w:val="00B10517"/>
    <w:rsid w:val="00B14E76"/>
    <w:rsid w:val="00B150C9"/>
    <w:rsid w:val="00B161B8"/>
    <w:rsid w:val="00B2048C"/>
    <w:rsid w:val="00B242F7"/>
    <w:rsid w:val="00B310B9"/>
    <w:rsid w:val="00B35F3F"/>
    <w:rsid w:val="00B36CBB"/>
    <w:rsid w:val="00B425E0"/>
    <w:rsid w:val="00B440AA"/>
    <w:rsid w:val="00B44B70"/>
    <w:rsid w:val="00B53C56"/>
    <w:rsid w:val="00B56A51"/>
    <w:rsid w:val="00B57DAF"/>
    <w:rsid w:val="00B71F1D"/>
    <w:rsid w:val="00B77EA6"/>
    <w:rsid w:val="00B81598"/>
    <w:rsid w:val="00B81DB6"/>
    <w:rsid w:val="00B841F1"/>
    <w:rsid w:val="00B944D6"/>
    <w:rsid w:val="00BB4DF0"/>
    <w:rsid w:val="00BC289F"/>
    <w:rsid w:val="00BC2D50"/>
    <w:rsid w:val="00BC5361"/>
    <w:rsid w:val="00BC5460"/>
    <w:rsid w:val="00BC6B50"/>
    <w:rsid w:val="00BD0E25"/>
    <w:rsid w:val="00BD359C"/>
    <w:rsid w:val="00BF0390"/>
    <w:rsid w:val="00BF47FB"/>
    <w:rsid w:val="00BF5BD6"/>
    <w:rsid w:val="00C03E31"/>
    <w:rsid w:val="00C30E69"/>
    <w:rsid w:val="00C33E72"/>
    <w:rsid w:val="00C354B2"/>
    <w:rsid w:val="00C35554"/>
    <w:rsid w:val="00C42709"/>
    <w:rsid w:val="00C533CC"/>
    <w:rsid w:val="00C5751C"/>
    <w:rsid w:val="00C61BFC"/>
    <w:rsid w:val="00C62B85"/>
    <w:rsid w:val="00C65438"/>
    <w:rsid w:val="00C66778"/>
    <w:rsid w:val="00C66F23"/>
    <w:rsid w:val="00C91CBB"/>
    <w:rsid w:val="00CB4E70"/>
    <w:rsid w:val="00CC051D"/>
    <w:rsid w:val="00CC09B6"/>
    <w:rsid w:val="00CC666F"/>
    <w:rsid w:val="00CD1E3F"/>
    <w:rsid w:val="00CD638C"/>
    <w:rsid w:val="00CE44F6"/>
    <w:rsid w:val="00CE49DA"/>
    <w:rsid w:val="00CE7B61"/>
    <w:rsid w:val="00D00095"/>
    <w:rsid w:val="00D114F0"/>
    <w:rsid w:val="00D15E22"/>
    <w:rsid w:val="00D179F5"/>
    <w:rsid w:val="00D20620"/>
    <w:rsid w:val="00D2207C"/>
    <w:rsid w:val="00D254F7"/>
    <w:rsid w:val="00D26091"/>
    <w:rsid w:val="00D2685C"/>
    <w:rsid w:val="00D34E7C"/>
    <w:rsid w:val="00D35489"/>
    <w:rsid w:val="00D36AFE"/>
    <w:rsid w:val="00D51276"/>
    <w:rsid w:val="00D7035F"/>
    <w:rsid w:val="00DA21DF"/>
    <w:rsid w:val="00DA634F"/>
    <w:rsid w:val="00DA65AC"/>
    <w:rsid w:val="00DB1913"/>
    <w:rsid w:val="00DC410D"/>
    <w:rsid w:val="00DC5A81"/>
    <w:rsid w:val="00DC68CA"/>
    <w:rsid w:val="00DC7CBA"/>
    <w:rsid w:val="00DD73B7"/>
    <w:rsid w:val="00DE2476"/>
    <w:rsid w:val="00DE5E35"/>
    <w:rsid w:val="00DF28BC"/>
    <w:rsid w:val="00DF34B9"/>
    <w:rsid w:val="00DF7548"/>
    <w:rsid w:val="00E01053"/>
    <w:rsid w:val="00E07ACF"/>
    <w:rsid w:val="00E331A1"/>
    <w:rsid w:val="00E33202"/>
    <w:rsid w:val="00E336A9"/>
    <w:rsid w:val="00E472B1"/>
    <w:rsid w:val="00E50624"/>
    <w:rsid w:val="00E568DF"/>
    <w:rsid w:val="00E64269"/>
    <w:rsid w:val="00E66797"/>
    <w:rsid w:val="00E75C8B"/>
    <w:rsid w:val="00E761A6"/>
    <w:rsid w:val="00E82267"/>
    <w:rsid w:val="00E853CE"/>
    <w:rsid w:val="00E867B6"/>
    <w:rsid w:val="00E87F08"/>
    <w:rsid w:val="00E92C1E"/>
    <w:rsid w:val="00EA010F"/>
    <w:rsid w:val="00EA31C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0D73"/>
    <w:rsid w:val="00F36D8F"/>
    <w:rsid w:val="00F417B1"/>
    <w:rsid w:val="00F45853"/>
    <w:rsid w:val="00F602DF"/>
    <w:rsid w:val="00F619A6"/>
    <w:rsid w:val="00F75134"/>
    <w:rsid w:val="00F754A1"/>
    <w:rsid w:val="00F81FD9"/>
    <w:rsid w:val="00F841AA"/>
    <w:rsid w:val="00F84A94"/>
    <w:rsid w:val="00F86B0F"/>
    <w:rsid w:val="00F87E96"/>
    <w:rsid w:val="00FA23E8"/>
    <w:rsid w:val="00FD3CC1"/>
    <w:rsid w:val="00FF1E02"/>
    <w:rsid w:val="00FF30B4"/>
    <w:rsid w:val="10C055FF"/>
    <w:rsid w:val="16BB723D"/>
    <w:rsid w:val="240371BF"/>
    <w:rsid w:val="2592617B"/>
    <w:rsid w:val="29FD04D3"/>
    <w:rsid w:val="319F7F4E"/>
    <w:rsid w:val="4ECE2238"/>
    <w:rsid w:val="697575F9"/>
    <w:rsid w:val="72734D9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nhideWhenUsed="0" w:uiPriority="99"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19"/>
    <w:qFormat/>
    <w:uiPriority w:val="99"/>
    <w:pPr>
      <w:keepNext/>
      <w:keepLines/>
      <w:spacing w:before="260" w:after="260" w:line="416" w:lineRule="auto"/>
      <w:outlineLvl w:val="2"/>
    </w:pPr>
    <w:rPr>
      <w:b/>
      <w:bCs/>
      <w:sz w:val="32"/>
      <w:szCs w:val="32"/>
    </w:rPr>
  </w:style>
  <w:style w:type="character" w:default="1" w:styleId="14">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24"/>
      <w:szCs w:val="20"/>
    </w:rPr>
  </w:style>
  <w:style w:type="paragraph" w:styleId="6">
    <w:name w:val="toc 3"/>
    <w:basedOn w:val="1"/>
    <w:next w:val="1"/>
    <w:qFormat/>
    <w:uiPriority w:val="99"/>
    <w:pPr>
      <w:tabs>
        <w:tab w:val="right" w:leader="dot" w:pos="8296"/>
      </w:tabs>
      <w:ind w:left="840" w:leftChars="400"/>
    </w:pPr>
  </w:style>
  <w:style w:type="paragraph" w:styleId="7">
    <w:name w:val="Balloon Text"/>
    <w:basedOn w:val="1"/>
    <w:link w:val="21"/>
    <w:semiHidden/>
    <w:qFormat/>
    <w:uiPriority w:val="99"/>
    <w:rPr>
      <w:sz w:val="18"/>
      <w:szCs w:val="18"/>
    </w:rPr>
  </w:style>
  <w:style w:type="paragraph" w:styleId="8">
    <w:name w:val="footer"/>
    <w:basedOn w:val="1"/>
    <w:link w:val="25"/>
    <w:qFormat/>
    <w:uiPriority w:val="99"/>
    <w:pPr>
      <w:tabs>
        <w:tab w:val="center" w:pos="4153"/>
        <w:tab w:val="right" w:pos="8306"/>
      </w:tabs>
      <w:snapToGrid w:val="0"/>
      <w:jc w:val="left"/>
    </w:pPr>
    <w:rPr>
      <w:rFonts w:ascii="Calibri" w:hAnsi="Calibri"/>
      <w:kern w:val="0"/>
      <w:sz w:val="18"/>
      <w:szCs w:val="20"/>
    </w:rPr>
  </w:style>
  <w:style w:type="paragraph" w:styleId="9">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0">
    <w:name w:val="toc 1"/>
    <w:basedOn w:val="1"/>
    <w:next w:val="1"/>
    <w:qFormat/>
    <w:uiPriority w:val="99"/>
    <w:pPr>
      <w:tabs>
        <w:tab w:val="right" w:leader="dot" w:pos="8296"/>
      </w:tabs>
      <w:spacing w:before="93"/>
      <w:jc w:val="center"/>
    </w:pPr>
    <w:rPr>
      <w:rFonts w:ascii="仿宋" w:hAnsi="仿宋" w:eastAsia="仿宋"/>
      <w:sz w:val="28"/>
      <w:szCs w:val="28"/>
    </w:rPr>
  </w:style>
  <w:style w:type="paragraph" w:styleId="11">
    <w:name w:val="toc 2"/>
    <w:basedOn w:val="1"/>
    <w:next w:val="1"/>
    <w:qFormat/>
    <w:uiPriority w:val="99"/>
    <w:pPr>
      <w:tabs>
        <w:tab w:val="right" w:leader="dot" w:pos="8296"/>
      </w:tabs>
      <w:ind w:left="420" w:leftChars="200"/>
    </w:pPr>
  </w:style>
  <w:style w:type="paragraph" w:styleId="12">
    <w:name w:val="Normal (Web)"/>
    <w:basedOn w:val="1"/>
    <w:semiHidden/>
    <w:uiPriority w:val="99"/>
    <w:pPr>
      <w:widowControl/>
      <w:spacing w:before="100" w:beforeAutospacing="1" w:after="100" w:afterAutospacing="1"/>
      <w:jc w:val="left"/>
    </w:pPr>
    <w:rPr>
      <w:rFonts w:ascii="宋体" w:hAnsi="宋体" w:cs="宋体"/>
      <w:kern w:val="0"/>
      <w:sz w:val="24"/>
    </w:rPr>
  </w:style>
  <w:style w:type="character" w:styleId="15">
    <w:name w:val="Strong"/>
    <w:basedOn w:val="14"/>
    <w:qFormat/>
    <w:uiPriority w:val="99"/>
    <w:rPr>
      <w:rFonts w:cs="Times New Roman"/>
      <w:b/>
    </w:rPr>
  </w:style>
  <w:style w:type="character" w:styleId="16">
    <w:name w:val="Hyperlink"/>
    <w:basedOn w:val="14"/>
    <w:qFormat/>
    <w:uiPriority w:val="99"/>
    <w:rPr>
      <w:rFonts w:cs="Times New Roman"/>
      <w:color w:val="0000FF"/>
      <w:u w:val="single"/>
    </w:rPr>
  </w:style>
  <w:style w:type="character" w:customStyle="1" w:styleId="17">
    <w:name w:val="Heading 1 Char"/>
    <w:basedOn w:val="14"/>
    <w:link w:val="2"/>
    <w:qFormat/>
    <w:locked/>
    <w:uiPriority w:val="99"/>
    <w:rPr>
      <w:rFonts w:ascii="Times New Roman" w:hAnsi="Times New Roman" w:cs="Times New Roman"/>
      <w:b/>
      <w:bCs/>
      <w:kern w:val="44"/>
      <w:sz w:val="44"/>
      <w:szCs w:val="44"/>
    </w:rPr>
  </w:style>
  <w:style w:type="character" w:customStyle="1" w:styleId="18">
    <w:name w:val="Heading 2 Char"/>
    <w:basedOn w:val="14"/>
    <w:link w:val="3"/>
    <w:qFormat/>
    <w:locked/>
    <w:uiPriority w:val="99"/>
    <w:rPr>
      <w:rFonts w:ascii="Cambria" w:hAnsi="Cambria" w:eastAsia="宋体" w:cs="Times New Roman"/>
      <w:b/>
      <w:bCs/>
      <w:kern w:val="2"/>
      <w:sz w:val="32"/>
      <w:szCs w:val="32"/>
    </w:rPr>
  </w:style>
  <w:style w:type="character" w:customStyle="1" w:styleId="19">
    <w:name w:val="Heading 3 Char"/>
    <w:basedOn w:val="14"/>
    <w:link w:val="4"/>
    <w:qFormat/>
    <w:locked/>
    <w:uiPriority w:val="99"/>
    <w:rPr>
      <w:rFonts w:ascii="Times New Roman" w:hAnsi="Times New Roman" w:cs="Times New Roman"/>
      <w:b/>
      <w:bCs/>
      <w:kern w:val="2"/>
      <w:sz w:val="32"/>
      <w:szCs w:val="32"/>
    </w:rPr>
  </w:style>
  <w:style w:type="character" w:customStyle="1" w:styleId="20">
    <w:name w:val="Body Text Char"/>
    <w:basedOn w:val="14"/>
    <w:link w:val="5"/>
    <w:semiHidden/>
    <w:qFormat/>
    <w:locked/>
    <w:uiPriority w:val="99"/>
    <w:rPr>
      <w:rFonts w:ascii="Times New Roman" w:hAnsi="Times New Roman" w:cs="Times New Roman"/>
      <w:sz w:val="24"/>
      <w:szCs w:val="24"/>
    </w:rPr>
  </w:style>
  <w:style w:type="character" w:customStyle="1" w:styleId="21">
    <w:name w:val="Balloon Text Char"/>
    <w:basedOn w:val="14"/>
    <w:link w:val="7"/>
    <w:semiHidden/>
    <w:qFormat/>
    <w:locked/>
    <w:uiPriority w:val="99"/>
    <w:rPr>
      <w:rFonts w:ascii="Times New Roman" w:hAnsi="Times New Roman" w:cs="Times New Roman"/>
      <w:kern w:val="2"/>
      <w:sz w:val="18"/>
      <w:szCs w:val="18"/>
    </w:rPr>
  </w:style>
  <w:style w:type="character" w:customStyle="1" w:styleId="22">
    <w:name w:val="Footer Char"/>
    <w:basedOn w:val="14"/>
    <w:link w:val="8"/>
    <w:semiHidden/>
    <w:qFormat/>
    <w:locked/>
    <w:uiPriority w:val="99"/>
    <w:rPr>
      <w:rFonts w:ascii="Times New Roman" w:hAnsi="Times New Roman" w:cs="Times New Roman"/>
      <w:sz w:val="18"/>
      <w:szCs w:val="18"/>
    </w:rPr>
  </w:style>
  <w:style w:type="character" w:customStyle="1" w:styleId="23">
    <w:name w:val="Header Char"/>
    <w:basedOn w:val="14"/>
    <w:link w:val="9"/>
    <w:semiHidden/>
    <w:qFormat/>
    <w:locked/>
    <w:uiPriority w:val="99"/>
    <w:rPr>
      <w:rFonts w:ascii="Times New Roman" w:hAnsi="Times New Roman" w:cs="Times New Roman"/>
      <w:sz w:val="18"/>
      <w:szCs w:val="18"/>
    </w:rPr>
  </w:style>
  <w:style w:type="character" w:customStyle="1" w:styleId="24">
    <w:name w:val="Header Char1"/>
    <w:link w:val="9"/>
    <w:semiHidden/>
    <w:qFormat/>
    <w:locked/>
    <w:uiPriority w:val="99"/>
    <w:rPr>
      <w:sz w:val="18"/>
    </w:rPr>
  </w:style>
  <w:style w:type="character" w:customStyle="1" w:styleId="25">
    <w:name w:val="Footer Char1"/>
    <w:link w:val="8"/>
    <w:qFormat/>
    <w:locked/>
    <w:uiPriority w:val="99"/>
    <w:rPr>
      <w:sz w:val="18"/>
    </w:rPr>
  </w:style>
  <w:style w:type="character" w:customStyle="1" w:styleId="26">
    <w:name w:val="Body Text Char1"/>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kern w:val="0"/>
      <w:sz w:val="24"/>
      <w:szCs w:val="24"/>
      <w:lang w:val="en-US" w:eastAsia="zh-CN" w:bidi="ar-SA"/>
    </w:rPr>
  </w:style>
  <w:style w:type="paragraph" w:styleId="28">
    <w:name w:val="List Paragraph"/>
    <w:basedOn w:val="1"/>
    <w:qFormat/>
    <w:uiPriority w:val="99"/>
    <w:pPr>
      <w:ind w:firstLine="420" w:firstLineChars="200"/>
    </w:pPr>
  </w:style>
  <w:style w:type="paragraph" w:customStyle="1" w:styleId="29">
    <w:name w:val="TOC 标题1"/>
    <w:basedOn w:val="2"/>
    <w:next w:val="1"/>
    <w:qFormat/>
    <w:uiPriority w:val="99"/>
    <w:pPr>
      <w:widowControl/>
      <w:spacing w:before="480" w:after="0" w:line="276" w:lineRule="auto"/>
      <w:jc w:val="left"/>
      <w:outlineLvl w:val="9"/>
    </w:pPr>
    <w:rPr>
      <w:rFonts w:ascii="Cambria" w:hAnsi="Cambria"/>
      <w:color w:val="365F91"/>
      <w:kern w:val="0"/>
      <w:sz w:val="28"/>
      <w:szCs w:val="28"/>
    </w:rPr>
  </w:style>
  <w:style w:type="paragraph" w:customStyle="1" w:styleId="30">
    <w:name w:val="TOC Heading"/>
    <w:basedOn w:val="2"/>
    <w:next w:val="1"/>
    <w:qFormat/>
    <w:uiPriority w:val="99"/>
    <w:pPr>
      <w:widowControl/>
      <w:spacing w:before="480" w:after="0" w:line="276" w:lineRule="auto"/>
      <w:jc w:val="left"/>
      <w:outlineLvl w:val="9"/>
    </w:pPr>
    <w:rPr>
      <w:rFonts w:ascii="Cambria" w:hAnsi="Cambria"/>
      <w:color w:val="365F91"/>
      <w:kern w:val="0"/>
      <w:sz w:val="28"/>
      <w:szCs w:val="28"/>
    </w:rPr>
  </w:style>
  <w:style w:type="paragraph" w:customStyle="1" w:styleId="31">
    <w:name w:val="Char Char Char Char Char Char Char Char Char Char Char Char Char Char Char Char"/>
    <w:basedOn w:val="1"/>
    <w:qFormat/>
    <w:uiPriority w:val="99"/>
    <w:pPr>
      <w:tabs>
        <w:tab w:val="left" w:pos="360"/>
      </w:tabs>
    </w:pPr>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8.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四川省财政厅</Company>
  <Pages>22</Pages>
  <Words>3603</Words>
  <Characters>3713</Characters>
  <Lines>0</Lines>
  <Paragraphs>0</Paragraphs>
  <TotalTime>32</TotalTime>
  <ScaleCrop>false</ScaleCrop>
  <LinksUpToDate>false</LinksUpToDate>
  <CharactersWithSpaces>3752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2020-09-30T05:51:00Z</dcterms:created>
  <dc:creator>曹颖</dc:creator>
  <cp:lastModifiedBy>一个笨蛋</cp:lastModifiedBy>
  <cp:lastPrinted>2020-10-01T02:18:00Z</cp:lastPrinted>
  <dcterms:modified xsi:type="dcterms:W3CDTF">2026-09-15T00:52:17Z</dcterms:modified>
  <dc:title>四川省***</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eyJoZGlkIjoiYjllZGNkZWEzYjg0NDNmNTQ5MjkzNjk0ODlhNmVkYzAiLCJ1c2VySWQiOiI0MTAxMDQ4MDkifQ==</vt:lpwstr>
  </property>
  <property fmtid="{D5CDD505-2E9C-101B-9397-08002B2CF9AE}" pid="4" name="ICV">
    <vt:lpwstr>CCE02D65DC7C4F3A8C6A0E9415B0D09F_12</vt:lpwstr>
  </property>
</Properties>
</file>