
<file path=[Content_Types].xml><?xml version="1.0" encoding="utf-8"?>
<Types xmlns="http://schemas.openxmlformats.org/package/2006/content-types">
  <Default Extension="xml" ContentType="application/xml"/>
  <Default Extension="xlsx" ContentType="application/vnd.openxmlformats-officedocument.spreadsheetml.sheet"/>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EBCCE5">
      <w:pPr>
        <w:adjustRightInd w:val="0"/>
        <w:snapToGrid w:val="0"/>
        <w:spacing w:line="360" w:lineRule="auto"/>
        <w:jc w:val="center"/>
        <w:outlineLvl w:val="0"/>
        <w:rPr>
          <w:rFonts w:hint="default" w:ascii="Times New Roman" w:hAnsi="Times New Roman" w:eastAsia="宋体" w:cs="Times New Roman"/>
          <w:color w:val="000000"/>
          <w:sz w:val="42"/>
          <w:szCs w:val="42"/>
        </w:rPr>
      </w:pPr>
      <w:bookmarkStart w:id="0" w:name="_Toc15377193"/>
      <w:bookmarkStart w:id="1" w:name="_Toc15396597"/>
      <w:bookmarkStart w:id="2" w:name="_Toc15378441"/>
      <w:bookmarkStart w:id="3" w:name="_Toc15396475"/>
      <w:bookmarkStart w:id="4" w:name="_Toc15377425"/>
      <w:bookmarkStart w:id="5" w:name="_Toc15306267"/>
      <w:r>
        <w:rPr>
          <w:rFonts w:hint="default" w:ascii="Times New Roman" w:hAnsi="Times New Roman" w:eastAsia="宋体" w:cs="Times New Roman"/>
          <w:color w:val="000000"/>
          <w:sz w:val="42"/>
          <w:szCs w:val="42"/>
        </w:rPr>
        <w:t>202</w:t>
      </w:r>
      <w:r>
        <w:rPr>
          <w:rFonts w:hint="default" w:ascii="Times New Roman" w:hAnsi="Times New Roman" w:eastAsia="宋体" w:cs="Times New Roman"/>
          <w:color w:val="000000"/>
          <w:sz w:val="42"/>
          <w:szCs w:val="42"/>
          <w:lang w:val="en-US" w:eastAsia="zh-CN"/>
        </w:rPr>
        <w:t>2</w:t>
      </w:r>
      <w:r>
        <w:rPr>
          <w:rFonts w:hint="default" w:ascii="Times New Roman" w:hAnsi="Times New Roman" w:eastAsia="宋体" w:cs="Times New Roman"/>
          <w:color w:val="000000"/>
          <w:sz w:val="42"/>
          <w:szCs w:val="42"/>
        </w:rPr>
        <w:t>年度</w:t>
      </w:r>
      <w:bookmarkEnd w:id="0"/>
      <w:bookmarkEnd w:id="1"/>
      <w:bookmarkEnd w:id="2"/>
      <w:bookmarkEnd w:id="3"/>
      <w:bookmarkEnd w:id="4"/>
    </w:p>
    <w:p w14:paraId="3DD6B3E7">
      <w:pPr>
        <w:adjustRightInd w:val="0"/>
        <w:snapToGrid w:val="0"/>
        <w:spacing w:line="360" w:lineRule="auto"/>
        <w:jc w:val="center"/>
        <w:outlineLvl w:val="0"/>
        <w:rPr>
          <w:rFonts w:hint="default" w:ascii="Times New Roman" w:hAnsi="Times New Roman" w:eastAsia="宋体" w:cs="Times New Roman"/>
          <w:color w:val="000000"/>
          <w:sz w:val="42"/>
          <w:szCs w:val="42"/>
          <w:lang w:eastAsia="zh-CN"/>
        </w:rPr>
      </w:pPr>
      <w:bookmarkStart w:id="6" w:name="_Toc15396598"/>
      <w:bookmarkStart w:id="7" w:name="_Toc15378442"/>
      <w:bookmarkStart w:id="8" w:name="_Toc15377426"/>
      <w:bookmarkStart w:id="9" w:name="_Toc15396476"/>
      <w:bookmarkStart w:id="10" w:name="_Toc15377194"/>
      <w:r>
        <w:rPr>
          <w:rFonts w:hint="default" w:ascii="Times New Roman" w:hAnsi="Times New Roman" w:eastAsia="宋体" w:cs="Times New Roman"/>
          <w:color w:val="000000"/>
          <w:sz w:val="42"/>
          <w:szCs w:val="42"/>
        </w:rPr>
        <w:t>阿坝州</w:t>
      </w:r>
      <w:bookmarkEnd w:id="5"/>
      <w:bookmarkStart w:id="11" w:name="_Toc15306268"/>
      <w:r>
        <w:rPr>
          <w:rFonts w:hint="default" w:ascii="Times New Roman" w:hAnsi="Times New Roman" w:eastAsia="宋体" w:cs="Times New Roman"/>
          <w:color w:val="000000"/>
          <w:sz w:val="42"/>
          <w:szCs w:val="42"/>
        </w:rPr>
        <w:t>委政法委</w:t>
      </w:r>
      <w:r>
        <w:rPr>
          <w:rFonts w:hint="default" w:ascii="Times New Roman" w:hAnsi="Times New Roman" w:eastAsia="宋体" w:cs="Times New Roman"/>
          <w:color w:val="000000"/>
          <w:sz w:val="42"/>
          <w:szCs w:val="42"/>
          <w:lang w:eastAsia="zh-CN"/>
        </w:rPr>
        <w:t>单位</w:t>
      </w:r>
      <w:r>
        <w:rPr>
          <w:rFonts w:hint="default" w:ascii="Times New Roman" w:hAnsi="Times New Roman" w:eastAsia="宋体" w:cs="Times New Roman"/>
          <w:color w:val="000000"/>
          <w:sz w:val="42"/>
          <w:szCs w:val="42"/>
        </w:rPr>
        <w:t>决算</w:t>
      </w:r>
      <w:bookmarkEnd w:id="6"/>
      <w:bookmarkEnd w:id="7"/>
      <w:bookmarkEnd w:id="8"/>
      <w:bookmarkEnd w:id="9"/>
      <w:bookmarkEnd w:id="10"/>
      <w:bookmarkEnd w:id="11"/>
    </w:p>
    <w:p w14:paraId="6CA05E3C">
      <w:pPr>
        <w:adjustRightInd w:val="0"/>
        <w:snapToGrid w:val="0"/>
        <w:spacing w:line="360" w:lineRule="auto"/>
        <w:jc w:val="center"/>
        <w:outlineLvl w:val="0"/>
        <w:rPr>
          <w:rFonts w:hint="default" w:ascii="Times New Roman" w:hAnsi="Times New Roman" w:eastAsia="方正小标宋简体" w:cs="Times New Roman"/>
          <w:color w:val="000000"/>
          <w:sz w:val="52"/>
          <w:szCs w:val="52"/>
        </w:rPr>
      </w:pPr>
    </w:p>
    <w:p w14:paraId="33CB7307">
      <w:pPr>
        <w:widowControl/>
        <w:jc w:val="center"/>
        <w:rPr>
          <w:rFonts w:hint="default" w:ascii="Times New Roman" w:hAnsi="Times New Roman" w:eastAsia="方正小标宋简体" w:cs="Times New Roman"/>
          <w:color w:val="000000"/>
          <w:sz w:val="36"/>
          <w:szCs w:val="36"/>
        </w:rPr>
      </w:pPr>
    </w:p>
    <w:p w14:paraId="62131CC9">
      <w:pPr>
        <w:rPr>
          <w:rFonts w:hint="default" w:ascii="Times New Roman" w:hAnsi="Times New Roman" w:eastAsia="方正小标宋简体" w:cs="Times New Roman"/>
          <w:color w:val="000000"/>
          <w:sz w:val="36"/>
          <w:szCs w:val="36"/>
        </w:rPr>
      </w:pPr>
    </w:p>
    <w:p w14:paraId="2C6A5117">
      <w:pPr>
        <w:rPr>
          <w:rFonts w:hint="default" w:ascii="Times New Roman" w:hAnsi="Times New Roman" w:eastAsia="方正小标宋简体" w:cs="Times New Roman"/>
          <w:color w:val="000000"/>
          <w:sz w:val="36"/>
          <w:szCs w:val="36"/>
        </w:rPr>
      </w:pPr>
    </w:p>
    <w:p w14:paraId="4575CD31">
      <w:pPr>
        <w:rPr>
          <w:rFonts w:hint="default" w:ascii="Times New Roman" w:hAnsi="Times New Roman" w:eastAsia="方正小标宋简体" w:cs="Times New Roman"/>
          <w:color w:val="000000"/>
          <w:sz w:val="36"/>
          <w:szCs w:val="36"/>
        </w:rPr>
      </w:pPr>
    </w:p>
    <w:p w14:paraId="26B15DB7">
      <w:pPr>
        <w:pStyle w:val="2"/>
        <w:rPr>
          <w:rFonts w:hint="default" w:ascii="Times New Roman" w:hAnsi="Times New Roman" w:eastAsia="方正小标宋简体" w:cs="Times New Roman"/>
          <w:color w:val="000000"/>
          <w:sz w:val="36"/>
          <w:szCs w:val="36"/>
        </w:rPr>
      </w:pPr>
    </w:p>
    <w:p w14:paraId="1BDE68F1">
      <w:pPr>
        <w:rPr>
          <w:rFonts w:hint="default" w:ascii="Times New Roman" w:hAnsi="Times New Roman" w:eastAsia="方正小标宋简体" w:cs="Times New Roman"/>
          <w:color w:val="000000"/>
          <w:sz w:val="36"/>
          <w:szCs w:val="36"/>
        </w:rPr>
      </w:pPr>
    </w:p>
    <w:p w14:paraId="6FD1F4DA">
      <w:pPr>
        <w:pStyle w:val="2"/>
        <w:rPr>
          <w:rFonts w:hint="default" w:ascii="Times New Roman" w:hAnsi="Times New Roman" w:eastAsia="方正小标宋简体" w:cs="Times New Roman"/>
          <w:color w:val="000000"/>
          <w:sz w:val="36"/>
          <w:szCs w:val="36"/>
        </w:rPr>
      </w:pPr>
    </w:p>
    <w:p w14:paraId="1C8D3F31">
      <w:pPr>
        <w:rPr>
          <w:rFonts w:hint="default" w:ascii="Times New Roman" w:hAnsi="Times New Roman" w:eastAsia="方正小标宋简体" w:cs="Times New Roman"/>
          <w:color w:val="000000"/>
          <w:sz w:val="36"/>
          <w:szCs w:val="36"/>
        </w:rPr>
      </w:pPr>
    </w:p>
    <w:p w14:paraId="07B2276B">
      <w:pPr>
        <w:pStyle w:val="2"/>
        <w:rPr>
          <w:rFonts w:hint="default" w:ascii="Times New Roman" w:hAnsi="Times New Roman" w:eastAsia="方正小标宋简体" w:cs="Times New Roman"/>
          <w:color w:val="000000"/>
          <w:sz w:val="36"/>
          <w:szCs w:val="36"/>
        </w:rPr>
      </w:pPr>
    </w:p>
    <w:p w14:paraId="7CEE0551">
      <w:pPr>
        <w:rPr>
          <w:rFonts w:hint="default" w:ascii="Times New Roman" w:hAnsi="Times New Roman" w:eastAsia="方正小标宋简体" w:cs="Times New Roman"/>
          <w:color w:val="000000"/>
          <w:sz w:val="36"/>
          <w:szCs w:val="36"/>
        </w:rPr>
      </w:pPr>
    </w:p>
    <w:p w14:paraId="01AC68D6">
      <w:pPr>
        <w:pStyle w:val="2"/>
        <w:rPr>
          <w:rFonts w:hint="default" w:ascii="Times New Roman" w:hAnsi="Times New Roman" w:eastAsia="方正小标宋简体" w:cs="Times New Roman"/>
          <w:color w:val="000000"/>
          <w:sz w:val="36"/>
          <w:szCs w:val="36"/>
        </w:rPr>
      </w:pPr>
    </w:p>
    <w:p w14:paraId="74468C40">
      <w:pPr>
        <w:rPr>
          <w:rFonts w:hint="default" w:ascii="Times New Roman" w:hAnsi="Times New Roman" w:eastAsia="方正小标宋简体" w:cs="Times New Roman"/>
          <w:color w:val="000000"/>
          <w:sz w:val="36"/>
          <w:szCs w:val="36"/>
        </w:rPr>
      </w:pPr>
    </w:p>
    <w:p w14:paraId="5AB02B09">
      <w:pPr>
        <w:pStyle w:val="2"/>
        <w:rPr>
          <w:rFonts w:hint="default" w:ascii="Times New Roman" w:hAnsi="Times New Roman" w:eastAsia="方正小标宋简体" w:cs="Times New Roman"/>
          <w:color w:val="000000"/>
          <w:sz w:val="36"/>
          <w:szCs w:val="36"/>
        </w:rPr>
      </w:pPr>
    </w:p>
    <w:p w14:paraId="3FAFA8BF">
      <w:pPr>
        <w:rPr>
          <w:rFonts w:hint="default" w:ascii="Times New Roman" w:hAnsi="Times New Roman" w:cs="Times New Roman"/>
        </w:rPr>
      </w:pPr>
    </w:p>
    <w:p w14:paraId="2DAC0DD9">
      <w:pPr>
        <w:rPr>
          <w:rFonts w:hint="default" w:ascii="Times New Roman" w:hAnsi="Times New Roman" w:eastAsia="方正小标宋简体" w:cs="Times New Roman"/>
          <w:color w:val="000000"/>
          <w:sz w:val="36"/>
          <w:szCs w:val="36"/>
        </w:rPr>
      </w:pPr>
    </w:p>
    <w:p w14:paraId="76531E0C">
      <w:pPr>
        <w:rPr>
          <w:rFonts w:hint="default" w:ascii="Times New Roman" w:hAnsi="Times New Roman" w:eastAsia="方正小标宋简体" w:cs="Times New Roman"/>
          <w:color w:val="000000"/>
          <w:sz w:val="36"/>
          <w:szCs w:val="36"/>
        </w:rPr>
      </w:pPr>
    </w:p>
    <w:p w14:paraId="16A6315A">
      <w:pPr>
        <w:pStyle w:val="2"/>
        <w:spacing w:before="93" w:beforeLines="0"/>
        <w:jc w:val="center"/>
        <w:rPr>
          <w:rFonts w:hint="default" w:ascii="Times New Roman" w:hAnsi="Times New Roman" w:cs="Times New Roman"/>
        </w:rPr>
      </w:pPr>
      <w:r>
        <w:rPr>
          <w:rFonts w:hint="default" w:ascii="Times New Roman" w:hAnsi="Times New Roman" w:eastAsia="宋体" w:cs="Times New Roman"/>
          <w:sz w:val="24"/>
          <w:szCs w:val="24"/>
        </w:rPr>
        <w:t>已经保密审查、内容审定，同意对外公开</w:t>
      </w:r>
    </w:p>
    <w:p w14:paraId="6A743503">
      <w:pPr>
        <w:widowControl/>
        <w:jc w:val="center"/>
        <w:rPr>
          <w:rFonts w:hint="default" w:ascii="Times New Roman" w:hAnsi="Times New Roman" w:eastAsia="仿宋" w:cs="Times New Roman"/>
          <w:color w:val="000000"/>
          <w:sz w:val="24"/>
        </w:rPr>
      </w:pPr>
      <w:r>
        <w:rPr>
          <w:rFonts w:hint="default" w:ascii="Times New Roman" w:hAnsi="Times New Roman" w:eastAsia="方正小标宋简体" w:cs="Times New Roman"/>
          <w:color w:val="000000"/>
          <w:sz w:val="36"/>
          <w:szCs w:val="36"/>
        </w:rPr>
        <w:br w:type="page"/>
      </w:r>
    </w:p>
    <w:p w14:paraId="4FDFF0EA">
      <w:pPr>
        <w:widowControl/>
        <w:jc w:val="center"/>
        <w:rPr>
          <w:rFonts w:hint="default" w:ascii="Times New Roman" w:hAnsi="Times New Roman" w:eastAsia="宋体" w:cs="Times New Roman"/>
          <w:sz w:val="24"/>
          <w:szCs w:val="24"/>
        </w:rPr>
      </w:pPr>
      <w:bookmarkStart w:id="12" w:name="_Toc15377196"/>
      <w:bookmarkStart w:id="13" w:name="_Toc15396599"/>
      <w:r>
        <w:rPr>
          <w:rFonts w:hint="default" w:ascii="Times New Roman" w:hAnsi="Times New Roman" w:eastAsia="宋体" w:cs="Times New Roman"/>
          <w:sz w:val="24"/>
          <w:szCs w:val="24"/>
        </w:rPr>
        <w:t>目录</w:t>
      </w:r>
    </w:p>
    <w:p w14:paraId="33D82C6D">
      <w:pPr>
        <w:widowControl/>
        <w:jc w:val="center"/>
        <w:rPr>
          <w:rFonts w:hint="default" w:ascii="Times New Roman" w:hAnsi="Times New Roman" w:eastAsia="宋体" w:cs="Times New Roman"/>
          <w:sz w:val="24"/>
          <w:szCs w:val="24"/>
        </w:rPr>
      </w:pPr>
    </w:p>
    <w:p w14:paraId="0A557B59">
      <w:pPr>
        <w:pStyle w:val="13"/>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公开时间：2023年9月</w:t>
      </w:r>
      <w:r>
        <w:rPr>
          <w:rFonts w:hint="default" w:ascii="Times New Roman" w:hAnsi="Times New Roman" w:eastAsia="宋体" w:cs="Times New Roman"/>
          <w:sz w:val="24"/>
          <w:szCs w:val="24"/>
          <w:lang w:val="en-US"/>
        </w:rPr>
        <w:t>2</w:t>
      </w:r>
      <w:r>
        <w:rPr>
          <w:rFonts w:hint="default" w:ascii="Times New Roman" w:hAnsi="Times New Roman" w:eastAsia="宋体" w:cs="Times New Roman"/>
          <w:sz w:val="24"/>
          <w:szCs w:val="24"/>
          <w:lang w:val="en-US" w:eastAsia="zh-CN"/>
        </w:rPr>
        <w:t>7</w:t>
      </w:r>
      <w:r>
        <w:rPr>
          <w:rFonts w:hint="default" w:ascii="Times New Roman" w:hAnsi="Times New Roman" w:eastAsia="宋体" w:cs="Times New Roman"/>
          <w:sz w:val="24"/>
          <w:szCs w:val="24"/>
        </w:rPr>
        <w:t>日</w:t>
      </w:r>
    </w:p>
    <w:p w14:paraId="2E1B2144">
      <w:pPr>
        <w:rPr>
          <w:rFonts w:hint="default" w:ascii="Times New Roman" w:hAnsi="Times New Roman" w:eastAsia="宋体" w:cs="Times New Roman"/>
          <w:sz w:val="24"/>
          <w:szCs w:val="24"/>
        </w:rPr>
      </w:pPr>
    </w:p>
    <w:p w14:paraId="70B9A4D0">
      <w:pPr>
        <w:pStyle w:val="13"/>
        <w:adjustRightInd w:val="0"/>
        <w:snapToGrid w:val="0"/>
        <w:spacing w:before="0" w:line="440" w:lineRule="exact"/>
        <w:jc w:val="left"/>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第一部分 单位概况</w:t>
      </w:r>
      <w:r>
        <w:rPr>
          <w:rFonts w:hint="default" w:ascii="Times New Roman" w:hAnsi="Times New Roman" w:eastAsia="宋体" w:cs="Times New Roman"/>
          <w:sz w:val="24"/>
          <w:szCs w:val="24"/>
        </w:rPr>
        <w:tab/>
      </w:r>
      <w:r>
        <w:rPr>
          <w:rFonts w:hint="default" w:ascii="Times New Roman" w:hAnsi="Times New Roman" w:eastAsia="宋体" w:cs="Times New Roman"/>
          <w:sz w:val="24"/>
          <w:szCs w:val="24"/>
        </w:rPr>
        <w:t>4</w:t>
      </w:r>
    </w:p>
    <w:p w14:paraId="4D81326A">
      <w:pPr>
        <w:pStyle w:val="14"/>
        <w:adjustRightInd w:val="0"/>
        <w:snapToGrid w:val="0"/>
        <w:spacing w:line="440" w:lineRule="exact"/>
        <w:jc w:val="left"/>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一、主要职责</w:t>
      </w:r>
      <w:r>
        <w:rPr>
          <w:rFonts w:hint="default" w:ascii="Times New Roman" w:hAnsi="Times New Roman" w:eastAsia="宋体" w:cs="Times New Roman"/>
          <w:sz w:val="24"/>
          <w:szCs w:val="24"/>
        </w:rPr>
        <w:tab/>
      </w:r>
      <w:r>
        <w:rPr>
          <w:rFonts w:hint="default" w:ascii="Times New Roman" w:hAnsi="Times New Roman" w:eastAsia="宋体" w:cs="Times New Roman"/>
          <w:sz w:val="24"/>
          <w:szCs w:val="24"/>
        </w:rPr>
        <w:t>4</w:t>
      </w:r>
    </w:p>
    <w:p w14:paraId="4057E529">
      <w:pPr>
        <w:pStyle w:val="14"/>
        <w:adjustRightInd w:val="0"/>
        <w:snapToGrid w:val="0"/>
        <w:spacing w:line="440" w:lineRule="exact"/>
        <w:jc w:val="left"/>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二、机构设置</w:t>
      </w:r>
      <w:r>
        <w:rPr>
          <w:rFonts w:hint="default" w:ascii="Times New Roman" w:hAnsi="Times New Roman" w:eastAsia="宋体" w:cs="Times New Roman"/>
          <w:sz w:val="24"/>
          <w:szCs w:val="24"/>
        </w:rPr>
        <w:tab/>
      </w:r>
      <w:r>
        <w:rPr>
          <w:rFonts w:hint="eastAsia" w:cs="Times New Roman"/>
          <w:sz w:val="24"/>
          <w:szCs w:val="24"/>
          <w:lang w:val="en-US" w:eastAsia="zh-CN"/>
        </w:rPr>
        <w:t>5</w:t>
      </w:r>
    </w:p>
    <w:p w14:paraId="2DDA8EC7">
      <w:pPr>
        <w:pStyle w:val="13"/>
        <w:adjustRightInd w:val="0"/>
        <w:snapToGrid w:val="0"/>
        <w:spacing w:before="0" w:line="440" w:lineRule="exact"/>
        <w:jc w:val="left"/>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第二部分 2022年度单位决算情况说明</w:t>
      </w:r>
      <w:r>
        <w:rPr>
          <w:rFonts w:hint="default" w:ascii="Times New Roman" w:hAnsi="Times New Roman" w:eastAsia="宋体" w:cs="Times New Roman"/>
          <w:sz w:val="24"/>
          <w:szCs w:val="24"/>
        </w:rPr>
        <w:tab/>
      </w:r>
      <w:r>
        <w:rPr>
          <w:rFonts w:hint="eastAsia" w:ascii="Times New Roman" w:eastAsia="宋体" w:cs="Times New Roman"/>
          <w:sz w:val="24"/>
          <w:szCs w:val="24"/>
          <w:lang w:val="en-US" w:eastAsia="zh-CN"/>
        </w:rPr>
        <w:t>6</w:t>
      </w:r>
    </w:p>
    <w:p w14:paraId="6AA6E929">
      <w:pPr>
        <w:pStyle w:val="14"/>
        <w:adjustRightInd w:val="0"/>
        <w:snapToGrid w:val="0"/>
        <w:spacing w:line="440" w:lineRule="exact"/>
        <w:jc w:val="left"/>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一、收入支出决算总体情况说明</w:t>
      </w:r>
      <w:r>
        <w:rPr>
          <w:rFonts w:hint="default" w:ascii="Times New Roman" w:hAnsi="Times New Roman" w:eastAsia="宋体" w:cs="Times New Roman"/>
          <w:sz w:val="24"/>
          <w:szCs w:val="24"/>
        </w:rPr>
        <w:tab/>
      </w:r>
      <w:r>
        <w:rPr>
          <w:rFonts w:hint="eastAsia" w:cs="Times New Roman"/>
          <w:sz w:val="24"/>
          <w:szCs w:val="24"/>
          <w:lang w:val="en-US" w:eastAsia="zh-CN"/>
        </w:rPr>
        <w:t>6</w:t>
      </w:r>
    </w:p>
    <w:p w14:paraId="2BEBBF78">
      <w:pPr>
        <w:pStyle w:val="14"/>
        <w:adjustRightInd w:val="0"/>
        <w:snapToGrid w:val="0"/>
        <w:spacing w:line="440" w:lineRule="exact"/>
        <w:jc w:val="left"/>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二、收入决算情况说明</w:t>
      </w:r>
      <w:r>
        <w:rPr>
          <w:rFonts w:hint="default" w:ascii="Times New Roman" w:hAnsi="Times New Roman" w:eastAsia="宋体" w:cs="Times New Roman"/>
          <w:sz w:val="24"/>
          <w:szCs w:val="24"/>
        </w:rPr>
        <w:tab/>
      </w:r>
      <w:r>
        <w:rPr>
          <w:rFonts w:hint="eastAsia" w:cs="Times New Roman"/>
          <w:sz w:val="24"/>
          <w:szCs w:val="24"/>
          <w:lang w:val="en-US" w:eastAsia="zh-CN"/>
        </w:rPr>
        <w:t>6</w:t>
      </w:r>
    </w:p>
    <w:p w14:paraId="0FDA8305">
      <w:pPr>
        <w:pStyle w:val="14"/>
        <w:adjustRightInd w:val="0"/>
        <w:snapToGrid w:val="0"/>
        <w:spacing w:line="440" w:lineRule="exact"/>
        <w:jc w:val="left"/>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三、支出决算情况说明</w:t>
      </w:r>
      <w:r>
        <w:rPr>
          <w:rFonts w:hint="default" w:ascii="Times New Roman" w:hAnsi="Times New Roman" w:eastAsia="宋体" w:cs="Times New Roman"/>
          <w:sz w:val="24"/>
          <w:szCs w:val="24"/>
        </w:rPr>
        <w:tab/>
      </w:r>
      <w:r>
        <w:rPr>
          <w:rFonts w:hint="eastAsia" w:cs="Times New Roman"/>
          <w:sz w:val="24"/>
          <w:szCs w:val="24"/>
          <w:lang w:val="en-US" w:eastAsia="zh-CN"/>
        </w:rPr>
        <w:t>7</w:t>
      </w:r>
    </w:p>
    <w:p w14:paraId="75D08F1B">
      <w:pPr>
        <w:pStyle w:val="14"/>
        <w:adjustRightInd w:val="0"/>
        <w:snapToGrid w:val="0"/>
        <w:spacing w:line="440" w:lineRule="exact"/>
        <w:jc w:val="left"/>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四、财政拨款收入支出决算总体情况说明</w:t>
      </w:r>
      <w:r>
        <w:rPr>
          <w:rFonts w:hint="default" w:ascii="Times New Roman" w:hAnsi="Times New Roman" w:eastAsia="宋体" w:cs="Times New Roman"/>
          <w:sz w:val="24"/>
          <w:szCs w:val="24"/>
        </w:rPr>
        <w:tab/>
      </w:r>
      <w:r>
        <w:rPr>
          <w:rFonts w:hint="eastAsia" w:cs="Times New Roman"/>
          <w:sz w:val="24"/>
          <w:szCs w:val="24"/>
          <w:lang w:val="en-US" w:eastAsia="zh-CN"/>
        </w:rPr>
        <w:t>7</w:t>
      </w:r>
    </w:p>
    <w:p w14:paraId="5C8F4FAB">
      <w:pPr>
        <w:pStyle w:val="14"/>
        <w:adjustRightInd w:val="0"/>
        <w:snapToGrid w:val="0"/>
        <w:spacing w:line="440" w:lineRule="exact"/>
        <w:jc w:val="left"/>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五、一般公共预算财政拨款支出决算情况说明</w:t>
      </w:r>
      <w:r>
        <w:rPr>
          <w:rFonts w:hint="default" w:ascii="Times New Roman" w:hAnsi="Times New Roman" w:eastAsia="宋体" w:cs="Times New Roman"/>
          <w:sz w:val="24"/>
          <w:szCs w:val="24"/>
        </w:rPr>
        <w:tab/>
      </w:r>
      <w:r>
        <w:rPr>
          <w:rFonts w:hint="eastAsia" w:cs="Times New Roman"/>
          <w:sz w:val="24"/>
          <w:szCs w:val="24"/>
          <w:lang w:val="en-US" w:eastAsia="zh-CN"/>
        </w:rPr>
        <w:t>8</w:t>
      </w:r>
    </w:p>
    <w:p w14:paraId="4037EFC5">
      <w:pPr>
        <w:pStyle w:val="14"/>
        <w:adjustRightInd w:val="0"/>
        <w:snapToGrid w:val="0"/>
        <w:spacing w:line="440" w:lineRule="exact"/>
        <w:jc w:val="left"/>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六、一般公共预算财政拨款基本支出决算情况说明</w:t>
      </w:r>
      <w:r>
        <w:rPr>
          <w:rFonts w:hint="default" w:ascii="Times New Roman" w:hAnsi="Times New Roman" w:eastAsia="宋体" w:cs="Times New Roman"/>
          <w:sz w:val="24"/>
          <w:szCs w:val="24"/>
        </w:rPr>
        <w:tab/>
      </w:r>
      <w:r>
        <w:rPr>
          <w:rFonts w:hint="default" w:ascii="Times New Roman" w:hAnsi="Times New Roman" w:eastAsia="宋体" w:cs="Times New Roman"/>
          <w:sz w:val="24"/>
          <w:szCs w:val="24"/>
        </w:rPr>
        <w:t>1</w:t>
      </w:r>
      <w:r>
        <w:rPr>
          <w:rFonts w:hint="eastAsia" w:cs="Times New Roman"/>
          <w:sz w:val="24"/>
          <w:szCs w:val="24"/>
          <w:lang w:val="en-US" w:eastAsia="zh-CN"/>
        </w:rPr>
        <w:t>0</w:t>
      </w:r>
    </w:p>
    <w:p w14:paraId="4EDEF65E">
      <w:pPr>
        <w:pStyle w:val="14"/>
        <w:adjustRightInd w:val="0"/>
        <w:snapToGrid w:val="0"/>
        <w:spacing w:line="440" w:lineRule="exact"/>
        <w:jc w:val="left"/>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七、财政拨款“三公”经费支出决算情况说明</w:t>
      </w:r>
      <w:r>
        <w:rPr>
          <w:rFonts w:hint="default" w:ascii="Times New Roman" w:hAnsi="Times New Roman" w:eastAsia="宋体" w:cs="Times New Roman"/>
          <w:sz w:val="24"/>
          <w:szCs w:val="24"/>
        </w:rPr>
        <w:tab/>
      </w:r>
      <w:r>
        <w:rPr>
          <w:rFonts w:hint="default" w:ascii="Times New Roman" w:hAnsi="Times New Roman" w:eastAsia="宋体" w:cs="Times New Roman"/>
          <w:sz w:val="24"/>
          <w:szCs w:val="24"/>
        </w:rPr>
        <w:t>1</w:t>
      </w:r>
      <w:r>
        <w:rPr>
          <w:rFonts w:hint="eastAsia" w:cs="Times New Roman"/>
          <w:sz w:val="24"/>
          <w:szCs w:val="24"/>
          <w:lang w:val="en-US" w:eastAsia="zh-CN"/>
        </w:rPr>
        <w:t>0</w:t>
      </w:r>
    </w:p>
    <w:p w14:paraId="03D45E87">
      <w:pPr>
        <w:pStyle w:val="14"/>
        <w:adjustRightInd w:val="0"/>
        <w:snapToGrid w:val="0"/>
        <w:spacing w:line="440" w:lineRule="exact"/>
        <w:jc w:val="left"/>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八、政府性基金预算支出决算情况说明</w:t>
      </w:r>
      <w:r>
        <w:rPr>
          <w:rFonts w:hint="default" w:ascii="Times New Roman" w:hAnsi="Times New Roman" w:eastAsia="宋体" w:cs="Times New Roman"/>
          <w:sz w:val="24"/>
          <w:szCs w:val="24"/>
        </w:rPr>
        <w:tab/>
      </w:r>
      <w:r>
        <w:rPr>
          <w:rFonts w:hint="default" w:ascii="Times New Roman" w:hAnsi="Times New Roman" w:eastAsia="宋体" w:cs="Times New Roman"/>
          <w:sz w:val="24"/>
          <w:szCs w:val="24"/>
        </w:rPr>
        <w:t>1</w:t>
      </w:r>
      <w:r>
        <w:rPr>
          <w:rFonts w:hint="eastAsia" w:cs="Times New Roman"/>
          <w:sz w:val="24"/>
          <w:szCs w:val="24"/>
          <w:lang w:val="en-US" w:eastAsia="zh-CN"/>
        </w:rPr>
        <w:t>2</w:t>
      </w:r>
    </w:p>
    <w:p w14:paraId="733EDC87">
      <w:pPr>
        <w:pStyle w:val="14"/>
        <w:adjustRightInd w:val="0"/>
        <w:snapToGrid w:val="0"/>
        <w:spacing w:line="440" w:lineRule="exact"/>
        <w:jc w:val="left"/>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九、国有资本经营预算支出决算情况说明</w:t>
      </w:r>
      <w:r>
        <w:rPr>
          <w:rFonts w:hint="default" w:ascii="Times New Roman" w:hAnsi="Times New Roman" w:eastAsia="宋体" w:cs="Times New Roman"/>
          <w:sz w:val="24"/>
          <w:szCs w:val="24"/>
        </w:rPr>
        <w:tab/>
      </w:r>
      <w:r>
        <w:rPr>
          <w:rFonts w:hint="default" w:ascii="Times New Roman" w:hAnsi="Times New Roman" w:eastAsia="宋体" w:cs="Times New Roman"/>
          <w:sz w:val="24"/>
          <w:szCs w:val="24"/>
        </w:rPr>
        <w:t>1</w:t>
      </w:r>
      <w:r>
        <w:rPr>
          <w:rFonts w:hint="eastAsia" w:cs="Times New Roman"/>
          <w:sz w:val="24"/>
          <w:szCs w:val="24"/>
          <w:lang w:val="en-US" w:eastAsia="zh-CN"/>
        </w:rPr>
        <w:t>2</w:t>
      </w:r>
    </w:p>
    <w:p w14:paraId="1C109359">
      <w:pPr>
        <w:pStyle w:val="14"/>
        <w:adjustRightInd w:val="0"/>
        <w:snapToGrid w:val="0"/>
        <w:spacing w:line="440" w:lineRule="exact"/>
        <w:jc w:val="left"/>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十、其他重要事项的情况说明</w:t>
      </w:r>
      <w:r>
        <w:rPr>
          <w:rFonts w:hint="default" w:ascii="Times New Roman" w:hAnsi="Times New Roman" w:eastAsia="宋体" w:cs="Times New Roman"/>
          <w:sz w:val="24"/>
          <w:szCs w:val="24"/>
        </w:rPr>
        <w:tab/>
      </w:r>
      <w:r>
        <w:rPr>
          <w:rFonts w:hint="default" w:ascii="Times New Roman" w:hAnsi="Times New Roman" w:eastAsia="宋体" w:cs="Times New Roman"/>
          <w:sz w:val="24"/>
          <w:szCs w:val="24"/>
        </w:rPr>
        <w:t>1</w:t>
      </w:r>
      <w:r>
        <w:rPr>
          <w:rFonts w:hint="eastAsia" w:cs="Times New Roman"/>
          <w:sz w:val="24"/>
          <w:szCs w:val="24"/>
          <w:lang w:val="en-US" w:eastAsia="zh-CN"/>
        </w:rPr>
        <w:t>2</w:t>
      </w:r>
    </w:p>
    <w:p w14:paraId="650CC56E">
      <w:pPr>
        <w:pStyle w:val="13"/>
        <w:adjustRightInd w:val="0"/>
        <w:snapToGrid w:val="0"/>
        <w:spacing w:before="0" w:line="440" w:lineRule="exact"/>
        <w:jc w:val="left"/>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第三部分 名词解释</w:t>
      </w:r>
      <w:r>
        <w:rPr>
          <w:rFonts w:hint="default" w:ascii="Times New Roman" w:hAnsi="Times New Roman" w:eastAsia="宋体" w:cs="Times New Roman"/>
          <w:sz w:val="24"/>
          <w:szCs w:val="24"/>
        </w:rPr>
        <w:tab/>
      </w:r>
      <w:r>
        <w:rPr>
          <w:rFonts w:hint="default" w:ascii="Times New Roman" w:hAnsi="Times New Roman" w:eastAsia="宋体" w:cs="Times New Roman"/>
          <w:sz w:val="24"/>
          <w:szCs w:val="24"/>
        </w:rPr>
        <w:t>1</w:t>
      </w:r>
      <w:r>
        <w:rPr>
          <w:rFonts w:hint="eastAsia" w:ascii="Times New Roman" w:eastAsia="宋体" w:cs="Times New Roman"/>
          <w:sz w:val="24"/>
          <w:szCs w:val="24"/>
          <w:lang w:val="en-US" w:eastAsia="zh-CN"/>
        </w:rPr>
        <w:t>3</w:t>
      </w:r>
    </w:p>
    <w:p w14:paraId="66266B1C">
      <w:pPr>
        <w:pStyle w:val="13"/>
        <w:adjustRightInd w:val="0"/>
        <w:snapToGrid w:val="0"/>
        <w:spacing w:before="0" w:line="440" w:lineRule="exact"/>
        <w:jc w:val="left"/>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第四部分 附件</w:t>
      </w:r>
      <w:r>
        <w:rPr>
          <w:rFonts w:hint="default" w:ascii="Times New Roman" w:hAnsi="Times New Roman" w:eastAsia="宋体" w:cs="Times New Roman"/>
          <w:sz w:val="24"/>
          <w:szCs w:val="24"/>
        </w:rPr>
        <w:tab/>
      </w:r>
      <w:r>
        <w:rPr>
          <w:rFonts w:hint="default" w:ascii="Times New Roman" w:hAnsi="Times New Roman" w:eastAsia="宋体" w:cs="Times New Roman"/>
          <w:sz w:val="24"/>
          <w:szCs w:val="24"/>
        </w:rPr>
        <w:t>1</w:t>
      </w:r>
      <w:r>
        <w:rPr>
          <w:rFonts w:hint="eastAsia" w:ascii="Times New Roman" w:eastAsia="宋体" w:cs="Times New Roman"/>
          <w:sz w:val="24"/>
          <w:szCs w:val="24"/>
          <w:lang w:val="en-US" w:eastAsia="zh-CN"/>
        </w:rPr>
        <w:t>5</w:t>
      </w:r>
    </w:p>
    <w:p w14:paraId="7F58832E">
      <w:pPr>
        <w:pStyle w:val="13"/>
        <w:adjustRightInd w:val="0"/>
        <w:snapToGrid w:val="0"/>
        <w:spacing w:before="0" w:line="440" w:lineRule="exact"/>
        <w:jc w:val="left"/>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第五部分 附表</w:t>
      </w:r>
      <w:r>
        <w:rPr>
          <w:rFonts w:hint="default" w:ascii="Times New Roman" w:hAnsi="Times New Roman" w:eastAsia="宋体" w:cs="Times New Roman"/>
          <w:sz w:val="24"/>
          <w:szCs w:val="24"/>
        </w:rPr>
        <w:tab/>
      </w:r>
      <w:r>
        <w:rPr>
          <w:rFonts w:hint="default" w:ascii="Times New Roman" w:hAnsi="Times New Roman" w:eastAsia="宋体" w:cs="Times New Roman"/>
          <w:sz w:val="24"/>
          <w:szCs w:val="24"/>
        </w:rPr>
        <w:t>2</w:t>
      </w:r>
      <w:r>
        <w:rPr>
          <w:rFonts w:hint="eastAsia" w:ascii="Times New Roman" w:eastAsia="宋体" w:cs="Times New Roman"/>
          <w:sz w:val="24"/>
          <w:szCs w:val="24"/>
          <w:lang w:val="en-US" w:eastAsia="zh-CN"/>
        </w:rPr>
        <w:t>2</w:t>
      </w:r>
    </w:p>
    <w:p w14:paraId="61C5B890">
      <w:pPr>
        <w:pStyle w:val="14"/>
        <w:adjustRightInd w:val="0"/>
        <w:snapToGrid w:val="0"/>
        <w:spacing w:line="440" w:lineRule="exact"/>
        <w:jc w:val="left"/>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一、收入支出决算总表</w:t>
      </w:r>
      <w:r>
        <w:rPr>
          <w:rFonts w:hint="default" w:ascii="Times New Roman" w:hAnsi="Times New Roman" w:eastAsia="宋体" w:cs="Times New Roman"/>
          <w:sz w:val="24"/>
          <w:szCs w:val="24"/>
        </w:rPr>
        <w:tab/>
      </w:r>
      <w:r>
        <w:rPr>
          <w:rFonts w:hint="default" w:ascii="Times New Roman" w:hAnsi="Times New Roman" w:eastAsia="宋体" w:cs="Times New Roman"/>
          <w:sz w:val="24"/>
          <w:szCs w:val="24"/>
        </w:rPr>
        <w:t>2</w:t>
      </w:r>
      <w:r>
        <w:rPr>
          <w:rFonts w:hint="eastAsia" w:cs="Times New Roman"/>
          <w:sz w:val="24"/>
          <w:szCs w:val="24"/>
          <w:lang w:val="en-US" w:eastAsia="zh-CN"/>
        </w:rPr>
        <w:t>2</w:t>
      </w:r>
    </w:p>
    <w:p w14:paraId="3F6EEC56">
      <w:pPr>
        <w:pStyle w:val="14"/>
        <w:adjustRightInd w:val="0"/>
        <w:snapToGrid w:val="0"/>
        <w:spacing w:line="440" w:lineRule="exact"/>
        <w:jc w:val="left"/>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二、收入决算表</w:t>
      </w:r>
      <w:r>
        <w:rPr>
          <w:rFonts w:hint="default" w:ascii="Times New Roman" w:hAnsi="Times New Roman" w:eastAsia="宋体" w:cs="Times New Roman"/>
          <w:sz w:val="24"/>
          <w:szCs w:val="24"/>
        </w:rPr>
        <w:tab/>
      </w:r>
      <w:r>
        <w:rPr>
          <w:rFonts w:hint="default" w:ascii="Times New Roman" w:hAnsi="Times New Roman" w:eastAsia="宋体" w:cs="Times New Roman"/>
          <w:sz w:val="24"/>
          <w:szCs w:val="24"/>
        </w:rPr>
        <w:t>2</w:t>
      </w:r>
      <w:r>
        <w:rPr>
          <w:rFonts w:hint="eastAsia" w:cs="Times New Roman"/>
          <w:sz w:val="24"/>
          <w:szCs w:val="24"/>
          <w:lang w:val="en-US" w:eastAsia="zh-CN"/>
        </w:rPr>
        <w:t>2</w:t>
      </w:r>
    </w:p>
    <w:p w14:paraId="68CE62F0">
      <w:pPr>
        <w:pStyle w:val="14"/>
        <w:adjustRightInd w:val="0"/>
        <w:snapToGrid w:val="0"/>
        <w:spacing w:line="440" w:lineRule="exact"/>
        <w:jc w:val="left"/>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三、支出决算表</w:t>
      </w:r>
      <w:r>
        <w:rPr>
          <w:rFonts w:hint="default" w:ascii="Times New Roman" w:hAnsi="Times New Roman" w:eastAsia="宋体" w:cs="Times New Roman"/>
          <w:sz w:val="24"/>
          <w:szCs w:val="24"/>
        </w:rPr>
        <w:tab/>
      </w:r>
      <w:r>
        <w:rPr>
          <w:rFonts w:hint="default" w:ascii="Times New Roman" w:hAnsi="Times New Roman" w:eastAsia="宋体" w:cs="Times New Roman"/>
          <w:sz w:val="24"/>
          <w:szCs w:val="24"/>
        </w:rPr>
        <w:t>2</w:t>
      </w:r>
      <w:r>
        <w:rPr>
          <w:rFonts w:hint="eastAsia" w:cs="Times New Roman"/>
          <w:sz w:val="24"/>
          <w:szCs w:val="24"/>
          <w:lang w:val="en-US" w:eastAsia="zh-CN"/>
        </w:rPr>
        <w:t>2</w:t>
      </w:r>
    </w:p>
    <w:p w14:paraId="400179C7">
      <w:pPr>
        <w:pStyle w:val="14"/>
        <w:adjustRightInd w:val="0"/>
        <w:snapToGrid w:val="0"/>
        <w:spacing w:line="440" w:lineRule="exact"/>
        <w:jc w:val="left"/>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四、财政拨款收入支出决算总表</w:t>
      </w:r>
      <w:r>
        <w:rPr>
          <w:rFonts w:hint="default" w:ascii="Times New Roman" w:hAnsi="Times New Roman" w:eastAsia="宋体" w:cs="Times New Roman"/>
          <w:sz w:val="24"/>
          <w:szCs w:val="24"/>
        </w:rPr>
        <w:tab/>
      </w:r>
      <w:r>
        <w:rPr>
          <w:rFonts w:hint="default" w:ascii="Times New Roman" w:hAnsi="Times New Roman" w:eastAsia="宋体" w:cs="Times New Roman"/>
          <w:sz w:val="24"/>
          <w:szCs w:val="24"/>
        </w:rPr>
        <w:t>2</w:t>
      </w:r>
      <w:r>
        <w:rPr>
          <w:rFonts w:hint="eastAsia" w:cs="Times New Roman"/>
          <w:sz w:val="24"/>
          <w:szCs w:val="24"/>
          <w:lang w:val="en-US" w:eastAsia="zh-CN"/>
        </w:rPr>
        <w:t>2</w:t>
      </w:r>
    </w:p>
    <w:p w14:paraId="608EA309">
      <w:pPr>
        <w:pStyle w:val="14"/>
        <w:adjustRightInd w:val="0"/>
        <w:snapToGrid w:val="0"/>
        <w:spacing w:line="440" w:lineRule="exact"/>
        <w:jc w:val="left"/>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五、财政拨款支出决算明细表</w:t>
      </w:r>
      <w:r>
        <w:rPr>
          <w:rFonts w:hint="default" w:ascii="Times New Roman" w:hAnsi="Times New Roman" w:eastAsia="宋体" w:cs="Times New Roman"/>
          <w:sz w:val="24"/>
          <w:szCs w:val="24"/>
        </w:rPr>
        <w:tab/>
      </w:r>
      <w:r>
        <w:rPr>
          <w:rFonts w:hint="default" w:ascii="Times New Roman" w:hAnsi="Times New Roman" w:eastAsia="宋体" w:cs="Times New Roman"/>
          <w:sz w:val="24"/>
          <w:szCs w:val="24"/>
        </w:rPr>
        <w:t>2</w:t>
      </w:r>
      <w:r>
        <w:rPr>
          <w:rFonts w:hint="eastAsia" w:cs="Times New Roman"/>
          <w:sz w:val="24"/>
          <w:szCs w:val="24"/>
          <w:lang w:val="en-US" w:eastAsia="zh-CN"/>
        </w:rPr>
        <w:t>2</w:t>
      </w:r>
    </w:p>
    <w:p w14:paraId="5DC8C2A6">
      <w:pPr>
        <w:pStyle w:val="14"/>
        <w:adjustRightInd w:val="0"/>
        <w:snapToGrid w:val="0"/>
        <w:spacing w:line="440" w:lineRule="exact"/>
        <w:jc w:val="left"/>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六、一般公共预算财政拨款支出决算表</w:t>
      </w:r>
      <w:r>
        <w:rPr>
          <w:rFonts w:hint="default" w:ascii="Times New Roman" w:hAnsi="Times New Roman" w:eastAsia="宋体" w:cs="Times New Roman"/>
          <w:sz w:val="24"/>
          <w:szCs w:val="24"/>
        </w:rPr>
        <w:tab/>
      </w:r>
      <w:r>
        <w:rPr>
          <w:rFonts w:hint="default" w:ascii="Times New Roman" w:hAnsi="Times New Roman" w:eastAsia="宋体" w:cs="Times New Roman"/>
          <w:sz w:val="24"/>
          <w:szCs w:val="24"/>
        </w:rPr>
        <w:t>2</w:t>
      </w:r>
      <w:r>
        <w:rPr>
          <w:rFonts w:hint="eastAsia" w:cs="Times New Roman"/>
          <w:sz w:val="24"/>
          <w:szCs w:val="24"/>
          <w:lang w:val="en-US" w:eastAsia="zh-CN"/>
        </w:rPr>
        <w:t>2</w:t>
      </w:r>
    </w:p>
    <w:p w14:paraId="14761352">
      <w:pPr>
        <w:pStyle w:val="14"/>
        <w:adjustRightInd w:val="0"/>
        <w:snapToGrid w:val="0"/>
        <w:spacing w:line="440" w:lineRule="exact"/>
        <w:jc w:val="left"/>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七、一般公共预算财政拨款支出决算明细表</w:t>
      </w:r>
      <w:r>
        <w:rPr>
          <w:rFonts w:hint="default" w:ascii="Times New Roman" w:hAnsi="Times New Roman" w:eastAsia="宋体" w:cs="Times New Roman"/>
          <w:sz w:val="24"/>
          <w:szCs w:val="24"/>
        </w:rPr>
        <w:tab/>
      </w:r>
      <w:r>
        <w:rPr>
          <w:rFonts w:hint="default" w:ascii="Times New Roman" w:hAnsi="Times New Roman" w:eastAsia="宋体" w:cs="Times New Roman"/>
          <w:sz w:val="24"/>
          <w:szCs w:val="24"/>
        </w:rPr>
        <w:t>2</w:t>
      </w:r>
      <w:r>
        <w:rPr>
          <w:rFonts w:hint="eastAsia" w:cs="Times New Roman"/>
          <w:sz w:val="24"/>
          <w:szCs w:val="24"/>
          <w:lang w:val="en-US" w:eastAsia="zh-CN"/>
        </w:rPr>
        <w:t>2</w:t>
      </w:r>
    </w:p>
    <w:p w14:paraId="741F0FEB">
      <w:pPr>
        <w:pStyle w:val="14"/>
        <w:adjustRightInd w:val="0"/>
        <w:snapToGrid w:val="0"/>
        <w:spacing w:line="440" w:lineRule="exact"/>
        <w:jc w:val="left"/>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八、一般公共预算财政拨款基本支出决算明细表</w:t>
      </w:r>
      <w:r>
        <w:rPr>
          <w:rFonts w:hint="default" w:ascii="Times New Roman" w:hAnsi="Times New Roman" w:eastAsia="宋体" w:cs="Times New Roman"/>
          <w:sz w:val="24"/>
          <w:szCs w:val="24"/>
        </w:rPr>
        <w:tab/>
      </w:r>
      <w:r>
        <w:rPr>
          <w:rFonts w:hint="default" w:ascii="Times New Roman" w:hAnsi="Times New Roman" w:eastAsia="宋体" w:cs="Times New Roman"/>
          <w:sz w:val="24"/>
          <w:szCs w:val="24"/>
        </w:rPr>
        <w:t>2</w:t>
      </w:r>
      <w:r>
        <w:rPr>
          <w:rFonts w:hint="eastAsia" w:cs="Times New Roman"/>
          <w:sz w:val="24"/>
          <w:szCs w:val="24"/>
          <w:lang w:val="en-US" w:eastAsia="zh-CN"/>
        </w:rPr>
        <w:t>2</w:t>
      </w:r>
    </w:p>
    <w:p w14:paraId="601F67C6">
      <w:pPr>
        <w:pStyle w:val="14"/>
        <w:adjustRightInd w:val="0"/>
        <w:snapToGrid w:val="0"/>
        <w:spacing w:line="440" w:lineRule="exact"/>
        <w:jc w:val="left"/>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九、一般公共预算财政拨款项目支出决算表</w:t>
      </w:r>
      <w:r>
        <w:rPr>
          <w:rFonts w:hint="default" w:ascii="Times New Roman" w:hAnsi="Times New Roman" w:eastAsia="宋体" w:cs="Times New Roman"/>
          <w:sz w:val="24"/>
          <w:szCs w:val="24"/>
        </w:rPr>
        <w:tab/>
      </w:r>
      <w:r>
        <w:rPr>
          <w:rFonts w:hint="default" w:ascii="Times New Roman" w:hAnsi="Times New Roman" w:eastAsia="宋体" w:cs="Times New Roman"/>
          <w:sz w:val="24"/>
          <w:szCs w:val="24"/>
        </w:rPr>
        <w:t>2</w:t>
      </w:r>
      <w:r>
        <w:rPr>
          <w:rFonts w:hint="eastAsia" w:cs="Times New Roman"/>
          <w:sz w:val="24"/>
          <w:szCs w:val="24"/>
          <w:lang w:val="en-US" w:eastAsia="zh-CN"/>
        </w:rPr>
        <w:t>2</w:t>
      </w:r>
    </w:p>
    <w:p w14:paraId="4663AFD3">
      <w:pPr>
        <w:pStyle w:val="14"/>
        <w:adjustRightInd w:val="0"/>
        <w:snapToGrid w:val="0"/>
        <w:spacing w:line="440" w:lineRule="exact"/>
        <w:jc w:val="left"/>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十、政府性基金预算财政拨款收入支出决算表</w:t>
      </w:r>
      <w:r>
        <w:rPr>
          <w:rFonts w:hint="default" w:ascii="Times New Roman" w:hAnsi="Times New Roman" w:eastAsia="宋体" w:cs="Times New Roman"/>
          <w:sz w:val="24"/>
          <w:szCs w:val="24"/>
        </w:rPr>
        <w:tab/>
      </w:r>
      <w:r>
        <w:rPr>
          <w:rFonts w:hint="default" w:ascii="Times New Roman" w:hAnsi="Times New Roman" w:eastAsia="宋体" w:cs="Times New Roman"/>
          <w:sz w:val="24"/>
          <w:szCs w:val="24"/>
        </w:rPr>
        <w:t>2</w:t>
      </w:r>
      <w:r>
        <w:rPr>
          <w:rFonts w:hint="eastAsia" w:cs="Times New Roman"/>
          <w:sz w:val="24"/>
          <w:szCs w:val="24"/>
          <w:lang w:val="en-US" w:eastAsia="zh-CN"/>
        </w:rPr>
        <w:t>2</w:t>
      </w:r>
    </w:p>
    <w:p w14:paraId="4CCA8165">
      <w:pPr>
        <w:pStyle w:val="14"/>
        <w:adjustRightInd w:val="0"/>
        <w:snapToGrid w:val="0"/>
        <w:spacing w:line="440" w:lineRule="exact"/>
        <w:jc w:val="left"/>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十一、国有资本经营预算财政拨款收入支出决算表</w:t>
      </w:r>
      <w:r>
        <w:rPr>
          <w:rFonts w:hint="default" w:ascii="Times New Roman" w:hAnsi="Times New Roman" w:eastAsia="宋体" w:cs="Times New Roman"/>
          <w:sz w:val="24"/>
          <w:szCs w:val="24"/>
        </w:rPr>
        <w:tab/>
      </w:r>
      <w:r>
        <w:rPr>
          <w:rFonts w:hint="default" w:ascii="Times New Roman" w:hAnsi="Times New Roman" w:eastAsia="宋体" w:cs="Times New Roman"/>
          <w:sz w:val="24"/>
          <w:szCs w:val="24"/>
        </w:rPr>
        <w:t>2</w:t>
      </w:r>
      <w:r>
        <w:rPr>
          <w:rFonts w:hint="eastAsia" w:cs="Times New Roman"/>
          <w:sz w:val="24"/>
          <w:szCs w:val="24"/>
          <w:lang w:val="en-US" w:eastAsia="zh-CN"/>
        </w:rPr>
        <w:t>2</w:t>
      </w:r>
    </w:p>
    <w:p w14:paraId="7065388F">
      <w:pPr>
        <w:pStyle w:val="14"/>
        <w:adjustRightInd w:val="0"/>
        <w:snapToGrid w:val="0"/>
        <w:spacing w:line="440" w:lineRule="exact"/>
        <w:jc w:val="left"/>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十二、国有资本经营预算财政拨款支出决算表</w:t>
      </w:r>
      <w:r>
        <w:rPr>
          <w:rFonts w:hint="default" w:ascii="Times New Roman" w:hAnsi="Times New Roman" w:eastAsia="宋体" w:cs="Times New Roman"/>
          <w:sz w:val="24"/>
          <w:szCs w:val="24"/>
        </w:rPr>
        <w:tab/>
      </w:r>
      <w:r>
        <w:rPr>
          <w:rFonts w:hint="default" w:ascii="Times New Roman" w:hAnsi="Times New Roman" w:eastAsia="宋体" w:cs="Times New Roman"/>
          <w:sz w:val="24"/>
          <w:szCs w:val="24"/>
        </w:rPr>
        <w:t>2</w:t>
      </w:r>
      <w:r>
        <w:rPr>
          <w:rFonts w:hint="eastAsia" w:cs="Times New Roman"/>
          <w:sz w:val="24"/>
          <w:szCs w:val="24"/>
          <w:lang w:val="en-US" w:eastAsia="zh-CN"/>
        </w:rPr>
        <w:t>2</w:t>
      </w:r>
    </w:p>
    <w:p w14:paraId="59D7FE30">
      <w:pPr>
        <w:pStyle w:val="14"/>
        <w:adjustRightInd w:val="0"/>
        <w:snapToGrid w:val="0"/>
        <w:spacing w:line="440" w:lineRule="exact"/>
        <w:jc w:val="left"/>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十三、财政拨款“三公”经费支出决算表</w:t>
      </w:r>
      <w:r>
        <w:rPr>
          <w:rFonts w:hint="default" w:ascii="Times New Roman" w:hAnsi="Times New Roman" w:eastAsia="宋体" w:cs="Times New Roman"/>
          <w:sz w:val="24"/>
          <w:szCs w:val="24"/>
        </w:rPr>
        <w:tab/>
      </w:r>
      <w:r>
        <w:rPr>
          <w:rFonts w:hint="default" w:ascii="Times New Roman" w:hAnsi="Times New Roman" w:eastAsia="宋体" w:cs="Times New Roman"/>
          <w:sz w:val="24"/>
          <w:szCs w:val="24"/>
        </w:rPr>
        <w:t>2</w:t>
      </w:r>
      <w:r>
        <w:rPr>
          <w:rFonts w:hint="eastAsia" w:cs="Times New Roman"/>
          <w:sz w:val="24"/>
          <w:szCs w:val="24"/>
          <w:lang w:val="en-US" w:eastAsia="zh-CN"/>
        </w:rPr>
        <w:t>2</w:t>
      </w:r>
    </w:p>
    <w:sdt>
      <w:sdtPr>
        <w:rPr>
          <w:rFonts w:hint="default" w:ascii="Times New Roman" w:hAnsi="Times New Roman" w:eastAsia="宋体" w:cs="Times New Roman"/>
          <w:sz w:val="24"/>
          <w:szCs w:val="24"/>
          <w:lang w:val="zh-CN"/>
        </w:rPr>
        <w:id w:val="-1"/>
        <w:showingPlcHdr/>
        <w:docPartObj>
          <w:docPartGallery w:val="Table of Contents"/>
          <w:docPartUnique/>
        </w:docPartObj>
      </w:sdtPr>
      <w:sdtEndPr>
        <w:rPr>
          <w:rFonts w:hint="default" w:ascii="Times New Roman" w:hAnsi="Times New Roman" w:eastAsia="宋体" w:cs="Times New Roman"/>
          <w:color w:val="auto"/>
          <w:kern w:val="2"/>
          <w:sz w:val="24"/>
          <w:szCs w:val="24"/>
          <w:lang w:val="zh-CN"/>
        </w:rPr>
      </w:sdtEndPr>
      <w:sdtContent>
        <w:p w14:paraId="419FEB20">
          <w:pPr>
            <w:pStyle w:val="13"/>
            <w:jc w:val="center"/>
            <w:rPr>
              <w:rFonts w:hint="default" w:ascii="Times New Roman" w:hAnsi="Times New Roman" w:eastAsia="宋体" w:cs="Times New Roman"/>
              <w:sz w:val="24"/>
              <w:szCs w:val="24"/>
            </w:rPr>
          </w:pPr>
        </w:p>
      </w:sdtContent>
    </w:sdt>
    <w:p w14:paraId="6885F055">
      <w:pPr>
        <w:widowControl/>
        <w:spacing w:line="480" w:lineRule="auto"/>
        <w:jc w:val="left"/>
        <w:rPr>
          <w:rFonts w:hint="default" w:ascii="Times New Roman" w:hAnsi="Times New Roman" w:eastAsia="仿宋" w:cs="Times New Roman"/>
          <w:b/>
          <w:bCs/>
          <w:color w:val="000000"/>
          <w:kern w:val="44"/>
          <w:sz w:val="20"/>
          <w:szCs w:val="20"/>
        </w:rPr>
      </w:pPr>
    </w:p>
    <w:p w14:paraId="783228C0">
      <w:pPr>
        <w:widowControl/>
        <w:spacing w:line="440" w:lineRule="exact"/>
        <w:jc w:val="left"/>
        <w:rPr>
          <w:rFonts w:hint="default" w:ascii="Times New Roman" w:hAnsi="Times New Roman" w:eastAsia="仿宋" w:cs="Times New Roman"/>
          <w:bCs/>
          <w:color w:val="000000"/>
          <w:kern w:val="44"/>
          <w:sz w:val="24"/>
        </w:rPr>
      </w:pPr>
    </w:p>
    <w:p w14:paraId="597D825D">
      <w:pPr>
        <w:widowControl/>
        <w:spacing w:line="440" w:lineRule="exact"/>
        <w:jc w:val="left"/>
        <w:rPr>
          <w:rFonts w:hint="default" w:ascii="Times New Roman" w:hAnsi="Times New Roman" w:eastAsia="仿宋" w:cs="Times New Roman"/>
          <w:bCs/>
          <w:color w:val="000000"/>
          <w:kern w:val="44"/>
          <w:sz w:val="24"/>
        </w:rPr>
      </w:pPr>
    </w:p>
    <w:p w14:paraId="35110E48">
      <w:pPr>
        <w:widowControl/>
        <w:spacing w:line="440" w:lineRule="exact"/>
        <w:jc w:val="left"/>
        <w:rPr>
          <w:rFonts w:hint="default" w:ascii="Times New Roman" w:hAnsi="Times New Roman" w:eastAsia="仿宋" w:cs="Times New Roman"/>
          <w:bCs/>
          <w:color w:val="000000"/>
          <w:kern w:val="44"/>
          <w:sz w:val="24"/>
        </w:rPr>
      </w:pPr>
    </w:p>
    <w:p w14:paraId="10C3F448">
      <w:pPr>
        <w:widowControl/>
        <w:spacing w:line="440" w:lineRule="exact"/>
        <w:jc w:val="left"/>
        <w:rPr>
          <w:rFonts w:hint="default" w:ascii="Times New Roman" w:hAnsi="Times New Roman" w:eastAsia="仿宋" w:cs="Times New Roman"/>
          <w:bCs/>
          <w:color w:val="000000"/>
          <w:kern w:val="44"/>
          <w:sz w:val="24"/>
        </w:rPr>
      </w:pPr>
    </w:p>
    <w:p w14:paraId="42EE6127">
      <w:pPr>
        <w:widowControl/>
        <w:spacing w:line="440" w:lineRule="exact"/>
        <w:jc w:val="left"/>
        <w:rPr>
          <w:rFonts w:hint="default" w:ascii="Times New Roman" w:hAnsi="Times New Roman" w:eastAsia="仿宋" w:cs="Times New Roman"/>
          <w:bCs/>
          <w:color w:val="000000"/>
          <w:kern w:val="44"/>
          <w:sz w:val="24"/>
        </w:rPr>
      </w:pPr>
    </w:p>
    <w:p w14:paraId="2907B778">
      <w:pPr>
        <w:widowControl/>
        <w:spacing w:line="440" w:lineRule="exact"/>
        <w:jc w:val="left"/>
        <w:rPr>
          <w:rFonts w:hint="default" w:ascii="Times New Roman" w:hAnsi="Times New Roman" w:eastAsia="仿宋" w:cs="Times New Roman"/>
          <w:bCs/>
          <w:color w:val="000000"/>
          <w:kern w:val="44"/>
          <w:sz w:val="24"/>
        </w:rPr>
      </w:pPr>
    </w:p>
    <w:p w14:paraId="57700000">
      <w:pPr>
        <w:widowControl/>
        <w:spacing w:line="440" w:lineRule="exact"/>
        <w:jc w:val="left"/>
        <w:rPr>
          <w:rFonts w:hint="default" w:ascii="Times New Roman" w:hAnsi="Times New Roman" w:eastAsia="仿宋" w:cs="Times New Roman"/>
          <w:bCs/>
          <w:color w:val="000000"/>
          <w:kern w:val="44"/>
          <w:sz w:val="24"/>
        </w:rPr>
      </w:pPr>
    </w:p>
    <w:p w14:paraId="6B39C303">
      <w:pPr>
        <w:widowControl/>
        <w:spacing w:line="440" w:lineRule="exact"/>
        <w:jc w:val="left"/>
        <w:rPr>
          <w:rFonts w:hint="default" w:ascii="Times New Roman" w:hAnsi="Times New Roman" w:eastAsia="仿宋" w:cs="Times New Roman"/>
          <w:bCs/>
          <w:color w:val="000000"/>
          <w:kern w:val="44"/>
          <w:sz w:val="24"/>
        </w:rPr>
      </w:pPr>
    </w:p>
    <w:p w14:paraId="32D1A8A1">
      <w:pPr>
        <w:widowControl/>
        <w:spacing w:line="440" w:lineRule="exact"/>
        <w:jc w:val="left"/>
        <w:rPr>
          <w:rFonts w:hint="default" w:ascii="Times New Roman" w:hAnsi="Times New Roman" w:eastAsia="仿宋" w:cs="Times New Roman"/>
          <w:bCs/>
          <w:color w:val="000000"/>
          <w:kern w:val="44"/>
          <w:sz w:val="24"/>
        </w:rPr>
      </w:pPr>
    </w:p>
    <w:p w14:paraId="20AF2A45">
      <w:pPr>
        <w:widowControl/>
        <w:spacing w:line="440" w:lineRule="exact"/>
        <w:jc w:val="left"/>
        <w:rPr>
          <w:rFonts w:hint="default" w:ascii="Times New Roman" w:hAnsi="Times New Roman" w:eastAsia="仿宋" w:cs="Times New Roman"/>
          <w:bCs/>
          <w:color w:val="000000"/>
          <w:kern w:val="44"/>
          <w:sz w:val="24"/>
        </w:rPr>
      </w:pPr>
    </w:p>
    <w:p w14:paraId="4B4AA1A4">
      <w:pPr>
        <w:widowControl/>
        <w:spacing w:line="440" w:lineRule="exact"/>
        <w:jc w:val="left"/>
        <w:rPr>
          <w:rFonts w:hint="default" w:ascii="Times New Roman" w:hAnsi="Times New Roman" w:eastAsia="仿宋" w:cs="Times New Roman"/>
          <w:bCs/>
          <w:color w:val="000000"/>
          <w:kern w:val="44"/>
          <w:sz w:val="24"/>
        </w:rPr>
      </w:pPr>
    </w:p>
    <w:p w14:paraId="75C6E7D8">
      <w:pPr>
        <w:widowControl/>
        <w:spacing w:line="440" w:lineRule="exact"/>
        <w:jc w:val="left"/>
        <w:rPr>
          <w:rFonts w:hint="default" w:ascii="Times New Roman" w:hAnsi="Times New Roman" w:eastAsia="仿宋" w:cs="Times New Roman"/>
          <w:bCs/>
          <w:color w:val="000000"/>
          <w:kern w:val="44"/>
          <w:sz w:val="24"/>
        </w:rPr>
      </w:pPr>
    </w:p>
    <w:p w14:paraId="0C6D46EC">
      <w:pPr>
        <w:widowControl/>
        <w:spacing w:line="440" w:lineRule="exact"/>
        <w:jc w:val="left"/>
        <w:rPr>
          <w:rFonts w:hint="default" w:ascii="Times New Roman" w:hAnsi="Times New Roman" w:eastAsia="仿宋" w:cs="Times New Roman"/>
          <w:bCs/>
          <w:color w:val="000000"/>
          <w:kern w:val="44"/>
          <w:sz w:val="24"/>
        </w:rPr>
      </w:pPr>
    </w:p>
    <w:p w14:paraId="59C18A55">
      <w:pPr>
        <w:pStyle w:val="4"/>
        <w:jc w:val="center"/>
        <w:rPr>
          <w:rFonts w:hint="default" w:ascii="Times New Roman" w:hAnsi="Times New Roman" w:eastAsia="黑体" w:cs="Times New Roman"/>
          <w:b w:val="0"/>
          <w:color w:val="000000"/>
        </w:rPr>
      </w:pPr>
    </w:p>
    <w:p w14:paraId="30EDF7A4">
      <w:pPr>
        <w:rPr>
          <w:rFonts w:hint="default" w:ascii="Times New Roman" w:hAnsi="Times New Roman" w:cs="Times New Roman"/>
          <w:color w:val="000000"/>
        </w:rPr>
      </w:pPr>
    </w:p>
    <w:p w14:paraId="1D179D51">
      <w:pPr>
        <w:rPr>
          <w:rFonts w:hint="default" w:ascii="Times New Roman" w:hAnsi="Times New Roman" w:cs="Times New Roman"/>
          <w:color w:val="000000"/>
        </w:rPr>
      </w:pPr>
    </w:p>
    <w:p w14:paraId="113E8099">
      <w:pPr>
        <w:rPr>
          <w:rFonts w:hint="default" w:ascii="Times New Roman" w:hAnsi="Times New Roman" w:cs="Times New Roman"/>
          <w:color w:val="000000"/>
        </w:rPr>
      </w:pPr>
    </w:p>
    <w:p w14:paraId="4A067CC2">
      <w:pPr>
        <w:pStyle w:val="4"/>
        <w:jc w:val="center"/>
        <w:rPr>
          <w:rFonts w:hint="default" w:ascii="Times New Roman" w:hAnsi="Times New Roman" w:eastAsia="宋体" w:cs="Times New Roman"/>
          <w:b/>
          <w:bCs w:val="0"/>
          <w:color w:val="000000"/>
          <w:sz w:val="48"/>
          <w:szCs w:val="48"/>
        </w:rPr>
      </w:pPr>
    </w:p>
    <w:p w14:paraId="62EA6F5C">
      <w:pPr>
        <w:pStyle w:val="4"/>
        <w:jc w:val="center"/>
        <w:rPr>
          <w:rStyle w:val="20"/>
          <w:rFonts w:hint="default" w:ascii="Times New Roman" w:hAnsi="Times New Roman" w:eastAsia="宋体" w:cs="Times New Roman"/>
          <w:b/>
          <w:bCs w:val="0"/>
          <w:color w:val="000000"/>
          <w:sz w:val="48"/>
          <w:szCs w:val="48"/>
        </w:rPr>
      </w:pPr>
      <w:r>
        <w:rPr>
          <w:rFonts w:hint="default" w:ascii="Times New Roman" w:hAnsi="Times New Roman" w:eastAsia="宋体" w:cs="Times New Roman"/>
          <w:b/>
          <w:bCs w:val="0"/>
          <w:color w:val="000000"/>
          <w:sz w:val="48"/>
          <w:szCs w:val="48"/>
        </w:rPr>
        <w:t xml:space="preserve">第一部分 </w:t>
      </w:r>
      <w:r>
        <w:rPr>
          <w:rStyle w:val="20"/>
          <w:rFonts w:hint="default" w:ascii="Times New Roman" w:hAnsi="Times New Roman" w:eastAsia="宋体" w:cs="Times New Roman"/>
          <w:b/>
          <w:bCs w:val="0"/>
          <w:color w:val="000000"/>
          <w:sz w:val="48"/>
          <w:szCs w:val="48"/>
        </w:rPr>
        <w:t>单位概况</w:t>
      </w:r>
      <w:bookmarkEnd w:id="12"/>
      <w:bookmarkEnd w:id="13"/>
    </w:p>
    <w:p w14:paraId="099E032C">
      <w:pPr>
        <w:pStyle w:val="5"/>
        <w:pageBreakBefore w:val="0"/>
        <w:widowControl w:val="0"/>
        <w:kinsoku/>
        <w:wordWrap/>
        <w:overflowPunct/>
        <w:topLinePunct w:val="0"/>
        <w:autoSpaceDE/>
        <w:autoSpaceDN/>
        <w:bidi w:val="0"/>
        <w:spacing w:before="0" w:after="0"/>
        <w:textAlignment w:val="auto"/>
        <w:rPr>
          <w:rStyle w:val="21"/>
          <w:rFonts w:hint="default" w:ascii="Times New Roman" w:hAnsi="Times New Roman" w:eastAsia="宋体" w:cs="Times New Roman"/>
          <w:b w:val="0"/>
          <w:bCs w:val="0"/>
          <w:color w:val="000000"/>
          <w:sz w:val="36"/>
          <w:szCs w:val="36"/>
          <w:lang w:eastAsia="zh-CN"/>
        </w:rPr>
      </w:pPr>
      <w:bookmarkStart w:id="14" w:name="_Toc15396600"/>
      <w:bookmarkStart w:id="15" w:name="_Toc15377197"/>
      <w:r>
        <w:rPr>
          <w:rFonts w:hint="default" w:ascii="Times New Roman" w:hAnsi="Times New Roman" w:eastAsia="宋体" w:cs="Times New Roman"/>
          <w:b/>
          <w:bCs w:val="0"/>
          <w:color w:val="000000"/>
          <w:sz w:val="36"/>
          <w:szCs w:val="36"/>
        </w:rPr>
        <w:t>一、</w:t>
      </w:r>
      <w:bookmarkEnd w:id="14"/>
      <w:bookmarkEnd w:id="15"/>
      <w:r>
        <w:rPr>
          <w:rFonts w:hint="default" w:ascii="Times New Roman" w:hAnsi="Times New Roman" w:eastAsia="宋体" w:cs="Times New Roman"/>
          <w:b/>
          <w:bCs w:val="0"/>
          <w:color w:val="000000"/>
          <w:sz w:val="36"/>
          <w:szCs w:val="36"/>
          <w:lang w:eastAsia="zh-CN"/>
        </w:rPr>
        <w:t>主要职责</w:t>
      </w:r>
    </w:p>
    <w:p w14:paraId="5328411A">
      <w:pPr>
        <w:pStyle w:val="5"/>
        <w:pageBreakBefore w:val="0"/>
        <w:widowControl w:val="0"/>
        <w:kinsoku/>
        <w:wordWrap/>
        <w:overflowPunct/>
        <w:topLinePunct w:val="0"/>
        <w:autoSpaceDE/>
        <w:autoSpaceDN/>
        <w:bidi w:val="0"/>
        <w:spacing w:before="0" w:after="0"/>
        <w:textAlignment w:val="auto"/>
        <w:rPr>
          <w:rFonts w:hint="default" w:ascii="Times New Roman" w:hAnsi="Times New Roman" w:eastAsia="宋体" w:cs="Times New Roman"/>
          <w:b/>
          <w:bCs w:val="0"/>
          <w:color w:val="000000"/>
          <w:sz w:val="36"/>
          <w:szCs w:val="36"/>
          <w:lang w:eastAsia="zh-CN"/>
        </w:rPr>
      </w:pPr>
      <w:bookmarkStart w:id="16" w:name="_Toc15378445"/>
      <w:bookmarkStart w:id="17" w:name="_Toc15377198"/>
      <w:r>
        <w:rPr>
          <w:rFonts w:hint="default" w:ascii="Times New Roman" w:hAnsi="Times New Roman" w:eastAsia="宋体" w:cs="Times New Roman"/>
          <w:b/>
          <w:bCs w:val="0"/>
          <w:color w:val="000000"/>
          <w:sz w:val="24"/>
          <w:szCs w:val="24"/>
        </w:rPr>
        <w:t>（一）主要职能</w:t>
      </w:r>
    </w:p>
    <w:bookmarkEnd w:id="16"/>
    <w:bookmarkEnd w:id="17"/>
    <w:p w14:paraId="0F33E367">
      <w:pPr>
        <w:keepNext w:val="0"/>
        <w:keepLines w:val="0"/>
        <w:pageBreakBefore w:val="0"/>
        <w:widowControl w:val="0"/>
        <w:kinsoku/>
        <w:wordWrap/>
        <w:overflowPunct/>
        <w:topLinePunct w:val="0"/>
        <w:autoSpaceDE/>
        <w:autoSpaceDN/>
        <w:bidi w:val="0"/>
        <w:adjustRightInd/>
        <w:snapToGrid/>
        <w:spacing w:line="560" w:lineRule="exact"/>
        <w:ind w:firstLine="0"/>
        <w:textAlignment w:val="auto"/>
        <w:rPr>
          <w:rFonts w:hint="default" w:ascii="Times New Roman" w:hAnsi="Times New Roman" w:eastAsia="宋体" w:cs="Times New Roman"/>
          <w:color w:val="000000"/>
          <w:sz w:val="24"/>
          <w:szCs w:val="24"/>
        </w:rPr>
      </w:pPr>
      <w:bookmarkStart w:id="18" w:name="_Toc15378446"/>
      <w:bookmarkStart w:id="19" w:name="_Toc15377199"/>
      <w:r>
        <w:rPr>
          <w:rFonts w:hint="default" w:ascii="Times New Roman" w:hAnsi="Times New Roman" w:eastAsia="宋体" w:cs="Times New Roman"/>
          <w:color w:val="000000"/>
          <w:sz w:val="24"/>
          <w:szCs w:val="24"/>
        </w:rPr>
        <w:t>1.深入贯彻党的路线方针政策和决策部署，统一政法各部门思想和行动，坚持党对政法工作的绝对领导，坚决维护党中央权威和集中统一领导。</w:t>
      </w:r>
    </w:p>
    <w:p w14:paraId="0AFF08E2">
      <w:pPr>
        <w:keepNext w:val="0"/>
        <w:keepLines w:val="0"/>
        <w:pageBreakBefore w:val="0"/>
        <w:widowControl w:val="0"/>
        <w:kinsoku/>
        <w:wordWrap/>
        <w:overflowPunct/>
        <w:topLinePunct w:val="0"/>
        <w:autoSpaceDE/>
        <w:autoSpaceDN/>
        <w:bidi w:val="0"/>
        <w:adjustRightInd/>
        <w:snapToGrid/>
        <w:spacing w:line="560" w:lineRule="exact"/>
        <w:ind w:firstLine="0"/>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2.深入贯彻党中央决定和省委、州委决策，对政法工作提出全局性部署，推进平安阿坝建设、法治阿坝建设，加强过硬队伍建设，深化智能化建设。</w:t>
      </w:r>
    </w:p>
    <w:p w14:paraId="598BB45E">
      <w:pPr>
        <w:keepNext w:val="0"/>
        <w:keepLines w:val="0"/>
        <w:pageBreakBefore w:val="0"/>
        <w:widowControl w:val="0"/>
        <w:kinsoku/>
        <w:wordWrap/>
        <w:overflowPunct/>
        <w:topLinePunct w:val="0"/>
        <w:autoSpaceDE/>
        <w:autoSpaceDN/>
        <w:bidi w:val="0"/>
        <w:adjustRightInd/>
        <w:snapToGrid/>
        <w:spacing w:line="560" w:lineRule="exact"/>
        <w:ind w:firstLine="0"/>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3.组织开展政法领域的调查研究，研究拟订全州政法工作的政策措施，及时向州委提出建议。参与有关民族自治法规、地方性法规和规章的起草、修改工作，及时提出立法建议。</w:t>
      </w:r>
    </w:p>
    <w:p w14:paraId="6A8AE7BD">
      <w:pPr>
        <w:keepNext w:val="0"/>
        <w:keepLines w:val="0"/>
        <w:pageBreakBefore w:val="0"/>
        <w:widowControl w:val="0"/>
        <w:kinsoku/>
        <w:wordWrap/>
        <w:overflowPunct/>
        <w:topLinePunct w:val="0"/>
        <w:autoSpaceDE/>
        <w:autoSpaceDN/>
        <w:bidi w:val="0"/>
        <w:adjustRightInd/>
        <w:snapToGrid/>
        <w:spacing w:line="560" w:lineRule="exact"/>
        <w:ind w:firstLine="0"/>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4.掌握分析政法舆情动态，指导协调政法部门媒体网络宣传工作，指导政法部门做好涉及政法工作的重大宣传和舆论引导工作。</w:t>
      </w:r>
    </w:p>
    <w:p w14:paraId="41287C4F">
      <w:pPr>
        <w:keepNext w:val="0"/>
        <w:keepLines w:val="0"/>
        <w:pageBreakBefore w:val="0"/>
        <w:widowControl w:val="0"/>
        <w:kinsoku/>
        <w:wordWrap/>
        <w:overflowPunct/>
        <w:topLinePunct w:val="0"/>
        <w:autoSpaceDE/>
        <w:autoSpaceDN/>
        <w:bidi w:val="0"/>
        <w:adjustRightInd/>
        <w:snapToGrid/>
        <w:spacing w:line="560" w:lineRule="exact"/>
        <w:ind w:firstLine="0"/>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5.监督和支持政法各部门依法行使职权，指导和协调政法各部门密切配合，研究和协调重大、疑难案件，推进严格执法、公正司法。</w:t>
      </w:r>
    </w:p>
    <w:p w14:paraId="1061CB50">
      <w:pPr>
        <w:keepNext w:val="0"/>
        <w:keepLines w:val="0"/>
        <w:pageBreakBefore w:val="0"/>
        <w:widowControl w:val="0"/>
        <w:kinsoku/>
        <w:wordWrap/>
        <w:overflowPunct/>
        <w:topLinePunct w:val="0"/>
        <w:autoSpaceDE/>
        <w:autoSpaceDN/>
        <w:bidi w:val="0"/>
        <w:adjustRightInd/>
        <w:snapToGrid/>
        <w:spacing w:line="560" w:lineRule="exact"/>
        <w:ind w:firstLine="0"/>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6.组织研究政法改革工作中带有方向性、倾向性和普遍性的重大问题，深化政法改革。</w:t>
      </w:r>
    </w:p>
    <w:p w14:paraId="34A2C0A7">
      <w:pPr>
        <w:keepNext w:val="0"/>
        <w:keepLines w:val="0"/>
        <w:pageBreakBefore w:val="0"/>
        <w:widowControl w:val="0"/>
        <w:kinsoku/>
        <w:wordWrap/>
        <w:overflowPunct/>
        <w:topLinePunct w:val="0"/>
        <w:autoSpaceDE/>
        <w:autoSpaceDN/>
        <w:bidi w:val="0"/>
        <w:adjustRightInd/>
        <w:snapToGrid/>
        <w:spacing w:line="560" w:lineRule="exact"/>
        <w:ind w:firstLine="0"/>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7.指导推动政法系统党的建设和政法队伍建设，协同州级有关部门管理监督政法领导干部，代管阿坝州法学会。</w:t>
      </w:r>
    </w:p>
    <w:p w14:paraId="57B0AFA9">
      <w:pPr>
        <w:keepNext w:val="0"/>
        <w:keepLines w:val="0"/>
        <w:pageBreakBefore w:val="0"/>
        <w:widowControl w:val="0"/>
        <w:kinsoku/>
        <w:wordWrap/>
        <w:overflowPunct/>
        <w:topLinePunct w:val="0"/>
        <w:autoSpaceDE/>
        <w:autoSpaceDN/>
        <w:bidi w:val="0"/>
        <w:adjustRightInd/>
        <w:snapToGrid/>
        <w:spacing w:line="560" w:lineRule="exact"/>
        <w:ind w:firstLine="0"/>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8.完成州委交办的其他任务。</w:t>
      </w:r>
    </w:p>
    <w:p w14:paraId="1F02ED5D">
      <w:pPr>
        <w:pStyle w:val="2"/>
        <w:keepNext w:val="0"/>
        <w:keepLines w:val="0"/>
        <w:pageBreakBefore w:val="0"/>
        <w:widowControl w:val="0"/>
        <w:kinsoku/>
        <w:wordWrap/>
        <w:overflowPunct/>
        <w:topLinePunct w:val="0"/>
        <w:autoSpaceDE/>
        <w:autoSpaceDN/>
        <w:bidi w:val="0"/>
        <w:adjustRightInd w:val="0"/>
        <w:snapToGrid w:val="0"/>
        <w:spacing w:before="0" w:beforeLines="0" w:line="600" w:lineRule="exact"/>
        <w:ind w:firstLine="0" w:firstLineChars="0"/>
        <w:textAlignment w:val="auto"/>
        <w:outlineLvl w:val="2"/>
        <w:rPr>
          <w:rFonts w:hint="default" w:ascii="Times New Roman" w:hAnsi="Times New Roman" w:eastAsia="宋体" w:cs="Times New Roman"/>
          <w:b/>
          <w:bCs w:val="0"/>
          <w:color w:val="000000"/>
          <w:sz w:val="24"/>
          <w:szCs w:val="24"/>
        </w:rPr>
      </w:pPr>
      <w:r>
        <w:rPr>
          <w:rFonts w:hint="default" w:ascii="Times New Roman" w:hAnsi="Times New Roman" w:eastAsia="宋体" w:cs="Times New Roman"/>
          <w:b/>
          <w:bCs w:val="0"/>
          <w:color w:val="000000"/>
          <w:sz w:val="24"/>
          <w:szCs w:val="24"/>
        </w:rPr>
        <w:t>（二）202</w:t>
      </w:r>
      <w:r>
        <w:rPr>
          <w:rFonts w:hint="default" w:ascii="Times New Roman" w:hAnsi="Times New Roman" w:eastAsia="宋体" w:cs="Times New Roman"/>
          <w:b/>
          <w:bCs w:val="0"/>
          <w:color w:val="000000"/>
          <w:sz w:val="24"/>
          <w:szCs w:val="24"/>
          <w:lang w:val="en-US" w:eastAsia="zh-CN"/>
        </w:rPr>
        <w:t>2</w:t>
      </w:r>
      <w:r>
        <w:rPr>
          <w:rFonts w:hint="default" w:ascii="Times New Roman" w:hAnsi="Times New Roman" w:eastAsia="宋体" w:cs="Times New Roman"/>
          <w:b/>
          <w:bCs w:val="0"/>
          <w:color w:val="000000"/>
          <w:sz w:val="24"/>
          <w:szCs w:val="24"/>
        </w:rPr>
        <w:t>年重点工作完成情况</w:t>
      </w:r>
    </w:p>
    <w:bookmarkEnd w:id="18"/>
    <w:bookmarkEnd w:id="19"/>
    <w:p w14:paraId="14255E77">
      <w:pPr>
        <w:pStyle w:val="2"/>
        <w:keepNext w:val="0"/>
        <w:keepLines w:val="0"/>
        <w:pageBreakBefore w:val="0"/>
        <w:widowControl w:val="0"/>
        <w:kinsoku/>
        <w:wordWrap/>
        <w:overflowPunct/>
        <w:topLinePunct w:val="0"/>
        <w:autoSpaceDE/>
        <w:autoSpaceDN/>
        <w:bidi w:val="0"/>
        <w:adjustRightInd w:val="0"/>
        <w:snapToGrid w:val="0"/>
        <w:spacing w:before="0" w:beforeLines="0" w:line="600" w:lineRule="exact"/>
        <w:ind w:firstLine="0" w:firstLineChars="0"/>
        <w:textAlignment w:val="auto"/>
        <w:outlineLvl w:val="2"/>
        <w:rPr>
          <w:rFonts w:hint="default" w:ascii="Times New Roman" w:hAnsi="Times New Roman" w:eastAsia="宋体" w:cs="Times New Roman"/>
          <w:b/>
          <w:bCs w:val="0"/>
          <w:color w:val="000000"/>
          <w:sz w:val="24"/>
          <w:szCs w:val="24"/>
        </w:rPr>
      </w:pPr>
      <w:bookmarkStart w:id="20" w:name="_Toc15396601"/>
      <w:bookmarkStart w:id="21" w:name="_Toc15377200"/>
      <w:r>
        <w:rPr>
          <w:rFonts w:hint="default" w:ascii="Times New Roman" w:hAnsi="Times New Roman" w:eastAsia="宋体" w:cs="Times New Roman"/>
          <w:b/>
          <w:bCs w:val="0"/>
          <w:color w:val="000000"/>
          <w:sz w:val="24"/>
          <w:szCs w:val="24"/>
        </w:rPr>
        <w:t>1.聚焦聚力政治建设，忠诚铸魂。一是“政治三力”大提升，筑牢政治忠诚根基；二是理论素养大提升，稳步提高干警素质能力；三是组织能力大提升，全面加强党的绝对领导；四是纪律作风大提升，全面深化从严管党治警；五制度体系大提升，高效推动管理运行模式。</w:t>
      </w:r>
    </w:p>
    <w:p w14:paraId="4AA7241D">
      <w:pPr>
        <w:pStyle w:val="2"/>
        <w:keepNext w:val="0"/>
        <w:keepLines w:val="0"/>
        <w:pageBreakBefore w:val="0"/>
        <w:widowControl w:val="0"/>
        <w:kinsoku/>
        <w:wordWrap/>
        <w:overflowPunct/>
        <w:topLinePunct w:val="0"/>
        <w:autoSpaceDE/>
        <w:autoSpaceDN/>
        <w:bidi w:val="0"/>
        <w:adjustRightInd w:val="0"/>
        <w:snapToGrid w:val="0"/>
        <w:spacing w:before="0" w:beforeLines="0" w:line="600" w:lineRule="exact"/>
        <w:ind w:firstLine="0" w:firstLineChars="0"/>
        <w:textAlignment w:val="auto"/>
        <w:outlineLvl w:val="2"/>
        <w:rPr>
          <w:rFonts w:hint="default" w:ascii="Times New Roman" w:hAnsi="Times New Roman" w:eastAsia="宋体" w:cs="Times New Roman"/>
          <w:b/>
          <w:bCs w:val="0"/>
          <w:color w:val="000000"/>
          <w:sz w:val="24"/>
          <w:szCs w:val="24"/>
        </w:rPr>
      </w:pPr>
      <w:r>
        <w:rPr>
          <w:rFonts w:hint="default" w:ascii="Times New Roman" w:hAnsi="Times New Roman" w:eastAsia="宋体" w:cs="Times New Roman"/>
          <w:b/>
          <w:bCs w:val="0"/>
          <w:color w:val="000000"/>
          <w:sz w:val="24"/>
          <w:szCs w:val="24"/>
        </w:rPr>
        <w:t>2.聚焦聚力维稳首责，恪守安全。</w:t>
      </w:r>
    </w:p>
    <w:p w14:paraId="1B090A67">
      <w:pPr>
        <w:pStyle w:val="2"/>
        <w:keepNext w:val="0"/>
        <w:keepLines w:val="0"/>
        <w:pageBreakBefore w:val="0"/>
        <w:widowControl w:val="0"/>
        <w:kinsoku/>
        <w:wordWrap/>
        <w:overflowPunct/>
        <w:topLinePunct w:val="0"/>
        <w:autoSpaceDE/>
        <w:autoSpaceDN/>
        <w:bidi w:val="0"/>
        <w:adjustRightInd w:val="0"/>
        <w:snapToGrid w:val="0"/>
        <w:spacing w:before="0" w:beforeLines="0" w:line="600" w:lineRule="exact"/>
        <w:ind w:firstLine="0" w:firstLineChars="0"/>
        <w:textAlignment w:val="auto"/>
        <w:outlineLvl w:val="2"/>
        <w:rPr>
          <w:rFonts w:hint="default" w:ascii="Times New Roman" w:hAnsi="Times New Roman" w:eastAsia="宋体" w:cs="Times New Roman"/>
          <w:b/>
          <w:bCs w:val="0"/>
          <w:color w:val="000000"/>
          <w:sz w:val="24"/>
          <w:szCs w:val="24"/>
        </w:rPr>
      </w:pPr>
      <w:r>
        <w:rPr>
          <w:rFonts w:hint="default" w:ascii="Times New Roman" w:hAnsi="Times New Roman" w:eastAsia="宋体" w:cs="Times New Roman"/>
          <w:b/>
          <w:bCs w:val="0"/>
          <w:color w:val="000000"/>
          <w:sz w:val="24"/>
          <w:szCs w:val="24"/>
        </w:rPr>
        <w:t>3.聚焦聚力平安建设，守护公平。一是加速构建平安阿坝建设暨州域社会治理工作格局；二是突出效能提升，网格化管理实现新发展；三是加强矛盾纠纷排查化解管控。</w:t>
      </w:r>
    </w:p>
    <w:p w14:paraId="1492916F">
      <w:pPr>
        <w:pStyle w:val="5"/>
        <w:pageBreakBefore w:val="0"/>
        <w:widowControl w:val="0"/>
        <w:kinsoku/>
        <w:wordWrap/>
        <w:overflowPunct/>
        <w:topLinePunct w:val="0"/>
        <w:autoSpaceDE/>
        <w:autoSpaceDN/>
        <w:bidi w:val="0"/>
        <w:spacing w:before="0" w:after="0"/>
        <w:textAlignment w:val="auto"/>
        <w:rPr>
          <w:rFonts w:hint="default" w:ascii="Times New Roman" w:hAnsi="Times New Roman" w:eastAsia="宋体" w:cs="Times New Roman"/>
          <w:b/>
          <w:bCs w:val="0"/>
          <w:color w:val="000000"/>
          <w:sz w:val="36"/>
          <w:szCs w:val="36"/>
          <w:lang w:eastAsia="zh-CN"/>
        </w:rPr>
      </w:pPr>
    </w:p>
    <w:p w14:paraId="115E94CA">
      <w:pPr>
        <w:pStyle w:val="5"/>
        <w:pageBreakBefore w:val="0"/>
        <w:widowControl w:val="0"/>
        <w:kinsoku/>
        <w:wordWrap/>
        <w:overflowPunct/>
        <w:topLinePunct w:val="0"/>
        <w:autoSpaceDE/>
        <w:autoSpaceDN/>
        <w:bidi w:val="0"/>
        <w:spacing w:before="0" w:after="0"/>
        <w:textAlignment w:val="auto"/>
        <w:rPr>
          <w:rFonts w:hint="default" w:ascii="Times New Roman" w:hAnsi="Times New Roman" w:eastAsia="宋体" w:cs="Times New Roman"/>
          <w:b/>
          <w:bCs w:val="0"/>
          <w:color w:val="000000"/>
          <w:sz w:val="36"/>
          <w:szCs w:val="36"/>
          <w:lang w:eastAsia="zh-CN"/>
        </w:rPr>
      </w:pPr>
      <w:r>
        <w:rPr>
          <w:rFonts w:hint="default" w:ascii="Times New Roman" w:hAnsi="Times New Roman" w:eastAsia="宋体" w:cs="Times New Roman"/>
          <w:b/>
          <w:bCs w:val="0"/>
          <w:color w:val="000000"/>
          <w:sz w:val="36"/>
          <w:szCs w:val="36"/>
          <w:lang w:eastAsia="zh-CN"/>
        </w:rPr>
        <w:t>二、机构设置</w:t>
      </w:r>
      <w:bookmarkEnd w:id="20"/>
      <w:bookmarkEnd w:id="21"/>
    </w:p>
    <w:p w14:paraId="12DEDE5C">
      <w:pPr>
        <w:keepNext w:val="0"/>
        <w:keepLines w:val="0"/>
        <w:pageBreakBefore w:val="0"/>
        <w:widowControl w:val="0"/>
        <w:kinsoku/>
        <w:wordWrap/>
        <w:overflowPunct/>
        <w:topLinePunct w:val="0"/>
        <w:autoSpaceDE/>
        <w:autoSpaceDN/>
        <w:bidi w:val="0"/>
        <w:adjustRightInd/>
        <w:snapToGrid/>
        <w:spacing w:line="600" w:lineRule="exact"/>
        <w:ind w:firstLine="480" w:firstLineChars="200"/>
        <w:jc w:val="both"/>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州委政法委属一级预算单位，无下属二级预算单位。内设办公室、州委维护稳定指挥部办公室、维稳指导科、综治督导科、基层社会治理科、矛盾多元化解指导科、法治与执法监督科、宣传科、政治部、组织建设科、纪律作风建设科。行政编制22名，工勤编制8名；在职人员总数29人，其中行政人员21人，机关工勤人员8人。</w:t>
      </w:r>
    </w:p>
    <w:p w14:paraId="301E373E">
      <w:pPr>
        <w:widowControl/>
        <w:jc w:val="left"/>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sz w:val="24"/>
          <w:szCs w:val="24"/>
        </w:rPr>
        <w:br w:type="page"/>
      </w:r>
    </w:p>
    <w:p w14:paraId="0719EF33">
      <w:pPr>
        <w:pStyle w:val="4"/>
        <w:ind w:right="440"/>
        <w:jc w:val="center"/>
        <w:rPr>
          <w:rStyle w:val="20"/>
          <w:rFonts w:hint="default" w:ascii="Times New Roman" w:hAnsi="Times New Roman" w:eastAsia="宋体" w:cs="Times New Roman"/>
          <w:b/>
          <w:bCs w:val="0"/>
          <w:color w:val="000000"/>
          <w:sz w:val="48"/>
          <w:szCs w:val="48"/>
        </w:rPr>
      </w:pPr>
      <w:bookmarkStart w:id="22" w:name="_Toc15377204"/>
      <w:bookmarkStart w:id="23" w:name="_Toc15396602"/>
      <w:r>
        <w:rPr>
          <w:rFonts w:hint="default" w:ascii="Times New Roman" w:hAnsi="Times New Roman" w:eastAsia="宋体" w:cs="Times New Roman"/>
          <w:b/>
          <w:bCs w:val="0"/>
          <w:color w:val="000000"/>
          <w:sz w:val="48"/>
          <w:szCs w:val="48"/>
        </w:rPr>
        <w:t xml:space="preserve">第二部分 </w:t>
      </w:r>
      <w:r>
        <w:rPr>
          <w:rStyle w:val="20"/>
          <w:rFonts w:hint="default" w:ascii="Times New Roman" w:hAnsi="Times New Roman" w:eastAsia="宋体" w:cs="Times New Roman"/>
          <w:b/>
          <w:bCs w:val="0"/>
          <w:color w:val="000000"/>
          <w:sz w:val="48"/>
          <w:szCs w:val="48"/>
        </w:rPr>
        <w:t>202</w:t>
      </w:r>
      <w:r>
        <w:rPr>
          <w:rStyle w:val="20"/>
          <w:rFonts w:hint="default" w:ascii="Times New Roman" w:hAnsi="Times New Roman" w:eastAsia="宋体" w:cs="Times New Roman"/>
          <w:b/>
          <w:bCs w:val="0"/>
          <w:color w:val="000000"/>
          <w:sz w:val="48"/>
          <w:szCs w:val="48"/>
          <w:lang w:val="en-US"/>
        </w:rPr>
        <w:t>2</w:t>
      </w:r>
      <w:r>
        <w:rPr>
          <w:rStyle w:val="20"/>
          <w:rFonts w:hint="default" w:ascii="Times New Roman" w:hAnsi="Times New Roman" w:eastAsia="宋体" w:cs="Times New Roman"/>
          <w:b/>
          <w:bCs w:val="0"/>
          <w:color w:val="000000"/>
          <w:sz w:val="48"/>
          <w:szCs w:val="48"/>
        </w:rPr>
        <w:t>年度部门决算情况说明</w:t>
      </w:r>
      <w:bookmarkEnd w:id="22"/>
      <w:bookmarkEnd w:id="23"/>
    </w:p>
    <w:p w14:paraId="7245EE5B">
      <w:pPr>
        <w:pStyle w:val="15"/>
        <w:keepNext w:val="0"/>
        <w:keepLines w:val="0"/>
        <w:pageBreakBefore w:val="0"/>
        <w:suppressLineNumbers w:val="0"/>
        <w:pBdr>
          <w:top w:val="none" w:color="auto" w:sz="0" w:space="0"/>
          <w:left w:val="none" w:color="auto" w:sz="0" w:space="0"/>
          <w:bottom w:val="none" w:color="auto" w:sz="0" w:space="0"/>
          <w:right w:val="none" w:color="auto" w:sz="0" w:space="0"/>
        </w:pBdr>
        <w:shd w:val="clear" w:color="auto" w:fill="FFFFFF"/>
        <w:suppressAutoHyphens w:val="0"/>
        <w:kinsoku/>
        <w:wordWrap/>
        <w:overflowPunct/>
        <w:topLinePunct w:val="0"/>
        <w:autoSpaceDE/>
        <w:autoSpaceDN/>
        <w:bidi w:val="0"/>
        <w:adjustRightInd/>
        <w:snapToGrid/>
        <w:spacing w:before="0" w:beforeAutospacing="0" w:line="240" w:lineRule="auto"/>
        <w:ind w:left="0" w:right="0" w:firstLine="0"/>
        <w:jc w:val="left"/>
        <w:textAlignment w:val="auto"/>
        <w:outlineLvl w:val="9"/>
        <w:rPr>
          <w:rFonts w:hint="default" w:ascii="Times New Roman" w:hAnsi="Times New Roman" w:eastAsia="宋体" w:cs="Times New Roman"/>
          <w:color w:val="000000"/>
          <w:sz w:val="24"/>
          <w:szCs w:val="24"/>
        </w:rPr>
      </w:pPr>
    </w:p>
    <w:p w14:paraId="2CC0BBA5">
      <w:pPr>
        <w:pStyle w:val="15"/>
        <w:keepNext w:val="0"/>
        <w:keepLines w:val="0"/>
        <w:pageBreakBefore w:val="0"/>
        <w:suppressLineNumbers w:val="0"/>
        <w:pBdr>
          <w:top w:val="none" w:color="auto" w:sz="0" w:space="0"/>
          <w:left w:val="none" w:color="auto" w:sz="0" w:space="0"/>
          <w:bottom w:val="none" w:color="auto" w:sz="0" w:space="0"/>
          <w:right w:val="none" w:color="auto" w:sz="0" w:space="0"/>
        </w:pBdr>
        <w:shd w:val="clear" w:color="auto" w:fill="FFFFFF"/>
        <w:suppressAutoHyphens w:val="0"/>
        <w:kinsoku/>
        <w:wordWrap/>
        <w:overflowPunct/>
        <w:topLinePunct w:val="0"/>
        <w:autoSpaceDE/>
        <w:autoSpaceDN/>
        <w:bidi w:val="0"/>
        <w:adjustRightInd/>
        <w:snapToGrid/>
        <w:spacing w:before="0" w:beforeAutospacing="0" w:line="240" w:lineRule="auto"/>
        <w:ind w:left="0" w:right="0" w:firstLine="0"/>
        <w:jc w:val="left"/>
        <w:textAlignment w:val="auto"/>
        <w:outlineLvl w:val="9"/>
        <w:rPr>
          <w:rFonts w:hint="default" w:ascii="Times New Roman" w:hAnsi="Times New Roman" w:eastAsia="宋体" w:cs="Times New Roman"/>
          <w:snapToGrid/>
          <w:color w:val="auto"/>
          <w:spacing w:val="0"/>
          <w:w w:val="100"/>
          <w:position w:val="0"/>
          <w:szCs w:val="21"/>
          <w:u w:val="none" w:color="auto"/>
          <w:vertAlign w:val="baseline"/>
        </w:rPr>
      </w:pPr>
      <w:bookmarkStart w:id="24" w:name="_Toc15396603"/>
      <w:bookmarkStart w:id="25" w:name="_Toc15377205"/>
      <w:r>
        <w:rPr>
          <w:rFonts w:hint="default" w:ascii="Times New Roman" w:hAnsi="Times New Roman" w:eastAsia="宋体" w:cs="Times New Roman"/>
          <w:snapToGrid/>
          <w:color w:val="auto"/>
          <w:spacing w:val="0"/>
          <w:w w:val="100"/>
          <w:position w:val="0"/>
          <w:szCs w:val="21"/>
          <w:u w:val="none" w:color="auto"/>
          <w:vertAlign w:val="baseline"/>
          <w:lang w:eastAsia="zh-CN"/>
        </w:rPr>
        <w:t>一、</w:t>
      </w:r>
      <w:r>
        <w:rPr>
          <w:rFonts w:hint="default" w:ascii="Times New Roman" w:hAnsi="Times New Roman" w:eastAsia="宋体" w:cs="Times New Roman"/>
          <w:snapToGrid/>
          <w:color w:val="auto"/>
          <w:spacing w:val="0"/>
          <w:w w:val="100"/>
          <w:position w:val="0"/>
          <w:szCs w:val="21"/>
          <w:u w:val="none" w:color="auto"/>
          <w:vertAlign w:val="baseline"/>
        </w:rPr>
        <w:t>收入支出决算总体情况说明</w:t>
      </w:r>
      <w:bookmarkEnd w:id="24"/>
      <w:bookmarkEnd w:id="25"/>
    </w:p>
    <w:p w14:paraId="1CF799A1">
      <w:pPr>
        <w:keepNext w:val="0"/>
        <w:keepLines w:val="0"/>
        <w:pageBreakBefore w:val="0"/>
        <w:widowControl w:val="0"/>
        <w:kinsoku/>
        <w:wordWrap/>
        <w:overflowPunct/>
        <w:topLinePunct w:val="0"/>
        <w:autoSpaceDE/>
        <w:autoSpaceDN/>
        <w:bidi w:val="0"/>
        <w:adjustRightInd/>
        <w:snapToGrid/>
        <w:spacing w:line="600" w:lineRule="exact"/>
        <w:ind w:firstLine="480" w:firstLineChars="200"/>
        <w:jc w:val="both"/>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lang w:val="en-US" w:eastAsia="zh-CN"/>
        </w:rPr>
        <w:t>2022年度收、支总计1,749.29万元。与2021年相比，收、支总计各减少121.55万元，</w:t>
      </w:r>
      <w:r>
        <w:rPr>
          <w:rFonts w:hint="default" w:ascii="Times New Roman" w:hAnsi="Times New Roman" w:eastAsia="宋体" w:cs="Times New Roman"/>
          <w:color w:val="000000"/>
          <w:sz w:val="24"/>
          <w:szCs w:val="24"/>
          <w:lang w:eastAsia="zh-CN"/>
        </w:rPr>
        <w:t>减少</w:t>
      </w:r>
      <w:r>
        <w:rPr>
          <w:rFonts w:hint="default" w:ascii="Times New Roman" w:hAnsi="Times New Roman" w:eastAsia="宋体" w:cs="Times New Roman"/>
          <w:color w:val="000000"/>
          <w:sz w:val="24"/>
          <w:szCs w:val="24"/>
          <w:lang w:val="en-US" w:eastAsia="zh-CN"/>
        </w:rPr>
        <w:t>6.50</w:t>
      </w:r>
      <w:r>
        <w:rPr>
          <w:rFonts w:hint="default" w:ascii="Times New Roman" w:hAnsi="Times New Roman" w:eastAsia="宋体" w:cs="Times New Roman"/>
          <w:color w:val="000000"/>
          <w:sz w:val="24"/>
          <w:szCs w:val="24"/>
        </w:rPr>
        <w:t>%。主要变动原因是</w:t>
      </w:r>
      <w:r>
        <w:rPr>
          <w:rFonts w:hint="default" w:ascii="Times New Roman" w:hAnsi="Times New Roman" w:eastAsia="宋体" w:cs="Times New Roman"/>
          <w:color w:val="000000"/>
          <w:sz w:val="24"/>
          <w:szCs w:val="24"/>
          <w:lang w:eastAsia="zh-CN"/>
        </w:rPr>
        <w:t>受疫情影响，相关活动减少</w:t>
      </w:r>
      <w:r>
        <w:rPr>
          <w:rFonts w:hint="default" w:ascii="Times New Roman" w:hAnsi="Times New Roman" w:eastAsia="宋体" w:cs="Times New Roman"/>
          <w:color w:val="000000"/>
          <w:sz w:val="24"/>
          <w:szCs w:val="24"/>
        </w:rPr>
        <w:t>。</w:t>
      </w:r>
    </w:p>
    <w:p w14:paraId="45FA9181">
      <w:pPr>
        <w:spacing w:line="600" w:lineRule="exact"/>
        <w:ind w:firstLine="480" w:firstLineChars="200"/>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（图1：收、支决算总计变动情况图）（柱状图）</w:t>
      </w:r>
    </w:p>
    <w:p w14:paraId="6B57B3AF">
      <w:pPr>
        <w:spacing w:line="600" w:lineRule="exact"/>
        <w:ind w:firstLine="480" w:firstLineChars="200"/>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drawing>
          <wp:anchor distT="316865" distB="339725" distL="369570" distR="293370" simplePos="0" relativeHeight="251659264" behindDoc="1" locked="0" layoutInCell="1" allowOverlap="1">
            <wp:simplePos x="0" y="0"/>
            <wp:positionH relativeFrom="column">
              <wp:posOffset>36830</wp:posOffset>
            </wp:positionH>
            <wp:positionV relativeFrom="paragraph">
              <wp:posOffset>106680</wp:posOffset>
            </wp:positionV>
            <wp:extent cx="5033645" cy="1732915"/>
            <wp:effectExtent l="0" t="0" r="0" b="0"/>
            <wp:wrapNone/>
            <wp:docPr id="1" name="对象 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anchor>
        </w:drawing>
      </w:r>
    </w:p>
    <w:p w14:paraId="7295050A">
      <w:pPr>
        <w:spacing w:line="600" w:lineRule="exact"/>
        <w:ind w:firstLine="480" w:firstLineChars="200"/>
        <w:rPr>
          <w:rFonts w:hint="default" w:ascii="Times New Roman" w:hAnsi="Times New Roman" w:eastAsia="宋体" w:cs="Times New Roman"/>
          <w:color w:val="000000"/>
          <w:sz w:val="24"/>
          <w:szCs w:val="24"/>
        </w:rPr>
      </w:pPr>
    </w:p>
    <w:p w14:paraId="2994CC57">
      <w:pPr>
        <w:spacing w:line="600" w:lineRule="exact"/>
        <w:ind w:firstLine="480" w:firstLineChars="200"/>
        <w:rPr>
          <w:rFonts w:hint="default" w:ascii="Times New Roman" w:hAnsi="Times New Roman" w:eastAsia="宋体" w:cs="Times New Roman"/>
          <w:color w:val="000000"/>
          <w:sz w:val="24"/>
          <w:szCs w:val="24"/>
        </w:rPr>
      </w:pPr>
    </w:p>
    <w:p w14:paraId="2121FB59">
      <w:pPr>
        <w:spacing w:line="600" w:lineRule="exact"/>
        <w:ind w:firstLine="480" w:firstLineChars="200"/>
        <w:rPr>
          <w:rFonts w:hint="default" w:ascii="Times New Roman" w:hAnsi="Times New Roman" w:eastAsia="宋体" w:cs="Times New Roman"/>
          <w:color w:val="000000"/>
          <w:sz w:val="24"/>
          <w:szCs w:val="24"/>
        </w:rPr>
      </w:pPr>
    </w:p>
    <w:p w14:paraId="3A1B6824">
      <w:pPr>
        <w:spacing w:line="600" w:lineRule="exact"/>
        <w:ind w:firstLine="480" w:firstLineChars="200"/>
        <w:jc w:val="left"/>
        <w:rPr>
          <w:rFonts w:hint="default" w:ascii="Times New Roman" w:hAnsi="Times New Roman" w:eastAsia="宋体" w:cs="Times New Roman"/>
          <w:color w:val="000000"/>
          <w:sz w:val="24"/>
          <w:szCs w:val="24"/>
        </w:rPr>
      </w:pPr>
    </w:p>
    <w:p w14:paraId="3667D305">
      <w:pPr>
        <w:pStyle w:val="15"/>
        <w:keepNext w:val="0"/>
        <w:keepLines w:val="0"/>
        <w:pageBreakBefore w:val="0"/>
        <w:suppressLineNumbers w:val="0"/>
        <w:pBdr>
          <w:top w:val="none" w:color="auto" w:sz="0" w:space="0"/>
          <w:left w:val="none" w:color="auto" w:sz="0" w:space="0"/>
          <w:bottom w:val="none" w:color="auto" w:sz="0" w:space="0"/>
          <w:right w:val="none" w:color="auto" w:sz="0" w:space="0"/>
        </w:pBdr>
        <w:shd w:val="clear" w:color="auto" w:fill="FFFFFF"/>
        <w:suppressAutoHyphens w:val="0"/>
        <w:kinsoku/>
        <w:wordWrap/>
        <w:overflowPunct/>
        <w:topLinePunct w:val="0"/>
        <w:autoSpaceDE/>
        <w:autoSpaceDN/>
        <w:bidi w:val="0"/>
        <w:adjustRightInd/>
        <w:snapToGrid/>
        <w:spacing w:before="0" w:beforeAutospacing="0" w:line="240" w:lineRule="auto"/>
        <w:ind w:left="0" w:right="0" w:firstLine="0"/>
        <w:jc w:val="left"/>
        <w:textAlignment w:val="auto"/>
        <w:outlineLvl w:val="9"/>
        <w:rPr>
          <w:rFonts w:hint="default" w:ascii="Times New Roman" w:hAnsi="Times New Roman" w:eastAsia="宋体" w:cs="Times New Roman"/>
          <w:snapToGrid/>
          <w:color w:val="auto"/>
          <w:spacing w:val="0"/>
          <w:w w:val="100"/>
          <w:position w:val="0"/>
          <w:szCs w:val="21"/>
          <w:u w:val="none" w:color="auto"/>
          <w:vertAlign w:val="baseline"/>
        </w:rPr>
      </w:pPr>
      <w:bookmarkStart w:id="26" w:name="_Toc15377206"/>
      <w:bookmarkStart w:id="27" w:name="_Toc15396604"/>
      <w:r>
        <w:rPr>
          <w:rFonts w:hint="default" w:ascii="Times New Roman" w:hAnsi="Times New Roman" w:eastAsia="宋体" w:cs="Times New Roman"/>
          <w:snapToGrid/>
          <w:color w:val="auto"/>
          <w:spacing w:val="0"/>
          <w:w w:val="100"/>
          <w:position w:val="0"/>
          <w:szCs w:val="21"/>
          <w:u w:val="none" w:color="auto"/>
          <w:vertAlign w:val="baseline"/>
          <w:lang w:eastAsia="zh-CN"/>
        </w:rPr>
        <w:t>二、</w:t>
      </w:r>
      <w:r>
        <w:rPr>
          <w:rFonts w:hint="default" w:ascii="Times New Roman" w:hAnsi="Times New Roman" w:eastAsia="宋体" w:cs="Times New Roman"/>
          <w:snapToGrid/>
          <w:color w:val="auto"/>
          <w:spacing w:val="0"/>
          <w:w w:val="100"/>
          <w:position w:val="0"/>
          <w:szCs w:val="21"/>
          <w:u w:val="none" w:color="auto"/>
          <w:vertAlign w:val="baseline"/>
        </w:rPr>
        <w:t>收入决算情况说明</w:t>
      </w:r>
      <w:bookmarkEnd w:id="26"/>
      <w:bookmarkEnd w:id="27"/>
    </w:p>
    <w:p w14:paraId="26B5D4CB">
      <w:pPr>
        <w:keepNext w:val="0"/>
        <w:keepLines w:val="0"/>
        <w:pageBreakBefore w:val="0"/>
        <w:widowControl w:val="0"/>
        <w:kinsoku/>
        <w:wordWrap/>
        <w:overflowPunct/>
        <w:topLinePunct w:val="0"/>
        <w:autoSpaceDE/>
        <w:autoSpaceDN/>
        <w:bidi w:val="0"/>
        <w:adjustRightInd/>
        <w:snapToGrid/>
        <w:spacing w:line="600" w:lineRule="exact"/>
        <w:ind w:firstLine="480" w:firstLineChars="200"/>
        <w:jc w:val="both"/>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202</w:t>
      </w:r>
      <w:r>
        <w:rPr>
          <w:rFonts w:hint="default" w:ascii="Times New Roman" w:hAnsi="Times New Roman" w:eastAsia="宋体" w:cs="Times New Roman"/>
          <w:color w:val="000000"/>
          <w:sz w:val="24"/>
          <w:szCs w:val="24"/>
          <w:lang w:val="en-US" w:eastAsia="zh-CN"/>
        </w:rPr>
        <w:t>2</w:t>
      </w:r>
      <w:r>
        <w:rPr>
          <w:rFonts w:hint="default" w:ascii="Times New Roman" w:hAnsi="Times New Roman" w:eastAsia="宋体" w:cs="Times New Roman"/>
          <w:color w:val="000000"/>
          <w:sz w:val="24"/>
          <w:szCs w:val="24"/>
        </w:rPr>
        <w:t>年收入合计</w:t>
      </w:r>
      <w:r>
        <w:rPr>
          <w:rFonts w:hint="default" w:ascii="Times New Roman" w:hAnsi="Times New Roman" w:eastAsia="宋体" w:cs="Times New Roman"/>
          <w:color w:val="000000"/>
          <w:sz w:val="24"/>
          <w:szCs w:val="24"/>
          <w:lang w:val="en-US" w:eastAsia="zh-CN"/>
        </w:rPr>
        <w:t>1,749.29</w:t>
      </w:r>
      <w:r>
        <w:rPr>
          <w:rFonts w:hint="default" w:ascii="Times New Roman" w:hAnsi="Times New Roman" w:eastAsia="宋体" w:cs="Times New Roman"/>
          <w:color w:val="000000"/>
          <w:sz w:val="24"/>
          <w:szCs w:val="24"/>
        </w:rPr>
        <w:t>万元，其中：一般公共预算财政拨款收入</w:t>
      </w:r>
      <w:r>
        <w:rPr>
          <w:rFonts w:hint="default" w:ascii="Times New Roman" w:hAnsi="Times New Roman" w:eastAsia="宋体" w:cs="Times New Roman"/>
          <w:color w:val="000000"/>
          <w:sz w:val="24"/>
          <w:szCs w:val="24"/>
          <w:lang w:val="en-US" w:eastAsia="zh-CN"/>
        </w:rPr>
        <w:t>1,749.29</w:t>
      </w:r>
      <w:r>
        <w:rPr>
          <w:rFonts w:hint="default" w:ascii="Times New Roman" w:hAnsi="Times New Roman" w:eastAsia="宋体" w:cs="Times New Roman"/>
          <w:color w:val="000000"/>
          <w:sz w:val="24"/>
          <w:szCs w:val="24"/>
        </w:rPr>
        <w:t>万元，占 100.00%；政府性基金预算财政拨款收入0.00万元，占 0.00%；上级补助收入0.00万元，占 0.00%；事业收入0.00万元，占 0.00%；经营收入0.00万元，占 0.00%；附属单位上缴收入0.00万元，占 0.00%；其他收入0.00万元，占 0.00%。</w:t>
      </w:r>
    </w:p>
    <w:p w14:paraId="6E31B3EE">
      <w:pPr>
        <w:spacing w:line="600" w:lineRule="exact"/>
        <w:ind w:firstLine="480" w:firstLineChars="200"/>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（图2：收入决算结构图）（饼状图）</w:t>
      </w:r>
    </w:p>
    <w:p w14:paraId="1967685A">
      <w:pPr>
        <w:spacing w:line="600" w:lineRule="exact"/>
        <w:ind w:firstLine="480" w:firstLineChars="200"/>
        <w:rPr>
          <w:rFonts w:hint="default" w:ascii="Times New Roman" w:hAnsi="Times New Roman" w:eastAsia="宋体" w:cs="Times New Roman"/>
          <w:color w:val="000000"/>
          <w:sz w:val="24"/>
          <w:szCs w:val="24"/>
        </w:rPr>
      </w:pPr>
    </w:p>
    <w:p w14:paraId="72F7C72C">
      <w:pPr>
        <w:spacing w:line="600" w:lineRule="exact"/>
        <w:ind w:firstLine="480" w:firstLineChars="200"/>
        <w:rPr>
          <w:rFonts w:hint="default" w:ascii="Times New Roman" w:hAnsi="Times New Roman" w:eastAsia="宋体" w:cs="Times New Roman"/>
          <w:color w:val="000000"/>
          <w:sz w:val="24"/>
          <w:szCs w:val="24"/>
        </w:rPr>
      </w:pPr>
    </w:p>
    <w:p w14:paraId="4800D349">
      <w:pPr>
        <w:spacing w:line="600" w:lineRule="exact"/>
        <w:ind w:firstLine="480" w:firstLineChars="200"/>
        <w:rPr>
          <w:rFonts w:hint="default" w:ascii="Times New Roman" w:hAnsi="Times New Roman" w:eastAsia="宋体" w:cs="Times New Roman"/>
          <w:color w:val="000000"/>
          <w:sz w:val="24"/>
          <w:szCs w:val="24"/>
        </w:rPr>
      </w:pPr>
    </w:p>
    <w:p w14:paraId="2A2A9022">
      <w:pPr>
        <w:spacing w:line="600" w:lineRule="exact"/>
        <w:ind w:firstLine="480" w:firstLineChars="200"/>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drawing>
          <wp:anchor distT="1402080" distB="1383665" distL="2863215" distR="118745" simplePos="0" relativeHeight="251659264" behindDoc="0" locked="0" layoutInCell="1" allowOverlap="1">
            <wp:simplePos x="0" y="0"/>
            <wp:positionH relativeFrom="column">
              <wp:posOffset>522605</wp:posOffset>
            </wp:positionH>
            <wp:positionV relativeFrom="paragraph">
              <wp:posOffset>-478155</wp:posOffset>
            </wp:positionV>
            <wp:extent cx="4660900" cy="1143000"/>
            <wp:effectExtent l="0" t="0" r="0" b="0"/>
            <wp:wrapNone/>
            <wp:docPr id="2" name="对象 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anchor>
        </w:drawing>
      </w:r>
    </w:p>
    <w:p w14:paraId="4651B051">
      <w:pPr>
        <w:spacing w:line="600" w:lineRule="exact"/>
        <w:ind w:firstLine="480" w:firstLineChars="200"/>
        <w:rPr>
          <w:rFonts w:hint="default" w:ascii="Times New Roman" w:hAnsi="Times New Roman" w:eastAsia="宋体" w:cs="Times New Roman"/>
          <w:color w:val="000000"/>
          <w:sz w:val="24"/>
          <w:szCs w:val="24"/>
        </w:rPr>
      </w:pPr>
    </w:p>
    <w:p w14:paraId="24A40734">
      <w:pPr>
        <w:tabs>
          <w:tab w:val="left" w:pos="5220"/>
        </w:tabs>
        <w:spacing w:line="600" w:lineRule="exact"/>
        <w:ind w:firstLine="480" w:firstLineChars="200"/>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ab/>
      </w:r>
    </w:p>
    <w:p w14:paraId="355545BC">
      <w:pPr>
        <w:pStyle w:val="15"/>
        <w:shd w:val="clear" w:color="auto" w:fill="FFFFFF"/>
        <w:spacing w:before="0" w:beforeAutospacing="0"/>
        <w:ind w:left="0"/>
        <w:jc w:val="left"/>
        <w:rPr>
          <w:rFonts w:hint="default" w:ascii="Times New Roman" w:hAnsi="Times New Roman" w:cs="Times New Roman"/>
        </w:rPr>
      </w:pPr>
      <w:r>
        <w:rPr>
          <w:rFonts w:hint="default" w:ascii="Times New Roman" w:hAnsi="Times New Roman" w:cs="Times New Roman"/>
        </w:rPr>
        <w:t>三、支出决算情况说明</w:t>
      </w:r>
    </w:p>
    <w:p w14:paraId="3C49ABF2">
      <w:pPr>
        <w:keepNext w:val="0"/>
        <w:keepLines w:val="0"/>
        <w:pageBreakBefore w:val="0"/>
        <w:widowControl w:val="0"/>
        <w:kinsoku/>
        <w:wordWrap/>
        <w:overflowPunct/>
        <w:topLinePunct w:val="0"/>
        <w:autoSpaceDE/>
        <w:autoSpaceDN/>
        <w:bidi w:val="0"/>
        <w:adjustRightInd/>
        <w:snapToGrid/>
        <w:spacing w:line="600" w:lineRule="exact"/>
        <w:ind w:firstLine="480" w:firstLineChars="200"/>
        <w:jc w:val="both"/>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202</w:t>
      </w:r>
      <w:r>
        <w:rPr>
          <w:rFonts w:hint="default" w:ascii="Times New Roman" w:hAnsi="Times New Roman" w:eastAsia="宋体" w:cs="Times New Roman"/>
          <w:color w:val="000000"/>
          <w:sz w:val="24"/>
          <w:szCs w:val="24"/>
          <w:lang w:val="en-US" w:eastAsia="zh-CN"/>
        </w:rPr>
        <w:t>2</w:t>
      </w:r>
      <w:r>
        <w:rPr>
          <w:rFonts w:hint="default" w:ascii="Times New Roman" w:hAnsi="Times New Roman" w:eastAsia="宋体" w:cs="Times New Roman"/>
          <w:color w:val="000000"/>
          <w:sz w:val="24"/>
          <w:szCs w:val="24"/>
        </w:rPr>
        <w:t>年支出合计1,749.29万元，其中：基本支出</w:t>
      </w:r>
      <w:r>
        <w:rPr>
          <w:rFonts w:hint="default" w:ascii="Times New Roman" w:hAnsi="Times New Roman" w:eastAsia="宋体" w:cs="Times New Roman"/>
          <w:color w:val="000000"/>
          <w:sz w:val="24"/>
          <w:szCs w:val="24"/>
          <w:lang w:val="en-US" w:eastAsia="zh-CN"/>
        </w:rPr>
        <w:t>1,420.79</w:t>
      </w:r>
      <w:r>
        <w:rPr>
          <w:rFonts w:hint="default" w:ascii="Times New Roman" w:hAnsi="Times New Roman" w:eastAsia="宋体" w:cs="Times New Roman"/>
          <w:color w:val="000000"/>
          <w:sz w:val="24"/>
          <w:szCs w:val="24"/>
        </w:rPr>
        <w:t>万元，占</w:t>
      </w:r>
      <w:r>
        <w:rPr>
          <w:rFonts w:hint="default" w:ascii="Times New Roman" w:hAnsi="Times New Roman" w:eastAsia="宋体" w:cs="Times New Roman"/>
          <w:color w:val="000000"/>
          <w:sz w:val="24"/>
          <w:szCs w:val="24"/>
          <w:lang w:val="en-US" w:eastAsia="zh-CN"/>
        </w:rPr>
        <w:t>81.22</w:t>
      </w:r>
      <w:r>
        <w:rPr>
          <w:rFonts w:hint="default" w:ascii="Times New Roman" w:hAnsi="Times New Roman" w:eastAsia="宋体" w:cs="Times New Roman"/>
          <w:color w:val="000000"/>
          <w:sz w:val="24"/>
          <w:szCs w:val="24"/>
        </w:rPr>
        <w:t>%；项目支出</w:t>
      </w:r>
      <w:r>
        <w:rPr>
          <w:rFonts w:hint="default" w:ascii="Times New Roman" w:hAnsi="Times New Roman" w:eastAsia="宋体" w:cs="Times New Roman"/>
          <w:color w:val="000000"/>
          <w:sz w:val="24"/>
          <w:szCs w:val="24"/>
          <w:lang w:val="en-US" w:eastAsia="zh-CN"/>
        </w:rPr>
        <w:t>328.50</w:t>
      </w:r>
      <w:r>
        <w:rPr>
          <w:rFonts w:hint="default" w:ascii="Times New Roman" w:hAnsi="Times New Roman" w:eastAsia="宋体" w:cs="Times New Roman"/>
          <w:color w:val="000000"/>
          <w:sz w:val="24"/>
          <w:szCs w:val="24"/>
        </w:rPr>
        <w:t>万元，占</w:t>
      </w:r>
      <w:r>
        <w:rPr>
          <w:rFonts w:hint="default" w:ascii="Times New Roman" w:hAnsi="Times New Roman" w:eastAsia="宋体" w:cs="Times New Roman"/>
          <w:color w:val="000000"/>
          <w:sz w:val="24"/>
          <w:szCs w:val="24"/>
          <w:lang w:val="en-US" w:eastAsia="zh-CN"/>
        </w:rPr>
        <w:t>18.78</w:t>
      </w:r>
      <w:r>
        <w:rPr>
          <w:rFonts w:hint="default" w:ascii="Times New Roman" w:hAnsi="Times New Roman" w:eastAsia="宋体" w:cs="Times New Roman"/>
          <w:color w:val="000000"/>
          <w:sz w:val="24"/>
          <w:szCs w:val="24"/>
        </w:rPr>
        <w:t>%；上缴上级支出0.00万元，占 0.00%；经营支出0.00万元，占 0.00%；对附属单位补助支出0.00万元，占 0.00%。</w:t>
      </w:r>
    </w:p>
    <w:p w14:paraId="74419028">
      <w:pPr>
        <w:spacing w:line="600" w:lineRule="exact"/>
        <w:ind w:firstLine="480" w:firstLineChars="200"/>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（图3：支出决算结构图）（饼状图）</w:t>
      </w:r>
    </w:p>
    <w:p w14:paraId="4C70ABCB">
      <w:pPr>
        <w:spacing w:line="600" w:lineRule="exact"/>
        <w:ind w:firstLine="480" w:firstLineChars="200"/>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drawing>
          <wp:anchor distT="1438275" distB="1439545" distL="2448560" distR="118745" simplePos="0" relativeHeight="251659264" behindDoc="0" locked="0" layoutInCell="1" allowOverlap="1">
            <wp:simplePos x="0" y="0"/>
            <wp:positionH relativeFrom="column">
              <wp:posOffset>115570</wp:posOffset>
            </wp:positionH>
            <wp:positionV relativeFrom="paragraph">
              <wp:posOffset>279400</wp:posOffset>
            </wp:positionV>
            <wp:extent cx="4761230" cy="2225040"/>
            <wp:effectExtent l="0" t="0" r="0" b="0"/>
            <wp:wrapNone/>
            <wp:docPr id="3" name="对象 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p>
    <w:p w14:paraId="623A0804">
      <w:pPr>
        <w:spacing w:line="600" w:lineRule="exact"/>
        <w:ind w:firstLine="480" w:firstLineChars="200"/>
        <w:rPr>
          <w:rFonts w:hint="default" w:ascii="Times New Roman" w:hAnsi="Times New Roman" w:eastAsia="宋体" w:cs="Times New Roman"/>
          <w:color w:val="000000"/>
          <w:sz w:val="24"/>
          <w:szCs w:val="24"/>
        </w:rPr>
      </w:pPr>
    </w:p>
    <w:p w14:paraId="47C32FE7">
      <w:pPr>
        <w:spacing w:line="600" w:lineRule="exact"/>
        <w:ind w:firstLine="480" w:firstLineChars="200"/>
        <w:rPr>
          <w:rFonts w:hint="default" w:ascii="Times New Roman" w:hAnsi="Times New Roman" w:eastAsia="宋体" w:cs="Times New Roman"/>
          <w:color w:val="000000"/>
          <w:sz w:val="24"/>
          <w:szCs w:val="24"/>
        </w:rPr>
      </w:pPr>
    </w:p>
    <w:p w14:paraId="766031C0">
      <w:pPr>
        <w:spacing w:line="600" w:lineRule="exact"/>
        <w:ind w:firstLine="480" w:firstLineChars="200"/>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pict>
          <v:shape id="_x0000_s1026" o:spid="_x0000_s1026" o:spt="75" type="#_x0000_t75" style="position:absolute;left:0pt;margin-left:237.1pt;margin-top:740.05pt;height:14.4pt;width:107pt;z-index:251659264;mso-width-relative:page;mso-height-relative:page;" o:ole="t" filled="f" o:preferrelative="t" stroked="f" coordsize="21600,21600">
            <v:path/>
            <v:fill on="f" focussize="0,0"/>
            <v:stroke on="f" color="#000000"/>
            <v:imagedata r:id="rId10" o:title="image1"/>
            <o:lock v:ext="edit" aspectratio="t"/>
          </v:shape>
          <o:OLEObject Type="Embed" ProgID="Package" ShapeID="_x0000_s1026" DrawAspect="Content" ObjectID="_1468075725" r:id="rId9">
            <o:LockedField>false</o:LockedField>
          </o:OLEObject>
        </w:pict>
      </w:r>
    </w:p>
    <w:p w14:paraId="32F150D8">
      <w:pPr>
        <w:spacing w:line="600" w:lineRule="exact"/>
        <w:ind w:firstLine="480" w:firstLineChars="200"/>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pict>
          <v:shape id="_x0000_s1027" o:spid="_x0000_s1027" o:spt="75" type="#_x0000_t75" style="position:absolute;left:0pt;margin-left:237.1pt;margin-top:740.05pt;height:14.4pt;width:107pt;z-index:251659264;mso-width-relative:page;mso-height-relative:page;" o:ole="t" filled="f" o:preferrelative="t" stroked="f" coordsize="21600,21600">
            <v:path/>
            <v:fill on="f" focussize="0,0"/>
            <v:stroke on="f" color="#000000"/>
            <v:imagedata r:id="rId10" o:title="image1"/>
            <o:lock v:ext="edit" aspectratio="t"/>
          </v:shape>
          <o:OLEObject Type="Embed" ProgID="Package" ShapeID="_x0000_s1027" DrawAspect="Content" ObjectID="_1468075726" r:id="rId11">
            <o:LockedField>false</o:LockedField>
          </o:OLEObject>
        </w:pict>
      </w:r>
      <w:r>
        <w:rPr>
          <w:rFonts w:hint="default" w:ascii="Times New Roman" w:hAnsi="Times New Roman" w:eastAsia="宋体" w:cs="Times New Roman"/>
          <w:color w:val="000000"/>
          <w:sz w:val="24"/>
          <w:szCs w:val="24"/>
        </w:rPr>
        <w:pict>
          <v:shape id="_x0000_s1028" o:spid="_x0000_s1028" o:spt="75" type="#_x0000_t75" style="position:absolute;left:0pt;margin-left:237.1pt;margin-top:740.05pt;height:14.4pt;width:107pt;z-index:251659264;mso-width-relative:page;mso-height-relative:page;" o:ole="t" filled="f" o:preferrelative="t" stroked="f" coordsize="21600,21600">
            <v:path/>
            <v:fill on="f" focussize="0,0"/>
            <v:stroke on="f" color="#000000"/>
            <v:imagedata r:id="rId10" o:title="image1"/>
            <o:lock v:ext="edit" aspectratio="t"/>
          </v:shape>
          <o:OLEObject Type="Embed" ProgID="Package" ShapeID="_x0000_s1028" DrawAspect="Content" ObjectID="_1468075727" r:id="rId12">
            <o:LockedField>false</o:LockedField>
          </o:OLEObject>
        </w:pict>
      </w:r>
      <w:r>
        <w:rPr>
          <w:rFonts w:hint="default" w:ascii="Times New Roman" w:hAnsi="Times New Roman" w:eastAsia="宋体" w:cs="Times New Roman"/>
          <w:color w:val="000000"/>
          <w:sz w:val="24"/>
          <w:szCs w:val="24"/>
        </w:rPr>
        <w:pict>
          <v:shape id="_x0000_s1029" o:spid="_x0000_s1029" o:spt="75" type="#_x0000_t75" style="position:absolute;left:0pt;margin-left:237.1pt;margin-top:740.05pt;height:14.4pt;width:107pt;z-index:251659264;mso-width-relative:page;mso-height-relative:page;" o:ole="t" filled="f" o:preferrelative="t" stroked="f" coordsize="21600,21600">
            <v:path/>
            <v:fill on="f" focussize="0,0"/>
            <v:stroke on="f" color="#000000"/>
            <v:imagedata r:id="rId10" o:title="image1"/>
            <o:lock v:ext="edit" aspectratio="t"/>
          </v:shape>
          <o:OLEObject Type="Embed" ProgID="Package" ShapeID="_x0000_s1029" DrawAspect="Content" ObjectID="_1468075728" r:id="rId13">
            <o:LockedField>false</o:LockedField>
          </o:OLEObject>
        </w:pict>
      </w:r>
      <w:r>
        <w:rPr>
          <w:rFonts w:hint="default" w:ascii="Times New Roman" w:hAnsi="Times New Roman" w:eastAsia="宋体" w:cs="Times New Roman"/>
          <w:color w:val="000000"/>
          <w:sz w:val="24"/>
          <w:szCs w:val="24"/>
        </w:rPr>
        <w:pict>
          <v:shape id="_x0000_s1030" o:spid="_x0000_s1030" o:spt="75" type="#_x0000_t75" style="position:absolute;left:0pt;margin-left:237.1pt;margin-top:740.05pt;height:14.4pt;width:107pt;z-index:251659264;mso-width-relative:page;mso-height-relative:page;" o:ole="t" filled="f" o:preferrelative="t" stroked="f" coordsize="21600,21600">
            <v:path/>
            <v:fill on="f" focussize="0,0"/>
            <v:stroke on="f" color="#000000"/>
            <v:imagedata r:id="rId10" o:title="image1"/>
            <o:lock v:ext="edit" aspectratio="t"/>
          </v:shape>
          <o:OLEObject Type="Embed" ProgID="Package" ShapeID="_x0000_s1030" DrawAspect="Content" ObjectID="_1468075729" r:id="rId14">
            <o:LockedField>false</o:LockedField>
          </o:OLEObject>
        </w:pict>
      </w:r>
      <w:r>
        <w:rPr>
          <w:rFonts w:hint="default" w:ascii="Times New Roman" w:hAnsi="Times New Roman" w:eastAsia="宋体" w:cs="Times New Roman"/>
          <w:color w:val="000000"/>
          <w:sz w:val="24"/>
          <w:szCs w:val="24"/>
        </w:rPr>
        <w:pict>
          <v:shape id="_x0000_s1031" o:spid="_x0000_s1031" o:spt="75" type="#_x0000_t75" style="position:absolute;left:0pt;margin-left:237.1pt;margin-top:740.05pt;height:14.4pt;width:107pt;z-index:251659264;mso-width-relative:page;mso-height-relative:page;" o:ole="t" filled="f" o:preferrelative="t" stroked="f" coordsize="21600,21600">
            <v:path/>
            <v:fill on="f" focussize="0,0"/>
            <v:stroke on="f" color="#000000"/>
            <v:imagedata r:id="rId10" o:title="image1"/>
            <o:lock v:ext="edit" aspectratio="t"/>
          </v:shape>
          <o:OLEObject Type="Embed" ProgID="Package" ShapeID="_x0000_s1031" DrawAspect="Content" ObjectID="_1468075730" r:id="rId15">
            <o:LockedField>false</o:LockedField>
          </o:OLEObject>
        </w:pict>
      </w:r>
    </w:p>
    <w:p w14:paraId="0605C5D7">
      <w:pPr>
        <w:spacing w:line="600" w:lineRule="exact"/>
        <w:ind w:firstLine="480" w:firstLineChars="200"/>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pict>
          <v:shape id="_x0000_s1032" o:spid="_x0000_s1032" o:spt="75" type="#_x0000_t75" style="position:absolute;left:0pt;margin-left:237.1pt;margin-top:740.05pt;height:14.4pt;width:107pt;z-index:251659264;mso-width-relative:page;mso-height-relative:page;" o:ole="t" filled="f" o:preferrelative="t" stroked="f" coordsize="21600,21600">
            <v:path/>
            <v:fill on="f" focussize="0,0"/>
            <v:stroke on="f" color="#000000"/>
            <v:imagedata r:id="rId10" o:title="image1"/>
            <o:lock v:ext="edit" aspectratio="t"/>
          </v:shape>
          <o:OLEObject Type="Embed" ProgID="Package" ShapeID="_x0000_s1032" DrawAspect="Content" ObjectID="_1468075731" r:id="rId16">
            <o:LockedField>false</o:LockedField>
          </o:OLEObject>
        </w:pict>
      </w:r>
    </w:p>
    <w:p w14:paraId="4E560ADC">
      <w:pPr>
        <w:spacing w:line="600" w:lineRule="exact"/>
        <w:ind w:firstLine="480" w:firstLineChars="200"/>
        <w:rPr>
          <w:rFonts w:hint="default" w:ascii="Times New Roman" w:hAnsi="Times New Roman" w:eastAsia="宋体" w:cs="Times New Roman"/>
          <w:color w:val="000000"/>
          <w:sz w:val="24"/>
          <w:szCs w:val="24"/>
        </w:rPr>
      </w:pPr>
    </w:p>
    <w:p w14:paraId="1BAC88F8">
      <w:pPr>
        <w:spacing w:line="600" w:lineRule="exact"/>
        <w:ind w:firstLine="480" w:firstLineChars="200"/>
        <w:rPr>
          <w:rFonts w:hint="default" w:ascii="Times New Roman" w:hAnsi="Times New Roman" w:eastAsia="宋体" w:cs="Times New Roman"/>
          <w:color w:val="000000"/>
          <w:sz w:val="24"/>
          <w:szCs w:val="24"/>
        </w:rPr>
      </w:pPr>
    </w:p>
    <w:p w14:paraId="72A85149">
      <w:pPr>
        <w:pStyle w:val="15"/>
        <w:shd w:val="clear" w:color="auto" w:fill="FFFFFF"/>
        <w:spacing w:before="0" w:beforeAutospacing="0"/>
        <w:ind w:left="0"/>
        <w:jc w:val="left"/>
        <w:rPr>
          <w:rFonts w:hint="default" w:ascii="Times New Roman" w:hAnsi="Times New Roman" w:cs="Times New Roman"/>
        </w:rPr>
      </w:pPr>
      <w:bookmarkStart w:id="28" w:name="_Toc15396606"/>
      <w:bookmarkStart w:id="29" w:name="_Toc15377208"/>
      <w:r>
        <w:rPr>
          <w:rFonts w:hint="default" w:ascii="Times New Roman" w:hAnsi="Times New Roman" w:cs="Times New Roman"/>
        </w:rPr>
        <w:t>四、财政拨款收入支出决算总体情况说明</w:t>
      </w:r>
      <w:bookmarkEnd w:id="28"/>
      <w:bookmarkEnd w:id="29"/>
    </w:p>
    <w:p w14:paraId="40366680">
      <w:pPr>
        <w:keepNext w:val="0"/>
        <w:keepLines w:val="0"/>
        <w:pageBreakBefore w:val="0"/>
        <w:widowControl w:val="0"/>
        <w:kinsoku/>
        <w:wordWrap/>
        <w:overflowPunct/>
        <w:topLinePunct w:val="0"/>
        <w:autoSpaceDE/>
        <w:autoSpaceDN/>
        <w:bidi w:val="0"/>
        <w:adjustRightInd/>
        <w:snapToGrid/>
        <w:spacing w:line="600" w:lineRule="exact"/>
        <w:ind w:firstLine="480" w:firstLineChars="200"/>
        <w:jc w:val="both"/>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202</w:t>
      </w:r>
      <w:r>
        <w:rPr>
          <w:rFonts w:hint="default" w:ascii="Times New Roman" w:hAnsi="Times New Roman" w:eastAsia="宋体" w:cs="Times New Roman"/>
          <w:color w:val="000000"/>
          <w:sz w:val="24"/>
          <w:szCs w:val="24"/>
          <w:lang w:val="en-US" w:eastAsia="zh-CN"/>
        </w:rPr>
        <w:t>2</w:t>
      </w:r>
      <w:r>
        <w:rPr>
          <w:rFonts w:hint="default" w:ascii="Times New Roman" w:hAnsi="Times New Roman" w:eastAsia="宋体" w:cs="Times New Roman"/>
          <w:color w:val="000000"/>
          <w:sz w:val="24"/>
          <w:szCs w:val="24"/>
        </w:rPr>
        <w:t>年财政拨款收、支总计占</w:t>
      </w:r>
      <w:r>
        <w:rPr>
          <w:rFonts w:hint="default" w:ascii="Times New Roman" w:hAnsi="Times New Roman" w:eastAsia="宋体" w:cs="Times New Roman"/>
          <w:color w:val="000000"/>
          <w:sz w:val="24"/>
          <w:szCs w:val="24"/>
          <w:lang w:val="en-US" w:eastAsia="zh-CN"/>
        </w:rPr>
        <w:t>1,749.29</w:t>
      </w:r>
      <w:r>
        <w:rPr>
          <w:rFonts w:hint="default" w:ascii="Times New Roman" w:hAnsi="Times New Roman" w:eastAsia="宋体" w:cs="Times New Roman"/>
          <w:color w:val="000000"/>
          <w:sz w:val="24"/>
          <w:szCs w:val="24"/>
        </w:rPr>
        <w:t>万元。与20</w:t>
      </w:r>
      <w:r>
        <w:rPr>
          <w:rFonts w:hint="default" w:ascii="Times New Roman" w:hAnsi="Times New Roman" w:eastAsia="宋体" w:cs="Times New Roman"/>
          <w:color w:val="000000"/>
          <w:sz w:val="24"/>
          <w:szCs w:val="24"/>
          <w:lang w:val="en-US" w:eastAsia="zh-CN"/>
        </w:rPr>
        <w:t>21</w:t>
      </w:r>
      <w:r>
        <w:rPr>
          <w:rFonts w:hint="default" w:ascii="Times New Roman" w:hAnsi="Times New Roman" w:eastAsia="宋体" w:cs="Times New Roman"/>
          <w:color w:val="000000"/>
          <w:sz w:val="24"/>
          <w:szCs w:val="24"/>
        </w:rPr>
        <w:t>年相比，财政拨款收、支总计各</w:t>
      </w:r>
      <w:r>
        <w:rPr>
          <w:rFonts w:hint="default" w:ascii="Times New Roman" w:hAnsi="Times New Roman" w:eastAsia="宋体" w:cs="Times New Roman"/>
          <w:color w:val="000000"/>
          <w:sz w:val="24"/>
          <w:szCs w:val="24"/>
          <w:lang w:eastAsia="zh-CN"/>
        </w:rPr>
        <w:t>减少</w:t>
      </w:r>
      <w:r>
        <w:rPr>
          <w:rFonts w:hint="default" w:ascii="Times New Roman" w:hAnsi="Times New Roman" w:eastAsia="宋体" w:cs="Times New Roman"/>
          <w:color w:val="000000"/>
          <w:sz w:val="24"/>
          <w:szCs w:val="24"/>
          <w:lang w:val="en-US" w:eastAsia="zh-CN"/>
        </w:rPr>
        <w:t>121.55</w:t>
      </w:r>
      <w:r>
        <w:rPr>
          <w:rFonts w:hint="default" w:ascii="Times New Roman" w:hAnsi="Times New Roman" w:eastAsia="宋体" w:cs="Times New Roman"/>
          <w:color w:val="000000"/>
          <w:sz w:val="24"/>
          <w:szCs w:val="24"/>
        </w:rPr>
        <w:t>万元，</w:t>
      </w:r>
      <w:r>
        <w:rPr>
          <w:rFonts w:hint="default" w:ascii="Times New Roman" w:hAnsi="Times New Roman" w:eastAsia="宋体" w:cs="Times New Roman"/>
          <w:color w:val="000000"/>
          <w:sz w:val="24"/>
          <w:szCs w:val="24"/>
          <w:lang w:eastAsia="zh-CN"/>
        </w:rPr>
        <w:t>减少</w:t>
      </w:r>
      <w:r>
        <w:rPr>
          <w:rFonts w:hint="default" w:ascii="Times New Roman" w:hAnsi="Times New Roman" w:eastAsia="宋体" w:cs="Times New Roman"/>
          <w:color w:val="000000"/>
          <w:sz w:val="24"/>
          <w:szCs w:val="24"/>
          <w:lang w:val="en-US" w:eastAsia="zh-CN"/>
        </w:rPr>
        <w:t>6.50</w:t>
      </w:r>
      <w:r>
        <w:rPr>
          <w:rFonts w:hint="default" w:ascii="Times New Roman" w:hAnsi="Times New Roman" w:eastAsia="宋体" w:cs="Times New Roman"/>
          <w:color w:val="000000"/>
          <w:sz w:val="24"/>
          <w:szCs w:val="24"/>
        </w:rPr>
        <w:t>%。主要变动原因是</w:t>
      </w:r>
      <w:r>
        <w:rPr>
          <w:rFonts w:hint="default" w:ascii="Times New Roman" w:hAnsi="Times New Roman" w:eastAsia="宋体" w:cs="Times New Roman"/>
          <w:color w:val="000000"/>
          <w:sz w:val="24"/>
          <w:szCs w:val="24"/>
          <w:lang w:eastAsia="zh-CN"/>
        </w:rPr>
        <w:t>受疫情影响，相关活动减少</w:t>
      </w:r>
      <w:r>
        <w:rPr>
          <w:rFonts w:hint="default" w:ascii="Times New Roman" w:hAnsi="Times New Roman" w:eastAsia="宋体" w:cs="Times New Roman"/>
          <w:color w:val="000000"/>
          <w:sz w:val="24"/>
          <w:szCs w:val="24"/>
        </w:rPr>
        <w:t>。</w:t>
      </w:r>
    </w:p>
    <w:p w14:paraId="573726BC">
      <w:pPr>
        <w:spacing w:line="600" w:lineRule="exact"/>
        <w:ind w:firstLine="480" w:firstLineChars="200"/>
        <w:outlineLvl w:val="1"/>
        <w:rPr>
          <w:rFonts w:hint="default" w:ascii="Times New Roman" w:hAnsi="Times New Roman" w:eastAsia="宋体" w:cs="Times New Roman"/>
          <w:color w:val="000000"/>
          <w:sz w:val="24"/>
          <w:szCs w:val="24"/>
        </w:rPr>
      </w:pPr>
    </w:p>
    <w:p w14:paraId="0A1F5EEE">
      <w:pPr>
        <w:spacing w:line="600" w:lineRule="exact"/>
        <w:ind w:firstLine="480" w:firstLineChars="200"/>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（图4：财政拨款收、支决算总计变动情况）（柱状图）</w:t>
      </w:r>
    </w:p>
    <w:p w14:paraId="3A314316">
      <w:pPr>
        <w:spacing w:line="600" w:lineRule="exact"/>
        <w:ind w:firstLine="480" w:firstLineChars="200"/>
        <w:rPr>
          <w:rFonts w:hint="default" w:ascii="Times New Roman" w:hAnsi="Times New Roman" w:eastAsia="宋体" w:cs="Times New Roman"/>
          <w:color w:val="000000"/>
          <w:sz w:val="24"/>
          <w:szCs w:val="24"/>
        </w:rPr>
      </w:pPr>
    </w:p>
    <w:p w14:paraId="6943CE41">
      <w:pPr>
        <w:tabs>
          <w:tab w:val="center" w:pos="4393"/>
        </w:tabs>
        <w:spacing w:line="600" w:lineRule="exact"/>
        <w:ind w:firstLine="480" w:firstLineChars="200"/>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drawing>
          <wp:anchor distT="316865" distB="327660" distL="369570" distR="285750" simplePos="0" relativeHeight="251659264" behindDoc="1" locked="0" layoutInCell="1" allowOverlap="1">
            <wp:simplePos x="0" y="0"/>
            <wp:positionH relativeFrom="column">
              <wp:posOffset>434340</wp:posOffset>
            </wp:positionH>
            <wp:positionV relativeFrom="paragraph">
              <wp:posOffset>184150</wp:posOffset>
            </wp:positionV>
            <wp:extent cx="4334510" cy="938530"/>
            <wp:effectExtent l="0" t="0" r="0" b="0"/>
            <wp:wrapNone/>
            <wp:docPr id="12" name="对象 1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anchor>
        </w:drawing>
      </w:r>
      <w:r>
        <w:rPr>
          <w:rFonts w:hint="default" w:ascii="Times New Roman" w:hAnsi="Times New Roman" w:eastAsia="宋体" w:cs="Times New Roman"/>
          <w:color w:val="000000"/>
          <w:sz w:val="24"/>
          <w:szCs w:val="24"/>
        </w:rPr>
        <w:tab/>
      </w:r>
    </w:p>
    <w:p w14:paraId="0B904DAA">
      <w:pPr>
        <w:spacing w:line="600" w:lineRule="exact"/>
        <w:ind w:firstLine="480" w:firstLineChars="200"/>
        <w:rPr>
          <w:rFonts w:hint="default" w:ascii="Times New Roman" w:hAnsi="Times New Roman" w:eastAsia="宋体" w:cs="Times New Roman"/>
          <w:color w:val="000000"/>
          <w:sz w:val="24"/>
          <w:szCs w:val="24"/>
        </w:rPr>
      </w:pPr>
    </w:p>
    <w:p w14:paraId="40E434EA">
      <w:pPr>
        <w:spacing w:line="600" w:lineRule="exact"/>
        <w:ind w:firstLine="480" w:firstLineChars="200"/>
        <w:rPr>
          <w:rFonts w:hint="default" w:ascii="Times New Roman" w:hAnsi="Times New Roman" w:eastAsia="宋体" w:cs="Times New Roman"/>
          <w:color w:val="000000"/>
          <w:sz w:val="24"/>
          <w:szCs w:val="24"/>
        </w:rPr>
      </w:pPr>
    </w:p>
    <w:p w14:paraId="2916D0C3">
      <w:pPr>
        <w:spacing w:line="600" w:lineRule="exact"/>
        <w:ind w:firstLine="480" w:firstLineChars="200"/>
        <w:rPr>
          <w:rFonts w:hint="default" w:ascii="Times New Roman" w:hAnsi="Times New Roman" w:eastAsia="宋体" w:cs="Times New Roman"/>
          <w:color w:val="000000"/>
          <w:sz w:val="24"/>
          <w:szCs w:val="24"/>
        </w:rPr>
      </w:pPr>
    </w:p>
    <w:p w14:paraId="05D132AA">
      <w:pPr>
        <w:pStyle w:val="15"/>
        <w:shd w:val="clear" w:color="auto" w:fill="FFFFFF"/>
        <w:spacing w:before="0" w:beforeAutospacing="0"/>
        <w:ind w:left="0"/>
        <w:jc w:val="left"/>
        <w:rPr>
          <w:rFonts w:hint="default" w:ascii="Times New Roman" w:hAnsi="Times New Roman" w:cs="Times New Roman"/>
        </w:rPr>
      </w:pPr>
      <w:bookmarkStart w:id="30" w:name="_Toc15377210"/>
      <w:r>
        <w:rPr>
          <w:rFonts w:hint="default" w:ascii="Times New Roman" w:hAnsi="Times New Roman" w:cs="Times New Roman"/>
        </w:rPr>
        <w:t>五、</w:t>
      </w:r>
      <w:r>
        <w:rPr>
          <w:rStyle w:val="18"/>
          <w:rFonts w:hint="default" w:ascii="Times New Roman" w:hAnsi="Times New Roman" w:cs="Times New Roman"/>
        </w:rPr>
        <w:t>一</w:t>
      </w:r>
      <w:r>
        <w:rPr>
          <w:rFonts w:hint="default" w:ascii="Times New Roman" w:hAnsi="Times New Roman" w:cs="Times New Roman"/>
        </w:rPr>
        <w:t>般公共预算财政拨款支出决算情况说明</w:t>
      </w:r>
    </w:p>
    <w:bookmarkEnd w:id="30"/>
    <w:p w14:paraId="68B8DC4E">
      <w:pPr>
        <w:pStyle w:val="15"/>
        <w:shd w:val="clear" w:color="auto" w:fill="FFFFFF"/>
        <w:spacing w:before="0" w:beforeAutospacing="0"/>
        <w:ind w:left="0"/>
        <w:jc w:val="left"/>
        <w:rPr>
          <w:rFonts w:hint="default" w:ascii="Times New Roman" w:hAnsi="Times New Roman" w:cs="Times New Roman"/>
        </w:rPr>
      </w:pPr>
      <w:r>
        <w:rPr>
          <w:rStyle w:val="18"/>
          <w:rFonts w:hint="default" w:ascii="Times New Roman" w:hAnsi="Times New Roman" w:cs="Times New Roman"/>
        </w:rPr>
        <w:t>（一）一般公共预算财政拨款支出决算总体情况</w:t>
      </w:r>
    </w:p>
    <w:p w14:paraId="6870E5B2">
      <w:pPr>
        <w:keepNext w:val="0"/>
        <w:keepLines w:val="0"/>
        <w:pageBreakBefore w:val="0"/>
        <w:widowControl w:val="0"/>
        <w:kinsoku/>
        <w:wordWrap/>
        <w:overflowPunct/>
        <w:topLinePunct w:val="0"/>
        <w:autoSpaceDE/>
        <w:autoSpaceDN/>
        <w:bidi w:val="0"/>
        <w:adjustRightInd/>
        <w:snapToGrid/>
        <w:spacing w:line="600" w:lineRule="exact"/>
        <w:ind w:firstLine="480" w:firstLineChars="200"/>
        <w:jc w:val="both"/>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202</w:t>
      </w:r>
      <w:r>
        <w:rPr>
          <w:rFonts w:hint="default" w:ascii="Times New Roman" w:hAnsi="Times New Roman" w:eastAsia="宋体" w:cs="Times New Roman"/>
          <w:color w:val="000000"/>
          <w:sz w:val="24"/>
          <w:szCs w:val="24"/>
          <w:lang w:val="en-US" w:eastAsia="zh-CN"/>
        </w:rPr>
        <w:t>2</w:t>
      </w:r>
      <w:r>
        <w:rPr>
          <w:rFonts w:hint="default" w:ascii="Times New Roman" w:hAnsi="Times New Roman" w:eastAsia="宋体" w:cs="Times New Roman"/>
          <w:color w:val="000000"/>
          <w:sz w:val="24"/>
          <w:szCs w:val="24"/>
        </w:rPr>
        <w:t>年一般公共预算财政拨款支出</w:t>
      </w:r>
      <w:r>
        <w:rPr>
          <w:rFonts w:hint="default" w:ascii="Times New Roman" w:hAnsi="Times New Roman" w:eastAsia="宋体" w:cs="Times New Roman"/>
          <w:color w:val="000000"/>
          <w:sz w:val="24"/>
          <w:szCs w:val="24"/>
          <w:lang w:val="en-US" w:eastAsia="zh-CN"/>
        </w:rPr>
        <w:t>1,749.29</w:t>
      </w:r>
      <w:r>
        <w:rPr>
          <w:rFonts w:hint="default" w:ascii="Times New Roman" w:hAnsi="Times New Roman" w:eastAsia="宋体" w:cs="Times New Roman"/>
          <w:color w:val="000000"/>
          <w:sz w:val="24"/>
          <w:szCs w:val="24"/>
        </w:rPr>
        <w:t>万元，占本年支出合计的 100.00%。与20</w:t>
      </w:r>
      <w:r>
        <w:rPr>
          <w:rFonts w:hint="default" w:ascii="Times New Roman" w:hAnsi="Times New Roman" w:eastAsia="宋体" w:cs="Times New Roman"/>
          <w:color w:val="000000"/>
          <w:sz w:val="24"/>
          <w:szCs w:val="24"/>
          <w:lang w:val="en-US" w:eastAsia="zh-CN"/>
        </w:rPr>
        <w:t>20</w:t>
      </w:r>
      <w:r>
        <w:rPr>
          <w:rFonts w:hint="default" w:ascii="Times New Roman" w:hAnsi="Times New Roman" w:eastAsia="宋体" w:cs="Times New Roman"/>
          <w:color w:val="000000"/>
          <w:sz w:val="24"/>
          <w:szCs w:val="24"/>
        </w:rPr>
        <w:t>年相比，一般公共预算财政拨款</w:t>
      </w:r>
      <w:r>
        <w:rPr>
          <w:rFonts w:hint="default" w:ascii="Times New Roman" w:hAnsi="Times New Roman" w:eastAsia="宋体" w:cs="Times New Roman"/>
          <w:color w:val="000000"/>
          <w:sz w:val="24"/>
          <w:szCs w:val="24"/>
          <w:lang w:eastAsia="zh-CN"/>
        </w:rPr>
        <w:t>减少</w:t>
      </w:r>
      <w:r>
        <w:rPr>
          <w:rFonts w:hint="default" w:ascii="Times New Roman" w:hAnsi="Times New Roman" w:eastAsia="宋体" w:cs="Times New Roman"/>
          <w:color w:val="000000"/>
          <w:sz w:val="24"/>
          <w:szCs w:val="24"/>
          <w:lang w:val="en-US" w:eastAsia="zh-CN"/>
        </w:rPr>
        <w:t>121.55</w:t>
      </w:r>
      <w:r>
        <w:rPr>
          <w:rFonts w:hint="default" w:ascii="Times New Roman" w:hAnsi="Times New Roman" w:eastAsia="宋体" w:cs="Times New Roman"/>
          <w:color w:val="000000"/>
          <w:sz w:val="24"/>
          <w:szCs w:val="24"/>
        </w:rPr>
        <w:t>万元，</w:t>
      </w:r>
      <w:r>
        <w:rPr>
          <w:rFonts w:hint="default" w:ascii="Times New Roman" w:hAnsi="Times New Roman" w:eastAsia="宋体" w:cs="Times New Roman"/>
          <w:color w:val="000000"/>
          <w:sz w:val="24"/>
          <w:szCs w:val="24"/>
          <w:lang w:eastAsia="zh-CN"/>
        </w:rPr>
        <w:t>减少</w:t>
      </w:r>
      <w:r>
        <w:rPr>
          <w:rFonts w:hint="default" w:ascii="Times New Roman" w:hAnsi="Times New Roman" w:eastAsia="宋体" w:cs="Times New Roman"/>
          <w:color w:val="000000"/>
          <w:sz w:val="24"/>
          <w:szCs w:val="24"/>
          <w:lang w:val="en-US" w:eastAsia="zh-CN"/>
        </w:rPr>
        <w:t>6.50</w:t>
      </w:r>
      <w:r>
        <w:rPr>
          <w:rFonts w:hint="default" w:ascii="Times New Roman" w:hAnsi="Times New Roman" w:eastAsia="宋体" w:cs="Times New Roman"/>
          <w:color w:val="000000"/>
          <w:sz w:val="24"/>
          <w:szCs w:val="24"/>
        </w:rPr>
        <w:t>%。主要变动原因是</w:t>
      </w:r>
      <w:r>
        <w:rPr>
          <w:rFonts w:hint="default" w:ascii="Times New Roman" w:hAnsi="Times New Roman" w:eastAsia="宋体" w:cs="Times New Roman"/>
          <w:color w:val="000000"/>
          <w:sz w:val="24"/>
          <w:szCs w:val="24"/>
          <w:lang w:eastAsia="zh-CN"/>
        </w:rPr>
        <w:t>受疫情影响，相关活动减少</w:t>
      </w:r>
      <w:r>
        <w:rPr>
          <w:rFonts w:hint="default" w:ascii="Times New Roman" w:hAnsi="Times New Roman" w:eastAsia="宋体" w:cs="Times New Roman"/>
          <w:color w:val="000000"/>
          <w:sz w:val="24"/>
          <w:szCs w:val="24"/>
        </w:rPr>
        <w:t>。</w:t>
      </w:r>
    </w:p>
    <w:p w14:paraId="10A4700C">
      <w:pPr>
        <w:spacing w:line="600" w:lineRule="exact"/>
        <w:ind w:firstLine="480" w:firstLineChars="200"/>
        <w:outlineLvl w:val="1"/>
        <w:rPr>
          <w:rFonts w:hint="default" w:ascii="Times New Roman" w:hAnsi="Times New Roman" w:eastAsia="宋体" w:cs="Times New Roman"/>
          <w:color w:val="000000"/>
          <w:sz w:val="24"/>
          <w:szCs w:val="24"/>
        </w:rPr>
      </w:pPr>
    </w:p>
    <w:p w14:paraId="06310587">
      <w:pPr>
        <w:spacing w:line="600" w:lineRule="exact"/>
        <w:ind w:firstLine="480" w:firstLineChars="200"/>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drawing>
          <wp:anchor distT="255270" distB="150495" distL="375920" distR="302895" simplePos="0" relativeHeight="251659264" behindDoc="1" locked="0" layoutInCell="1" allowOverlap="1">
            <wp:simplePos x="0" y="0"/>
            <wp:positionH relativeFrom="column">
              <wp:posOffset>906780</wp:posOffset>
            </wp:positionH>
            <wp:positionV relativeFrom="paragraph">
              <wp:posOffset>702310</wp:posOffset>
            </wp:positionV>
            <wp:extent cx="4023360" cy="1286510"/>
            <wp:effectExtent l="0" t="0" r="0" b="0"/>
            <wp:wrapNone/>
            <wp:docPr id="13" name="对象 1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anchor>
        </w:drawing>
      </w:r>
      <w:r>
        <w:rPr>
          <w:rFonts w:hint="default" w:ascii="Times New Roman" w:hAnsi="Times New Roman" w:eastAsia="宋体" w:cs="Times New Roman"/>
          <w:color w:val="000000"/>
          <w:sz w:val="24"/>
          <w:szCs w:val="24"/>
        </w:rPr>
        <w:t>（图5：一般公共预算财政拨款支出决算变动情况）（柱状图）</w:t>
      </w:r>
    </w:p>
    <w:p w14:paraId="00DD5B54">
      <w:pPr>
        <w:spacing w:line="600" w:lineRule="exact"/>
        <w:ind w:firstLine="480" w:firstLineChars="200"/>
        <w:rPr>
          <w:rFonts w:hint="default" w:ascii="Times New Roman" w:hAnsi="Times New Roman" w:eastAsia="宋体" w:cs="Times New Roman"/>
          <w:color w:val="000000"/>
          <w:sz w:val="24"/>
          <w:szCs w:val="24"/>
        </w:rPr>
      </w:pPr>
    </w:p>
    <w:p w14:paraId="5961AB89">
      <w:pPr>
        <w:spacing w:line="600" w:lineRule="exact"/>
        <w:ind w:firstLine="480" w:firstLineChars="200"/>
        <w:rPr>
          <w:rFonts w:hint="default" w:ascii="Times New Roman" w:hAnsi="Times New Roman" w:eastAsia="宋体" w:cs="Times New Roman"/>
          <w:color w:val="000000"/>
          <w:sz w:val="24"/>
          <w:szCs w:val="24"/>
        </w:rPr>
      </w:pPr>
    </w:p>
    <w:p w14:paraId="7DDACDFE">
      <w:pPr>
        <w:spacing w:line="600" w:lineRule="exact"/>
        <w:ind w:firstLine="480" w:firstLineChars="200"/>
        <w:rPr>
          <w:rFonts w:hint="default" w:ascii="Times New Roman" w:hAnsi="Times New Roman" w:eastAsia="宋体" w:cs="Times New Roman"/>
          <w:color w:val="000000"/>
          <w:sz w:val="24"/>
          <w:szCs w:val="24"/>
        </w:rPr>
      </w:pPr>
    </w:p>
    <w:p w14:paraId="4FCA1F13">
      <w:pPr>
        <w:spacing w:line="600" w:lineRule="exact"/>
        <w:ind w:firstLine="480" w:firstLineChars="200"/>
        <w:rPr>
          <w:rFonts w:hint="default" w:ascii="Times New Roman" w:hAnsi="Times New Roman" w:eastAsia="宋体" w:cs="Times New Roman"/>
          <w:color w:val="000000"/>
          <w:sz w:val="24"/>
          <w:szCs w:val="24"/>
        </w:rPr>
      </w:pPr>
    </w:p>
    <w:p w14:paraId="5C073B48">
      <w:pPr>
        <w:pStyle w:val="15"/>
        <w:shd w:val="clear" w:color="auto" w:fill="FFFFFF"/>
        <w:spacing w:before="0" w:beforeAutospacing="0"/>
        <w:ind w:left="0"/>
        <w:jc w:val="left"/>
        <w:rPr>
          <w:rFonts w:hint="default" w:ascii="Times New Roman" w:hAnsi="Times New Roman" w:cs="Times New Roman"/>
        </w:rPr>
      </w:pPr>
      <w:r>
        <w:rPr>
          <w:rStyle w:val="18"/>
          <w:rFonts w:hint="default" w:ascii="Times New Roman" w:hAnsi="Times New Roman" w:cs="Times New Roman"/>
        </w:rPr>
        <w:t>（二）一般公共预算财政拨款支出决算结构情况</w:t>
      </w:r>
    </w:p>
    <w:p w14:paraId="05A2E8B6">
      <w:pPr>
        <w:spacing w:line="600" w:lineRule="exact"/>
        <w:ind w:firstLine="480" w:firstLineChars="200"/>
        <w:outlineLvl w:val="1"/>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202</w:t>
      </w:r>
      <w:r>
        <w:rPr>
          <w:rFonts w:hint="default" w:ascii="Times New Roman" w:hAnsi="Times New Roman" w:eastAsia="宋体" w:cs="Times New Roman"/>
          <w:color w:val="000000"/>
          <w:sz w:val="24"/>
          <w:szCs w:val="24"/>
          <w:lang w:val="en-US" w:eastAsia="zh-CN"/>
        </w:rPr>
        <w:t>2</w:t>
      </w:r>
      <w:r>
        <w:rPr>
          <w:rFonts w:hint="default" w:ascii="Times New Roman" w:hAnsi="Times New Roman" w:eastAsia="宋体" w:cs="Times New Roman"/>
          <w:color w:val="000000"/>
          <w:sz w:val="24"/>
          <w:szCs w:val="24"/>
        </w:rPr>
        <w:t>年一般公共预算财政拨款支出</w:t>
      </w:r>
      <w:r>
        <w:rPr>
          <w:rFonts w:hint="default" w:ascii="Times New Roman" w:hAnsi="Times New Roman" w:eastAsia="宋体" w:cs="Times New Roman"/>
          <w:color w:val="000000"/>
          <w:sz w:val="24"/>
          <w:szCs w:val="24"/>
          <w:lang w:val="en-US" w:eastAsia="zh-CN"/>
        </w:rPr>
        <w:t>1,749.29</w:t>
      </w:r>
      <w:r>
        <w:rPr>
          <w:rFonts w:hint="default" w:ascii="Times New Roman" w:hAnsi="Times New Roman" w:eastAsia="宋体" w:cs="Times New Roman"/>
          <w:color w:val="000000"/>
          <w:sz w:val="24"/>
          <w:szCs w:val="24"/>
        </w:rPr>
        <w:t>万元，主要用于以下方面:一般公共服务（类）支出0.00万元，占0.00%；外交支出（类）0.00万元，占0.00%，国防支出（类）0.00万元，占0.00%；公共安全支出（类）</w:t>
      </w:r>
      <w:r>
        <w:rPr>
          <w:rFonts w:hint="default" w:ascii="Times New Roman" w:hAnsi="Times New Roman" w:eastAsia="宋体" w:cs="Times New Roman"/>
          <w:color w:val="000000"/>
          <w:sz w:val="24"/>
          <w:szCs w:val="24"/>
          <w:lang w:val="en-US" w:eastAsia="zh-CN"/>
        </w:rPr>
        <w:t>1551.74</w:t>
      </w:r>
      <w:r>
        <w:rPr>
          <w:rFonts w:hint="default" w:ascii="Times New Roman" w:hAnsi="Times New Roman" w:eastAsia="宋体" w:cs="Times New Roman"/>
          <w:color w:val="000000"/>
          <w:sz w:val="24"/>
          <w:szCs w:val="24"/>
        </w:rPr>
        <w:t>万元，占</w:t>
      </w:r>
      <w:r>
        <w:rPr>
          <w:rFonts w:hint="default" w:ascii="Times New Roman" w:hAnsi="Times New Roman" w:eastAsia="宋体" w:cs="Times New Roman"/>
          <w:color w:val="000000"/>
          <w:sz w:val="24"/>
          <w:szCs w:val="24"/>
          <w:lang w:val="en-US"/>
        </w:rPr>
        <w:t>88</w:t>
      </w:r>
      <w:r>
        <w:rPr>
          <w:rFonts w:hint="default" w:ascii="Times New Roman" w:hAnsi="Times New Roman" w:eastAsia="宋体" w:cs="Times New Roman"/>
          <w:color w:val="000000"/>
          <w:sz w:val="24"/>
          <w:szCs w:val="24"/>
        </w:rPr>
        <w:t>.</w:t>
      </w:r>
      <w:r>
        <w:rPr>
          <w:rFonts w:hint="default" w:ascii="Times New Roman" w:hAnsi="Times New Roman" w:eastAsia="宋体" w:cs="Times New Roman"/>
          <w:color w:val="000000"/>
          <w:sz w:val="24"/>
          <w:szCs w:val="24"/>
          <w:lang w:val="en-US" w:eastAsia="zh-CN"/>
        </w:rPr>
        <w:t>70</w:t>
      </w:r>
      <w:r>
        <w:rPr>
          <w:rFonts w:hint="default" w:ascii="Times New Roman" w:hAnsi="Times New Roman" w:eastAsia="宋体" w:cs="Times New Roman"/>
          <w:color w:val="000000"/>
          <w:sz w:val="24"/>
          <w:szCs w:val="24"/>
        </w:rPr>
        <w:t>%；科学技术（类）支出0.00万元，占0.00%；文化旅游体育与传媒（类）支出0.00万元，占0.00%；社会保障和就业（类）支出</w:t>
      </w:r>
      <w:r>
        <w:rPr>
          <w:rFonts w:hint="default" w:ascii="Times New Roman" w:hAnsi="Times New Roman" w:eastAsia="宋体" w:cs="Times New Roman"/>
          <w:color w:val="000000"/>
          <w:sz w:val="24"/>
          <w:szCs w:val="24"/>
          <w:lang w:val="en-US" w:eastAsia="zh-CN"/>
        </w:rPr>
        <w:t>98.45</w:t>
      </w:r>
      <w:r>
        <w:rPr>
          <w:rFonts w:hint="default" w:ascii="Times New Roman" w:hAnsi="Times New Roman" w:eastAsia="宋体" w:cs="Times New Roman"/>
          <w:color w:val="000000"/>
          <w:sz w:val="24"/>
          <w:szCs w:val="24"/>
        </w:rPr>
        <w:t>万元，占5.63%；卫生健康支出（类）38.98万元，占2.23%；节能环保支出（类）0.00万元，占0.00%；城乡社区支出（类）0.00万元，占0.00%；农林水支出（类）0.00万元，占0.00%；交通运输支出（类）0.00万元，占0.00%；资源勘探信息等支出（类）0.00万元，占0.00%；商业服务业等支出（类）0.00万元，占0.00%；金融支出（类）0.00万元，占0.00%；援助其他地区支出（类）0.00万元，占0.00%；自然资源海洋气象等支出（类）0.00万元，占0.00%；住房保障支出（类）</w:t>
      </w:r>
      <w:r>
        <w:rPr>
          <w:rFonts w:hint="default" w:ascii="Times New Roman" w:hAnsi="Times New Roman" w:eastAsia="宋体" w:cs="Times New Roman"/>
          <w:color w:val="000000"/>
          <w:sz w:val="24"/>
          <w:szCs w:val="24"/>
          <w:lang w:val="en-US" w:eastAsia="zh-CN"/>
        </w:rPr>
        <w:t>60.12</w:t>
      </w:r>
      <w:r>
        <w:rPr>
          <w:rFonts w:hint="default" w:ascii="Times New Roman" w:hAnsi="Times New Roman" w:eastAsia="宋体" w:cs="Times New Roman"/>
          <w:color w:val="000000"/>
          <w:sz w:val="24"/>
          <w:szCs w:val="24"/>
        </w:rPr>
        <w:t>万元，占3.44%；粮油物资储备支出（类）0.00万元，占0.00%；灾害防治及应急管理支出（类）0.00万元，占0.00%；其他支出（类）0.00万元，占0.00%；债务还本支出（类）0.00万元，占0.00%；债务付息支出（类）0.00万元，占0.00%。</w:t>
      </w:r>
    </w:p>
    <w:p w14:paraId="66B88C52">
      <w:pPr>
        <w:spacing w:line="600" w:lineRule="exact"/>
        <w:ind w:firstLine="480" w:firstLineChars="200"/>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（图6：一般公共预算财政拨款支出决算结构）（饼状图）</w:t>
      </w:r>
    </w:p>
    <w:p w14:paraId="3D51F8A0">
      <w:pPr>
        <w:spacing w:line="600" w:lineRule="exact"/>
        <w:ind w:firstLine="480" w:firstLineChars="200"/>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drawing>
          <wp:anchor distT="725170" distB="803275" distL="1546860" distR="419735" simplePos="0" relativeHeight="251659264" behindDoc="0" locked="0" layoutInCell="1" allowOverlap="1">
            <wp:simplePos x="0" y="0"/>
            <wp:positionH relativeFrom="column">
              <wp:posOffset>-67945</wp:posOffset>
            </wp:positionH>
            <wp:positionV relativeFrom="paragraph">
              <wp:posOffset>13335</wp:posOffset>
            </wp:positionV>
            <wp:extent cx="5695950" cy="3079750"/>
            <wp:effectExtent l="0" t="0" r="0" b="0"/>
            <wp:wrapNone/>
            <wp:docPr id="14" name="对象 1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anchor>
        </w:drawing>
      </w:r>
    </w:p>
    <w:p w14:paraId="357D43AC">
      <w:pPr>
        <w:spacing w:line="600" w:lineRule="exact"/>
        <w:ind w:firstLine="480" w:firstLineChars="200"/>
        <w:rPr>
          <w:rFonts w:hint="default" w:ascii="Times New Roman" w:hAnsi="Times New Roman" w:eastAsia="宋体" w:cs="Times New Roman"/>
          <w:color w:val="000000"/>
          <w:sz w:val="24"/>
          <w:szCs w:val="24"/>
        </w:rPr>
      </w:pPr>
    </w:p>
    <w:p w14:paraId="178D300B">
      <w:pPr>
        <w:spacing w:line="600" w:lineRule="exact"/>
        <w:ind w:firstLine="480" w:firstLineChars="200"/>
        <w:rPr>
          <w:rFonts w:hint="default" w:ascii="Times New Roman" w:hAnsi="Times New Roman" w:eastAsia="宋体" w:cs="Times New Roman"/>
          <w:color w:val="000000"/>
          <w:sz w:val="24"/>
          <w:szCs w:val="24"/>
        </w:rPr>
      </w:pPr>
    </w:p>
    <w:p w14:paraId="090A895E">
      <w:pPr>
        <w:spacing w:line="600" w:lineRule="exact"/>
        <w:ind w:firstLine="480" w:firstLineChars="200"/>
        <w:rPr>
          <w:rFonts w:hint="default" w:ascii="Times New Roman" w:hAnsi="Times New Roman" w:eastAsia="宋体" w:cs="Times New Roman"/>
          <w:color w:val="000000"/>
          <w:sz w:val="24"/>
          <w:szCs w:val="24"/>
        </w:rPr>
      </w:pPr>
    </w:p>
    <w:p w14:paraId="41316B5C">
      <w:pPr>
        <w:spacing w:line="600" w:lineRule="exact"/>
        <w:ind w:firstLine="480" w:firstLineChars="200"/>
        <w:rPr>
          <w:rFonts w:hint="default" w:ascii="Times New Roman" w:hAnsi="Times New Roman" w:eastAsia="宋体" w:cs="Times New Roman"/>
          <w:color w:val="000000"/>
          <w:sz w:val="24"/>
          <w:szCs w:val="24"/>
        </w:rPr>
      </w:pPr>
    </w:p>
    <w:p w14:paraId="3DFAD383">
      <w:pPr>
        <w:spacing w:line="600" w:lineRule="exact"/>
        <w:ind w:firstLine="480" w:firstLineChars="200"/>
        <w:rPr>
          <w:rFonts w:hint="default" w:ascii="Times New Roman" w:hAnsi="Times New Roman" w:eastAsia="宋体" w:cs="Times New Roman"/>
          <w:color w:val="000000"/>
          <w:sz w:val="24"/>
          <w:szCs w:val="24"/>
        </w:rPr>
      </w:pPr>
    </w:p>
    <w:p w14:paraId="0461DB88">
      <w:pPr>
        <w:spacing w:line="600" w:lineRule="exact"/>
        <w:ind w:firstLine="480" w:firstLineChars="200"/>
        <w:rPr>
          <w:rFonts w:hint="default" w:ascii="Times New Roman" w:hAnsi="Times New Roman" w:eastAsia="宋体" w:cs="Times New Roman"/>
          <w:color w:val="000000"/>
          <w:sz w:val="24"/>
          <w:szCs w:val="24"/>
        </w:rPr>
      </w:pPr>
    </w:p>
    <w:p w14:paraId="036F59A6">
      <w:pPr>
        <w:spacing w:line="600" w:lineRule="exact"/>
        <w:ind w:firstLine="480" w:firstLineChars="200"/>
        <w:rPr>
          <w:rFonts w:hint="default" w:ascii="Times New Roman" w:hAnsi="Times New Roman" w:eastAsia="宋体" w:cs="Times New Roman"/>
          <w:color w:val="000000"/>
          <w:sz w:val="24"/>
          <w:szCs w:val="24"/>
        </w:rPr>
      </w:pPr>
    </w:p>
    <w:p w14:paraId="517D6151">
      <w:pPr>
        <w:spacing w:line="600" w:lineRule="exact"/>
        <w:ind w:firstLine="480" w:firstLineChars="200"/>
        <w:rPr>
          <w:rFonts w:hint="default" w:ascii="Times New Roman" w:hAnsi="Times New Roman" w:eastAsia="宋体" w:cs="Times New Roman"/>
          <w:color w:val="000000"/>
          <w:sz w:val="24"/>
          <w:szCs w:val="24"/>
        </w:rPr>
      </w:pPr>
    </w:p>
    <w:p w14:paraId="241651E6">
      <w:pPr>
        <w:pStyle w:val="15"/>
        <w:shd w:val="clear" w:color="auto" w:fill="FFFFFF"/>
        <w:spacing w:before="0" w:beforeAutospacing="0"/>
        <w:ind w:left="0"/>
        <w:jc w:val="left"/>
        <w:rPr>
          <w:rFonts w:hint="default" w:ascii="Times New Roman" w:hAnsi="Times New Roman" w:cs="Times New Roman"/>
        </w:rPr>
      </w:pPr>
      <w:r>
        <w:rPr>
          <w:rStyle w:val="18"/>
          <w:rFonts w:hint="default" w:ascii="Times New Roman" w:hAnsi="Times New Roman" w:cs="Times New Roman"/>
        </w:rPr>
        <w:t>（三）一般公共预算财政拨款支出决算具体情况</w:t>
      </w:r>
    </w:p>
    <w:p w14:paraId="00063257">
      <w:pPr>
        <w:keepNext w:val="0"/>
        <w:keepLines w:val="0"/>
        <w:pageBreakBefore w:val="0"/>
        <w:widowControl w:val="0"/>
        <w:kinsoku/>
        <w:wordWrap/>
        <w:overflowPunct/>
        <w:topLinePunct w:val="0"/>
        <w:autoSpaceDE/>
        <w:autoSpaceDN/>
        <w:bidi w:val="0"/>
        <w:adjustRightInd/>
        <w:snapToGrid/>
        <w:spacing w:line="600" w:lineRule="exact"/>
        <w:ind w:firstLine="0" w:firstLineChars="0"/>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202</w:t>
      </w:r>
      <w:r>
        <w:rPr>
          <w:rFonts w:hint="default" w:ascii="Times New Roman" w:hAnsi="Times New Roman" w:eastAsia="宋体" w:cs="Times New Roman"/>
          <w:color w:val="000000"/>
          <w:sz w:val="24"/>
          <w:szCs w:val="24"/>
          <w:lang w:val="en-US" w:eastAsia="zh-CN"/>
        </w:rPr>
        <w:t>2</w:t>
      </w:r>
      <w:r>
        <w:rPr>
          <w:rFonts w:hint="default" w:ascii="Times New Roman" w:hAnsi="Times New Roman" w:eastAsia="宋体" w:cs="Times New Roman"/>
          <w:color w:val="000000"/>
          <w:sz w:val="24"/>
          <w:szCs w:val="24"/>
        </w:rPr>
        <w:t>年一般公共预算支出决算数为1,749.29万元，完成预算</w:t>
      </w:r>
      <w:r>
        <w:rPr>
          <w:rFonts w:hint="default" w:ascii="Times New Roman" w:hAnsi="Times New Roman" w:eastAsia="宋体" w:cs="Times New Roman"/>
          <w:color w:val="000000"/>
          <w:sz w:val="24"/>
          <w:szCs w:val="24"/>
          <w:lang w:val="en-US" w:eastAsia="zh-CN"/>
        </w:rPr>
        <w:t>100</w:t>
      </w:r>
      <w:r>
        <w:rPr>
          <w:rFonts w:hint="default" w:ascii="Times New Roman" w:hAnsi="Times New Roman" w:eastAsia="宋体" w:cs="Times New Roman"/>
          <w:color w:val="000000"/>
          <w:sz w:val="24"/>
          <w:szCs w:val="24"/>
        </w:rPr>
        <w:t>%。其中：</w:t>
      </w:r>
    </w:p>
    <w:p w14:paraId="1D125474">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lang w:val="en-US" w:eastAsia="zh-CN"/>
        </w:rPr>
        <w:t>1</w:t>
      </w:r>
      <w:r>
        <w:rPr>
          <w:rFonts w:hint="default" w:ascii="Times New Roman" w:hAnsi="Times New Roman" w:eastAsia="宋体" w:cs="Times New Roman"/>
          <w:color w:val="000000"/>
          <w:sz w:val="24"/>
          <w:szCs w:val="24"/>
        </w:rPr>
        <w:t>.公共安全支出（类）公安（款）行政运行（项）2040201：202</w:t>
      </w:r>
      <w:r>
        <w:rPr>
          <w:rFonts w:hint="default" w:ascii="Times New Roman" w:hAnsi="Times New Roman" w:eastAsia="宋体" w:cs="Times New Roman"/>
          <w:color w:val="000000"/>
          <w:sz w:val="24"/>
          <w:szCs w:val="24"/>
          <w:lang w:val="en-US" w:eastAsia="zh-CN"/>
        </w:rPr>
        <w:t>2</w:t>
      </w:r>
      <w:r>
        <w:rPr>
          <w:rFonts w:hint="default" w:ascii="Times New Roman" w:hAnsi="Times New Roman" w:eastAsia="宋体" w:cs="Times New Roman"/>
          <w:color w:val="000000"/>
          <w:sz w:val="24"/>
          <w:szCs w:val="24"/>
        </w:rPr>
        <w:t>年决算数为</w:t>
      </w:r>
      <w:r>
        <w:rPr>
          <w:rFonts w:hint="default" w:ascii="Times New Roman" w:hAnsi="Times New Roman" w:eastAsia="宋体" w:cs="Times New Roman"/>
          <w:color w:val="000000"/>
          <w:sz w:val="24"/>
          <w:szCs w:val="24"/>
          <w:lang w:val="en-US" w:eastAsia="zh-CN"/>
        </w:rPr>
        <w:t>1223.24</w:t>
      </w:r>
      <w:r>
        <w:rPr>
          <w:rFonts w:hint="default" w:ascii="Times New Roman" w:hAnsi="Times New Roman" w:eastAsia="宋体" w:cs="Times New Roman"/>
          <w:color w:val="000000"/>
          <w:sz w:val="24"/>
          <w:szCs w:val="24"/>
        </w:rPr>
        <w:t>万元，完成预算100%。</w:t>
      </w:r>
    </w:p>
    <w:p w14:paraId="79299F6A">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lang w:val="en-US" w:eastAsia="zh-CN"/>
        </w:rPr>
        <w:t>2</w:t>
      </w:r>
      <w:r>
        <w:rPr>
          <w:rFonts w:hint="default" w:ascii="Times New Roman" w:hAnsi="Times New Roman" w:eastAsia="宋体" w:cs="Times New Roman"/>
          <w:color w:val="000000"/>
          <w:sz w:val="24"/>
          <w:szCs w:val="24"/>
        </w:rPr>
        <w:t>.公共安全支出（类）公安（款）一般行政管理事务（项）2040202：202</w:t>
      </w:r>
      <w:r>
        <w:rPr>
          <w:rFonts w:hint="default" w:ascii="Times New Roman" w:hAnsi="Times New Roman" w:eastAsia="宋体" w:cs="Times New Roman"/>
          <w:color w:val="000000"/>
          <w:sz w:val="24"/>
          <w:szCs w:val="24"/>
          <w:lang w:val="en-US" w:eastAsia="zh-CN"/>
        </w:rPr>
        <w:t>2</w:t>
      </w:r>
      <w:r>
        <w:rPr>
          <w:rFonts w:hint="default" w:ascii="Times New Roman" w:hAnsi="Times New Roman" w:eastAsia="宋体" w:cs="Times New Roman"/>
          <w:color w:val="000000"/>
          <w:sz w:val="24"/>
          <w:szCs w:val="24"/>
        </w:rPr>
        <w:t>年决算数为</w:t>
      </w:r>
      <w:r>
        <w:rPr>
          <w:rFonts w:hint="default" w:ascii="Times New Roman" w:hAnsi="Times New Roman" w:eastAsia="宋体" w:cs="Times New Roman"/>
          <w:color w:val="000000"/>
          <w:sz w:val="24"/>
          <w:szCs w:val="24"/>
          <w:lang w:val="en-US" w:eastAsia="zh-CN"/>
        </w:rPr>
        <w:t>328.5</w:t>
      </w:r>
      <w:r>
        <w:rPr>
          <w:rFonts w:hint="default" w:ascii="Times New Roman" w:hAnsi="Times New Roman" w:eastAsia="宋体" w:cs="Times New Roman"/>
          <w:color w:val="000000"/>
          <w:sz w:val="24"/>
          <w:szCs w:val="24"/>
        </w:rPr>
        <w:t>万元，完成预算</w:t>
      </w:r>
      <w:r>
        <w:rPr>
          <w:rFonts w:hint="default" w:ascii="Times New Roman" w:hAnsi="Times New Roman" w:eastAsia="宋体" w:cs="Times New Roman"/>
          <w:color w:val="000000"/>
          <w:sz w:val="24"/>
          <w:szCs w:val="24"/>
          <w:lang w:val="en-US" w:eastAsia="zh-CN"/>
        </w:rPr>
        <w:t>100</w:t>
      </w:r>
      <w:r>
        <w:rPr>
          <w:rFonts w:hint="default" w:ascii="Times New Roman" w:hAnsi="Times New Roman" w:eastAsia="宋体" w:cs="Times New Roman"/>
          <w:color w:val="000000"/>
          <w:sz w:val="24"/>
          <w:szCs w:val="24"/>
        </w:rPr>
        <w:t>%。</w:t>
      </w:r>
    </w:p>
    <w:p w14:paraId="35469D00">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lang w:val="en-US" w:eastAsia="zh-CN"/>
        </w:rPr>
        <w:t>3</w:t>
      </w:r>
      <w:r>
        <w:rPr>
          <w:rFonts w:hint="default" w:ascii="Times New Roman" w:hAnsi="Times New Roman" w:eastAsia="宋体" w:cs="Times New Roman"/>
          <w:color w:val="000000"/>
          <w:sz w:val="24"/>
          <w:szCs w:val="24"/>
        </w:rPr>
        <w:t>.社会保障和就业（类）行政事业单位离退休（款）机关事业单位基本养老保险缴费支出★（项）2080505：202</w:t>
      </w:r>
      <w:r>
        <w:rPr>
          <w:rFonts w:hint="default" w:ascii="Times New Roman" w:hAnsi="Times New Roman" w:eastAsia="宋体" w:cs="Times New Roman"/>
          <w:color w:val="000000"/>
          <w:sz w:val="24"/>
          <w:szCs w:val="24"/>
          <w:lang w:val="en-US" w:eastAsia="zh-CN"/>
        </w:rPr>
        <w:t>2</w:t>
      </w:r>
      <w:r>
        <w:rPr>
          <w:rFonts w:hint="default" w:ascii="Times New Roman" w:hAnsi="Times New Roman" w:eastAsia="宋体" w:cs="Times New Roman"/>
          <w:color w:val="000000"/>
          <w:sz w:val="24"/>
          <w:szCs w:val="24"/>
        </w:rPr>
        <w:t>年决算数为</w:t>
      </w:r>
      <w:r>
        <w:rPr>
          <w:rFonts w:hint="default" w:ascii="Times New Roman" w:hAnsi="Times New Roman" w:eastAsia="宋体" w:cs="Times New Roman"/>
          <w:color w:val="000000"/>
          <w:sz w:val="24"/>
          <w:szCs w:val="24"/>
          <w:lang w:val="en-US" w:eastAsia="zh-CN"/>
        </w:rPr>
        <w:t>65.63</w:t>
      </w:r>
      <w:r>
        <w:rPr>
          <w:rFonts w:hint="default" w:ascii="Times New Roman" w:hAnsi="Times New Roman" w:eastAsia="宋体" w:cs="Times New Roman"/>
          <w:color w:val="000000"/>
          <w:sz w:val="24"/>
          <w:szCs w:val="24"/>
        </w:rPr>
        <w:t>万元，完成预算100%，决算数等于预算数。</w:t>
      </w:r>
    </w:p>
    <w:p w14:paraId="74235FD0">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lang w:val="en-US" w:eastAsia="zh-CN"/>
        </w:rPr>
        <w:t>4</w:t>
      </w:r>
      <w:r>
        <w:rPr>
          <w:rFonts w:hint="default" w:ascii="Times New Roman" w:hAnsi="Times New Roman" w:eastAsia="宋体" w:cs="Times New Roman"/>
          <w:color w:val="000000"/>
          <w:sz w:val="24"/>
          <w:szCs w:val="24"/>
        </w:rPr>
        <w:t>.社会保障和就业（类）行政事业单位离退休（款）机关事业单位职业年金缴费支出★（项）2080506：202</w:t>
      </w:r>
      <w:r>
        <w:rPr>
          <w:rFonts w:hint="default" w:ascii="Times New Roman" w:hAnsi="Times New Roman" w:eastAsia="宋体" w:cs="Times New Roman"/>
          <w:color w:val="000000"/>
          <w:sz w:val="24"/>
          <w:szCs w:val="24"/>
          <w:lang w:val="en-US" w:eastAsia="zh-CN"/>
        </w:rPr>
        <w:t>2</w:t>
      </w:r>
      <w:r>
        <w:rPr>
          <w:rFonts w:hint="default" w:ascii="Times New Roman" w:hAnsi="Times New Roman" w:eastAsia="宋体" w:cs="Times New Roman"/>
          <w:color w:val="000000"/>
          <w:sz w:val="24"/>
          <w:szCs w:val="24"/>
        </w:rPr>
        <w:t>年决算数为</w:t>
      </w:r>
      <w:r>
        <w:rPr>
          <w:rFonts w:hint="default" w:ascii="Times New Roman" w:hAnsi="Times New Roman" w:eastAsia="宋体" w:cs="Times New Roman"/>
          <w:color w:val="000000"/>
          <w:sz w:val="24"/>
          <w:szCs w:val="24"/>
          <w:lang w:val="en-US" w:eastAsia="zh-CN"/>
        </w:rPr>
        <w:t>32.82</w:t>
      </w:r>
      <w:r>
        <w:rPr>
          <w:rFonts w:hint="default" w:ascii="Times New Roman" w:hAnsi="Times New Roman" w:eastAsia="宋体" w:cs="Times New Roman"/>
          <w:color w:val="000000"/>
          <w:sz w:val="24"/>
          <w:szCs w:val="24"/>
        </w:rPr>
        <w:t>万元，完成预算100%，决算数等于预算数。</w:t>
      </w:r>
    </w:p>
    <w:p w14:paraId="71C80407">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lang w:val="en-US" w:eastAsia="zh-CN"/>
        </w:rPr>
        <w:t>5</w:t>
      </w:r>
      <w:r>
        <w:rPr>
          <w:rFonts w:hint="default" w:ascii="Times New Roman" w:hAnsi="Times New Roman" w:eastAsia="宋体" w:cs="Times New Roman"/>
          <w:color w:val="000000"/>
          <w:sz w:val="24"/>
          <w:szCs w:val="24"/>
        </w:rPr>
        <w:t>.医疗卫生和计划生育（类）行政事业单位医疗★（款）行政单位医疗★（项）2101101：202</w:t>
      </w:r>
      <w:r>
        <w:rPr>
          <w:rFonts w:hint="default" w:ascii="Times New Roman" w:hAnsi="Times New Roman" w:eastAsia="宋体" w:cs="Times New Roman"/>
          <w:color w:val="000000"/>
          <w:sz w:val="24"/>
          <w:szCs w:val="24"/>
          <w:lang w:val="en-US" w:eastAsia="zh-CN"/>
        </w:rPr>
        <w:t>2</w:t>
      </w:r>
      <w:r>
        <w:rPr>
          <w:rFonts w:hint="default" w:ascii="Times New Roman" w:hAnsi="Times New Roman" w:eastAsia="宋体" w:cs="Times New Roman"/>
          <w:color w:val="000000"/>
          <w:sz w:val="24"/>
          <w:szCs w:val="24"/>
        </w:rPr>
        <w:t>年决算数为</w:t>
      </w:r>
      <w:r>
        <w:rPr>
          <w:rFonts w:hint="default" w:ascii="Times New Roman" w:hAnsi="Times New Roman" w:eastAsia="宋体" w:cs="Times New Roman"/>
          <w:color w:val="000000"/>
          <w:sz w:val="24"/>
          <w:szCs w:val="24"/>
          <w:lang w:val="en-US" w:eastAsia="zh-CN"/>
        </w:rPr>
        <w:t>31.26</w:t>
      </w:r>
      <w:r>
        <w:rPr>
          <w:rFonts w:hint="default" w:ascii="Times New Roman" w:hAnsi="Times New Roman" w:eastAsia="宋体" w:cs="Times New Roman"/>
          <w:color w:val="000000"/>
          <w:sz w:val="24"/>
          <w:szCs w:val="24"/>
        </w:rPr>
        <w:t>万元，完成预算100%，决算数等于预算数。</w:t>
      </w:r>
    </w:p>
    <w:p w14:paraId="3FA1E44B">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lang w:val="en-US" w:eastAsia="zh-CN"/>
        </w:rPr>
        <w:t>6</w:t>
      </w:r>
      <w:r>
        <w:rPr>
          <w:rFonts w:hint="default" w:ascii="Times New Roman" w:hAnsi="Times New Roman" w:eastAsia="宋体" w:cs="Times New Roman"/>
          <w:color w:val="000000"/>
          <w:sz w:val="24"/>
          <w:szCs w:val="24"/>
        </w:rPr>
        <w:t>.医疗卫生和计划生育（类）行政事业单位医疗★（款）公务员医疗补助★（项）2101103：202</w:t>
      </w:r>
      <w:r>
        <w:rPr>
          <w:rFonts w:hint="default" w:ascii="Times New Roman" w:hAnsi="Times New Roman" w:eastAsia="宋体" w:cs="Times New Roman"/>
          <w:color w:val="000000"/>
          <w:sz w:val="24"/>
          <w:szCs w:val="24"/>
          <w:lang w:val="en-US" w:eastAsia="zh-CN"/>
        </w:rPr>
        <w:t>2</w:t>
      </w:r>
      <w:r>
        <w:rPr>
          <w:rFonts w:hint="default" w:ascii="Times New Roman" w:hAnsi="Times New Roman" w:eastAsia="宋体" w:cs="Times New Roman"/>
          <w:color w:val="000000"/>
          <w:sz w:val="24"/>
          <w:szCs w:val="24"/>
        </w:rPr>
        <w:t>年决算数为</w:t>
      </w:r>
      <w:r>
        <w:rPr>
          <w:rFonts w:hint="default" w:ascii="Times New Roman" w:hAnsi="Times New Roman" w:eastAsia="宋体" w:cs="Times New Roman"/>
          <w:color w:val="000000"/>
          <w:sz w:val="24"/>
          <w:szCs w:val="24"/>
          <w:lang w:val="en-US" w:eastAsia="zh-CN"/>
        </w:rPr>
        <w:t>7.71</w:t>
      </w:r>
      <w:r>
        <w:rPr>
          <w:rFonts w:hint="default" w:ascii="Times New Roman" w:hAnsi="Times New Roman" w:eastAsia="宋体" w:cs="Times New Roman"/>
          <w:color w:val="000000"/>
          <w:sz w:val="24"/>
          <w:szCs w:val="24"/>
        </w:rPr>
        <w:t>万元，完成预算100%，决算数等于预算数。</w:t>
      </w:r>
    </w:p>
    <w:p w14:paraId="7E597E6E">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lang w:val="en-US" w:eastAsia="zh-CN"/>
        </w:rPr>
        <w:t>7</w:t>
      </w:r>
      <w:r>
        <w:rPr>
          <w:rFonts w:hint="default" w:ascii="Times New Roman" w:hAnsi="Times New Roman" w:eastAsia="宋体" w:cs="Times New Roman"/>
          <w:color w:val="000000"/>
          <w:sz w:val="24"/>
          <w:szCs w:val="24"/>
        </w:rPr>
        <w:t>.住房保障（类）住房改革支出（款）住房公积金（项）2210201：202</w:t>
      </w:r>
      <w:r>
        <w:rPr>
          <w:rFonts w:hint="default" w:ascii="Times New Roman" w:hAnsi="Times New Roman" w:eastAsia="宋体" w:cs="Times New Roman"/>
          <w:color w:val="000000"/>
          <w:sz w:val="24"/>
          <w:szCs w:val="24"/>
          <w:lang w:val="en-US" w:eastAsia="zh-CN"/>
        </w:rPr>
        <w:t>2</w:t>
      </w:r>
      <w:r>
        <w:rPr>
          <w:rFonts w:hint="default" w:ascii="Times New Roman" w:hAnsi="Times New Roman" w:eastAsia="宋体" w:cs="Times New Roman"/>
          <w:color w:val="000000"/>
          <w:sz w:val="24"/>
          <w:szCs w:val="24"/>
        </w:rPr>
        <w:t>年决算数为</w:t>
      </w:r>
      <w:r>
        <w:rPr>
          <w:rFonts w:hint="default" w:ascii="Times New Roman" w:hAnsi="Times New Roman" w:eastAsia="宋体" w:cs="Times New Roman"/>
          <w:color w:val="000000"/>
          <w:sz w:val="24"/>
          <w:szCs w:val="24"/>
          <w:lang w:val="en-US" w:eastAsia="zh-CN"/>
        </w:rPr>
        <w:t>60.12</w:t>
      </w:r>
      <w:r>
        <w:rPr>
          <w:rFonts w:hint="default" w:ascii="Times New Roman" w:hAnsi="Times New Roman" w:eastAsia="宋体" w:cs="Times New Roman"/>
          <w:color w:val="000000"/>
          <w:sz w:val="24"/>
          <w:szCs w:val="24"/>
        </w:rPr>
        <w:t>万元，完成预算100%，决算数等于预算数。</w:t>
      </w:r>
    </w:p>
    <w:p w14:paraId="30D07510">
      <w:pPr>
        <w:keepNext w:val="0"/>
        <w:keepLines w:val="0"/>
        <w:pageBreakBefore w:val="0"/>
        <w:widowControl w:val="0"/>
        <w:tabs>
          <w:tab w:val="right" w:pos="8306"/>
        </w:tabs>
        <w:kinsoku/>
        <w:wordWrap/>
        <w:overflowPunct/>
        <w:topLinePunct w:val="0"/>
        <w:autoSpaceDE/>
        <w:autoSpaceDN/>
        <w:bidi w:val="0"/>
        <w:adjustRightInd/>
        <w:snapToGrid/>
        <w:spacing w:line="600" w:lineRule="exact"/>
        <w:ind w:firstLine="0"/>
        <w:textAlignment w:val="auto"/>
        <w:outlineLvl w:val="1"/>
        <w:rPr>
          <w:rStyle w:val="21"/>
          <w:rFonts w:hint="default" w:ascii="Times New Roman" w:hAnsi="Times New Roman" w:eastAsia="宋体" w:cs="Times New Roman"/>
          <w:color w:val="000000"/>
          <w:sz w:val="24"/>
          <w:szCs w:val="24"/>
        </w:rPr>
      </w:pPr>
      <w:bookmarkStart w:id="31" w:name="_Toc15396608"/>
      <w:bookmarkStart w:id="32" w:name="_Toc15377214"/>
      <w:r>
        <w:rPr>
          <w:rFonts w:hint="default" w:ascii="Times New Roman" w:hAnsi="Times New Roman" w:eastAsia="宋体" w:cs="Times New Roman"/>
          <w:color w:val="000000"/>
          <w:sz w:val="24"/>
          <w:szCs w:val="24"/>
        </w:rPr>
        <w:t>六</w:t>
      </w:r>
      <w:r>
        <w:rPr>
          <w:rFonts w:hint="default" w:ascii="Times New Roman" w:hAnsi="Times New Roman" w:eastAsia="宋体" w:cs="Times New Roman"/>
          <w:b/>
          <w:color w:val="000000"/>
          <w:sz w:val="24"/>
          <w:szCs w:val="24"/>
        </w:rPr>
        <w:t>、一</w:t>
      </w:r>
      <w:r>
        <w:rPr>
          <w:rStyle w:val="21"/>
          <w:rFonts w:hint="default" w:ascii="Times New Roman" w:hAnsi="Times New Roman" w:eastAsia="宋体" w:cs="Times New Roman"/>
          <w:b w:val="0"/>
          <w:color w:val="000000"/>
          <w:sz w:val="24"/>
          <w:szCs w:val="24"/>
        </w:rPr>
        <w:t>般公共预算财政拨款基本支出决算情况说明</w:t>
      </w:r>
      <w:bookmarkEnd w:id="31"/>
      <w:bookmarkEnd w:id="32"/>
      <w:r>
        <w:rPr>
          <w:rStyle w:val="21"/>
          <w:rFonts w:hint="default" w:ascii="Times New Roman" w:hAnsi="Times New Roman" w:eastAsia="宋体" w:cs="Times New Roman"/>
          <w:b w:val="0"/>
          <w:color w:val="000000"/>
          <w:sz w:val="24"/>
          <w:szCs w:val="24"/>
        </w:rPr>
        <w:tab/>
      </w:r>
    </w:p>
    <w:p w14:paraId="4974D8D6">
      <w:pPr>
        <w:keepNext w:val="0"/>
        <w:keepLines w:val="0"/>
        <w:pageBreakBefore w:val="0"/>
        <w:widowControl w:val="0"/>
        <w:kinsoku/>
        <w:wordWrap/>
        <w:overflowPunct/>
        <w:topLinePunct w:val="0"/>
        <w:autoSpaceDE/>
        <w:autoSpaceDN/>
        <w:bidi w:val="0"/>
        <w:adjustRightInd/>
        <w:snapToGrid/>
        <w:spacing w:line="600" w:lineRule="exact"/>
        <w:ind w:firstLine="480" w:firstLineChars="200"/>
        <w:jc w:val="both"/>
        <w:textAlignment w:val="auto"/>
        <w:rPr>
          <w:rFonts w:hint="default" w:ascii="Times New Roman" w:hAnsi="Times New Roman" w:eastAsia="宋体" w:cs="Times New Roman"/>
          <w:color w:val="000000"/>
          <w:sz w:val="24"/>
          <w:szCs w:val="24"/>
        </w:rPr>
      </w:pPr>
      <w:bookmarkStart w:id="33" w:name="_Toc15396609"/>
      <w:bookmarkStart w:id="34" w:name="_Toc15377215"/>
      <w:r>
        <w:rPr>
          <w:rFonts w:hint="default" w:ascii="Times New Roman" w:hAnsi="Times New Roman" w:eastAsia="宋体" w:cs="Times New Roman"/>
          <w:color w:val="000000"/>
          <w:sz w:val="24"/>
          <w:szCs w:val="24"/>
        </w:rPr>
        <w:t>202</w:t>
      </w:r>
      <w:r>
        <w:rPr>
          <w:rFonts w:hint="default" w:ascii="Times New Roman" w:hAnsi="Times New Roman" w:eastAsia="宋体" w:cs="Times New Roman"/>
          <w:color w:val="000000"/>
          <w:sz w:val="24"/>
          <w:szCs w:val="24"/>
          <w:lang w:val="en-US" w:eastAsia="zh-CN"/>
        </w:rPr>
        <w:t>2</w:t>
      </w:r>
      <w:r>
        <w:rPr>
          <w:rFonts w:hint="default" w:ascii="Times New Roman" w:hAnsi="Times New Roman" w:eastAsia="宋体" w:cs="Times New Roman"/>
          <w:color w:val="000000"/>
          <w:sz w:val="24"/>
          <w:szCs w:val="24"/>
        </w:rPr>
        <w:t>年一般公共预算财政拨款基本支出</w:t>
      </w:r>
      <w:r>
        <w:rPr>
          <w:rFonts w:hint="default" w:ascii="Times New Roman" w:hAnsi="Times New Roman" w:eastAsia="宋体" w:cs="Times New Roman"/>
          <w:color w:val="000000"/>
          <w:sz w:val="24"/>
          <w:szCs w:val="24"/>
          <w:lang w:val="en-US" w:eastAsia="zh-CN"/>
        </w:rPr>
        <w:t>1695</w:t>
      </w:r>
      <w:r>
        <w:rPr>
          <w:rFonts w:hint="default" w:ascii="Times New Roman" w:hAnsi="Times New Roman" w:eastAsia="宋体" w:cs="Times New Roman"/>
          <w:color w:val="000000"/>
          <w:sz w:val="24"/>
          <w:szCs w:val="24"/>
        </w:rPr>
        <w:t>.</w:t>
      </w:r>
      <w:r>
        <w:rPr>
          <w:rFonts w:hint="default" w:ascii="Times New Roman" w:hAnsi="Times New Roman" w:eastAsia="宋体" w:cs="Times New Roman"/>
          <w:color w:val="000000"/>
          <w:sz w:val="24"/>
          <w:szCs w:val="24"/>
          <w:lang w:val="en-US" w:eastAsia="zh-CN"/>
        </w:rPr>
        <w:t>19</w:t>
      </w:r>
      <w:r>
        <w:rPr>
          <w:rFonts w:hint="default" w:ascii="Times New Roman" w:hAnsi="Times New Roman" w:eastAsia="宋体" w:cs="Times New Roman"/>
          <w:color w:val="000000"/>
          <w:sz w:val="24"/>
          <w:szCs w:val="24"/>
        </w:rPr>
        <w:t>万元，其中：</w:t>
      </w:r>
    </w:p>
    <w:p w14:paraId="57983100">
      <w:pPr>
        <w:keepNext w:val="0"/>
        <w:keepLines w:val="0"/>
        <w:pageBreakBefore w:val="0"/>
        <w:widowControl w:val="0"/>
        <w:kinsoku/>
        <w:wordWrap/>
        <w:overflowPunct/>
        <w:topLinePunct w:val="0"/>
        <w:autoSpaceDE/>
        <w:autoSpaceDN/>
        <w:bidi w:val="0"/>
        <w:adjustRightInd/>
        <w:snapToGrid/>
        <w:spacing w:line="600" w:lineRule="exact"/>
        <w:ind w:firstLine="480" w:firstLineChars="200"/>
        <w:jc w:val="both"/>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人员经费</w:t>
      </w:r>
      <w:r>
        <w:rPr>
          <w:rFonts w:hint="default" w:ascii="Times New Roman" w:hAnsi="Times New Roman" w:eastAsia="宋体" w:cs="Times New Roman"/>
          <w:color w:val="000000"/>
          <w:sz w:val="24"/>
          <w:szCs w:val="24"/>
          <w:lang w:val="en-US" w:eastAsia="zh-CN"/>
        </w:rPr>
        <w:t>873.86</w:t>
      </w:r>
      <w:r>
        <w:rPr>
          <w:rFonts w:hint="default" w:ascii="Times New Roman" w:hAnsi="Times New Roman" w:eastAsia="宋体" w:cs="Times New Roman"/>
          <w:color w:val="000000"/>
          <w:sz w:val="24"/>
          <w:szCs w:val="24"/>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p>
    <w:p w14:paraId="6629D9A0">
      <w:pPr>
        <w:keepNext w:val="0"/>
        <w:keepLines w:val="0"/>
        <w:pageBreakBefore w:val="0"/>
        <w:widowControl w:val="0"/>
        <w:kinsoku/>
        <w:wordWrap/>
        <w:overflowPunct/>
        <w:topLinePunct w:val="0"/>
        <w:autoSpaceDE/>
        <w:autoSpaceDN/>
        <w:bidi w:val="0"/>
        <w:adjustRightInd/>
        <w:snapToGrid/>
        <w:spacing w:line="600" w:lineRule="exact"/>
        <w:ind w:firstLine="480" w:firstLineChars="200"/>
        <w:jc w:val="both"/>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日常公用经费</w:t>
      </w:r>
      <w:r>
        <w:rPr>
          <w:rFonts w:hint="default" w:ascii="Times New Roman" w:hAnsi="Times New Roman" w:eastAsia="宋体" w:cs="Times New Roman"/>
          <w:color w:val="000000"/>
          <w:sz w:val="24"/>
          <w:szCs w:val="24"/>
          <w:lang w:val="en-US" w:eastAsia="zh-CN"/>
        </w:rPr>
        <w:t>546.93</w:t>
      </w:r>
      <w:r>
        <w:rPr>
          <w:rFonts w:hint="default" w:ascii="Times New Roman" w:hAnsi="Times New Roman" w:eastAsia="宋体" w:cs="Times New Roman"/>
          <w:color w:val="000000"/>
          <w:sz w:val="24"/>
          <w:szCs w:val="24"/>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5B435832">
      <w:pPr>
        <w:keepNext w:val="0"/>
        <w:keepLines w:val="0"/>
        <w:pageBreakBefore w:val="0"/>
        <w:widowControl w:val="0"/>
        <w:kinsoku/>
        <w:wordWrap/>
        <w:overflowPunct/>
        <w:topLinePunct w:val="0"/>
        <w:autoSpaceDE/>
        <w:autoSpaceDN/>
        <w:bidi w:val="0"/>
        <w:adjustRightInd/>
        <w:snapToGrid/>
        <w:spacing w:line="600" w:lineRule="exact"/>
        <w:ind w:firstLine="0"/>
        <w:textAlignment w:val="auto"/>
        <w:outlineLvl w:val="1"/>
        <w:rPr>
          <w:rStyle w:val="21"/>
          <w:rFonts w:hint="default" w:ascii="Times New Roman" w:hAnsi="Times New Roman" w:eastAsia="宋体" w:cs="Times New Roman"/>
          <w:b w:val="0"/>
          <w:color w:val="000000"/>
          <w:sz w:val="24"/>
          <w:szCs w:val="24"/>
        </w:rPr>
      </w:pPr>
      <w:r>
        <w:rPr>
          <w:rFonts w:hint="default" w:ascii="Times New Roman" w:hAnsi="Times New Roman" w:eastAsia="宋体" w:cs="Times New Roman"/>
          <w:color w:val="000000"/>
          <w:sz w:val="24"/>
          <w:szCs w:val="24"/>
        </w:rPr>
        <w:t>七、</w:t>
      </w:r>
      <w:r>
        <w:rPr>
          <w:rStyle w:val="21"/>
          <w:rFonts w:hint="default" w:ascii="Times New Roman" w:hAnsi="Times New Roman" w:eastAsia="宋体" w:cs="Times New Roman"/>
          <w:b w:val="0"/>
          <w:color w:val="000000"/>
          <w:sz w:val="24"/>
          <w:szCs w:val="24"/>
        </w:rPr>
        <w:t>财政拨款</w:t>
      </w:r>
      <w:r>
        <w:rPr>
          <w:rStyle w:val="21"/>
          <w:rFonts w:hint="default" w:ascii="Times New Roman" w:hAnsi="Times New Roman" w:eastAsia="宋体" w:cs="Times New Roman"/>
          <w:color w:val="000000"/>
          <w:sz w:val="24"/>
          <w:szCs w:val="24"/>
        </w:rPr>
        <w:t>“</w:t>
      </w:r>
      <w:r>
        <w:rPr>
          <w:rStyle w:val="21"/>
          <w:rFonts w:hint="default" w:ascii="Times New Roman" w:hAnsi="Times New Roman" w:eastAsia="宋体" w:cs="Times New Roman"/>
          <w:b w:val="0"/>
          <w:color w:val="000000"/>
          <w:sz w:val="24"/>
          <w:szCs w:val="24"/>
        </w:rPr>
        <w:t>三公”经费支出决算情况说明</w:t>
      </w:r>
      <w:bookmarkEnd w:id="33"/>
      <w:bookmarkEnd w:id="34"/>
    </w:p>
    <w:p w14:paraId="10207E4B">
      <w:pPr>
        <w:keepNext w:val="0"/>
        <w:keepLines w:val="0"/>
        <w:pageBreakBefore w:val="0"/>
        <w:widowControl w:val="0"/>
        <w:kinsoku/>
        <w:wordWrap/>
        <w:overflowPunct/>
        <w:topLinePunct w:val="0"/>
        <w:autoSpaceDE/>
        <w:autoSpaceDN/>
        <w:bidi w:val="0"/>
        <w:adjustRightInd/>
        <w:snapToGrid/>
        <w:spacing w:line="600" w:lineRule="exact"/>
        <w:ind w:firstLine="0"/>
        <w:textAlignment w:val="auto"/>
        <w:outlineLvl w:val="2"/>
        <w:rPr>
          <w:rFonts w:hint="default" w:ascii="Times New Roman" w:hAnsi="Times New Roman" w:eastAsia="宋体" w:cs="Times New Roman"/>
          <w:b/>
          <w:color w:val="000000"/>
          <w:sz w:val="24"/>
          <w:szCs w:val="24"/>
        </w:rPr>
      </w:pPr>
      <w:bookmarkStart w:id="35" w:name="_Toc15377216"/>
      <w:r>
        <w:rPr>
          <w:rFonts w:hint="default" w:ascii="Times New Roman" w:hAnsi="Times New Roman" w:eastAsia="宋体" w:cs="Times New Roman"/>
          <w:b/>
          <w:color w:val="000000"/>
          <w:sz w:val="24"/>
          <w:szCs w:val="24"/>
        </w:rPr>
        <w:t>（一）“三公”经费财政拨款支出决算总体情况说明</w:t>
      </w:r>
      <w:bookmarkEnd w:id="35"/>
    </w:p>
    <w:p w14:paraId="22B864DE">
      <w:pPr>
        <w:keepNext w:val="0"/>
        <w:keepLines w:val="0"/>
        <w:pageBreakBefore w:val="0"/>
        <w:widowControl w:val="0"/>
        <w:kinsoku/>
        <w:wordWrap/>
        <w:overflowPunct/>
        <w:topLinePunct w:val="0"/>
        <w:autoSpaceDE/>
        <w:autoSpaceDN/>
        <w:bidi w:val="0"/>
        <w:adjustRightInd/>
        <w:snapToGrid/>
        <w:spacing w:line="600" w:lineRule="exact"/>
        <w:ind w:firstLine="480" w:firstLineChars="200"/>
        <w:jc w:val="both"/>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202</w:t>
      </w:r>
      <w:r>
        <w:rPr>
          <w:rFonts w:hint="default" w:ascii="Times New Roman" w:hAnsi="Times New Roman" w:eastAsia="宋体" w:cs="Times New Roman"/>
          <w:color w:val="000000"/>
          <w:sz w:val="24"/>
          <w:szCs w:val="24"/>
          <w:lang w:val="en-US" w:eastAsia="zh-CN"/>
        </w:rPr>
        <w:t>2</w:t>
      </w:r>
      <w:r>
        <w:rPr>
          <w:rFonts w:hint="default" w:ascii="Times New Roman" w:hAnsi="Times New Roman" w:eastAsia="宋体" w:cs="Times New Roman"/>
          <w:color w:val="000000"/>
          <w:sz w:val="24"/>
          <w:szCs w:val="24"/>
        </w:rPr>
        <w:t>年 “三公”经费财政拨款支出决算为</w:t>
      </w:r>
      <w:r>
        <w:rPr>
          <w:rFonts w:hint="default" w:ascii="Times New Roman" w:hAnsi="Times New Roman" w:eastAsia="宋体" w:cs="Times New Roman"/>
          <w:color w:val="000000"/>
          <w:sz w:val="24"/>
          <w:szCs w:val="24"/>
          <w:lang w:val="en-US" w:eastAsia="zh-CN"/>
        </w:rPr>
        <w:t>69.35</w:t>
      </w:r>
      <w:r>
        <w:rPr>
          <w:rFonts w:hint="default" w:ascii="Times New Roman" w:hAnsi="Times New Roman" w:eastAsia="宋体" w:cs="Times New Roman"/>
          <w:color w:val="000000"/>
          <w:sz w:val="24"/>
          <w:szCs w:val="24"/>
        </w:rPr>
        <w:t>万元，完成预算100%，其中：无因公出国（境）费支出；公务用车购置及运行维护费支出决算为</w:t>
      </w:r>
      <w:r>
        <w:rPr>
          <w:rFonts w:hint="default" w:ascii="Times New Roman" w:hAnsi="Times New Roman" w:eastAsia="宋体" w:cs="Times New Roman"/>
          <w:color w:val="000000"/>
          <w:sz w:val="24"/>
          <w:szCs w:val="24"/>
          <w:lang w:val="en-US" w:eastAsia="zh-CN"/>
        </w:rPr>
        <w:t>68.98</w:t>
      </w:r>
      <w:r>
        <w:rPr>
          <w:rFonts w:hint="default" w:ascii="Times New Roman" w:hAnsi="Times New Roman" w:eastAsia="宋体" w:cs="Times New Roman"/>
          <w:color w:val="000000"/>
          <w:sz w:val="24"/>
          <w:szCs w:val="24"/>
        </w:rPr>
        <w:t>万元，完成预算100%；公务接待费支出决算为0.37万元，完成预算100%。</w:t>
      </w:r>
    </w:p>
    <w:p w14:paraId="1CF2D561">
      <w:pPr>
        <w:keepNext w:val="0"/>
        <w:keepLines w:val="0"/>
        <w:pageBreakBefore w:val="0"/>
        <w:widowControl w:val="0"/>
        <w:kinsoku/>
        <w:wordWrap/>
        <w:overflowPunct/>
        <w:topLinePunct w:val="0"/>
        <w:autoSpaceDE/>
        <w:autoSpaceDN/>
        <w:bidi w:val="0"/>
        <w:adjustRightInd/>
        <w:snapToGrid/>
        <w:spacing w:line="600" w:lineRule="exact"/>
        <w:ind w:firstLine="0"/>
        <w:textAlignment w:val="auto"/>
        <w:outlineLvl w:val="2"/>
        <w:rPr>
          <w:rFonts w:hint="default" w:ascii="Times New Roman" w:hAnsi="Times New Roman" w:eastAsia="宋体" w:cs="Times New Roman"/>
          <w:b/>
          <w:color w:val="000000"/>
          <w:sz w:val="24"/>
          <w:szCs w:val="24"/>
        </w:rPr>
      </w:pPr>
      <w:bookmarkStart w:id="36" w:name="_Toc15377217"/>
      <w:r>
        <w:rPr>
          <w:rFonts w:hint="default" w:ascii="Times New Roman" w:hAnsi="Times New Roman" w:eastAsia="宋体" w:cs="Times New Roman"/>
          <w:b/>
          <w:color w:val="000000"/>
          <w:sz w:val="24"/>
          <w:szCs w:val="24"/>
        </w:rPr>
        <w:t>（二）“三公”经费财政拨款支出决算具体情况说明</w:t>
      </w:r>
      <w:bookmarkEnd w:id="36"/>
    </w:p>
    <w:p w14:paraId="164DB1A5">
      <w:pPr>
        <w:keepNext w:val="0"/>
        <w:keepLines w:val="0"/>
        <w:pageBreakBefore w:val="0"/>
        <w:widowControl w:val="0"/>
        <w:kinsoku/>
        <w:wordWrap/>
        <w:overflowPunct/>
        <w:topLinePunct w:val="0"/>
        <w:autoSpaceDE/>
        <w:autoSpaceDN/>
        <w:bidi w:val="0"/>
        <w:adjustRightInd/>
        <w:snapToGrid/>
        <w:spacing w:line="600" w:lineRule="exact"/>
        <w:ind w:firstLine="480" w:firstLineChars="200"/>
        <w:jc w:val="both"/>
        <w:textAlignment w:val="auto"/>
        <w:rPr>
          <w:rFonts w:hint="default" w:ascii="Times New Roman" w:hAnsi="Times New Roman" w:eastAsia="宋体" w:cs="Times New Roman"/>
          <w:color w:val="000000"/>
          <w:sz w:val="24"/>
          <w:szCs w:val="24"/>
        </w:rPr>
      </w:pPr>
      <w:bookmarkStart w:id="37" w:name="_Toc15377218"/>
      <w:bookmarkStart w:id="38" w:name="_Toc15396610"/>
      <w:r>
        <w:rPr>
          <w:rFonts w:hint="default" w:ascii="Times New Roman" w:hAnsi="Times New Roman" w:eastAsia="宋体" w:cs="Times New Roman"/>
          <w:color w:val="000000"/>
          <w:sz w:val="24"/>
          <w:szCs w:val="24"/>
        </w:rPr>
        <w:t>202</w:t>
      </w:r>
      <w:r>
        <w:rPr>
          <w:rFonts w:hint="default" w:ascii="Times New Roman" w:hAnsi="Times New Roman" w:eastAsia="宋体" w:cs="Times New Roman"/>
          <w:color w:val="000000"/>
          <w:sz w:val="24"/>
          <w:szCs w:val="24"/>
          <w:lang w:val="en-US" w:eastAsia="zh-CN"/>
        </w:rPr>
        <w:t>2</w:t>
      </w:r>
      <w:r>
        <w:rPr>
          <w:rFonts w:hint="default" w:ascii="Times New Roman" w:hAnsi="Times New Roman" w:eastAsia="宋体" w:cs="Times New Roman"/>
          <w:color w:val="000000"/>
          <w:sz w:val="24"/>
          <w:szCs w:val="24"/>
        </w:rPr>
        <w:t>年“三公”经费财政拨款支出决算中，因公出国（境）费支出决算0.00万元，占 0.00%；公务用车购置及运行维护费支出决算</w:t>
      </w:r>
      <w:r>
        <w:rPr>
          <w:rFonts w:hint="default" w:ascii="Times New Roman" w:hAnsi="Times New Roman" w:eastAsia="宋体" w:cs="Times New Roman"/>
          <w:color w:val="000000"/>
          <w:sz w:val="24"/>
          <w:szCs w:val="24"/>
          <w:lang w:val="en-US" w:eastAsia="zh-CN"/>
        </w:rPr>
        <w:t>68.98</w:t>
      </w:r>
      <w:r>
        <w:rPr>
          <w:rFonts w:hint="default" w:ascii="Times New Roman" w:hAnsi="Times New Roman" w:eastAsia="宋体" w:cs="Times New Roman"/>
          <w:color w:val="000000"/>
          <w:sz w:val="24"/>
          <w:szCs w:val="24"/>
        </w:rPr>
        <w:t>万元，占99.</w:t>
      </w:r>
      <w:r>
        <w:rPr>
          <w:rFonts w:hint="default" w:ascii="Times New Roman" w:hAnsi="Times New Roman" w:eastAsia="宋体" w:cs="Times New Roman"/>
          <w:color w:val="000000"/>
          <w:sz w:val="24"/>
          <w:szCs w:val="24"/>
          <w:lang w:val="en-US" w:eastAsia="zh-CN"/>
        </w:rPr>
        <w:t>47</w:t>
      </w:r>
      <w:r>
        <w:rPr>
          <w:rFonts w:hint="default" w:ascii="Times New Roman" w:hAnsi="Times New Roman" w:eastAsia="宋体" w:cs="Times New Roman"/>
          <w:color w:val="000000"/>
          <w:sz w:val="24"/>
          <w:szCs w:val="24"/>
        </w:rPr>
        <w:t>%；公务接待费支出决算0.37万元，占0.</w:t>
      </w:r>
      <w:r>
        <w:rPr>
          <w:rFonts w:hint="default" w:ascii="Times New Roman" w:hAnsi="Times New Roman" w:eastAsia="宋体" w:cs="Times New Roman"/>
          <w:color w:val="000000"/>
          <w:sz w:val="24"/>
          <w:szCs w:val="24"/>
          <w:lang w:val="en-US" w:eastAsia="zh-CN"/>
        </w:rPr>
        <w:t>53</w:t>
      </w:r>
      <w:r>
        <w:rPr>
          <w:rFonts w:hint="default" w:ascii="Times New Roman" w:hAnsi="Times New Roman" w:eastAsia="宋体" w:cs="Times New Roman"/>
          <w:color w:val="000000"/>
          <w:sz w:val="24"/>
          <w:szCs w:val="24"/>
        </w:rPr>
        <w:t>%。具体情况如下：</w:t>
      </w:r>
    </w:p>
    <w:p w14:paraId="510AB79A">
      <w:pPr>
        <w:widowControl/>
        <w:shd w:val="clear" w:color="auto" w:fill="FFFFFF"/>
        <w:spacing w:before="100" w:beforeAutospacing="1" w:after="100" w:afterAutospacing="1"/>
        <w:jc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rPr>
        <w:drawing>
          <wp:anchor distT="718185" distB="1114425" distL="2618740" distR="761365" simplePos="0" relativeHeight="251659264" behindDoc="0" locked="0" layoutInCell="1" allowOverlap="1">
            <wp:simplePos x="0" y="0"/>
            <wp:positionH relativeFrom="column">
              <wp:posOffset>595630</wp:posOffset>
            </wp:positionH>
            <wp:positionV relativeFrom="paragraph">
              <wp:posOffset>421640</wp:posOffset>
            </wp:positionV>
            <wp:extent cx="4533900" cy="2203450"/>
            <wp:effectExtent l="0" t="0" r="0" b="0"/>
            <wp:wrapNone/>
            <wp:docPr id="15" name="对象 15"/>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anchor>
        </w:drawing>
      </w:r>
      <w:r>
        <w:rPr>
          <w:rFonts w:hint="default" w:ascii="Times New Roman" w:hAnsi="Times New Roman" w:eastAsia="宋体" w:cs="Times New Roman"/>
          <w:color w:val="000000"/>
          <w:kern w:val="0"/>
          <w:sz w:val="24"/>
          <w:szCs w:val="24"/>
        </w:rPr>
        <w:t>（图7：“三公”经费财政拨款支出结构）（饼状图）</w:t>
      </w:r>
    </w:p>
    <w:p w14:paraId="4EB52AF2">
      <w:pPr>
        <w:widowControl/>
        <w:shd w:val="clear" w:color="auto" w:fill="FFFFFF"/>
        <w:spacing w:before="100" w:beforeAutospacing="1" w:after="100" w:afterAutospacing="1"/>
        <w:jc w:val="center"/>
        <w:rPr>
          <w:rFonts w:hint="default" w:ascii="Times New Roman" w:hAnsi="Times New Roman" w:eastAsia="宋体" w:cs="Times New Roman"/>
          <w:color w:val="000000"/>
          <w:kern w:val="0"/>
          <w:sz w:val="24"/>
          <w:szCs w:val="24"/>
        </w:rPr>
      </w:pPr>
    </w:p>
    <w:p w14:paraId="740D87D3">
      <w:pPr>
        <w:widowControl/>
        <w:shd w:val="clear" w:color="auto" w:fill="FFFFFF"/>
        <w:spacing w:before="100" w:beforeAutospacing="1" w:after="100" w:afterAutospacing="1"/>
        <w:jc w:val="center"/>
        <w:rPr>
          <w:rFonts w:hint="default" w:ascii="Times New Roman" w:hAnsi="Times New Roman" w:eastAsia="宋体" w:cs="Times New Roman"/>
          <w:color w:val="000000"/>
          <w:kern w:val="0"/>
          <w:sz w:val="24"/>
          <w:szCs w:val="24"/>
        </w:rPr>
      </w:pPr>
    </w:p>
    <w:p w14:paraId="365C9B3A">
      <w:pPr>
        <w:widowControl/>
        <w:shd w:val="clear" w:color="auto" w:fill="FFFFFF"/>
        <w:spacing w:before="100" w:beforeAutospacing="1" w:after="100" w:afterAutospacing="1"/>
        <w:jc w:val="center"/>
        <w:rPr>
          <w:rFonts w:hint="default" w:ascii="Times New Roman" w:hAnsi="Times New Roman" w:eastAsia="宋体" w:cs="Times New Roman"/>
          <w:color w:val="000000"/>
          <w:kern w:val="0"/>
          <w:sz w:val="24"/>
          <w:szCs w:val="24"/>
        </w:rPr>
      </w:pPr>
    </w:p>
    <w:p w14:paraId="500353E3">
      <w:pPr>
        <w:widowControl/>
        <w:shd w:val="clear" w:color="auto" w:fill="FFFFFF"/>
        <w:spacing w:before="100" w:beforeAutospacing="1" w:after="100" w:afterAutospacing="1"/>
        <w:jc w:val="center"/>
        <w:rPr>
          <w:rFonts w:hint="default" w:ascii="Times New Roman" w:hAnsi="Times New Roman" w:eastAsia="宋体" w:cs="Times New Roman"/>
          <w:color w:val="000000"/>
          <w:kern w:val="0"/>
          <w:sz w:val="24"/>
          <w:szCs w:val="24"/>
        </w:rPr>
      </w:pPr>
    </w:p>
    <w:p w14:paraId="5DC0D4F7">
      <w:pPr>
        <w:widowControl/>
        <w:shd w:val="clear" w:color="auto" w:fill="FFFFFF"/>
        <w:spacing w:before="100" w:beforeAutospacing="1" w:after="100" w:afterAutospacing="1"/>
        <w:jc w:val="center"/>
        <w:rPr>
          <w:rFonts w:hint="default" w:ascii="Times New Roman" w:hAnsi="Times New Roman" w:eastAsia="宋体" w:cs="Times New Roman"/>
          <w:color w:val="000000"/>
          <w:kern w:val="0"/>
          <w:sz w:val="24"/>
          <w:szCs w:val="24"/>
        </w:rPr>
      </w:pPr>
    </w:p>
    <w:p w14:paraId="17C9696B">
      <w:pPr>
        <w:widowControl/>
        <w:shd w:val="clear" w:color="auto" w:fill="FFFFFF"/>
        <w:spacing w:before="100" w:beforeAutospacing="1" w:after="100" w:afterAutospacing="1"/>
        <w:jc w:val="center"/>
        <w:rPr>
          <w:rFonts w:hint="default" w:ascii="Times New Roman" w:hAnsi="Times New Roman" w:eastAsia="宋体" w:cs="Times New Roman"/>
          <w:color w:val="000000"/>
          <w:kern w:val="0"/>
          <w:sz w:val="24"/>
          <w:szCs w:val="24"/>
        </w:rPr>
      </w:pPr>
    </w:p>
    <w:p w14:paraId="47B1E3B3">
      <w:pPr>
        <w:spacing w:line="560" w:lineRule="exact"/>
        <w:ind w:firstLine="640"/>
        <w:rPr>
          <w:rFonts w:hint="default" w:ascii="Times New Roman" w:hAnsi="Times New Roman" w:eastAsia="宋体" w:cs="Times New Roman"/>
          <w:color w:val="000000"/>
          <w:sz w:val="24"/>
          <w:szCs w:val="24"/>
        </w:rPr>
      </w:pPr>
    </w:p>
    <w:p w14:paraId="35015EAB">
      <w:pPr>
        <w:spacing w:line="560" w:lineRule="exact"/>
        <w:ind w:firstLine="640"/>
        <w:rPr>
          <w:rFonts w:hint="default" w:ascii="Times New Roman" w:hAnsi="Times New Roman" w:eastAsia="宋体" w:cs="Times New Roman"/>
          <w:color w:val="000000"/>
          <w:sz w:val="24"/>
          <w:szCs w:val="24"/>
        </w:rPr>
      </w:pPr>
    </w:p>
    <w:p w14:paraId="1B09D4DE">
      <w:pPr>
        <w:keepNext w:val="0"/>
        <w:keepLines w:val="0"/>
        <w:pageBreakBefore w:val="0"/>
        <w:widowControl w:val="0"/>
        <w:kinsoku/>
        <w:wordWrap/>
        <w:overflowPunct/>
        <w:topLinePunct w:val="0"/>
        <w:autoSpaceDE/>
        <w:autoSpaceDN/>
        <w:bidi w:val="0"/>
        <w:adjustRightInd/>
        <w:snapToGrid/>
        <w:spacing w:line="560" w:lineRule="exact"/>
        <w:ind w:firstLine="0"/>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1. 202</w:t>
      </w:r>
      <w:r>
        <w:rPr>
          <w:rFonts w:hint="default" w:ascii="Times New Roman" w:hAnsi="Times New Roman" w:eastAsia="宋体" w:cs="Times New Roman"/>
          <w:color w:val="000000"/>
          <w:sz w:val="24"/>
          <w:szCs w:val="24"/>
          <w:lang w:val="en-US" w:eastAsia="zh-CN"/>
        </w:rPr>
        <w:t>2</w:t>
      </w:r>
      <w:r>
        <w:rPr>
          <w:rFonts w:hint="default" w:ascii="Times New Roman" w:hAnsi="Times New Roman" w:eastAsia="宋体" w:cs="Times New Roman"/>
          <w:color w:val="000000"/>
          <w:sz w:val="24"/>
          <w:szCs w:val="24"/>
        </w:rPr>
        <w:t>年、20</w:t>
      </w:r>
      <w:r>
        <w:rPr>
          <w:rFonts w:hint="default" w:ascii="Times New Roman" w:hAnsi="Times New Roman" w:eastAsia="宋体" w:cs="Times New Roman"/>
          <w:color w:val="000000"/>
          <w:sz w:val="24"/>
          <w:szCs w:val="24"/>
          <w:lang w:val="en-US" w:eastAsia="zh-CN"/>
        </w:rPr>
        <w:t>21</w:t>
      </w:r>
      <w:r>
        <w:rPr>
          <w:rFonts w:hint="default" w:ascii="Times New Roman" w:hAnsi="Times New Roman" w:eastAsia="宋体" w:cs="Times New Roman"/>
          <w:color w:val="000000"/>
          <w:sz w:val="24"/>
          <w:szCs w:val="24"/>
        </w:rPr>
        <w:t>年无因公出国（境）费预算和支出。</w:t>
      </w:r>
    </w:p>
    <w:p w14:paraId="2E761FE7">
      <w:pPr>
        <w:keepNext w:val="0"/>
        <w:keepLines w:val="0"/>
        <w:pageBreakBefore w:val="0"/>
        <w:widowControl w:val="0"/>
        <w:kinsoku/>
        <w:wordWrap/>
        <w:overflowPunct/>
        <w:topLinePunct w:val="0"/>
        <w:autoSpaceDE/>
        <w:autoSpaceDN/>
        <w:bidi w:val="0"/>
        <w:adjustRightInd/>
        <w:snapToGrid/>
        <w:spacing w:line="600" w:lineRule="exact"/>
        <w:ind w:firstLine="0"/>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2.公务用车购置及运行维护费支出</w:t>
      </w:r>
      <w:r>
        <w:rPr>
          <w:rFonts w:hint="default" w:ascii="Times New Roman" w:hAnsi="Times New Roman" w:eastAsia="宋体" w:cs="Times New Roman"/>
          <w:color w:val="000000"/>
          <w:sz w:val="24"/>
          <w:szCs w:val="24"/>
          <w:lang w:val="en-US" w:eastAsia="zh-CN"/>
        </w:rPr>
        <w:t>68.98</w:t>
      </w:r>
      <w:r>
        <w:rPr>
          <w:rFonts w:hint="default" w:ascii="Times New Roman" w:hAnsi="Times New Roman" w:eastAsia="宋体" w:cs="Times New Roman"/>
          <w:color w:val="000000"/>
          <w:sz w:val="24"/>
          <w:szCs w:val="24"/>
        </w:rPr>
        <w:t>万元,完成预算100%。公务用车购置及运行维护费支出决算比20</w:t>
      </w:r>
      <w:r>
        <w:rPr>
          <w:rFonts w:hint="default" w:ascii="Times New Roman" w:hAnsi="Times New Roman" w:eastAsia="宋体" w:cs="Times New Roman"/>
          <w:color w:val="000000"/>
          <w:sz w:val="24"/>
          <w:szCs w:val="24"/>
          <w:lang w:val="en-US" w:eastAsia="zh-CN"/>
        </w:rPr>
        <w:t>21</w:t>
      </w:r>
      <w:r>
        <w:rPr>
          <w:rFonts w:hint="default" w:ascii="Times New Roman" w:hAnsi="Times New Roman" w:eastAsia="宋体" w:cs="Times New Roman"/>
          <w:color w:val="000000"/>
          <w:sz w:val="24"/>
          <w:szCs w:val="24"/>
        </w:rPr>
        <w:t>年</w:t>
      </w:r>
      <w:r>
        <w:rPr>
          <w:rFonts w:hint="default" w:ascii="Times New Roman" w:hAnsi="Times New Roman" w:eastAsia="宋体" w:cs="Times New Roman"/>
          <w:color w:val="000000"/>
          <w:sz w:val="24"/>
          <w:szCs w:val="24"/>
          <w:lang w:eastAsia="zh-CN"/>
        </w:rPr>
        <w:t>减少</w:t>
      </w:r>
      <w:r>
        <w:rPr>
          <w:rFonts w:hint="default" w:ascii="Times New Roman" w:hAnsi="Times New Roman" w:eastAsia="宋体" w:cs="Times New Roman"/>
          <w:color w:val="000000"/>
          <w:sz w:val="24"/>
          <w:szCs w:val="24"/>
        </w:rPr>
        <w:t>54.87万元，</w:t>
      </w:r>
      <w:r>
        <w:rPr>
          <w:rFonts w:hint="default" w:ascii="Times New Roman" w:hAnsi="Times New Roman" w:eastAsia="宋体" w:cs="Times New Roman"/>
          <w:color w:val="000000"/>
          <w:sz w:val="24"/>
          <w:szCs w:val="24"/>
          <w:lang w:eastAsia="zh-CN"/>
        </w:rPr>
        <w:t>减少</w:t>
      </w:r>
      <w:r>
        <w:rPr>
          <w:rFonts w:hint="default" w:ascii="Times New Roman" w:hAnsi="Times New Roman" w:eastAsia="宋体" w:cs="Times New Roman"/>
          <w:color w:val="000000"/>
          <w:sz w:val="24"/>
          <w:szCs w:val="24"/>
          <w:lang w:val="en-US" w:eastAsia="zh-CN"/>
        </w:rPr>
        <w:t>44.30</w:t>
      </w:r>
      <w:r>
        <w:rPr>
          <w:rFonts w:hint="default" w:ascii="Times New Roman" w:hAnsi="Times New Roman" w:eastAsia="宋体" w:cs="Times New Roman"/>
          <w:color w:val="000000"/>
          <w:sz w:val="24"/>
          <w:szCs w:val="24"/>
        </w:rPr>
        <w:t>%。主要原因是</w:t>
      </w:r>
      <w:r>
        <w:rPr>
          <w:rFonts w:hint="default" w:ascii="Times New Roman" w:hAnsi="Times New Roman" w:eastAsia="宋体" w:cs="Times New Roman"/>
          <w:color w:val="000000"/>
          <w:sz w:val="24"/>
          <w:szCs w:val="24"/>
          <w:lang w:val="en-US" w:eastAsia="zh-CN"/>
        </w:rPr>
        <w:t>2021年</w:t>
      </w:r>
      <w:r>
        <w:rPr>
          <w:rFonts w:hint="default" w:ascii="Times New Roman" w:hAnsi="Times New Roman" w:eastAsia="宋体" w:cs="Times New Roman"/>
          <w:color w:val="000000"/>
          <w:sz w:val="24"/>
          <w:szCs w:val="24"/>
        </w:rPr>
        <w:t>按规定更新购置公务用车1辆，金额5</w:t>
      </w:r>
      <w:r>
        <w:rPr>
          <w:rFonts w:hint="default" w:ascii="Times New Roman" w:hAnsi="Times New Roman" w:eastAsia="宋体" w:cs="Times New Roman"/>
          <w:color w:val="000000"/>
          <w:sz w:val="24"/>
          <w:szCs w:val="24"/>
          <w:lang w:val="en-US" w:eastAsia="zh-CN"/>
        </w:rPr>
        <w:t>7</w:t>
      </w:r>
      <w:r>
        <w:rPr>
          <w:rFonts w:hint="default" w:ascii="Times New Roman" w:hAnsi="Times New Roman" w:eastAsia="宋体" w:cs="Times New Roman"/>
          <w:color w:val="000000"/>
          <w:sz w:val="24"/>
          <w:szCs w:val="24"/>
        </w:rPr>
        <w:t>.</w:t>
      </w:r>
      <w:r>
        <w:rPr>
          <w:rFonts w:hint="default" w:ascii="Times New Roman" w:hAnsi="Times New Roman" w:eastAsia="宋体" w:cs="Times New Roman"/>
          <w:color w:val="000000"/>
          <w:sz w:val="24"/>
          <w:szCs w:val="24"/>
          <w:lang w:val="en-US" w:eastAsia="zh-CN"/>
        </w:rPr>
        <w:t>8</w:t>
      </w:r>
      <w:r>
        <w:rPr>
          <w:rFonts w:hint="default" w:ascii="Times New Roman" w:hAnsi="Times New Roman" w:eastAsia="宋体" w:cs="Times New Roman"/>
          <w:color w:val="000000"/>
          <w:sz w:val="24"/>
          <w:szCs w:val="24"/>
        </w:rPr>
        <w:t>0万元。截至202</w:t>
      </w:r>
      <w:r>
        <w:rPr>
          <w:rFonts w:hint="default" w:ascii="Times New Roman" w:hAnsi="Times New Roman" w:eastAsia="宋体" w:cs="Times New Roman"/>
          <w:color w:val="000000"/>
          <w:sz w:val="24"/>
          <w:szCs w:val="24"/>
          <w:lang w:val="en-US" w:eastAsia="zh-CN"/>
        </w:rPr>
        <w:t>2</w:t>
      </w:r>
      <w:r>
        <w:rPr>
          <w:rFonts w:hint="default" w:ascii="Times New Roman" w:hAnsi="Times New Roman" w:eastAsia="宋体" w:cs="Times New Roman"/>
          <w:color w:val="000000"/>
          <w:sz w:val="24"/>
          <w:szCs w:val="24"/>
        </w:rPr>
        <w:t>年12月底，单位共有公务用车 7辆，其中：主要领导干部用车0辆、机要通信用车0辆、应急保障用车7辆、执法执勤用车0辆、特种专业技术用车0 辆、离退休干部用车0辆、其他用车0辆。</w:t>
      </w:r>
    </w:p>
    <w:p w14:paraId="69539DEC">
      <w:pPr>
        <w:keepNext w:val="0"/>
        <w:keepLines w:val="0"/>
        <w:pageBreakBefore w:val="0"/>
        <w:widowControl w:val="0"/>
        <w:kinsoku/>
        <w:wordWrap/>
        <w:overflowPunct/>
        <w:topLinePunct w:val="0"/>
        <w:autoSpaceDE/>
        <w:autoSpaceDN/>
        <w:bidi w:val="0"/>
        <w:adjustRightInd/>
        <w:snapToGrid/>
        <w:spacing w:line="600" w:lineRule="exact"/>
        <w:ind w:firstLine="0"/>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公务用车运行维护费支出</w:t>
      </w:r>
      <w:r>
        <w:rPr>
          <w:rFonts w:hint="default" w:ascii="Times New Roman" w:hAnsi="Times New Roman" w:eastAsia="宋体" w:cs="Times New Roman"/>
          <w:color w:val="000000"/>
          <w:sz w:val="24"/>
          <w:szCs w:val="24"/>
          <w:lang w:val="en-US" w:eastAsia="zh-CN"/>
        </w:rPr>
        <w:t>68.98</w:t>
      </w:r>
      <w:r>
        <w:rPr>
          <w:rFonts w:hint="default" w:ascii="Times New Roman" w:hAnsi="Times New Roman" w:eastAsia="宋体" w:cs="Times New Roman"/>
          <w:color w:val="000000"/>
          <w:sz w:val="24"/>
          <w:szCs w:val="24"/>
        </w:rPr>
        <w:t>万元。主要用于开展维稳综治工作等所需的公务用车燃料费、维修费、过路过桥费、保险费等支出。</w:t>
      </w:r>
    </w:p>
    <w:p w14:paraId="0C809A7B">
      <w:pPr>
        <w:keepNext w:val="0"/>
        <w:keepLines w:val="0"/>
        <w:pageBreakBefore w:val="0"/>
        <w:widowControl w:val="0"/>
        <w:kinsoku/>
        <w:wordWrap/>
        <w:overflowPunct/>
        <w:topLinePunct w:val="0"/>
        <w:autoSpaceDE/>
        <w:autoSpaceDN/>
        <w:bidi w:val="0"/>
        <w:adjustRightInd/>
        <w:snapToGrid/>
        <w:spacing w:line="560" w:lineRule="exact"/>
        <w:ind w:firstLine="0"/>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3.公务接待费支出0.</w:t>
      </w:r>
      <w:r>
        <w:rPr>
          <w:rFonts w:hint="default" w:ascii="Times New Roman" w:hAnsi="Times New Roman" w:eastAsia="宋体" w:cs="Times New Roman"/>
          <w:color w:val="000000"/>
          <w:sz w:val="24"/>
          <w:szCs w:val="24"/>
          <w:lang w:val="en-US" w:eastAsia="zh-CN"/>
        </w:rPr>
        <w:t>37</w:t>
      </w:r>
      <w:r>
        <w:rPr>
          <w:rFonts w:hint="default" w:ascii="Times New Roman" w:hAnsi="Times New Roman" w:eastAsia="宋体" w:cs="Times New Roman"/>
          <w:color w:val="000000"/>
          <w:sz w:val="24"/>
          <w:szCs w:val="24"/>
        </w:rPr>
        <w:t>万元，主要用于执行公务、开展业务活动开支的交通费、住宿费、用餐费等。公务接待费支出决算比20</w:t>
      </w:r>
      <w:r>
        <w:rPr>
          <w:rFonts w:hint="default" w:ascii="Times New Roman" w:hAnsi="Times New Roman" w:eastAsia="宋体" w:cs="Times New Roman"/>
          <w:color w:val="000000"/>
          <w:sz w:val="24"/>
          <w:szCs w:val="24"/>
          <w:lang w:val="en-US" w:eastAsia="zh-CN"/>
        </w:rPr>
        <w:t>21</w:t>
      </w:r>
      <w:r>
        <w:rPr>
          <w:rFonts w:hint="default" w:ascii="Times New Roman" w:hAnsi="Times New Roman" w:eastAsia="宋体" w:cs="Times New Roman"/>
          <w:color w:val="000000"/>
          <w:sz w:val="24"/>
          <w:szCs w:val="24"/>
        </w:rPr>
        <w:t>年</w:t>
      </w:r>
      <w:r>
        <w:rPr>
          <w:rFonts w:hint="default" w:ascii="Times New Roman" w:hAnsi="Times New Roman" w:eastAsia="宋体" w:cs="Times New Roman"/>
          <w:color w:val="000000"/>
          <w:sz w:val="24"/>
          <w:szCs w:val="24"/>
          <w:lang w:eastAsia="zh-CN"/>
        </w:rPr>
        <w:t>减少</w:t>
      </w:r>
      <w:r>
        <w:rPr>
          <w:rFonts w:hint="default" w:ascii="Times New Roman" w:hAnsi="Times New Roman" w:eastAsia="宋体" w:cs="Times New Roman"/>
          <w:color w:val="000000"/>
          <w:sz w:val="24"/>
          <w:szCs w:val="24"/>
        </w:rPr>
        <w:t>0.1</w:t>
      </w:r>
      <w:r>
        <w:rPr>
          <w:rFonts w:hint="default" w:ascii="Times New Roman" w:hAnsi="Times New Roman" w:eastAsia="宋体" w:cs="Times New Roman"/>
          <w:color w:val="000000"/>
          <w:sz w:val="24"/>
          <w:szCs w:val="24"/>
          <w:lang w:val="en-US" w:eastAsia="zh-CN"/>
        </w:rPr>
        <w:t>7</w:t>
      </w:r>
      <w:r>
        <w:rPr>
          <w:rFonts w:hint="default" w:ascii="Times New Roman" w:hAnsi="Times New Roman" w:eastAsia="宋体" w:cs="Times New Roman"/>
          <w:color w:val="000000"/>
          <w:sz w:val="24"/>
          <w:szCs w:val="24"/>
        </w:rPr>
        <w:t>万元。主要原因是</w:t>
      </w:r>
      <w:r>
        <w:rPr>
          <w:rFonts w:hint="default" w:ascii="Times New Roman" w:hAnsi="Times New Roman" w:eastAsia="宋体" w:cs="Times New Roman"/>
          <w:color w:val="000000"/>
          <w:kern w:val="0"/>
          <w:sz w:val="24"/>
          <w:szCs w:val="24"/>
        </w:rPr>
        <w:t>是委机关严格执行</w:t>
      </w:r>
      <w:r>
        <w:rPr>
          <w:rFonts w:hint="eastAsia" w:cs="Times New Roman"/>
          <w:color w:val="000000"/>
          <w:kern w:val="0"/>
          <w:sz w:val="24"/>
          <w:szCs w:val="24"/>
          <w:lang w:val="en-US" w:eastAsia="zh-CN"/>
        </w:rPr>
        <w:t>中央</w:t>
      </w:r>
      <w:bookmarkStart w:id="63" w:name="_GoBack"/>
      <w:bookmarkEnd w:id="63"/>
      <w:r>
        <w:rPr>
          <w:rFonts w:hint="default" w:ascii="Times New Roman" w:hAnsi="Times New Roman" w:eastAsia="宋体" w:cs="Times New Roman"/>
          <w:color w:val="000000"/>
          <w:kern w:val="0"/>
          <w:sz w:val="24"/>
          <w:szCs w:val="24"/>
        </w:rPr>
        <w:t>八项规定和公务接待相关规定。</w:t>
      </w:r>
      <w:r>
        <w:rPr>
          <w:rFonts w:hint="default" w:ascii="Times New Roman" w:hAnsi="Times New Roman" w:eastAsia="宋体" w:cs="Times New Roman"/>
          <w:color w:val="000000"/>
          <w:sz w:val="24"/>
          <w:szCs w:val="24"/>
        </w:rPr>
        <w:t>其中：国内公务接待支出0.</w:t>
      </w:r>
      <w:r>
        <w:rPr>
          <w:rFonts w:hint="default" w:ascii="Times New Roman" w:hAnsi="Times New Roman" w:eastAsia="宋体" w:cs="Times New Roman"/>
          <w:color w:val="000000"/>
          <w:sz w:val="24"/>
          <w:szCs w:val="24"/>
          <w:lang w:val="en-US" w:eastAsia="zh-CN"/>
        </w:rPr>
        <w:t>37</w:t>
      </w:r>
      <w:r>
        <w:rPr>
          <w:rFonts w:hint="default" w:ascii="Times New Roman" w:hAnsi="Times New Roman" w:eastAsia="宋体" w:cs="Times New Roman"/>
          <w:color w:val="000000"/>
          <w:sz w:val="24"/>
          <w:szCs w:val="24"/>
        </w:rPr>
        <w:t>万元，</w:t>
      </w:r>
      <w:r>
        <w:rPr>
          <w:rFonts w:hint="default" w:ascii="Times New Roman" w:hAnsi="Times New Roman" w:eastAsia="宋体" w:cs="Times New Roman"/>
          <w:color w:val="000000"/>
          <w:sz w:val="24"/>
          <w:szCs w:val="24"/>
          <w:lang w:val="en-US" w:eastAsia="zh-CN"/>
        </w:rPr>
        <w:t>3</w:t>
      </w:r>
      <w:r>
        <w:rPr>
          <w:rFonts w:hint="default" w:ascii="Times New Roman" w:hAnsi="Times New Roman" w:eastAsia="宋体" w:cs="Times New Roman"/>
          <w:color w:val="000000"/>
          <w:sz w:val="24"/>
          <w:szCs w:val="24"/>
        </w:rPr>
        <w:t>批次，共</w:t>
      </w:r>
      <w:r>
        <w:rPr>
          <w:rFonts w:hint="default" w:ascii="Times New Roman" w:hAnsi="Times New Roman" w:eastAsia="宋体" w:cs="Times New Roman"/>
          <w:color w:val="000000"/>
          <w:sz w:val="24"/>
          <w:szCs w:val="24"/>
          <w:lang w:val="en-US" w:eastAsia="zh-CN"/>
        </w:rPr>
        <w:t>37</w:t>
      </w:r>
      <w:r>
        <w:rPr>
          <w:rFonts w:hint="default" w:ascii="Times New Roman" w:hAnsi="Times New Roman" w:eastAsia="宋体" w:cs="Times New Roman"/>
          <w:color w:val="000000"/>
          <w:sz w:val="24"/>
          <w:szCs w:val="24"/>
        </w:rPr>
        <w:t>人次（不包括陪同人员）。无外事接待费用支出。</w:t>
      </w:r>
    </w:p>
    <w:p w14:paraId="758CD6C7">
      <w:pPr>
        <w:keepNext w:val="0"/>
        <w:keepLines w:val="0"/>
        <w:pageBreakBefore w:val="0"/>
        <w:widowControl w:val="0"/>
        <w:kinsoku/>
        <w:wordWrap/>
        <w:overflowPunct/>
        <w:topLinePunct w:val="0"/>
        <w:autoSpaceDE/>
        <w:autoSpaceDN/>
        <w:bidi w:val="0"/>
        <w:adjustRightInd/>
        <w:snapToGrid/>
        <w:spacing w:line="600" w:lineRule="exact"/>
        <w:ind w:firstLine="0"/>
        <w:textAlignment w:val="auto"/>
        <w:outlineLvl w:val="1"/>
        <w:rPr>
          <w:rStyle w:val="21"/>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八、</w:t>
      </w:r>
      <w:r>
        <w:rPr>
          <w:rStyle w:val="21"/>
          <w:rFonts w:hint="default" w:ascii="Times New Roman" w:hAnsi="Times New Roman" w:eastAsia="宋体" w:cs="Times New Roman"/>
          <w:b w:val="0"/>
          <w:color w:val="000000"/>
          <w:sz w:val="24"/>
          <w:szCs w:val="24"/>
        </w:rPr>
        <w:t>政府性基金预算支出决算情况说明</w:t>
      </w:r>
      <w:bookmarkEnd w:id="37"/>
      <w:bookmarkEnd w:id="38"/>
    </w:p>
    <w:p w14:paraId="0614B8E4">
      <w:pPr>
        <w:keepNext w:val="0"/>
        <w:keepLines w:val="0"/>
        <w:pageBreakBefore w:val="0"/>
        <w:widowControl w:val="0"/>
        <w:kinsoku/>
        <w:wordWrap/>
        <w:overflowPunct/>
        <w:topLinePunct w:val="0"/>
        <w:autoSpaceDE/>
        <w:autoSpaceDN/>
        <w:bidi w:val="0"/>
        <w:adjustRightInd/>
        <w:snapToGrid/>
        <w:spacing w:line="600" w:lineRule="exact"/>
        <w:ind w:firstLine="480" w:firstLineChars="200"/>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202</w:t>
      </w:r>
      <w:r>
        <w:rPr>
          <w:rFonts w:hint="default" w:ascii="Times New Roman" w:hAnsi="Times New Roman" w:eastAsia="宋体" w:cs="Times New Roman"/>
          <w:color w:val="000000"/>
          <w:sz w:val="24"/>
          <w:szCs w:val="24"/>
          <w:lang w:val="en-US" w:eastAsia="zh-CN"/>
        </w:rPr>
        <w:t>2</w:t>
      </w:r>
      <w:r>
        <w:rPr>
          <w:rFonts w:hint="default" w:ascii="Times New Roman" w:hAnsi="Times New Roman" w:eastAsia="宋体" w:cs="Times New Roman"/>
          <w:color w:val="000000"/>
          <w:sz w:val="24"/>
          <w:szCs w:val="24"/>
        </w:rPr>
        <w:t>年政府性基金预算拨款支出0.00万元。</w:t>
      </w:r>
    </w:p>
    <w:p w14:paraId="308A690D">
      <w:pPr>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1"/>
        <w:rPr>
          <w:rStyle w:val="21"/>
          <w:rFonts w:hint="default" w:ascii="Times New Roman" w:hAnsi="Times New Roman" w:eastAsia="宋体" w:cs="Times New Roman"/>
          <w:b w:val="0"/>
          <w:color w:val="000000"/>
          <w:sz w:val="24"/>
          <w:szCs w:val="24"/>
        </w:rPr>
      </w:pPr>
      <w:bookmarkStart w:id="39" w:name="_Toc15377219"/>
      <w:bookmarkStart w:id="40" w:name="_Toc15396611"/>
      <w:r>
        <w:rPr>
          <w:rStyle w:val="21"/>
          <w:rFonts w:hint="default" w:ascii="Times New Roman" w:hAnsi="Times New Roman" w:eastAsia="宋体" w:cs="Times New Roman"/>
          <w:b w:val="0"/>
          <w:color w:val="000000"/>
          <w:sz w:val="24"/>
          <w:szCs w:val="24"/>
        </w:rPr>
        <w:t>九、国有资本经营预算支出决算情况说明</w:t>
      </w:r>
      <w:bookmarkEnd w:id="39"/>
      <w:bookmarkEnd w:id="40"/>
    </w:p>
    <w:p w14:paraId="161541D4">
      <w:pPr>
        <w:keepNext w:val="0"/>
        <w:keepLines w:val="0"/>
        <w:pageBreakBefore w:val="0"/>
        <w:widowControl w:val="0"/>
        <w:kinsoku/>
        <w:wordWrap/>
        <w:overflowPunct/>
        <w:topLinePunct w:val="0"/>
        <w:autoSpaceDE/>
        <w:autoSpaceDN/>
        <w:bidi w:val="0"/>
        <w:adjustRightInd/>
        <w:snapToGrid/>
        <w:spacing w:line="600" w:lineRule="exact"/>
        <w:ind w:firstLine="480" w:firstLineChars="200"/>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202</w:t>
      </w:r>
      <w:r>
        <w:rPr>
          <w:rFonts w:hint="default" w:ascii="Times New Roman" w:hAnsi="Times New Roman" w:eastAsia="宋体" w:cs="Times New Roman"/>
          <w:color w:val="000000"/>
          <w:sz w:val="24"/>
          <w:szCs w:val="24"/>
          <w:lang w:val="en-US" w:eastAsia="zh-CN"/>
        </w:rPr>
        <w:t>2</w:t>
      </w:r>
      <w:r>
        <w:rPr>
          <w:rFonts w:hint="default" w:ascii="Times New Roman" w:hAnsi="Times New Roman" w:eastAsia="宋体" w:cs="Times New Roman"/>
          <w:color w:val="000000"/>
          <w:sz w:val="24"/>
          <w:szCs w:val="24"/>
        </w:rPr>
        <w:t>年国有资本经营预算拨款支出0.00万元。</w:t>
      </w:r>
      <w:bookmarkStart w:id="41" w:name="_Toc15377221"/>
      <w:bookmarkStart w:id="42" w:name="_Toc15396612"/>
    </w:p>
    <w:p w14:paraId="75CC72D1">
      <w:pPr>
        <w:keepNext w:val="0"/>
        <w:keepLines w:val="0"/>
        <w:pageBreakBefore w:val="0"/>
        <w:widowControl w:val="0"/>
        <w:kinsoku/>
        <w:wordWrap/>
        <w:overflowPunct/>
        <w:topLinePunct w:val="0"/>
        <w:autoSpaceDE/>
        <w:autoSpaceDN/>
        <w:bidi w:val="0"/>
        <w:adjustRightInd/>
        <w:snapToGrid/>
        <w:spacing w:line="600" w:lineRule="exact"/>
        <w:ind w:firstLine="0" w:firstLineChars="0"/>
        <w:textAlignment w:val="auto"/>
        <w:rPr>
          <w:rStyle w:val="21"/>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十</w:t>
      </w:r>
      <w:r>
        <w:rPr>
          <w:rStyle w:val="21"/>
          <w:rFonts w:hint="default" w:ascii="Times New Roman" w:hAnsi="Times New Roman" w:eastAsia="宋体" w:cs="Times New Roman"/>
          <w:color w:val="000000"/>
          <w:sz w:val="24"/>
          <w:szCs w:val="24"/>
        </w:rPr>
        <w:t>、</w:t>
      </w:r>
      <w:r>
        <w:rPr>
          <w:rStyle w:val="21"/>
          <w:rFonts w:hint="default" w:ascii="Times New Roman" w:hAnsi="Times New Roman" w:eastAsia="宋体" w:cs="Times New Roman"/>
          <w:b w:val="0"/>
          <w:color w:val="000000"/>
          <w:sz w:val="24"/>
          <w:szCs w:val="24"/>
        </w:rPr>
        <w:t>其他重要事项的情况说明</w:t>
      </w:r>
      <w:bookmarkEnd w:id="41"/>
      <w:bookmarkEnd w:id="42"/>
    </w:p>
    <w:p w14:paraId="4CD4B48B">
      <w:pPr>
        <w:keepNext w:val="0"/>
        <w:keepLines w:val="0"/>
        <w:pageBreakBefore w:val="0"/>
        <w:widowControl w:val="0"/>
        <w:kinsoku/>
        <w:wordWrap/>
        <w:overflowPunct/>
        <w:topLinePunct w:val="0"/>
        <w:autoSpaceDE/>
        <w:autoSpaceDN/>
        <w:bidi w:val="0"/>
        <w:adjustRightInd/>
        <w:snapToGrid/>
        <w:spacing w:line="600" w:lineRule="exact"/>
        <w:ind w:firstLine="0" w:firstLineChars="0"/>
        <w:textAlignment w:val="auto"/>
        <w:outlineLvl w:val="2"/>
        <w:rPr>
          <w:rFonts w:hint="default" w:ascii="Times New Roman" w:hAnsi="Times New Roman" w:eastAsia="宋体" w:cs="Times New Roman"/>
          <w:color w:val="000000"/>
          <w:sz w:val="24"/>
          <w:szCs w:val="24"/>
        </w:rPr>
      </w:pPr>
      <w:bookmarkStart w:id="43" w:name="_Toc15377222"/>
      <w:r>
        <w:rPr>
          <w:rFonts w:hint="default" w:ascii="Times New Roman" w:hAnsi="Times New Roman" w:eastAsia="宋体" w:cs="Times New Roman"/>
          <w:b/>
          <w:color w:val="000000"/>
          <w:sz w:val="24"/>
          <w:szCs w:val="24"/>
        </w:rPr>
        <w:t>（一）机关运行经费支出情况</w:t>
      </w:r>
      <w:bookmarkEnd w:id="43"/>
    </w:p>
    <w:p w14:paraId="012B6B6E">
      <w:pPr>
        <w:spacing w:line="660" w:lineRule="exact"/>
        <w:ind w:firstLine="480" w:firstLineChars="200"/>
        <w:rPr>
          <w:rFonts w:hint="default" w:ascii="Times New Roman" w:hAnsi="Times New Roman" w:eastAsia="宋体" w:cs="Times New Roman"/>
          <w:b/>
          <w:sz w:val="24"/>
          <w:szCs w:val="24"/>
          <w:shd w:val="clear" w:color="auto" w:fill="FFFFFF"/>
        </w:rPr>
      </w:pPr>
      <w:r>
        <w:rPr>
          <w:rFonts w:hint="default" w:ascii="Times New Roman" w:hAnsi="Times New Roman" w:eastAsia="宋体" w:cs="Times New Roman"/>
          <w:color w:val="000000"/>
          <w:sz w:val="24"/>
          <w:szCs w:val="24"/>
        </w:rPr>
        <w:t>202</w:t>
      </w:r>
      <w:r>
        <w:rPr>
          <w:rFonts w:hint="default" w:ascii="Times New Roman" w:hAnsi="Times New Roman" w:eastAsia="宋体" w:cs="Times New Roman"/>
          <w:color w:val="000000"/>
          <w:sz w:val="24"/>
          <w:szCs w:val="24"/>
          <w:lang w:val="en-US" w:eastAsia="zh-CN"/>
        </w:rPr>
        <w:t>2</w:t>
      </w:r>
      <w:r>
        <w:rPr>
          <w:rFonts w:hint="default" w:ascii="Times New Roman" w:hAnsi="Times New Roman" w:eastAsia="宋体" w:cs="Times New Roman"/>
          <w:color w:val="000000"/>
          <w:sz w:val="24"/>
          <w:szCs w:val="24"/>
        </w:rPr>
        <w:t>年，中共四川省阿坝州委政法委员会（本级）机关运行经费支出</w:t>
      </w:r>
      <w:r>
        <w:rPr>
          <w:rFonts w:hint="default" w:ascii="Times New Roman" w:hAnsi="Times New Roman" w:eastAsia="宋体" w:cs="Times New Roman"/>
          <w:color w:val="000000"/>
          <w:sz w:val="24"/>
          <w:szCs w:val="24"/>
          <w:lang w:val="en-US" w:eastAsia="zh-CN"/>
        </w:rPr>
        <w:t>546.93</w:t>
      </w:r>
      <w:r>
        <w:rPr>
          <w:rFonts w:hint="default" w:ascii="Times New Roman" w:hAnsi="Times New Roman" w:eastAsia="宋体" w:cs="Times New Roman"/>
          <w:color w:val="000000"/>
          <w:sz w:val="24"/>
          <w:szCs w:val="24"/>
        </w:rPr>
        <w:t>万元，比20</w:t>
      </w:r>
      <w:r>
        <w:rPr>
          <w:rFonts w:hint="default" w:ascii="Times New Roman" w:hAnsi="Times New Roman" w:eastAsia="宋体" w:cs="Times New Roman"/>
          <w:color w:val="000000"/>
          <w:sz w:val="24"/>
          <w:szCs w:val="24"/>
          <w:lang w:val="en-US" w:eastAsia="zh-CN"/>
        </w:rPr>
        <w:t>21</w:t>
      </w:r>
      <w:r>
        <w:rPr>
          <w:rFonts w:hint="default" w:ascii="Times New Roman" w:hAnsi="Times New Roman" w:eastAsia="宋体" w:cs="Times New Roman"/>
          <w:color w:val="000000"/>
          <w:sz w:val="24"/>
          <w:szCs w:val="24"/>
        </w:rPr>
        <w:t>年</w:t>
      </w:r>
      <w:r>
        <w:rPr>
          <w:rFonts w:hint="default" w:ascii="Times New Roman" w:hAnsi="Times New Roman" w:eastAsia="宋体" w:cs="Times New Roman"/>
          <w:color w:val="000000"/>
          <w:sz w:val="24"/>
          <w:szCs w:val="24"/>
          <w:lang w:eastAsia="zh-CN"/>
        </w:rPr>
        <w:t>有所减</w:t>
      </w:r>
      <w:r>
        <w:rPr>
          <w:rFonts w:hint="default" w:ascii="Times New Roman" w:hAnsi="Times New Roman" w:eastAsia="宋体" w:cs="Times New Roman"/>
          <w:color w:val="000000"/>
          <w:sz w:val="24"/>
          <w:szCs w:val="24"/>
        </w:rPr>
        <w:t>，</w:t>
      </w:r>
      <w:r>
        <w:rPr>
          <w:rFonts w:hint="default" w:ascii="Times New Roman" w:hAnsi="Times New Roman" w:eastAsia="宋体" w:cs="Times New Roman"/>
          <w:color w:val="000000" w:themeColor="text1"/>
          <w:sz w:val="24"/>
          <w:szCs w:val="24"/>
          <w14:textFill>
            <w14:solidFill>
              <w14:schemeClr w14:val="tx1"/>
            </w14:solidFill>
          </w14:textFill>
        </w:rPr>
        <w:t>主要原因是</w:t>
      </w:r>
      <w:r>
        <w:rPr>
          <w:rFonts w:hint="default" w:ascii="Times New Roman" w:hAnsi="Times New Roman" w:eastAsia="宋体" w:cs="Times New Roman"/>
          <w:color w:val="000000" w:themeColor="text1"/>
          <w:sz w:val="24"/>
          <w:szCs w:val="24"/>
          <w:lang w:eastAsia="zh-CN"/>
          <w14:textFill>
            <w14:solidFill>
              <w14:schemeClr w14:val="tx1"/>
            </w14:solidFill>
          </w14:textFill>
        </w:rPr>
        <w:t>受疫情影响，</w:t>
      </w:r>
      <w:r>
        <w:rPr>
          <w:rFonts w:hint="default" w:ascii="Times New Roman" w:hAnsi="Times New Roman" w:eastAsia="宋体" w:cs="Times New Roman"/>
          <w:sz w:val="24"/>
          <w:szCs w:val="24"/>
          <w:lang w:eastAsia="zh-CN"/>
        </w:rPr>
        <w:t>相关活动减少</w:t>
      </w:r>
      <w:r>
        <w:rPr>
          <w:rFonts w:hint="default" w:ascii="Times New Roman" w:hAnsi="Times New Roman" w:eastAsia="宋体" w:cs="Times New Roman"/>
          <w:b/>
          <w:sz w:val="24"/>
          <w:szCs w:val="24"/>
          <w:shd w:val="clear" w:color="auto" w:fill="FFFFFF"/>
        </w:rPr>
        <w:t>。</w:t>
      </w:r>
    </w:p>
    <w:p w14:paraId="4E330C5D">
      <w:pPr>
        <w:keepNext w:val="0"/>
        <w:keepLines w:val="0"/>
        <w:pageBreakBefore w:val="0"/>
        <w:widowControl w:val="0"/>
        <w:kinsoku/>
        <w:wordWrap/>
        <w:overflowPunct/>
        <w:topLinePunct w:val="0"/>
        <w:autoSpaceDE/>
        <w:autoSpaceDN/>
        <w:bidi w:val="0"/>
        <w:adjustRightInd/>
        <w:snapToGrid/>
        <w:spacing w:line="600" w:lineRule="exact"/>
        <w:ind w:firstLine="0" w:firstLineChars="0"/>
        <w:textAlignment w:val="auto"/>
        <w:outlineLvl w:val="2"/>
        <w:rPr>
          <w:rFonts w:hint="default" w:ascii="Times New Roman" w:hAnsi="Times New Roman" w:eastAsia="宋体" w:cs="Times New Roman"/>
          <w:b/>
          <w:color w:val="000000"/>
          <w:sz w:val="24"/>
          <w:szCs w:val="24"/>
        </w:rPr>
      </w:pPr>
      <w:bookmarkStart w:id="44" w:name="_Toc15377223"/>
      <w:r>
        <w:rPr>
          <w:rFonts w:hint="default" w:ascii="Times New Roman" w:hAnsi="Times New Roman" w:eastAsia="宋体" w:cs="Times New Roman"/>
          <w:b/>
          <w:color w:val="000000"/>
          <w:sz w:val="24"/>
          <w:szCs w:val="24"/>
        </w:rPr>
        <w:t>（二）政府采购支出情况</w:t>
      </w:r>
      <w:bookmarkEnd w:id="44"/>
    </w:p>
    <w:p w14:paraId="55C955C7">
      <w:pPr>
        <w:spacing w:line="560" w:lineRule="exact"/>
        <w:ind w:firstLine="480" w:firstLineChars="200"/>
        <w:rPr>
          <w:rFonts w:hint="default" w:ascii="Times New Roman" w:hAnsi="Times New Roman" w:eastAsia="宋体" w:cs="Times New Roman"/>
          <w:b/>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202</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2</w:t>
      </w:r>
      <w:r>
        <w:rPr>
          <w:rFonts w:hint="default" w:ascii="Times New Roman" w:hAnsi="Times New Roman" w:eastAsia="宋体" w:cs="Times New Roman"/>
          <w:color w:val="000000" w:themeColor="text1"/>
          <w:sz w:val="24"/>
          <w:szCs w:val="24"/>
          <w14:textFill>
            <w14:solidFill>
              <w14:schemeClr w14:val="tx1"/>
            </w14:solidFill>
          </w14:textFill>
        </w:rPr>
        <w:t>年，中共四川省阿坝州委政法委员会（本级）政府采购支出总额</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162</w:t>
      </w:r>
      <w:r>
        <w:rPr>
          <w:rFonts w:hint="default" w:ascii="Times New Roman" w:hAnsi="Times New Roman" w:eastAsia="宋体" w:cs="Times New Roman"/>
          <w:color w:val="000000" w:themeColor="text1"/>
          <w:sz w:val="24"/>
          <w:szCs w:val="24"/>
          <w14:textFill>
            <w14:solidFill>
              <w14:schemeClr w14:val="tx1"/>
            </w14:solidFill>
          </w14:textFill>
        </w:rPr>
        <w:t>.</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97</w:t>
      </w:r>
      <w:r>
        <w:rPr>
          <w:rFonts w:hint="default" w:ascii="Times New Roman" w:hAnsi="Times New Roman" w:eastAsia="宋体" w:cs="Times New Roman"/>
          <w:color w:val="000000" w:themeColor="text1"/>
          <w:sz w:val="24"/>
          <w:szCs w:val="24"/>
          <w14:textFill>
            <w14:solidFill>
              <w14:schemeClr w14:val="tx1"/>
            </w14:solidFill>
          </w14:textFill>
        </w:rPr>
        <w:t xml:space="preserve">万元，其中：政府采购货物支出 </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0</w:t>
      </w:r>
      <w:r>
        <w:rPr>
          <w:rFonts w:hint="default" w:ascii="Times New Roman" w:hAnsi="Times New Roman" w:eastAsia="宋体" w:cs="Times New Roman"/>
          <w:color w:val="000000" w:themeColor="text1"/>
          <w:sz w:val="24"/>
          <w:szCs w:val="24"/>
          <w14:textFill>
            <w14:solidFill>
              <w14:schemeClr w14:val="tx1"/>
            </w14:solidFill>
          </w14:textFill>
        </w:rPr>
        <w:t>万元、政府采购工程支出</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0</w:t>
      </w:r>
      <w:r>
        <w:rPr>
          <w:rFonts w:hint="default" w:ascii="Times New Roman" w:hAnsi="Times New Roman" w:eastAsia="宋体" w:cs="Times New Roman"/>
          <w:color w:val="000000" w:themeColor="text1"/>
          <w:sz w:val="24"/>
          <w:szCs w:val="24"/>
          <w14:textFill>
            <w14:solidFill>
              <w14:schemeClr w14:val="tx1"/>
            </w14:solidFill>
          </w14:textFill>
        </w:rPr>
        <w:t>万元、政府采购服务支出</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162</w:t>
      </w:r>
      <w:r>
        <w:rPr>
          <w:rFonts w:hint="default" w:ascii="Times New Roman" w:hAnsi="Times New Roman" w:eastAsia="宋体" w:cs="Times New Roman"/>
          <w:color w:val="000000" w:themeColor="text1"/>
          <w:sz w:val="24"/>
          <w:szCs w:val="24"/>
          <w14:textFill>
            <w14:solidFill>
              <w14:schemeClr w14:val="tx1"/>
            </w14:solidFill>
          </w14:textFill>
        </w:rPr>
        <w:t>.</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97</w:t>
      </w:r>
      <w:r>
        <w:rPr>
          <w:rFonts w:hint="default" w:ascii="Times New Roman" w:hAnsi="Times New Roman" w:eastAsia="宋体" w:cs="Times New Roman"/>
          <w:color w:val="000000" w:themeColor="text1"/>
          <w:sz w:val="24"/>
          <w:szCs w:val="24"/>
          <w14:textFill>
            <w14:solidFill>
              <w14:schemeClr w14:val="tx1"/>
            </w14:solidFill>
          </w14:textFill>
        </w:rPr>
        <w:t>万元。主要用于综治中心信息化建设购买服务</w:t>
      </w:r>
      <w:r>
        <w:rPr>
          <w:rFonts w:hint="default" w:ascii="Times New Roman" w:hAnsi="Times New Roman" w:eastAsia="宋体" w:cs="Times New Roman"/>
          <w:color w:val="000000" w:themeColor="text1"/>
          <w:sz w:val="24"/>
          <w:szCs w:val="24"/>
          <w:lang w:eastAsia="zh-CN"/>
          <w14:textFill>
            <w14:solidFill>
              <w14:schemeClr w14:val="tx1"/>
            </w14:solidFill>
          </w14:textFill>
        </w:rPr>
        <w:t>、政法三级网线路租赁等</w:t>
      </w:r>
      <w:r>
        <w:rPr>
          <w:rFonts w:hint="default" w:ascii="Times New Roman" w:hAnsi="Times New Roman" w:eastAsia="宋体" w:cs="Times New Roman"/>
          <w:color w:val="000000" w:themeColor="text1"/>
          <w:sz w:val="24"/>
          <w:szCs w:val="24"/>
          <w14:textFill>
            <w14:solidFill>
              <w14:schemeClr w14:val="tx1"/>
            </w14:solidFill>
          </w14:textFill>
        </w:rPr>
        <w:t>。授予中小企业合同金额</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78.07</w:t>
      </w:r>
      <w:r>
        <w:rPr>
          <w:rFonts w:hint="default" w:ascii="Times New Roman" w:hAnsi="Times New Roman" w:eastAsia="宋体" w:cs="Times New Roman"/>
          <w:color w:val="000000" w:themeColor="text1"/>
          <w:sz w:val="24"/>
          <w:szCs w:val="24"/>
          <w14:textFill>
            <w14:solidFill>
              <w14:schemeClr w14:val="tx1"/>
            </w14:solidFill>
          </w14:textFill>
        </w:rPr>
        <w:t>万元，占政府采购支出总额的</w:t>
      </w:r>
      <w:r>
        <w:rPr>
          <w:rFonts w:hint="default" w:ascii="Times New Roman" w:hAnsi="Times New Roman" w:eastAsia="宋体" w:cs="Times New Roman"/>
          <w:color w:val="000000" w:themeColor="text1"/>
          <w:sz w:val="24"/>
          <w:szCs w:val="24"/>
          <w:lang w:val="en-US"/>
          <w14:textFill>
            <w14:solidFill>
              <w14:schemeClr w14:val="tx1"/>
            </w14:solidFill>
          </w14:textFill>
        </w:rPr>
        <w:t>48</w:t>
      </w:r>
      <w:r>
        <w:rPr>
          <w:rFonts w:hint="default" w:ascii="Times New Roman" w:hAnsi="Times New Roman" w:eastAsia="宋体" w:cs="Times New Roman"/>
          <w:color w:val="000000" w:themeColor="text1"/>
          <w:sz w:val="24"/>
          <w:szCs w:val="24"/>
          <w14:textFill>
            <w14:solidFill>
              <w14:schemeClr w14:val="tx1"/>
            </w14:solidFill>
          </w14:textFill>
        </w:rPr>
        <w:t>%，其中：授予小微企业合同金额</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78</w:t>
      </w:r>
      <w:r>
        <w:rPr>
          <w:rFonts w:hint="default" w:ascii="Times New Roman" w:hAnsi="Times New Roman" w:eastAsia="宋体" w:cs="Times New Roman"/>
          <w:color w:val="000000" w:themeColor="text1"/>
          <w:sz w:val="24"/>
          <w:szCs w:val="24"/>
          <w14:textFill>
            <w14:solidFill>
              <w14:schemeClr w14:val="tx1"/>
            </w14:solidFill>
          </w14:textFill>
        </w:rPr>
        <w:t>.</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07</w:t>
      </w:r>
      <w:r>
        <w:rPr>
          <w:rFonts w:hint="default" w:ascii="Times New Roman" w:hAnsi="Times New Roman" w:eastAsia="宋体" w:cs="Times New Roman"/>
          <w:color w:val="000000" w:themeColor="text1"/>
          <w:sz w:val="24"/>
          <w:szCs w:val="24"/>
          <w14:textFill>
            <w14:solidFill>
              <w14:schemeClr w14:val="tx1"/>
            </w14:solidFill>
          </w14:textFill>
        </w:rPr>
        <w:t>万元，占政府采购支出总额的</w:t>
      </w:r>
      <w:r>
        <w:rPr>
          <w:rFonts w:hint="default" w:ascii="Times New Roman" w:hAnsi="Times New Roman" w:eastAsia="宋体" w:cs="Times New Roman"/>
          <w:color w:val="000000" w:themeColor="text1"/>
          <w:sz w:val="24"/>
          <w:szCs w:val="24"/>
          <w:lang w:val="en-US"/>
          <w14:textFill>
            <w14:solidFill>
              <w14:schemeClr w14:val="tx1"/>
            </w14:solidFill>
          </w14:textFill>
        </w:rPr>
        <w:t>48</w:t>
      </w:r>
      <w:r>
        <w:rPr>
          <w:rFonts w:hint="default" w:ascii="Times New Roman" w:hAnsi="Times New Roman" w:eastAsia="宋体" w:cs="Times New Roman"/>
          <w:color w:val="000000" w:themeColor="text1"/>
          <w:sz w:val="24"/>
          <w:szCs w:val="24"/>
          <w14:textFill>
            <w14:solidFill>
              <w14:schemeClr w14:val="tx1"/>
            </w14:solidFill>
          </w14:textFill>
        </w:rPr>
        <w:t>.</w:t>
      </w:r>
      <w:r>
        <w:rPr>
          <w:rFonts w:hint="default" w:ascii="Times New Roman" w:hAnsi="Times New Roman" w:eastAsia="宋体" w:cs="Times New Roman"/>
          <w:color w:val="000000" w:themeColor="text1"/>
          <w:sz w:val="24"/>
          <w:szCs w:val="24"/>
          <w:lang w:val="en-US"/>
          <w14:textFill>
            <w14:solidFill>
              <w14:schemeClr w14:val="tx1"/>
            </w14:solidFill>
          </w14:textFill>
        </w:rPr>
        <w:t>00</w:t>
      </w:r>
      <w:r>
        <w:rPr>
          <w:rFonts w:hint="default" w:ascii="Times New Roman" w:hAnsi="Times New Roman" w:eastAsia="宋体" w:cs="Times New Roman"/>
          <w:color w:val="000000" w:themeColor="text1"/>
          <w:sz w:val="24"/>
          <w:szCs w:val="24"/>
          <w14:textFill>
            <w14:solidFill>
              <w14:schemeClr w14:val="tx1"/>
            </w14:solidFill>
          </w14:textFill>
        </w:rPr>
        <w:t>%。</w:t>
      </w:r>
    </w:p>
    <w:p w14:paraId="223CF6B4">
      <w:pPr>
        <w:keepNext w:val="0"/>
        <w:keepLines w:val="0"/>
        <w:pageBreakBefore w:val="0"/>
        <w:widowControl w:val="0"/>
        <w:kinsoku/>
        <w:wordWrap/>
        <w:overflowPunct/>
        <w:topLinePunct w:val="0"/>
        <w:autoSpaceDE/>
        <w:autoSpaceDN/>
        <w:bidi w:val="0"/>
        <w:adjustRightInd/>
        <w:snapToGrid/>
        <w:spacing w:line="600" w:lineRule="exact"/>
        <w:ind w:firstLine="0" w:firstLineChars="0"/>
        <w:textAlignment w:val="auto"/>
        <w:outlineLvl w:val="2"/>
        <w:rPr>
          <w:rFonts w:hint="default" w:ascii="Times New Roman" w:hAnsi="Times New Roman" w:eastAsia="宋体" w:cs="Times New Roman"/>
          <w:b/>
          <w:color w:val="000000"/>
          <w:sz w:val="24"/>
          <w:szCs w:val="24"/>
        </w:rPr>
      </w:pPr>
      <w:bookmarkStart w:id="45" w:name="_Toc15377224"/>
      <w:r>
        <w:rPr>
          <w:rFonts w:hint="default" w:ascii="Times New Roman" w:hAnsi="Times New Roman" w:eastAsia="宋体" w:cs="Times New Roman"/>
          <w:b/>
          <w:color w:val="000000"/>
          <w:sz w:val="24"/>
          <w:szCs w:val="24"/>
        </w:rPr>
        <w:t>（三）国有资产占有使用情况</w:t>
      </w:r>
      <w:bookmarkEnd w:id="45"/>
    </w:p>
    <w:p w14:paraId="038F0C05">
      <w:pPr>
        <w:autoSpaceDE w:val="0"/>
        <w:autoSpaceDN w:val="0"/>
        <w:adjustRightInd w:val="0"/>
        <w:spacing w:line="560" w:lineRule="exact"/>
        <w:ind w:firstLine="480" w:firstLineChars="200"/>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截至202</w:t>
      </w:r>
      <w:r>
        <w:rPr>
          <w:rFonts w:hint="default" w:ascii="Times New Roman" w:hAnsi="Times New Roman" w:eastAsia="宋体" w:cs="Times New Roman"/>
          <w:color w:val="000000"/>
          <w:sz w:val="24"/>
          <w:szCs w:val="24"/>
          <w:lang w:val="en-US" w:eastAsia="zh-CN"/>
        </w:rPr>
        <w:t>2</w:t>
      </w:r>
      <w:r>
        <w:rPr>
          <w:rFonts w:hint="default" w:ascii="Times New Roman" w:hAnsi="Times New Roman" w:eastAsia="宋体" w:cs="Times New Roman"/>
          <w:color w:val="000000"/>
          <w:sz w:val="24"/>
          <w:szCs w:val="24"/>
        </w:rPr>
        <w:t>年12月31日，中共四川省阿坝州委政法委员会（本级）共有车辆7辆，其中：主要领导干部用车0辆、机要通信用车0辆、应急保障用车7辆、执法执勤用车0 辆、特种专业技术用车0辆、离退休干部用车0辆、其他用车 0辆。无单价50万元以上通用设备和单价100万元以上专用设备。</w:t>
      </w:r>
    </w:p>
    <w:p w14:paraId="583A031A">
      <w:pPr>
        <w:keepNext w:val="0"/>
        <w:keepLines w:val="0"/>
        <w:pageBreakBefore w:val="0"/>
        <w:widowControl w:val="0"/>
        <w:kinsoku/>
        <w:wordWrap/>
        <w:overflowPunct/>
        <w:topLinePunct w:val="0"/>
        <w:autoSpaceDE/>
        <w:autoSpaceDN/>
        <w:bidi w:val="0"/>
        <w:adjustRightInd/>
        <w:snapToGrid/>
        <w:spacing w:line="600" w:lineRule="exact"/>
        <w:ind w:firstLine="0" w:firstLineChars="0"/>
        <w:textAlignment w:val="auto"/>
        <w:outlineLvl w:val="2"/>
        <w:rPr>
          <w:rFonts w:hint="default" w:ascii="Times New Roman" w:hAnsi="Times New Roman" w:eastAsia="宋体" w:cs="Times New Roman"/>
          <w:b/>
          <w:color w:val="000000"/>
          <w:sz w:val="24"/>
          <w:szCs w:val="24"/>
        </w:rPr>
      </w:pPr>
      <w:r>
        <w:rPr>
          <w:rFonts w:hint="default" w:ascii="Times New Roman" w:hAnsi="Times New Roman" w:eastAsia="宋体" w:cs="Times New Roman"/>
          <w:b/>
          <w:color w:val="000000"/>
          <w:sz w:val="24"/>
          <w:szCs w:val="24"/>
        </w:rPr>
        <w:t>（四）预算绩效管理情况</w:t>
      </w:r>
    </w:p>
    <w:p w14:paraId="253FF79E">
      <w:pPr>
        <w:keepNext w:val="0"/>
        <w:keepLines w:val="0"/>
        <w:pageBreakBefore w:val="0"/>
        <w:widowControl w:val="0"/>
        <w:kinsoku/>
        <w:wordWrap/>
        <w:overflowPunct/>
        <w:topLinePunct w:val="0"/>
        <w:autoSpaceDE/>
        <w:autoSpaceDN/>
        <w:bidi w:val="0"/>
        <w:adjustRightInd/>
        <w:snapToGrid/>
        <w:spacing w:line="600" w:lineRule="exact"/>
        <w:ind w:firstLine="480" w:firstLineChars="200"/>
        <w:jc w:val="both"/>
        <w:textAlignment w:val="auto"/>
        <w:rPr>
          <w:rFonts w:hint="default" w:ascii="Times New Roman" w:hAnsi="Times New Roman" w:eastAsia="宋体" w:cs="Times New Roman"/>
          <w:color w:val="000000"/>
          <w:sz w:val="24"/>
          <w:szCs w:val="24"/>
        </w:rPr>
      </w:pPr>
      <w:bookmarkStart w:id="46" w:name="_Toc15377225"/>
      <w:bookmarkStart w:id="47" w:name="_Toc15396613"/>
      <w:r>
        <w:rPr>
          <w:rFonts w:hint="default" w:ascii="Times New Roman" w:hAnsi="Times New Roman" w:eastAsia="宋体" w:cs="Times New Roman"/>
          <w:color w:val="000000"/>
          <w:sz w:val="24"/>
          <w:szCs w:val="24"/>
        </w:rPr>
        <w:t>根据预算绩效管理要求，本部门在年初预算编制阶段，组织对10 个项目开展了预算事前绩效评估，对10 个项目编制了绩效目标，预算执行过程中，选取</w:t>
      </w:r>
      <w:r>
        <w:rPr>
          <w:rFonts w:hint="default" w:ascii="Times New Roman" w:hAnsi="Times New Roman" w:eastAsia="宋体" w:cs="Times New Roman"/>
          <w:color w:val="000000"/>
          <w:sz w:val="24"/>
          <w:szCs w:val="24"/>
          <w:lang w:val="en-US" w:eastAsia="zh-CN"/>
        </w:rPr>
        <w:t>2</w:t>
      </w:r>
      <w:r>
        <w:rPr>
          <w:rFonts w:hint="default" w:ascii="Times New Roman" w:hAnsi="Times New Roman" w:eastAsia="宋体" w:cs="Times New Roman"/>
          <w:color w:val="000000"/>
          <w:sz w:val="24"/>
          <w:szCs w:val="24"/>
        </w:rPr>
        <w:t xml:space="preserve"> 个项目开展绩效监控，年终执行完毕后，对</w:t>
      </w:r>
      <w:r>
        <w:rPr>
          <w:rFonts w:hint="default" w:ascii="Times New Roman" w:hAnsi="Times New Roman" w:eastAsia="宋体" w:cs="Times New Roman"/>
          <w:color w:val="000000"/>
          <w:sz w:val="24"/>
          <w:szCs w:val="24"/>
          <w:lang w:val="en-US" w:eastAsia="zh-CN"/>
        </w:rPr>
        <w:t>2</w:t>
      </w:r>
      <w:r>
        <w:rPr>
          <w:rFonts w:hint="default" w:ascii="Times New Roman" w:hAnsi="Times New Roman" w:eastAsia="宋体" w:cs="Times New Roman"/>
          <w:color w:val="000000"/>
          <w:sz w:val="24"/>
          <w:szCs w:val="24"/>
        </w:rPr>
        <w:t>个项目开展了绩效自评。</w:t>
      </w:r>
    </w:p>
    <w:p w14:paraId="4C4FBFF4">
      <w:pPr>
        <w:spacing w:line="580" w:lineRule="exact"/>
        <w:ind w:firstLine="480" w:firstLineChars="200"/>
        <w:rPr>
          <w:rFonts w:hint="default" w:ascii="Times New Roman" w:hAnsi="Times New Roman" w:eastAsia="宋体" w:cs="Times New Roman"/>
          <w:color w:val="000000"/>
          <w:sz w:val="24"/>
          <w:szCs w:val="24"/>
        </w:rPr>
      </w:pPr>
    </w:p>
    <w:bookmarkEnd w:id="46"/>
    <w:bookmarkEnd w:id="47"/>
    <w:p w14:paraId="39F82C44">
      <w:pPr>
        <w:pStyle w:val="15"/>
        <w:shd w:val="clear" w:color="auto" w:fill="FFFFFF"/>
        <w:spacing w:before="0" w:beforeAutospacing="0"/>
        <w:ind w:left="0"/>
        <w:jc w:val="center"/>
        <w:rPr>
          <w:rFonts w:hint="default" w:ascii="Times New Roman" w:hAnsi="Times New Roman" w:cs="Times New Roman"/>
        </w:rPr>
      </w:pPr>
      <w:r>
        <w:rPr>
          <w:rStyle w:val="18"/>
          <w:rFonts w:hint="default" w:ascii="Times New Roman" w:hAnsi="Times New Roman" w:cs="Times New Roman"/>
          <w:sz w:val="39"/>
          <w:szCs w:val="39"/>
        </w:rPr>
        <w:t>第三部分 名词解释</w:t>
      </w:r>
    </w:p>
    <w:p w14:paraId="7DC703BF">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default" w:ascii="Times New Roman" w:hAnsi="Times New Roman" w:eastAsia="宋体" w:cs="Times New Roman"/>
          <w:color w:val="000000"/>
          <w:sz w:val="24"/>
          <w:szCs w:val="24"/>
        </w:rPr>
      </w:pPr>
      <w:bookmarkStart w:id="48" w:name="_Toc15396614"/>
      <w:bookmarkStart w:id="49" w:name="_Toc15377226"/>
      <w:r>
        <w:rPr>
          <w:rFonts w:hint="default" w:ascii="Times New Roman" w:hAnsi="Times New Roman" w:eastAsia="宋体" w:cs="Times New Roman"/>
          <w:color w:val="000000"/>
          <w:sz w:val="24"/>
          <w:szCs w:val="24"/>
        </w:rPr>
        <w:t>1．财政拨款收入：指省级财政当年拨付的资金。</w:t>
      </w:r>
    </w:p>
    <w:p w14:paraId="7D4B9ACB">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2．其他收入：指除上述“财政拨款收入”、“事业收入”、“经营收入”等以外的收入。</w:t>
      </w:r>
    </w:p>
    <w:p w14:paraId="6DF7634A">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3．公共安全支出（类）公安（款）行政运行（项）:指主要用于在职在编人员基本工资、津贴补贴，保障机关正常运转的日常公用支出。</w:t>
      </w:r>
    </w:p>
    <w:p w14:paraId="741A7942">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4．公共安全支出（类）公安（款）一般行政管理事务（项）:指主要用于有序开展反恐维稳、社会治安综合治理、司法体制和社会体制改革、依法治省、政法队伍建设、政法部门服务保障经济发展、信息化建设以及见义勇为等重点工作。</w:t>
      </w:r>
    </w:p>
    <w:p w14:paraId="4BFFD303">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5．社会保障和就业支出（类）行政事业单位离退休（款）未归口管理的行政单位离退休（项）:指主要用于离退休人员离退休费和津补贴。</w:t>
      </w:r>
    </w:p>
    <w:p w14:paraId="39577AAA">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6．社会保障和就业支出（类）行政事业单位离退休（款）机关事业单位基本养老保险缴费支出（项）:指主要用于离退休人员离退休费和津补贴。</w:t>
      </w:r>
    </w:p>
    <w:p w14:paraId="3A9C4305">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7．社会保障和就业支出（类）其他社会保障和就业支出（款）其他社会保障和就业支出（项）:指其它用于社会保障和就业方面的支出。</w:t>
      </w:r>
    </w:p>
    <w:p w14:paraId="4830CF30">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8．医疗卫生与计划生育支出（类）医疗保障（款）行政单位医疗（项）：指财政部门集中安排的行政单位基本医疗保险缴费经费。</w:t>
      </w:r>
    </w:p>
    <w:p w14:paraId="792DD83F">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9．医疗卫生与计划生育支出（类）医疗保障（款）公务员医疗补助（项）:指财政部门集中安排的公务员医疗补助经费。</w:t>
      </w:r>
    </w:p>
    <w:p w14:paraId="3555F4BB">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10．住房保障支出（类）住房改革支出（款）住房公积金（项）:指按照相关政策规定比例为个人缴纳的住房公积金。</w:t>
      </w:r>
    </w:p>
    <w:p w14:paraId="57313554">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11．住房保障支出（类）住房改革支出（款）购房补贴（项）:指按照相关政策规定，向符合条件的个人发放的用于购买住房的补贴。</w:t>
      </w:r>
    </w:p>
    <w:p w14:paraId="6BAD8F85">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12．年末结转和结余：指本年度或以前年度预算安排、因客观条件发生变化无法按原计划实施，需延迟到以后年度按有关规定继续使用的资金。</w:t>
      </w:r>
    </w:p>
    <w:p w14:paraId="6019EB46">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13．基本支出：是用于保障省委政法委机关、省法学会、省政法研究所正常运转的日常支出，包括基本工资、津贴补贴等人员经费以及办公费、印刷费、水电费等日常公用经费。  　　14．项目支出：是用于保障省委政法委机关、省法学会、省政法研究所，为完成特定的行政工作任务或事业发展目标，用于专项业务工作的经费支出。</w:t>
      </w:r>
    </w:p>
    <w:p w14:paraId="2C240A5D">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15．“三公”经费：纳入省级财政预决算管理的“三公”经费，是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11C15E82">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16．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0AD21C7A">
      <w:pPr>
        <w:spacing w:line="600" w:lineRule="exact"/>
        <w:jc w:val="center"/>
        <w:outlineLvl w:val="0"/>
        <w:rPr>
          <w:rFonts w:hint="default" w:ascii="Times New Roman" w:hAnsi="Times New Roman" w:eastAsia="宋体" w:cs="Times New Roman"/>
          <w:color w:val="000000"/>
          <w:sz w:val="24"/>
          <w:szCs w:val="24"/>
        </w:rPr>
      </w:pPr>
    </w:p>
    <w:p w14:paraId="31F4DD1B">
      <w:pPr>
        <w:spacing w:line="600" w:lineRule="exact"/>
        <w:jc w:val="center"/>
        <w:outlineLvl w:val="0"/>
        <w:rPr>
          <w:rFonts w:hint="default" w:ascii="Times New Roman" w:hAnsi="Times New Roman" w:eastAsia="宋体" w:cs="Times New Roman"/>
          <w:color w:val="000000"/>
          <w:sz w:val="24"/>
          <w:szCs w:val="24"/>
        </w:rPr>
      </w:pPr>
    </w:p>
    <w:p w14:paraId="34703320">
      <w:pPr>
        <w:spacing w:line="600" w:lineRule="exact"/>
        <w:jc w:val="center"/>
        <w:outlineLvl w:val="0"/>
        <w:rPr>
          <w:rFonts w:hint="default" w:ascii="Times New Roman" w:hAnsi="Times New Roman" w:eastAsia="宋体" w:cs="Times New Roman"/>
          <w:color w:val="000000"/>
          <w:sz w:val="24"/>
          <w:szCs w:val="24"/>
        </w:rPr>
      </w:pPr>
    </w:p>
    <w:p w14:paraId="6E024971">
      <w:pPr>
        <w:spacing w:line="600" w:lineRule="exact"/>
        <w:jc w:val="center"/>
        <w:outlineLvl w:val="0"/>
        <w:rPr>
          <w:rFonts w:hint="default" w:ascii="Times New Roman" w:hAnsi="Times New Roman" w:eastAsia="宋体" w:cs="Times New Roman"/>
          <w:color w:val="000000"/>
          <w:sz w:val="24"/>
          <w:szCs w:val="24"/>
        </w:rPr>
      </w:pPr>
    </w:p>
    <w:p w14:paraId="78646353">
      <w:pPr>
        <w:spacing w:line="600" w:lineRule="exact"/>
        <w:jc w:val="center"/>
        <w:outlineLvl w:val="0"/>
        <w:rPr>
          <w:rFonts w:hint="default" w:ascii="Times New Roman" w:hAnsi="Times New Roman" w:eastAsia="宋体" w:cs="Times New Roman"/>
          <w:color w:val="000000"/>
          <w:sz w:val="24"/>
          <w:szCs w:val="24"/>
        </w:rPr>
      </w:pPr>
    </w:p>
    <w:p w14:paraId="3A71FD47">
      <w:pPr>
        <w:spacing w:line="600" w:lineRule="exact"/>
        <w:jc w:val="center"/>
        <w:outlineLvl w:val="0"/>
        <w:rPr>
          <w:rFonts w:hint="default" w:ascii="Times New Roman" w:hAnsi="Times New Roman" w:eastAsia="宋体" w:cs="Times New Roman"/>
          <w:color w:val="000000"/>
          <w:sz w:val="24"/>
          <w:szCs w:val="24"/>
        </w:rPr>
      </w:pPr>
    </w:p>
    <w:p w14:paraId="362B0F39">
      <w:pPr>
        <w:spacing w:line="600" w:lineRule="exact"/>
        <w:jc w:val="center"/>
        <w:outlineLvl w:val="0"/>
        <w:rPr>
          <w:rFonts w:hint="default" w:ascii="Times New Roman" w:hAnsi="Times New Roman" w:eastAsia="宋体" w:cs="Times New Roman"/>
          <w:color w:val="000000"/>
          <w:sz w:val="24"/>
          <w:szCs w:val="24"/>
        </w:rPr>
      </w:pPr>
    </w:p>
    <w:p w14:paraId="4ECBFCB1">
      <w:pPr>
        <w:spacing w:line="600" w:lineRule="exact"/>
        <w:jc w:val="center"/>
        <w:outlineLvl w:val="0"/>
        <w:rPr>
          <w:rFonts w:hint="default" w:ascii="Times New Roman" w:hAnsi="Times New Roman" w:eastAsia="宋体" w:cs="Times New Roman"/>
          <w:color w:val="000000"/>
          <w:sz w:val="24"/>
          <w:szCs w:val="24"/>
        </w:rPr>
      </w:pPr>
    </w:p>
    <w:p w14:paraId="29637FBF">
      <w:pPr>
        <w:spacing w:line="600" w:lineRule="exact"/>
        <w:jc w:val="center"/>
        <w:outlineLvl w:val="0"/>
        <w:rPr>
          <w:rFonts w:hint="default" w:ascii="Times New Roman" w:hAnsi="Times New Roman" w:eastAsia="宋体" w:cs="Times New Roman"/>
          <w:color w:val="000000"/>
          <w:sz w:val="24"/>
          <w:szCs w:val="24"/>
        </w:rPr>
      </w:pPr>
    </w:p>
    <w:p w14:paraId="49BC51B5">
      <w:pPr>
        <w:spacing w:line="600" w:lineRule="exact"/>
        <w:jc w:val="center"/>
        <w:outlineLvl w:val="0"/>
        <w:rPr>
          <w:rFonts w:hint="default" w:ascii="Times New Roman" w:hAnsi="Times New Roman" w:eastAsia="宋体" w:cs="Times New Roman"/>
          <w:color w:val="000000"/>
          <w:sz w:val="24"/>
          <w:szCs w:val="24"/>
        </w:rPr>
      </w:pPr>
    </w:p>
    <w:bookmarkEnd w:id="48"/>
    <w:p w14:paraId="30C5B7C2">
      <w:pPr>
        <w:spacing w:line="580" w:lineRule="exact"/>
        <w:jc w:val="center"/>
        <w:rPr>
          <w:rFonts w:hint="default" w:ascii="Times New Roman" w:hAnsi="Times New Roman" w:eastAsia="宋体" w:cs="Times New Roman"/>
          <w:color w:val="000000"/>
          <w:sz w:val="48"/>
          <w:szCs w:val="48"/>
        </w:rPr>
      </w:pPr>
      <w:bookmarkStart w:id="50" w:name="_Toc15396617"/>
      <w:r>
        <w:rPr>
          <w:rStyle w:val="18"/>
          <w:rFonts w:hint="default" w:ascii="Times New Roman" w:hAnsi="Times New Roman" w:cs="Times New Roman"/>
          <w:sz w:val="48"/>
          <w:szCs w:val="48"/>
          <w:highlight w:val="none"/>
        </w:rPr>
        <w:t>第四部分 附件</w:t>
      </w:r>
    </w:p>
    <w:p w14:paraId="4BC15B42">
      <w:pPr>
        <w:spacing w:line="600" w:lineRule="exact"/>
        <w:jc w:val="center"/>
        <w:outlineLvl w:val="0"/>
        <w:rPr>
          <w:rStyle w:val="20"/>
          <w:rFonts w:hint="default" w:ascii="Times New Roman" w:hAnsi="Times New Roman" w:eastAsia="宋体" w:cs="Times New Roman"/>
          <w:b w:val="0"/>
          <w:color w:val="000000"/>
          <w:sz w:val="24"/>
          <w:szCs w:val="24"/>
          <w:lang w:eastAsia="zh-CN"/>
        </w:rPr>
      </w:pPr>
    </w:p>
    <w:p w14:paraId="24F2D880">
      <w:pPr>
        <w:spacing w:line="600" w:lineRule="exact"/>
        <w:jc w:val="center"/>
        <w:outlineLvl w:val="0"/>
        <w:rPr>
          <w:rStyle w:val="20"/>
          <w:rFonts w:hint="default" w:ascii="Times New Roman" w:hAnsi="Times New Roman" w:eastAsia="宋体" w:cs="Times New Roman"/>
          <w:b w:val="0"/>
          <w:color w:val="000000"/>
          <w:sz w:val="24"/>
          <w:szCs w:val="24"/>
        </w:rPr>
      </w:pPr>
      <w:r>
        <w:rPr>
          <w:rStyle w:val="20"/>
          <w:rFonts w:hint="default" w:ascii="Times New Roman" w:hAnsi="Times New Roman" w:eastAsia="宋体" w:cs="Times New Roman"/>
          <w:b w:val="0"/>
          <w:color w:val="000000"/>
          <w:sz w:val="24"/>
          <w:szCs w:val="24"/>
          <w:lang w:eastAsia="zh-CN"/>
        </w:rPr>
        <w:t>政法三级网、阿坝长安网、大调解网络租赁及维护项目支出</w:t>
      </w:r>
      <w:r>
        <w:rPr>
          <w:rStyle w:val="20"/>
          <w:rFonts w:hint="default" w:ascii="Times New Roman" w:hAnsi="Times New Roman" w:eastAsia="宋体" w:cs="Times New Roman"/>
          <w:b w:val="0"/>
          <w:color w:val="000000"/>
          <w:sz w:val="24"/>
          <w:szCs w:val="24"/>
        </w:rPr>
        <w:t>绩效自评报告</w:t>
      </w:r>
    </w:p>
    <w:p w14:paraId="2FA80755">
      <w:pPr>
        <w:pStyle w:val="9"/>
        <w:keepNext w:val="0"/>
        <w:keepLines w:val="0"/>
        <w:pageBreakBefore w:val="0"/>
        <w:kinsoku/>
        <w:wordWrap/>
        <w:overflowPunct/>
        <w:topLinePunct w:val="0"/>
        <w:autoSpaceDE/>
        <w:autoSpaceDN/>
        <w:bidi w:val="0"/>
        <w:spacing w:line="600" w:lineRule="exact"/>
        <w:ind w:firstLine="640"/>
        <w:jc w:val="center"/>
        <w:textAlignment w:val="auto"/>
        <w:rPr>
          <w:rFonts w:hint="default" w:ascii="Times New Roman" w:hAnsi="Times New Roman" w:eastAsia="宋体" w:cs="Times New Roman"/>
          <w:color w:val="auto"/>
          <w:kern w:val="2"/>
          <w:sz w:val="24"/>
          <w:szCs w:val="24"/>
        </w:rPr>
      </w:pPr>
    </w:p>
    <w:p w14:paraId="0ABACC2B">
      <w:pPr>
        <w:keepNext w:val="0"/>
        <w:keepLines w:val="0"/>
        <w:pageBreakBefore w:val="0"/>
        <w:widowControl w:val="0"/>
        <w:kinsoku/>
        <w:wordWrap/>
        <w:overflowPunct/>
        <w:topLinePunct w:val="0"/>
        <w:autoSpaceDE/>
        <w:autoSpaceDN/>
        <w:bidi w:val="0"/>
        <w:adjustRightInd w:val="0"/>
        <w:snapToGrid w:val="0"/>
        <w:spacing w:line="600" w:lineRule="exact"/>
        <w:ind w:firstLine="0"/>
        <w:textAlignment w:val="auto"/>
        <w:rPr>
          <w:rFonts w:hint="default" w:ascii="Times New Roman" w:hAnsi="Times New Roman" w:eastAsia="宋体" w:cs="Times New Roman"/>
          <w:sz w:val="24"/>
          <w:szCs w:val="24"/>
          <w:lang w:val="zh-CN"/>
        </w:rPr>
      </w:pPr>
      <w:r>
        <w:rPr>
          <w:rFonts w:hint="default" w:ascii="Times New Roman" w:hAnsi="Times New Roman" w:eastAsia="宋体" w:cs="Times New Roman"/>
          <w:sz w:val="24"/>
          <w:szCs w:val="24"/>
        </w:rPr>
        <w:t>一、</w:t>
      </w:r>
      <w:r>
        <w:rPr>
          <w:rFonts w:hint="default" w:ascii="Times New Roman" w:hAnsi="Times New Roman" w:eastAsia="宋体" w:cs="Times New Roman"/>
          <w:sz w:val="24"/>
          <w:szCs w:val="24"/>
          <w:lang w:val="zh-CN"/>
        </w:rPr>
        <w:t>项目概况</w:t>
      </w:r>
    </w:p>
    <w:p w14:paraId="143CF40C">
      <w:pPr>
        <w:keepNext w:val="0"/>
        <w:keepLines w:val="0"/>
        <w:pageBreakBefore w:val="0"/>
        <w:widowControl w:val="0"/>
        <w:kinsoku/>
        <w:wordWrap/>
        <w:overflowPunct/>
        <w:topLinePunct w:val="0"/>
        <w:autoSpaceDE/>
        <w:autoSpaceDN/>
        <w:bidi w:val="0"/>
        <w:adjustRightInd w:val="0"/>
        <w:snapToGrid w:val="0"/>
        <w:spacing w:line="600" w:lineRule="exact"/>
        <w:ind w:firstLine="0"/>
        <w:textAlignment w:val="auto"/>
        <w:rPr>
          <w:rFonts w:hint="default" w:ascii="Times New Roman" w:hAnsi="Times New Roman" w:eastAsia="宋体" w:cs="Times New Roman"/>
          <w:b/>
          <w:sz w:val="24"/>
          <w:szCs w:val="24"/>
          <w:lang w:val="zh-CN"/>
        </w:rPr>
      </w:pPr>
      <w:r>
        <w:rPr>
          <w:rFonts w:hint="default" w:ascii="Times New Roman" w:hAnsi="Times New Roman" w:eastAsia="宋体" w:cs="Times New Roman"/>
          <w:b/>
          <w:sz w:val="24"/>
          <w:szCs w:val="24"/>
          <w:lang w:val="zh-CN"/>
        </w:rPr>
        <w:t>（一）项目基本情况。</w:t>
      </w:r>
    </w:p>
    <w:p w14:paraId="5813464D">
      <w:pPr>
        <w:keepNext w:val="0"/>
        <w:keepLines w:val="0"/>
        <w:pageBreakBefore w:val="0"/>
        <w:widowControl w:val="0"/>
        <w:kinsoku/>
        <w:wordWrap/>
        <w:overflowPunct/>
        <w:topLinePunct w:val="0"/>
        <w:autoSpaceDE/>
        <w:autoSpaceDN/>
        <w:bidi w:val="0"/>
        <w:adjustRightInd w:val="0"/>
        <w:snapToGrid w:val="0"/>
        <w:spacing w:line="600" w:lineRule="exact"/>
        <w:ind w:firstLine="0"/>
        <w:textAlignment w:val="auto"/>
        <w:rPr>
          <w:rFonts w:hint="default" w:ascii="Times New Roman" w:hAnsi="Times New Roman" w:eastAsia="宋体" w:cs="Times New Roman"/>
          <w:sz w:val="24"/>
          <w:szCs w:val="24"/>
          <w:lang w:val="zh-CN"/>
        </w:rPr>
      </w:pPr>
      <w:r>
        <w:rPr>
          <w:rFonts w:hint="default" w:ascii="Times New Roman" w:hAnsi="Times New Roman" w:eastAsia="宋体" w:cs="Times New Roman"/>
          <w:sz w:val="24"/>
          <w:szCs w:val="24"/>
          <w:lang w:val="en-US" w:eastAsia="zh-CN"/>
        </w:rPr>
        <w:t>1.我单位</w:t>
      </w:r>
      <w:r>
        <w:rPr>
          <w:rFonts w:hint="default" w:ascii="Times New Roman" w:hAnsi="Times New Roman" w:eastAsia="宋体" w:cs="Times New Roman"/>
          <w:sz w:val="24"/>
          <w:szCs w:val="24"/>
          <w:lang w:val="zh-CN"/>
        </w:rPr>
        <w:t>租用电信线路，聘请第三方对政法三级网进行维护，使网络、软件、设备正常运行，并支付租赁维护费用等。</w:t>
      </w:r>
    </w:p>
    <w:p w14:paraId="75FFC8CA">
      <w:pPr>
        <w:keepNext w:val="0"/>
        <w:keepLines w:val="0"/>
        <w:pageBreakBefore w:val="0"/>
        <w:widowControl w:val="0"/>
        <w:kinsoku/>
        <w:wordWrap/>
        <w:overflowPunct/>
        <w:topLinePunct w:val="0"/>
        <w:autoSpaceDE/>
        <w:autoSpaceDN/>
        <w:bidi w:val="0"/>
        <w:adjustRightInd w:val="0"/>
        <w:snapToGrid w:val="0"/>
        <w:spacing w:line="600" w:lineRule="exact"/>
        <w:ind w:firstLine="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zh-CN"/>
        </w:rPr>
        <w:t>2</w:t>
      </w:r>
      <w:r>
        <w:rPr>
          <w:rFonts w:hint="default" w:ascii="Times New Roman" w:hAnsi="Times New Roman" w:eastAsia="宋体" w:cs="Times New Roman"/>
          <w:sz w:val="24"/>
          <w:szCs w:val="24"/>
          <w:lang w:val="en-US"/>
        </w:rPr>
        <w:t>.</w:t>
      </w:r>
      <w:r>
        <w:rPr>
          <w:rFonts w:hint="default" w:ascii="Times New Roman" w:hAnsi="Times New Roman" w:eastAsia="宋体" w:cs="Times New Roman"/>
          <w:sz w:val="24"/>
          <w:szCs w:val="24"/>
          <w:lang w:val="en-US" w:eastAsia="zh-CN"/>
        </w:rPr>
        <w:t>根据合同进行立项、资金申报，财政下达政法三级网租赁费20万元、阿坝长安网维护费4万元、大调解网络维护费0.5万元。</w:t>
      </w:r>
    </w:p>
    <w:p w14:paraId="21D229A6">
      <w:pPr>
        <w:keepNext w:val="0"/>
        <w:keepLines w:val="0"/>
        <w:pageBreakBefore w:val="0"/>
        <w:widowControl w:val="0"/>
        <w:kinsoku/>
        <w:wordWrap/>
        <w:overflowPunct/>
        <w:topLinePunct w:val="0"/>
        <w:autoSpaceDE/>
        <w:autoSpaceDN/>
        <w:bidi w:val="0"/>
        <w:adjustRightInd w:val="0"/>
        <w:snapToGrid w:val="0"/>
        <w:spacing w:line="600" w:lineRule="exact"/>
        <w:ind w:firstLine="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zh-CN"/>
        </w:rPr>
        <w:t>3．资金管支付按照合同约定进行。政法三级网全年运行正常，上半年支付</w:t>
      </w:r>
      <w:r>
        <w:rPr>
          <w:rFonts w:hint="default" w:ascii="Times New Roman" w:hAnsi="Times New Roman" w:eastAsia="宋体" w:cs="Times New Roman"/>
          <w:sz w:val="24"/>
          <w:szCs w:val="24"/>
          <w:lang w:val="en-US" w:eastAsia="zh-CN"/>
        </w:rPr>
        <w:t>60万元，下半年支付60万元；长安网全年运行正常，通常在年底支付4万元；大调解网络全年运行正常，通常在年底支付0.5万元。</w:t>
      </w:r>
    </w:p>
    <w:p w14:paraId="136CBD12">
      <w:pPr>
        <w:keepNext w:val="0"/>
        <w:keepLines w:val="0"/>
        <w:pageBreakBefore w:val="0"/>
        <w:widowControl w:val="0"/>
        <w:kinsoku/>
        <w:wordWrap/>
        <w:overflowPunct/>
        <w:topLinePunct w:val="0"/>
        <w:autoSpaceDE/>
        <w:autoSpaceDN/>
        <w:bidi w:val="0"/>
        <w:adjustRightInd w:val="0"/>
        <w:snapToGrid w:val="0"/>
        <w:spacing w:line="600" w:lineRule="exact"/>
        <w:ind w:firstLine="0"/>
        <w:textAlignment w:val="auto"/>
        <w:rPr>
          <w:rFonts w:hint="default" w:ascii="Times New Roman" w:hAnsi="Times New Roman" w:eastAsia="宋体" w:cs="Times New Roman"/>
          <w:b/>
          <w:sz w:val="24"/>
          <w:szCs w:val="24"/>
          <w:lang w:val="zh-CN"/>
        </w:rPr>
      </w:pPr>
      <w:r>
        <w:rPr>
          <w:rFonts w:hint="default" w:ascii="Times New Roman" w:hAnsi="Times New Roman" w:eastAsia="宋体" w:cs="Times New Roman"/>
          <w:b/>
          <w:sz w:val="24"/>
          <w:szCs w:val="24"/>
          <w:lang w:val="zh-CN"/>
        </w:rPr>
        <w:t>（二）项目绩效目标。</w:t>
      </w:r>
    </w:p>
    <w:p w14:paraId="2DCDF166">
      <w:pPr>
        <w:keepNext w:val="0"/>
        <w:keepLines w:val="0"/>
        <w:pageBreakBefore w:val="0"/>
        <w:widowControl w:val="0"/>
        <w:kinsoku/>
        <w:wordWrap/>
        <w:overflowPunct/>
        <w:topLinePunct w:val="0"/>
        <w:autoSpaceDE/>
        <w:autoSpaceDN/>
        <w:bidi w:val="0"/>
        <w:adjustRightInd w:val="0"/>
        <w:snapToGrid w:val="0"/>
        <w:spacing w:line="600" w:lineRule="exact"/>
        <w:ind w:firstLine="0"/>
        <w:textAlignment w:val="auto"/>
        <w:rPr>
          <w:rFonts w:hint="default" w:ascii="Times New Roman" w:hAnsi="Times New Roman" w:eastAsia="宋体" w:cs="Times New Roman"/>
          <w:sz w:val="24"/>
          <w:szCs w:val="24"/>
          <w:lang w:val="zh-CN"/>
        </w:rPr>
      </w:pPr>
      <w:r>
        <w:rPr>
          <w:rFonts w:hint="default" w:ascii="Times New Roman" w:hAnsi="Times New Roman" w:eastAsia="宋体" w:cs="Times New Roman"/>
          <w:sz w:val="24"/>
          <w:szCs w:val="24"/>
          <w:lang w:val="zh-CN"/>
        </w:rPr>
        <w:t>1．项目主要内容。日常运行维护服务；现场巡检服务；现场技术培训服务；远程技术支持服务。</w:t>
      </w:r>
    </w:p>
    <w:p w14:paraId="1220318E">
      <w:pPr>
        <w:keepNext w:val="0"/>
        <w:keepLines w:val="0"/>
        <w:pageBreakBefore w:val="0"/>
        <w:widowControl w:val="0"/>
        <w:kinsoku/>
        <w:wordWrap/>
        <w:overflowPunct/>
        <w:topLinePunct w:val="0"/>
        <w:autoSpaceDE/>
        <w:autoSpaceDN/>
        <w:bidi w:val="0"/>
        <w:adjustRightInd w:val="0"/>
        <w:snapToGrid w:val="0"/>
        <w:spacing w:line="600" w:lineRule="exact"/>
        <w:ind w:firstLine="0"/>
        <w:textAlignment w:val="auto"/>
        <w:rPr>
          <w:rFonts w:hint="default" w:ascii="Times New Roman" w:hAnsi="Times New Roman" w:eastAsia="宋体" w:cs="Times New Roman"/>
          <w:sz w:val="24"/>
          <w:szCs w:val="24"/>
          <w:lang w:val="zh-CN"/>
        </w:rPr>
      </w:pPr>
      <w:r>
        <w:rPr>
          <w:rFonts w:hint="default" w:ascii="Times New Roman" w:hAnsi="Times New Roman" w:eastAsia="宋体" w:cs="Times New Roman"/>
          <w:sz w:val="24"/>
          <w:szCs w:val="24"/>
          <w:lang w:val="zh-CN"/>
        </w:rPr>
        <w:t>2．项目应实现的具体绩效目标。</w:t>
      </w:r>
    </w:p>
    <w:p w14:paraId="1C620146">
      <w:pPr>
        <w:keepNext w:val="0"/>
        <w:keepLines w:val="0"/>
        <w:pageBreakBefore w:val="0"/>
        <w:widowControl w:val="0"/>
        <w:kinsoku/>
        <w:wordWrap/>
        <w:overflowPunct/>
        <w:topLinePunct w:val="0"/>
        <w:autoSpaceDE/>
        <w:autoSpaceDN/>
        <w:bidi w:val="0"/>
        <w:adjustRightInd w:val="0"/>
        <w:snapToGrid w:val="0"/>
        <w:spacing w:line="600" w:lineRule="exact"/>
        <w:ind w:firstLine="480" w:firstLineChars="200"/>
        <w:textAlignment w:val="auto"/>
        <w:rPr>
          <w:rFonts w:hint="default" w:ascii="Times New Roman" w:hAnsi="Times New Roman" w:eastAsia="宋体" w:cs="Times New Roman"/>
          <w:sz w:val="24"/>
          <w:szCs w:val="24"/>
          <w:lang w:val="zh-CN"/>
        </w:rPr>
      </w:pPr>
      <w:r>
        <w:rPr>
          <w:rFonts w:hint="default" w:ascii="Times New Roman" w:hAnsi="Times New Roman" w:eastAsia="宋体" w:cs="Times New Roman"/>
          <w:sz w:val="24"/>
          <w:szCs w:val="24"/>
          <w:lang w:val="zh-CN"/>
        </w:rPr>
        <w:t>一是任何故障发生后均应当立即发现，运营商应当具备专业能力和技术手段确保任何故障发生后均能够立即主动发现。</w:t>
      </w:r>
    </w:p>
    <w:p w14:paraId="34283BFF">
      <w:pPr>
        <w:keepNext w:val="0"/>
        <w:keepLines w:val="0"/>
        <w:pageBreakBefore w:val="0"/>
        <w:widowControl w:val="0"/>
        <w:kinsoku/>
        <w:wordWrap/>
        <w:overflowPunct/>
        <w:topLinePunct w:val="0"/>
        <w:autoSpaceDE/>
        <w:autoSpaceDN/>
        <w:bidi w:val="0"/>
        <w:adjustRightInd w:val="0"/>
        <w:snapToGrid w:val="0"/>
        <w:spacing w:line="600" w:lineRule="exact"/>
        <w:ind w:firstLine="480" w:firstLineChars="200"/>
        <w:textAlignment w:val="auto"/>
        <w:rPr>
          <w:rFonts w:hint="default" w:ascii="Times New Roman" w:hAnsi="Times New Roman" w:eastAsia="宋体" w:cs="Times New Roman"/>
          <w:sz w:val="24"/>
          <w:szCs w:val="24"/>
          <w:lang w:val="zh-CN"/>
        </w:rPr>
      </w:pPr>
      <w:r>
        <w:rPr>
          <w:rFonts w:hint="default" w:ascii="Times New Roman" w:hAnsi="Times New Roman" w:eastAsia="宋体" w:cs="Times New Roman"/>
          <w:sz w:val="24"/>
          <w:szCs w:val="24"/>
          <w:lang w:val="zh-CN"/>
        </w:rPr>
        <w:t>二是工作日发生的任何故障，岗位专职服务工程师和项目管理人员均需按各自职责在州委政法委现场分别进行响应和处理；非工作时间发生的任何故障，岗位专职服务工程师应当立即电话响应，其中，性能隐患故障和一般故障相关岗位专职服务工程师应当在30分钟内到达州委政法委现场，重大故障相关岗位专职服务工程师应当在15分钟内州委政法委现场；项目管理人员应当立即电话响应并在电话中协调相关人员进行先期处置，其中，重大故障项目管理人员应当在10分钟内到达州委政法委机房现场。</w:t>
      </w:r>
    </w:p>
    <w:p w14:paraId="380D38C7">
      <w:pPr>
        <w:keepNext w:val="0"/>
        <w:keepLines w:val="0"/>
        <w:pageBreakBefore w:val="0"/>
        <w:widowControl w:val="0"/>
        <w:kinsoku/>
        <w:wordWrap/>
        <w:overflowPunct/>
        <w:topLinePunct w:val="0"/>
        <w:autoSpaceDE/>
        <w:autoSpaceDN/>
        <w:bidi w:val="0"/>
        <w:adjustRightInd w:val="0"/>
        <w:snapToGrid w:val="0"/>
        <w:spacing w:line="600" w:lineRule="exact"/>
        <w:ind w:firstLine="480" w:firstLineChars="200"/>
        <w:textAlignment w:val="auto"/>
        <w:rPr>
          <w:rFonts w:hint="default" w:ascii="Times New Roman" w:hAnsi="Times New Roman" w:eastAsia="宋体" w:cs="Times New Roman"/>
          <w:sz w:val="24"/>
          <w:szCs w:val="24"/>
          <w:lang w:val="zh-CN"/>
        </w:rPr>
      </w:pPr>
      <w:r>
        <w:rPr>
          <w:rFonts w:hint="default" w:ascii="Times New Roman" w:hAnsi="Times New Roman" w:eastAsia="宋体" w:cs="Times New Roman"/>
          <w:sz w:val="24"/>
          <w:szCs w:val="24"/>
          <w:lang w:val="zh-CN"/>
        </w:rPr>
        <w:t>三是性能隐患故障应当在30分钟内通知州委政法委岗位技术人员或分管领导，每30分钟向以上人员通告故障处理和恢复进度；一般故障应当在20分钟内通知州委政法委岗位技术人员或分管领导，每15分钟向以上人员通告故障处理和恢复进度；重大故障应当在10分钟内通知州委政法委岗位技术人员或分管领导，每15分钟向以上人员通告故障处理和恢复进度。</w:t>
      </w:r>
    </w:p>
    <w:p w14:paraId="344D174C">
      <w:pPr>
        <w:keepNext w:val="0"/>
        <w:keepLines w:val="0"/>
        <w:pageBreakBefore w:val="0"/>
        <w:widowControl w:val="0"/>
        <w:kinsoku/>
        <w:wordWrap/>
        <w:overflowPunct/>
        <w:topLinePunct w:val="0"/>
        <w:autoSpaceDE/>
        <w:autoSpaceDN/>
        <w:bidi w:val="0"/>
        <w:adjustRightInd w:val="0"/>
        <w:snapToGrid w:val="0"/>
        <w:spacing w:line="600" w:lineRule="exact"/>
        <w:ind w:firstLine="480" w:firstLineChars="200"/>
        <w:textAlignment w:val="auto"/>
        <w:rPr>
          <w:rFonts w:hint="default" w:ascii="Times New Roman" w:hAnsi="Times New Roman" w:eastAsia="宋体" w:cs="Times New Roman"/>
          <w:sz w:val="24"/>
          <w:szCs w:val="24"/>
          <w:lang w:val="zh-CN"/>
        </w:rPr>
      </w:pPr>
      <w:r>
        <w:rPr>
          <w:rFonts w:hint="default" w:ascii="Times New Roman" w:hAnsi="Times New Roman" w:eastAsia="宋体" w:cs="Times New Roman"/>
          <w:sz w:val="24"/>
          <w:szCs w:val="24"/>
          <w:lang w:val="zh-CN"/>
        </w:rPr>
        <w:t>四是性能隐患故障和一般故障的故障恢复时间必须小于2小时，重大故障的故障恢复时间必须小于1小时。</w:t>
      </w:r>
    </w:p>
    <w:p w14:paraId="7F6F678F">
      <w:pPr>
        <w:keepNext w:val="0"/>
        <w:keepLines w:val="0"/>
        <w:pageBreakBefore w:val="0"/>
        <w:widowControl w:val="0"/>
        <w:kinsoku/>
        <w:wordWrap/>
        <w:overflowPunct/>
        <w:topLinePunct w:val="0"/>
        <w:autoSpaceDE/>
        <w:autoSpaceDN/>
        <w:bidi w:val="0"/>
        <w:adjustRightInd w:val="0"/>
        <w:snapToGrid w:val="0"/>
        <w:spacing w:line="600" w:lineRule="exact"/>
        <w:ind w:firstLine="480" w:firstLineChars="200"/>
        <w:textAlignment w:val="auto"/>
        <w:rPr>
          <w:rFonts w:hint="default" w:ascii="Times New Roman" w:hAnsi="Times New Roman" w:eastAsia="宋体" w:cs="Times New Roman"/>
          <w:sz w:val="24"/>
          <w:szCs w:val="24"/>
          <w:lang w:val="zh-CN"/>
        </w:rPr>
      </w:pPr>
      <w:r>
        <w:rPr>
          <w:rFonts w:hint="default" w:ascii="Times New Roman" w:hAnsi="Times New Roman" w:eastAsia="宋体" w:cs="Times New Roman"/>
          <w:sz w:val="24"/>
          <w:szCs w:val="24"/>
          <w:lang w:val="zh-CN"/>
        </w:rPr>
        <w:t>五是如遇硬件故障无法修复，投标运营商应当立即提供备品备件或备机。</w:t>
      </w:r>
    </w:p>
    <w:p w14:paraId="3DB7A958">
      <w:pPr>
        <w:keepNext w:val="0"/>
        <w:keepLines w:val="0"/>
        <w:pageBreakBefore w:val="0"/>
        <w:widowControl w:val="0"/>
        <w:kinsoku/>
        <w:wordWrap/>
        <w:overflowPunct/>
        <w:topLinePunct w:val="0"/>
        <w:autoSpaceDE/>
        <w:autoSpaceDN/>
        <w:bidi w:val="0"/>
        <w:adjustRightInd/>
        <w:snapToGrid/>
        <w:spacing w:line="576" w:lineRule="exact"/>
        <w:ind w:firstLine="0"/>
        <w:textAlignment w:val="auto"/>
        <w:rPr>
          <w:rFonts w:hint="default" w:ascii="Times New Roman" w:hAnsi="Times New Roman" w:eastAsia="宋体" w:cs="Times New Roman"/>
          <w:sz w:val="24"/>
          <w:szCs w:val="24"/>
          <w:lang w:val="zh-CN"/>
        </w:rPr>
      </w:pPr>
      <w:r>
        <w:rPr>
          <w:rFonts w:hint="default" w:ascii="Times New Roman" w:hAnsi="Times New Roman" w:eastAsia="宋体" w:cs="Times New Roman"/>
          <w:sz w:val="24"/>
          <w:szCs w:val="24"/>
          <w:lang w:val="zh-CN"/>
        </w:rPr>
        <w:t>3．</w:t>
      </w:r>
      <w:r>
        <w:rPr>
          <w:rFonts w:hint="default" w:ascii="Times New Roman" w:hAnsi="Times New Roman" w:eastAsia="宋体" w:cs="Times New Roman"/>
          <w:sz w:val="24"/>
          <w:szCs w:val="24"/>
        </w:rPr>
        <w:t>项目资金申报相符性</w:t>
      </w:r>
      <w:r>
        <w:rPr>
          <w:rFonts w:hint="default" w:ascii="Times New Roman" w:hAnsi="Times New Roman" w:eastAsia="宋体" w:cs="Times New Roman"/>
          <w:sz w:val="24"/>
          <w:szCs w:val="24"/>
          <w:lang w:eastAsia="zh-CN"/>
        </w:rPr>
        <w:t>。</w:t>
      </w:r>
      <w:r>
        <w:rPr>
          <w:rFonts w:hint="default" w:ascii="Times New Roman" w:hAnsi="Times New Roman" w:eastAsia="宋体" w:cs="Times New Roman"/>
          <w:sz w:val="24"/>
          <w:szCs w:val="24"/>
        </w:rPr>
        <w:t>项目资金申报完全按照项目</w:t>
      </w:r>
      <w:r>
        <w:rPr>
          <w:rFonts w:hint="default" w:ascii="Times New Roman" w:hAnsi="Times New Roman" w:eastAsia="宋体" w:cs="Times New Roman"/>
          <w:sz w:val="24"/>
          <w:szCs w:val="24"/>
          <w:lang w:eastAsia="zh-CN"/>
        </w:rPr>
        <w:t>合同</w:t>
      </w:r>
      <w:r>
        <w:rPr>
          <w:rFonts w:hint="default" w:ascii="Times New Roman" w:hAnsi="Times New Roman" w:eastAsia="宋体" w:cs="Times New Roman"/>
          <w:sz w:val="24"/>
          <w:szCs w:val="24"/>
        </w:rPr>
        <w:t>实施，资金申报合理，可行性高，并结合资金性质及用途，有预见性、前瞻性地开展工作，申报目标合理可行。</w:t>
      </w:r>
    </w:p>
    <w:p w14:paraId="0A00A958">
      <w:pPr>
        <w:keepNext w:val="0"/>
        <w:keepLines w:val="0"/>
        <w:pageBreakBefore w:val="0"/>
        <w:widowControl w:val="0"/>
        <w:kinsoku/>
        <w:wordWrap/>
        <w:overflowPunct/>
        <w:topLinePunct w:val="0"/>
        <w:autoSpaceDE/>
        <w:autoSpaceDN/>
        <w:bidi w:val="0"/>
        <w:adjustRightInd w:val="0"/>
        <w:snapToGrid w:val="0"/>
        <w:spacing w:line="600" w:lineRule="exact"/>
        <w:ind w:firstLine="0" w:firstLineChars="0"/>
        <w:textAlignment w:val="auto"/>
        <w:rPr>
          <w:rFonts w:hint="default" w:ascii="Times New Roman" w:hAnsi="Times New Roman" w:eastAsia="宋体" w:cs="Times New Roman"/>
          <w:b/>
          <w:sz w:val="24"/>
          <w:szCs w:val="24"/>
          <w:lang w:val="zh-CN"/>
        </w:rPr>
      </w:pPr>
      <w:r>
        <w:rPr>
          <w:rFonts w:hint="default" w:ascii="Times New Roman" w:hAnsi="Times New Roman" w:eastAsia="宋体" w:cs="Times New Roman"/>
          <w:b/>
          <w:sz w:val="24"/>
          <w:szCs w:val="24"/>
          <w:lang w:val="zh-CN"/>
        </w:rPr>
        <w:t>（三）项目自评步骤及方法。</w:t>
      </w:r>
    </w:p>
    <w:p w14:paraId="78D089C5">
      <w:pPr>
        <w:keepNext w:val="0"/>
        <w:keepLines w:val="0"/>
        <w:pageBreakBefore w:val="0"/>
        <w:widowControl w:val="0"/>
        <w:kinsoku/>
        <w:wordWrap/>
        <w:overflowPunct/>
        <w:topLinePunct w:val="0"/>
        <w:autoSpaceDE/>
        <w:autoSpaceDN/>
        <w:bidi w:val="0"/>
        <w:adjustRightInd w:val="0"/>
        <w:snapToGrid w:val="0"/>
        <w:spacing w:line="600" w:lineRule="exact"/>
        <w:ind w:firstLine="0" w:firstLineChars="0"/>
        <w:textAlignment w:val="auto"/>
        <w:rPr>
          <w:rFonts w:hint="default" w:ascii="Times New Roman" w:hAnsi="Times New Roman" w:eastAsia="宋体" w:cs="Times New Roman"/>
          <w:sz w:val="24"/>
          <w:szCs w:val="24"/>
          <w:lang w:val="zh-CN"/>
        </w:rPr>
      </w:pPr>
      <w:r>
        <w:rPr>
          <w:rFonts w:hint="default" w:ascii="Times New Roman" w:hAnsi="Times New Roman" w:eastAsia="宋体" w:cs="Times New Roman"/>
          <w:sz w:val="24"/>
          <w:szCs w:val="24"/>
          <w:lang w:val="en-US" w:eastAsia="zh-CN"/>
        </w:rPr>
        <w:t>1.</w:t>
      </w:r>
      <w:r>
        <w:rPr>
          <w:rFonts w:hint="default" w:ascii="Times New Roman" w:hAnsi="Times New Roman" w:eastAsia="宋体" w:cs="Times New Roman"/>
          <w:sz w:val="24"/>
          <w:szCs w:val="24"/>
          <w:lang w:val="zh-CN"/>
        </w:rPr>
        <w:t>社会调查法。通过对项目相关人员进行访谈，了解项目资金使用情况、组织管理情况、具体实施情况；开展问卷调查，了解各方对项目实施的满意程度。</w:t>
      </w:r>
    </w:p>
    <w:p w14:paraId="44BA6EA0">
      <w:pPr>
        <w:keepNext w:val="0"/>
        <w:keepLines w:val="0"/>
        <w:pageBreakBefore w:val="0"/>
        <w:widowControl w:val="0"/>
        <w:kinsoku/>
        <w:wordWrap/>
        <w:overflowPunct/>
        <w:topLinePunct w:val="0"/>
        <w:autoSpaceDE/>
        <w:autoSpaceDN/>
        <w:bidi w:val="0"/>
        <w:adjustRightInd w:val="0"/>
        <w:snapToGrid w:val="0"/>
        <w:spacing w:line="600" w:lineRule="exact"/>
        <w:ind w:firstLine="0" w:firstLineChars="0"/>
        <w:textAlignment w:val="auto"/>
        <w:rPr>
          <w:rFonts w:hint="default" w:ascii="Times New Roman" w:hAnsi="Times New Roman" w:eastAsia="宋体" w:cs="Times New Roman"/>
          <w:sz w:val="24"/>
          <w:szCs w:val="24"/>
          <w:lang w:val="zh-CN"/>
        </w:rPr>
      </w:pPr>
      <w:r>
        <w:rPr>
          <w:rFonts w:hint="default" w:ascii="Times New Roman" w:hAnsi="Times New Roman" w:eastAsia="宋体" w:cs="Times New Roman"/>
          <w:sz w:val="24"/>
          <w:szCs w:val="24"/>
          <w:lang w:val="en-US" w:eastAsia="zh-CN"/>
        </w:rPr>
        <w:t>2.据实据效法</w:t>
      </w:r>
      <w:r>
        <w:rPr>
          <w:rFonts w:hint="default" w:ascii="Times New Roman" w:hAnsi="Times New Roman" w:eastAsia="宋体" w:cs="Times New Roman"/>
          <w:sz w:val="24"/>
          <w:szCs w:val="24"/>
          <w:lang w:val="zh-CN"/>
        </w:rPr>
        <w:t>。根据业务工作需求或项目绩效目标、实施效果安排资金。</w:t>
      </w:r>
    </w:p>
    <w:p w14:paraId="16EFA41A">
      <w:pPr>
        <w:keepNext w:val="0"/>
        <w:keepLines w:val="0"/>
        <w:pageBreakBefore w:val="0"/>
        <w:widowControl w:val="0"/>
        <w:kinsoku/>
        <w:wordWrap/>
        <w:overflowPunct/>
        <w:topLinePunct w:val="0"/>
        <w:autoSpaceDE/>
        <w:autoSpaceDN/>
        <w:bidi w:val="0"/>
        <w:adjustRightInd w:val="0"/>
        <w:snapToGrid w:val="0"/>
        <w:spacing w:line="600" w:lineRule="exact"/>
        <w:ind w:firstLine="0" w:firstLineChars="0"/>
        <w:textAlignment w:val="auto"/>
        <w:rPr>
          <w:rFonts w:hint="default" w:ascii="Times New Roman" w:hAnsi="Times New Roman" w:eastAsia="宋体" w:cs="Times New Roman"/>
          <w:sz w:val="24"/>
          <w:szCs w:val="24"/>
          <w:lang w:val="zh-CN"/>
        </w:rPr>
      </w:pPr>
      <w:r>
        <w:rPr>
          <w:rFonts w:hint="default" w:ascii="Times New Roman" w:hAnsi="Times New Roman" w:eastAsia="宋体" w:cs="Times New Roman"/>
          <w:sz w:val="24"/>
          <w:szCs w:val="24"/>
          <w:lang w:val="en-US" w:eastAsia="zh-CN"/>
        </w:rPr>
        <w:t>3.</w:t>
      </w:r>
      <w:r>
        <w:rPr>
          <w:rFonts w:hint="default" w:ascii="Times New Roman" w:hAnsi="Times New Roman" w:eastAsia="宋体" w:cs="Times New Roman"/>
          <w:sz w:val="24"/>
          <w:szCs w:val="24"/>
          <w:lang w:val="zh-CN"/>
        </w:rPr>
        <w:t>因素分析法。通过梳理项目绩效目标的实现程度和影响绩效目标实现的内外因素，分析这些因素对目标实现的影响力，从而进一步分析如何通过控制这些影响因素来促进项目完成，实现项目绩效目标。</w:t>
      </w:r>
    </w:p>
    <w:p w14:paraId="6CC312B9">
      <w:pPr>
        <w:keepNext w:val="0"/>
        <w:keepLines w:val="0"/>
        <w:pageBreakBefore w:val="0"/>
        <w:widowControl w:val="0"/>
        <w:kinsoku/>
        <w:wordWrap/>
        <w:overflowPunct/>
        <w:topLinePunct w:val="0"/>
        <w:autoSpaceDE/>
        <w:autoSpaceDN/>
        <w:bidi w:val="0"/>
        <w:adjustRightInd w:val="0"/>
        <w:snapToGrid w:val="0"/>
        <w:spacing w:line="600" w:lineRule="exact"/>
        <w:ind w:firstLine="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二、项目资金申报及使用情况</w:t>
      </w:r>
    </w:p>
    <w:p w14:paraId="1266D09E">
      <w:pPr>
        <w:keepNext w:val="0"/>
        <w:keepLines w:val="0"/>
        <w:pageBreakBefore w:val="0"/>
        <w:widowControl w:val="0"/>
        <w:kinsoku/>
        <w:wordWrap/>
        <w:overflowPunct/>
        <w:topLinePunct w:val="0"/>
        <w:autoSpaceDE/>
        <w:autoSpaceDN/>
        <w:bidi w:val="0"/>
        <w:adjustRightInd w:val="0"/>
        <w:snapToGrid w:val="0"/>
        <w:spacing w:line="600" w:lineRule="exact"/>
        <w:ind w:firstLine="0"/>
        <w:textAlignment w:val="auto"/>
        <w:rPr>
          <w:rFonts w:hint="default" w:ascii="Times New Roman" w:hAnsi="Times New Roman" w:eastAsia="宋体" w:cs="Times New Roman"/>
          <w:b/>
          <w:sz w:val="24"/>
          <w:szCs w:val="24"/>
          <w:lang w:val="zh-CN"/>
        </w:rPr>
      </w:pPr>
      <w:r>
        <w:rPr>
          <w:rFonts w:hint="default" w:ascii="Times New Roman" w:hAnsi="Times New Roman" w:eastAsia="宋体" w:cs="Times New Roman"/>
          <w:b/>
          <w:sz w:val="24"/>
          <w:szCs w:val="24"/>
          <w:lang w:val="zh-CN"/>
        </w:rPr>
        <w:t>（一）项目资金申报及批复情况。</w:t>
      </w:r>
    </w:p>
    <w:p w14:paraId="36A53B83">
      <w:pPr>
        <w:keepNext w:val="0"/>
        <w:keepLines w:val="0"/>
        <w:pageBreakBefore w:val="0"/>
        <w:widowControl w:val="0"/>
        <w:kinsoku/>
        <w:wordWrap/>
        <w:overflowPunct/>
        <w:topLinePunct w:val="0"/>
        <w:autoSpaceDE/>
        <w:autoSpaceDN/>
        <w:bidi w:val="0"/>
        <w:adjustRightInd w:val="0"/>
        <w:snapToGrid w:val="0"/>
        <w:spacing w:line="600" w:lineRule="exact"/>
        <w:ind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zh-CN"/>
        </w:rPr>
        <w:t>项目资金申报为</w:t>
      </w:r>
      <w:r>
        <w:rPr>
          <w:rFonts w:hint="default" w:ascii="Times New Roman" w:hAnsi="Times New Roman" w:eastAsia="宋体" w:cs="Times New Roman"/>
          <w:sz w:val="24"/>
          <w:szCs w:val="24"/>
          <w:lang w:val="en-US" w:eastAsia="zh-CN"/>
        </w:rPr>
        <w:t>124.5万元，州财政局批复的预算金额为124.5万元。</w:t>
      </w:r>
    </w:p>
    <w:p w14:paraId="7FC43E48">
      <w:pPr>
        <w:keepNext w:val="0"/>
        <w:keepLines w:val="0"/>
        <w:pageBreakBefore w:val="0"/>
        <w:widowControl w:val="0"/>
        <w:kinsoku/>
        <w:wordWrap/>
        <w:overflowPunct/>
        <w:topLinePunct w:val="0"/>
        <w:autoSpaceDE/>
        <w:autoSpaceDN/>
        <w:bidi w:val="0"/>
        <w:adjustRightInd w:val="0"/>
        <w:snapToGrid w:val="0"/>
        <w:spacing w:line="600" w:lineRule="exact"/>
        <w:ind w:firstLine="0"/>
        <w:textAlignment w:val="auto"/>
        <w:rPr>
          <w:rFonts w:hint="default" w:ascii="Times New Roman" w:hAnsi="Times New Roman" w:eastAsia="宋体" w:cs="Times New Roman"/>
          <w:sz w:val="24"/>
          <w:szCs w:val="24"/>
          <w:lang w:val="zh-CN"/>
        </w:rPr>
      </w:pPr>
      <w:r>
        <w:rPr>
          <w:rFonts w:hint="default" w:ascii="Times New Roman" w:hAnsi="Times New Roman" w:eastAsia="宋体" w:cs="Times New Roman"/>
          <w:b/>
          <w:sz w:val="24"/>
          <w:szCs w:val="24"/>
          <w:lang w:val="zh-CN"/>
        </w:rPr>
        <w:t>（二）资金计划、到位及使用情况（可用表格形式反映）。</w:t>
      </w:r>
    </w:p>
    <w:p w14:paraId="24919575">
      <w:pPr>
        <w:keepNext w:val="0"/>
        <w:keepLines w:val="0"/>
        <w:pageBreakBefore w:val="0"/>
        <w:widowControl w:val="0"/>
        <w:kinsoku/>
        <w:wordWrap/>
        <w:overflowPunct/>
        <w:topLinePunct w:val="0"/>
        <w:autoSpaceDE/>
        <w:autoSpaceDN/>
        <w:bidi w:val="0"/>
        <w:adjustRightInd w:val="0"/>
        <w:snapToGrid w:val="0"/>
        <w:spacing w:line="600" w:lineRule="exact"/>
        <w:ind w:firstLine="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w:t>
      </w:r>
      <w:r>
        <w:rPr>
          <w:rFonts w:hint="default" w:ascii="Times New Roman" w:hAnsi="Times New Roman" w:eastAsia="宋体" w:cs="Times New Roman"/>
          <w:sz w:val="24"/>
          <w:szCs w:val="24"/>
          <w:lang w:val="zh-CN"/>
        </w:rPr>
        <w:t>资金计划。资金计划为</w:t>
      </w:r>
      <w:r>
        <w:rPr>
          <w:rFonts w:hint="default" w:ascii="Times New Roman" w:hAnsi="Times New Roman" w:eastAsia="宋体" w:cs="Times New Roman"/>
          <w:sz w:val="24"/>
          <w:szCs w:val="24"/>
          <w:lang w:val="en-US" w:eastAsia="zh-CN"/>
        </w:rPr>
        <w:t>124.5万元。</w:t>
      </w:r>
    </w:p>
    <w:p w14:paraId="5BAFAED0">
      <w:pPr>
        <w:keepNext w:val="0"/>
        <w:keepLines w:val="0"/>
        <w:pageBreakBefore w:val="0"/>
        <w:widowControl w:val="0"/>
        <w:kinsoku/>
        <w:wordWrap/>
        <w:overflowPunct/>
        <w:topLinePunct w:val="0"/>
        <w:autoSpaceDE/>
        <w:autoSpaceDN/>
        <w:bidi w:val="0"/>
        <w:adjustRightInd w:val="0"/>
        <w:snapToGrid w:val="0"/>
        <w:spacing w:line="600" w:lineRule="exact"/>
        <w:ind w:firstLine="0"/>
        <w:textAlignment w:val="auto"/>
        <w:rPr>
          <w:rFonts w:hint="default" w:ascii="Times New Roman" w:hAnsi="Times New Roman" w:eastAsia="宋体" w:cs="Times New Roman"/>
          <w:sz w:val="24"/>
          <w:szCs w:val="24"/>
          <w:lang w:val="zh-CN" w:eastAsia="zh-CN"/>
        </w:rPr>
      </w:pPr>
      <w:r>
        <w:rPr>
          <w:rFonts w:hint="default" w:ascii="Times New Roman" w:hAnsi="Times New Roman" w:eastAsia="宋体" w:cs="Times New Roman"/>
          <w:sz w:val="24"/>
          <w:szCs w:val="24"/>
          <w:lang w:val="en-US" w:eastAsia="zh-CN"/>
        </w:rPr>
        <w:t>2.</w:t>
      </w:r>
      <w:r>
        <w:rPr>
          <w:rFonts w:hint="default" w:ascii="Times New Roman" w:hAnsi="Times New Roman" w:eastAsia="宋体" w:cs="Times New Roman"/>
          <w:sz w:val="24"/>
          <w:szCs w:val="24"/>
          <w:lang w:val="zh-CN"/>
        </w:rPr>
        <w:t>资金到位。年初预算批复后，到位资金为</w:t>
      </w:r>
      <w:r>
        <w:rPr>
          <w:rFonts w:hint="default" w:ascii="Times New Roman" w:hAnsi="Times New Roman" w:eastAsia="宋体" w:cs="Times New Roman"/>
          <w:sz w:val="24"/>
          <w:szCs w:val="24"/>
          <w:lang w:val="en-US" w:eastAsia="zh-CN"/>
        </w:rPr>
        <w:t>124.5</w:t>
      </w:r>
      <w:r>
        <w:rPr>
          <w:rFonts w:hint="default" w:ascii="Times New Roman" w:hAnsi="Times New Roman" w:eastAsia="宋体" w:cs="Times New Roman"/>
          <w:sz w:val="24"/>
          <w:szCs w:val="24"/>
          <w:lang w:val="zh-CN" w:eastAsia="zh-CN"/>
        </w:rPr>
        <w:t>万元。</w:t>
      </w:r>
    </w:p>
    <w:p w14:paraId="2C99A1F3">
      <w:pPr>
        <w:keepNext w:val="0"/>
        <w:keepLines w:val="0"/>
        <w:pageBreakBefore w:val="0"/>
        <w:widowControl w:val="0"/>
        <w:kinsoku/>
        <w:wordWrap/>
        <w:overflowPunct/>
        <w:topLinePunct w:val="0"/>
        <w:autoSpaceDE/>
        <w:autoSpaceDN/>
        <w:bidi w:val="0"/>
        <w:adjustRightInd w:val="0"/>
        <w:snapToGrid w:val="0"/>
        <w:spacing w:line="600" w:lineRule="exact"/>
        <w:ind w:firstLine="0"/>
        <w:textAlignment w:val="auto"/>
        <w:rPr>
          <w:rFonts w:hint="default" w:ascii="Times New Roman" w:hAnsi="Times New Roman" w:eastAsia="宋体" w:cs="Times New Roman"/>
          <w:sz w:val="24"/>
          <w:szCs w:val="24"/>
          <w:lang w:val="zh-CN"/>
        </w:rPr>
      </w:pPr>
      <w:r>
        <w:rPr>
          <w:rFonts w:hint="default" w:ascii="Times New Roman" w:hAnsi="Times New Roman" w:eastAsia="宋体" w:cs="Times New Roman"/>
          <w:sz w:val="24"/>
          <w:szCs w:val="24"/>
          <w:lang w:val="zh-CN"/>
        </w:rPr>
        <w:t>3.资金使用。按照合同约定分别向第三方支付政法三级网租赁费20万元、阿坝长安网维护费4万元、大调解网络维护费0.5万元。</w:t>
      </w:r>
    </w:p>
    <w:p w14:paraId="1C0FA0FC">
      <w:pPr>
        <w:keepNext w:val="0"/>
        <w:keepLines w:val="0"/>
        <w:pageBreakBefore w:val="0"/>
        <w:widowControl w:val="0"/>
        <w:kinsoku/>
        <w:wordWrap/>
        <w:overflowPunct/>
        <w:topLinePunct w:val="0"/>
        <w:autoSpaceDE/>
        <w:autoSpaceDN/>
        <w:bidi w:val="0"/>
        <w:adjustRightInd w:val="0"/>
        <w:snapToGrid w:val="0"/>
        <w:spacing w:line="600" w:lineRule="exact"/>
        <w:ind w:firstLine="0"/>
        <w:textAlignment w:val="auto"/>
        <w:rPr>
          <w:rFonts w:hint="default" w:ascii="Times New Roman" w:hAnsi="Times New Roman" w:eastAsia="宋体" w:cs="Times New Roman"/>
          <w:b/>
          <w:sz w:val="24"/>
          <w:szCs w:val="24"/>
          <w:lang w:val="zh-CN"/>
        </w:rPr>
      </w:pPr>
      <w:r>
        <w:rPr>
          <w:rFonts w:hint="default" w:ascii="Times New Roman" w:hAnsi="Times New Roman" w:eastAsia="宋体" w:cs="Times New Roman"/>
          <w:b/>
          <w:sz w:val="24"/>
          <w:szCs w:val="24"/>
          <w:lang w:val="zh-CN"/>
        </w:rPr>
        <w:t>（三）项目财务管理情况</w:t>
      </w:r>
      <w:r>
        <w:rPr>
          <w:rFonts w:hint="default" w:ascii="Times New Roman" w:hAnsi="Times New Roman" w:cs="Times New Roman"/>
          <w:b/>
          <w:sz w:val="24"/>
          <w:szCs w:val="24"/>
          <w:lang w:val="zh-CN"/>
        </w:rPr>
        <w:t>。</w:t>
      </w:r>
    </w:p>
    <w:p w14:paraId="56165833">
      <w:pPr>
        <w:keepNext w:val="0"/>
        <w:keepLines w:val="0"/>
        <w:pageBreakBefore w:val="0"/>
        <w:widowControl w:val="0"/>
        <w:kinsoku/>
        <w:wordWrap/>
        <w:overflowPunct/>
        <w:topLinePunct w:val="0"/>
        <w:autoSpaceDE/>
        <w:autoSpaceDN/>
        <w:bidi w:val="0"/>
        <w:adjustRightInd w:val="0"/>
        <w:snapToGrid w:val="0"/>
        <w:spacing w:line="600" w:lineRule="exact"/>
        <w:ind w:firstLine="480" w:firstLineChars="200"/>
        <w:textAlignment w:val="auto"/>
        <w:rPr>
          <w:rFonts w:hint="default" w:ascii="Times New Roman" w:hAnsi="Times New Roman" w:eastAsia="宋体" w:cs="Times New Roman"/>
          <w:sz w:val="24"/>
          <w:szCs w:val="24"/>
          <w:lang w:val="zh-CN" w:eastAsia="zh-CN"/>
        </w:rPr>
      </w:pPr>
      <w:r>
        <w:rPr>
          <w:rFonts w:hint="default" w:ascii="Times New Roman" w:hAnsi="Times New Roman" w:eastAsia="宋体" w:cs="Times New Roman"/>
          <w:sz w:val="24"/>
          <w:szCs w:val="24"/>
          <w:lang w:val="zh-CN"/>
        </w:rPr>
        <w:t>加强资金拨付管理，严格按照单位财务管理制度和项目资金实施方案执行，会同州财政局及时、足额将专项资金拨付到</w:t>
      </w:r>
      <w:r>
        <w:rPr>
          <w:rFonts w:hint="default" w:ascii="Times New Roman" w:hAnsi="Times New Roman" w:eastAsia="宋体" w:cs="Times New Roman"/>
          <w:sz w:val="24"/>
          <w:szCs w:val="24"/>
          <w:lang w:val="zh-CN" w:eastAsia="zh-CN"/>
        </w:rPr>
        <w:t>相关</w:t>
      </w:r>
      <w:r>
        <w:rPr>
          <w:rFonts w:hint="default" w:ascii="Times New Roman" w:hAnsi="Times New Roman" w:eastAsia="宋体" w:cs="Times New Roman"/>
          <w:sz w:val="24"/>
          <w:szCs w:val="24"/>
          <w:lang w:val="zh-CN"/>
        </w:rPr>
        <w:t>单位，无滞留、延压、截留、挤占资金等问题；加强专项资金管理，统筹安排专项资金，落实专项资金实施方案，明确项目绩效目标，严格按照批准的项目和规定用途使用，不擅自扩大资金使用范围，确保专款专用和资金安全，提高资金使用效率</w:t>
      </w:r>
      <w:r>
        <w:rPr>
          <w:rFonts w:hint="default" w:ascii="Times New Roman" w:hAnsi="Times New Roman" w:eastAsia="宋体" w:cs="Times New Roman"/>
          <w:sz w:val="24"/>
          <w:szCs w:val="24"/>
          <w:lang w:val="zh-CN" w:eastAsia="zh-CN"/>
        </w:rPr>
        <w:t>。</w:t>
      </w:r>
    </w:p>
    <w:p w14:paraId="543A159C">
      <w:pPr>
        <w:keepNext w:val="0"/>
        <w:keepLines w:val="0"/>
        <w:pageBreakBefore w:val="0"/>
        <w:widowControl w:val="0"/>
        <w:kinsoku/>
        <w:wordWrap/>
        <w:overflowPunct/>
        <w:topLinePunct w:val="0"/>
        <w:autoSpaceDE/>
        <w:autoSpaceDN/>
        <w:bidi w:val="0"/>
        <w:adjustRightInd w:val="0"/>
        <w:snapToGrid w:val="0"/>
        <w:spacing w:line="600" w:lineRule="exact"/>
        <w:ind w:firstLine="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三、项目实施及管理情况</w:t>
      </w:r>
    </w:p>
    <w:p w14:paraId="2FD7A6F0">
      <w:pPr>
        <w:keepNext w:val="0"/>
        <w:keepLines w:val="0"/>
        <w:pageBreakBefore w:val="0"/>
        <w:widowControl w:val="0"/>
        <w:kinsoku/>
        <w:wordWrap/>
        <w:overflowPunct/>
        <w:topLinePunct w:val="0"/>
        <w:autoSpaceDE/>
        <w:autoSpaceDN/>
        <w:bidi w:val="0"/>
        <w:adjustRightInd w:val="0"/>
        <w:snapToGrid w:val="0"/>
        <w:spacing w:line="600" w:lineRule="exact"/>
        <w:ind w:firstLine="480" w:firstLineChars="200"/>
        <w:textAlignment w:val="auto"/>
        <w:rPr>
          <w:rFonts w:hint="default" w:ascii="Times New Roman" w:hAnsi="Times New Roman" w:eastAsia="宋体" w:cs="Times New Roman"/>
          <w:sz w:val="24"/>
          <w:szCs w:val="24"/>
          <w:lang w:val="zh-CN"/>
        </w:rPr>
      </w:pPr>
      <w:r>
        <w:rPr>
          <w:rFonts w:hint="default" w:ascii="Times New Roman" w:hAnsi="Times New Roman" w:eastAsia="宋体" w:cs="Times New Roman"/>
          <w:sz w:val="24"/>
          <w:szCs w:val="24"/>
          <w:lang w:val="zh-CN"/>
        </w:rPr>
        <w:t>结合项目组织实施管理办法，重点围绕以下内容进行分析评价，并对自评中发现的问题分析说明。</w:t>
      </w:r>
    </w:p>
    <w:p w14:paraId="0EA646C0">
      <w:pPr>
        <w:keepNext w:val="0"/>
        <w:keepLines w:val="0"/>
        <w:pageBreakBefore w:val="0"/>
        <w:widowControl w:val="0"/>
        <w:kinsoku/>
        <w:wordWrap/>
        <w:overflowPunct/>
        <w:topLinePunct w:val="0"/>
        <w:autoSpaceDE/>
        <w:autoSpaceDN/>
        <w:bidi w:val="0"/>
        <w:adjustRightInd w:val="0"/>
        <w:snapToGrid w:val="0"/>
        <w:spacing w:line="600" w:lineRule="exact"/>
        <w:ind w:firstLine="0" w:firstLineChars="0"/>
        <w:textAlignment w:val="auto"/>
        <w:rPr>
          <w:rFonts w:hint="default" w:ascii="Times New Roman" w:hAnsi="Times New Roman" w:eastAsia="宋体" w:cs="Times New Roman"/>
          <w:b/>
          <w:sz w:val="24"/>
          <w:szCs w:val="24"/>
          <w:lang w:val="zh-CN"/>
        </w:rPr>
      </w:pPr>
      <w:r>
        <w:rPr>
          <w:rFonts w:hint="default" w:ascii="Times New Roman" w:hAnsi="Times New Roman" w:eastAsia="宋体" w:cs="Times New Roman"/>
          <w:b/>
          <w:sz w:val="24"/>
          <w:szCs w:val="24"/>
          <w:lang w:val="zh-CN"/>
        </w:rPr>
        <w:t>（一）项目管理情况。</w:t>
      </w:r>
      <w:r>
        <w:rPr>
          <w:rFonts w:hint="default" w:ascii="Times New Roman" w:hAnsi="Times New Roman" w:eastAsia="宋体" w:cs="Times New Roman"/>
          <w:b w:val="0"/>
          <w:bCs/>
          <w:sz w:val="24"/>
          <w:szCs w:val="24"/>
          <w:lang w:val="zh-CN"/>
        </w:rPr>
        <w:t>专项资金</w:t>
      </w:r>
      <w:r>
        <w:rPr>
          <w:rFonts w:hint="default" w:ascii="Times New Roman" w:hAnsi="Times New Roman" w:eastAsia="宋体" w:cs="Times New Roman"/>
          <w:b w:val="0"/>
          <w:bCs/>
          <w:sz w:val="24"/>
          <w:szCs w:val="24"/>
          <w:lang w:val="zh-CN" w:eastAsia="zh-CN"/>
        </w:rPr>
        <w:t>主</w:t>
      </w:r>
      <w:r>
        <w:rPr>
          <w:rFonts w:hint="default" w:ascii="Times New Roman" w:hAnsi="Times New Roman" w:eastAsia="宋体" w:cs="Times New Roman"/>
          <w:sz w:val="24"/>
          <w:szCs w:val="24"/>
          <w:lang w:val="zh-CN" w:eastAsia="zh-CN"/>
        </w:rPr>
        <w:t>要用于政法三级网线路租赁、阿坝长安网维护、大调解网络维护等方面。</w:t>
      </w:r>
    </w:p>
    <w:p w14:paraId="4099AFCC">
      <w:pPr>
        <w:keepNext w:val="0"/>
        <w:keepLines w:val="0"/>
        <w:pageBreakBefore w:val="0"/>
        <w:widowControl w:val="0"/>
        <w:kinsoku/>
        <w:wordWrap/>
        <w:overflowPunct/>
        <w:topLinePunct w:val="0"/>
        <w:autoSpaceDE/>
        <w:autoSpaceDN/>
        <w:bidi w:val="0"/>
        <w:adjustRightInd w:val="0"/>
        <w:snapToGrid w:val="0"/>
        <w:spacing w:line="600" w:lineRule="exact"/>
        <w:ind w:firstLine="0" w:firstLineChars="0"/>
        <w:textAlignment w:val="auto"/>
        <w:rPr>
          <w:rFonts w:hint="default" w:ascii="Times New Roman" w:hAnsi="Times New Roman" w:eastAsia="宋体" w:cs="Times New Roman"/>
          <w:sz w:val="24"/>
          <w:szCs w:val="24"/>
        </w:rPr>
      </w:pPr>
      <w:r>
        <w:rPr>
          <w:rFonts w:hint="default" w:ascii="Times New Roman" w:hAnsi="Times New Roman" w:eastAsia="宋体" w:cs="Times New Roman"/>
          <w:b/>
          <w:sz w:val="24"/>
          <w:szCs w:val="24"/>
          <w:lang w:val="zh-CN"/>
        </w:rPr>
        <w:t>（二）项目监管情况。</w:t>
      </w:r>
      <w:r>
        <w:rPr>
          <w:rFonts w:hint="default" w:ascii="Times New Roman" w:hAnsi="Times New Roman" w:eastAsia="宋体" w:cs="Times New Roman"/>
          <w:sz w:val="24"/>
          <w:szCs w:val="24"/>
        </w:rPr>
        <w:t>各业务科室具体负责项目方案的制定和实施，各分管领导负责对项目实施方案和具体过程进行审核，单位内部纪检监察部门负责对项目实施方案和具体过程进行监督。</w:t>
      </w:r>
    </w:p>
    <w:p w14:paraId="3BF53ADF">
      <w:pPr>
        <w:keepNext w:val="0"/>
        <w:keepLines w:val="0"/>
        <w:pageBreakBefore w:val="0"/>
        <w:widowControl w:val="0"/>
        <w:kinsoku/>
        <w:wordWrap/>
        <w:overflowPunct/>
        <w:topLinePunct w:val="0"/>
        <w:autoSpaceDE/>
        <w:autoSpaceDN/>
        <w:bidi w:val="0"/>
        <w:adjustRightInd w:val="0"/>
        <w:snapToGrid w:val="0"/>
        <w:spacing w:line="600" w:lineRule="exact"/>
        <w:ind w:firstLine="0"/>
        <w:textAlignment w:val="auto"/>
        <w:rPr>
          <w:rFonts w:hint="default" w:ascii="Times New Roman" w:hAnsi="Times New Roman" w:eastAsia="宋体" w:cs="Times New Roman"/>
          <w:sz w:val="24"/>
          <w:szCs w:val="24"/>
          <w:lang w:val="zh-CN"/>
        </w:rPr>
      </w:pPr>
      <w:r>
        <w:rPr>
          <w:rFonts w:hint="default" w:ascii="Times New Roman" w:hAnsi="Times New Roman" w:eastAsia="宋体" w:cs="Times New Roman"/>
          <w:sz w:val="24"/>
          <w:szCs w:val="24"/>
        </w:rPr>
        <w:t>四、项目绩效情况</w:t>
      </w:r>
      <w:r>
        <w:rPr>
          <w:rFonts w:hint="default" w:ascii="Times New Roman" w:hAnsi="Times New Roman" w:eastAsia="宋体" w:cs="Times New Roman"/>
          <w:sz w:val="24"/>
          <w:szCs w:val="24"/>
          <w:lang w:val="zh-CN"/>
        </w:rPr>
        <w:tab/>
      </w:r>
    </w:p>
    <w:p w14:paraId="3AE67818">
      <w:pPr>
        <w:keepNext w:val="0"/>
        <w:keepLines w:val="0"/>
        <w:pageBreakBefore w:val="0"/>
        <w:widowControl w:val="0"/>
        <w:kinsoku/>
        <w:wordWrap/>
        <w:overflowPunct/>
        <w:topLinePunct w:val="0"/>
        <w:autoSpaceDE/>
        <w:autoSpaceDN/>
        <w:bidi w:val="0"/>
        <w:adjustRightInd w:val="0"/>
        <w:snapToGrid w:val="0"/>
        <w:spacing w:line="600" w:lineRule="exact"/>
        <w:ind w:firstLine="0"/>
        <w:textAlignment w:val="auto"/>
        <w:rPr>
          <w:rFonts w:hint="default" w:ascii="Times New Roman" w:hAnsi="Times New Roman" w:eastAsia="宋体" w:cs="Times New Roman"/>
          <w:b/>
          <w:sz w:val="24"/>
          <w:szCs w:val="24"/>
          <w:lang w:val="zh-CN"/>
        </w:rPr>
      </w:pPr>
      <w:r>
        <w:rPr>
          <w:rFonts w:hint="default" w:ascii="Times New Roman" w:hAnsi="Times New Roman" w:eastAsia="宋体" w:cs="Times New Roman"/>
          <w:b/>
          <w:sz w:val="24"/>
          <w:szCs w:val="24"/>
          <w:lang w:val="zh-CN"/>
        </w:rPr>
        <w:t>（一）项目完成情况。</w:t>
      </w:r>
    </w:p>
    <w:p w14:paraId="1FC88A7B">
      <w:pPr>
        <w:keepNext w:val="0"/>
        <w:keepLines w:val="0"/>
        <w:pageBreakBefore w:val="0"/>
        <w:widowControl w:val="0"/>
        <w:kinsoku/>
        <w:wordWrap/>
        <w:overflowPunct/>
        <w:topLinePunct w:val="0"/>
        <w:autoSpaceDE/>
        <w:autoSpaceDN/>
        <w:bidi w:val="0"/>
        <w:adjustRightInd w:val="0"/>
        <w:snapToGrid w:val="0"/>
        <w:spacing w:line="600" w:lineRule="exact"/>
        <w:ind w:firstLine="464" w:firstLineChars="200"/>
        <w:textAlignment w:val="auto"/>
        <w:rPr>
          <w:rFonts w:hint="default" w:ascii="Times New Roman" w:hAnsi="Times New Roman" w:eastAsia="宋体" w:cs="Times New Roman"/>
          <w:spacing w:val="-4"/>
          <w:sz w:val="24"/>
          <w:szCs w:val="24"/>
          <w:lang w:val="zh-CN" w:eastAsia="zh-CN"/>
        </w:rPr>
      </w:pPr>
      <w:r>
        <w:rPr>
          <w:rFonts w:hint="default" w:ascii="Times New Roman" w:hAnsi="Times New Roman" w:eastAsia="宋体" w:cs="Times New Roman"/>
          <w:spacing w:val="-4"/>
          <w:sz w:val="24"/>
          <w:szCs w:val="24"/>
          <w:lang w:val="zh-CN" w:eastAsia="zh-CN"/>
        </w:rPr>
        <w:t>经过双方的努力，政法三级网、阿坝长安网、</w:t>
      </w:r>
      <w:r>
        <w:rPr>
          <w:rFonts w:hint="default" w:ascii="Times New Roman" w:hAnsi="Times New Roman" w:eastAsia="宋体" w:cs="Times New Roman"/>
          <w:sz w:val="24"/>
          <w:szCs w:val="24"/>
          <w:lang w:val="en-US" w:eastAsia="zh-CN"/>
        </w:rPr>
        <w:t>大调解网络</w:t>
      </w:r>
      <w:r>
        <w:rPr>
          <w:rFonts w:hint="default" w:ascii="Times New Roman" w:hAnsi="Times New Roman" w:eastAsia="宋体" w:cs="Times New Roman"/>
          <w:spacing w:val="-4"/>
          <w:sz w:val="24"/>
          <w:szCs w:val="24"/>
          <w:lang w:val="zh-CN" w:eastAsia="zh-CN"/>
        </w:rPr>
        <w:t>运行正常。我委也按时支付了相关费用，项目完成良好。</w:t>
      </w:r>
    </w:p>
    <w:p w14:paraId="00B73081">
      <w:pPr>
        <w:keepNext w:val="0"/>
        <w:keepLines w:val="0"/>
        <w:pageBreakBefore w:val="0"/>
        <w:widowControl w:val="0"/>
        <w:kinsoku/>
        <w:wordWrap/>
        <w:overflowPunct/>
        <w:topLinePunct w:val="0"/>
        <w:autoSpaceDE/>
        <w:autoSpaceDN/>
        <w:bidi w:val="0"/>
        <w:adjustRightInd w:val="0"/>
        <w:snapToGrid w:val="0"/>
        <w:spacing w:line="600" w:lineRule="exact"/>
        <w:ind w:firstLine="0"/>
        <w:textAlignment w:val="auto"/>
        <w:rPr>
          <w:rFonts w:hint="default" w:ascii="Times New Roman" w:hAnsi="Times New Roman" w:eastAsia="宋体" w:cs="Times New Roman"/>
          <w:b/>
          <w:sz w:val="24"/>
          <w:szCs w:val="24"/>
          <w:lang w:val="zh-CN"/>
        </w:rPr>
      </w:pPr>
      <w:r>
        <w:rPr>
          <w:rFonts w:hint="default" w:ascii="Times New Roman" w:hAnsi="Times New Roman" w:eastAsia="宋体" w:cs="Times New Roman"/>
          <w:b/>
          <w:sz w:val="24"/>
          <w:szCs w:val="24"/>
          <w:lang w:val="zh-CN"/>
        </w:rPr>
        <w:t>（二）项目效益情况。</w:t>
      </w:r>
    </w:p>
    <w:p w14:paraId="7A29AE22">
      <w:pPr>
        <w:keepNext w:val="0"/>
        <w:keepLines w:val="0"/>
        <w:pageBreakBefore w:val="0"/>
        <w:widowControl w:val="0"/>
        <w:kinsoku/>
        <w:wordWrap/>
        <w:overflowPunct/>
        <w:topLinePunct w:val="0"/>
        <w:autoSpaceDE/>
        <w:autoSpaceDN/>
        <w:bidi w:val="0"/>
        <w:adjustRightInd w:val="0"/>
        <w:snapToGrid w:val="0"/>
        <w:spacing w:line="600" w:lineRule="exact"/>
        <w:ind w:firstLine="464" w:firstLineChars="200"/>
        <w:textAlignment w:val="auto"/>
        <w:rPr>
          <w:rFonts w:hint="default" w:ascii="Times New Roman" w:hAnsi="Times New Roman" w:eastAsia="宋体" w:cs="Times New Roman"/>
          <w:spacing w:val="-4"/>
          <w:sz w:val="24"/>
          <w:szCs w:val="24"/>
          <w:lang w:val="zh-CN" w:eastAsia="zh-CN"/>
        </w:rPr>
      </w:pPr>
      <w:r>
        <w:rPr>
          <w:rFonts w:hint="default" w:ascii="Times New Roman" w:hAnsi="Times New Roman" w:eastAsia="宋体" w:cs="Times New Roman"/>
          <w:spacing w:val="-4"/>
          <w:sz w:val="24"/>
          <w:szCs w:val="24"/>
          <w:lang w:val="zh-CN" w:eastAsia="zh-CN"/>
        </w:rPr>
        <w:t>双方按照合同约定完成履约义务，项目完成率达</w:t>
      </w:r>
      <w:r>
        <w:rPr>
          <w:rFonts w:hint="default" w:ascii="Times New Roman" w:hAnsi="Times New Roman" w:eastAsia="宋体" w:cs="Times New Roman"/>
          <w:spacing w:val="-4"/>
          <w:sz w:val="24"/>
          <w:szCs w:val="24"/>
          <w:lang w:val="en-US" w:eastAsia="zh-CN"/>
        </w:rPr>
        <w:t>100%；系统故障修复时间要达到行业规定标准，未影响工作开展；</w:t>
      </w:r>
      <w:r>
        <w:rPr>
          <w:rFonts w:hint="default" w:ascii="Times New Roman" w:hAnsi="Times New Roman" w:eastAsia="宋体" w:cs="Times New Roman"/>
          <w:spacing w:val="-4"/>
          <w:sz w:val="24"/>
          <w:szCs w:val="24"/>
          <w:lang w:val="zh-CN" w:eastAsia="zh-CN"/>
        </w:rPr>
        <w:t>该项目的社会效益和社会公众或服务对象满意度达到了预期效果。</w:t>
      </w:r>
    </w:p>
    <w:p w14:paraId="2B9AC22D">
      <w:pPr>
        <w:keepNext w:val="0"/>
        <w:keepLines w:val="0"/>
        <w:pageBreakBefore w:val="0"/>
        <w:widowControl w:val="0"/>
        <w:kinsoku/>
        <w:wordWrap/>
        <w:overflowPunct/>
        <w:topLinePunct w:val="0"/>
        <w:autoSpaceDE/>
        <w:autoSpaceDN/>
        <w:bidi w:val="0"/>
        <w:adjustRightInd w:val="0"/>
        <w:snapToGrid w:val="0"/>
        <w:spacing w:line="600" w:lineRule="exact"/>
        <w:ind w:firstLine="0"/>
        <w:textAlignment w:val="auto"/>
        <w:rPr>
          <w:rFonts w:hint="default" w:ascii="Times New Roman" w:hAnsi="Times New Roman" w:eastAsia="宋体" w:cs="Times New Roman"/>
          <w:b/>
          <w:sz w:val="24"/>
          <w:szCs w:val="24"/>
          <w:lang w:val="zh-CN"/>
        </w:rPr>
      </w:pPr>
      <w:r>
        <w:rPr>
          <w:rFonts w:hint="default" w:ascii="Times New Roman" w:hAnsi="Times New Roman" w:eastAsia="宋体" w:cs="Times New Roman"/>
          <w:b/>
          <w:sz w:val="24"/>
          <w:szCs w:val="24"/>
          <w:lang w:val="zh-CN"/>
        </w:rPr>
        <w:t>五、评价结论及建议</w:t>
      </w:r>
    </w:p>
    <w:p w14:paraId="25052E10">
      <w:pPr>
        <w:keepNext w:val="0"/>
        <w:keepLines w:val="0"/>
        <w:pageBreakBefore w:val="0"/>
        <w:widowControl w:val="0"/>
        <w:kinsoku/>
        <w:wordWrap/>
        <w:overflowPunct/>
        <w:topLinePunct w:val="0"/>
        <w:autoSpaceDE/>
        <w:autoSpaceDN/>
        <w:bidi w:val="0"/>
        <w:adjustRightInd w:val="0"/>
        <w:snapToGrid w:val="0"/>
        <w:spacing w:line="600" w:lineRule="exact"/>
        <w:ind w:firstLine="0"/>
        <w:textAlignment w:val="auto"/>
        <w:rPr>
          <w:rFonts w:hint="default" w:ascii="Times New Roman" w:hAnsi="Times New Roman" w:eastAsia="宋体" w:cs="Times New Roman"/>
          <w:b/>
          <w:sz w:val="24"/>
          <w:szCs w:val="24"/>
          <w:lang w:val="zh-CN"/>
        </w:rPr>
      </w:pPr>
      <w:r>
        <w:rPr>
          <w:rFonts w:hint="default" w:ascii="Times New Roman" w:hAnsi="Times New Roman" w:eastAsia="宋体" w:cs="Times New Roman"/>
          <w:b/>
          <w:sz w:val="24"/>
          <w:szCs w:val="24"/>
          <w:lang w:val="zh-CN"/>
        </w:rPr>
        <w:t>（一）评价结论。</w:t>
      </w:r>
    </w:p>
    <w:p w14:paraId="12D6127A">
      <w:pPr>
        <w:keepNext w:val="0"/>
        <w:keepLines w:val="0"/>
        <w:pageBreakBefore w:val="0"/>
        <w:widowControl w:val="0"/>
        <w:kinsoku/>
        <w:wordWrap/>
        <w:overflowPunct/>
        <w:topLinePunct w:val="0"/>
        <w:autoSpaceDE/>
        <w:autoSpaceDN/>
        <w:bidi w:val="0"/>
        <w:adjustRightInd w:val="0"/>
        <w:snapToGrid w:val="0"/>
        <w:spacing w:line="600" w:lineRule="exact"/>
        <w:ind w:firstLine="464" w:firstLineChars="200"/>
        <w:textAlignment w:val="auto"/>
        <w:rPr>
          <w:rFonts w:hint="default" w:ascii="Times New Roman" w:hAnsi="Times New Roman" w:eastAsia="宋体" w:cs="Times New Roman"/>
          <w:spacing w:val="-4"/>
          <w:sz w:val="24"/>
          <w:szCs w:val="24"/>
          <w:lang w:val="zh-CN" w:eastAsia="zh-CN"/>
        </w:rPr>
      </w:pPr>
      <w:r>
        <w:rPr>
          <w:rFonts w:hint="default" w:ascii="Times New Roman" w:hAnsi="Times New Roman" w:eastAsia="宋体" w:cs="Times New Roman"/>
          <w:spacing w:val="-4"/>
          <w:sz w:val="24"/>
          <w:szCs w:val="24"/>
          <w:lang w:val="zh-CN" w:eastAsia="zh-CN"/>
        </w:rPr>
        <w:t>根据项目执行情况和项目绩效情况，总得分</w:t>
      </w:r>
      <w:r>
        <w:rPr>
          <w:rFonts w:hint="default" w:ascii="Times New Roman" w:hAnsi="Times New Roman" w:eastAsia="宋体" w:cs="Times New Roman"/>
          <w:spacing w:val="-4"/>
          <w:sz w:val="24"/>
          <w:szCs w:val="24"/>
          <w:lang w:val="en-US" w:eastAsia="zh-CN"/>
        </w:rPr>
        <w:t>95</w:t>
      </w:r>
      <w:r>
        <w:rPr>
          <w:rFonts w:hint="default" w:ascii="Times New Roman" w:hAnsi="Times New Roman" w:eastAsia="宋体" w:cs="Times New Roman"/>
          <w:spacing w:val="-4"/>
          <w:sz w:val="24"/>
          <w:szCs w:val="24"/>
          <w:lang w:val="zh-CN" w:eastAsia="zh-CN"/>
        </w:rPr>
        <w:t>分，项目综合绩效评价为优秀。</w:t>
      </w:r>
    </w:p>
    <w:p w14:paraId="24750270">
      <w:pPr>
        <w:keepNext w:val="0"/>
        <w:keepLines w:val="0"/>
        <w:pageBreakBefore w:val="0"/>
        <w:widowControl w:val="0"/>
        <w:kinsoku/>
        <w:wordWrap/>
        <w:overflowPunct/>
        <w:topLinePunct w:val="0"/>
        <w:autoSpaceDE/>
        <w:autoSpaceDN/>
        <w:bidi w:val="0"/>
        <w:adjustRightInd w:val="0"/>
        <w:snapToGrid w:val="0"/>
        <w:spacing w:line="600" w:lineRule="exact"/>
        <w:ind w:firstLine="0"/>
        <w:textAlignment w:val="auto"/>
        <w:rPr>
          <w:rFonts w:hint="default" w:ascii="Times New Roman" w:hAnsi="Times New Roman" w:eastAsia="宋体" w:cs="Times New Roman"/>
          <w:b/>
          <w:sz w:val="24"/>
          <w:szCs w:val="24"/>
          <w:lang w:val="zh-CN"/>
        </w:rPr>
      </w:pPr>
      <w:r>
        <w:rPr>
          <w:rFonts w:hint="default" w:ascii="Times New Roman" w:hAnsi="Times New Roman" w:eastAsia="宋体" w:cs="Times New Roman"/>
          <w:b/>
          <w:sz w:val="24"/>
          <w:szCs w:val="24"/>
          <w:lang w:val="zh-CN"/>
        </w:rPr>
        <w:t>（二）存在的问题。</w:t>
      </w:r>
    </w:p>
    <w:p w14:paraId="3BE52738">
      <w:pPr>
        <w:keepNext w:val="0"/>
        <w:keepLines w:val="0"/>
        <w:pageBreakBefore w:val="0"/>
        <w:widowControl w:val="0"/>
        <w:kinsoku/>
        <w:wordWrap/>
        <w:overflowPunct/>
        <w:topLinePunct w:val="0"/>
        <w:autoSpaceDE/>
        <w:autoSpaceDN/>
        <w:bidi w:val="0"/>
        <w:adjustRightInd w:val="0"/>
        <w:snapToGrid w:val="0"/>
        <w:spacing w:line="600" w:lineRule="exact"/>
        <w:ind w:firstLine="464" w:firstLineChars="200"/>
        <w:textAlignment w:val="auto"/>
        <w:rPr>
          <w:rFonts w:hint="default" w:ascii="Times New Roman" w:hAnsi="Times New Roman" w:eastAsia="宋体" w:cs="Times New Roman"/>
          <w:spacing w:val="-4"/>
          <w:sz w:val="24"/>
          <w:szCs w:val="24"/>
          <w:lang w:val="zh-CN" w:eastAsia="zh-CN"/>
        </w:rPr>
      </w:pPr>
      <w:r>
        <w:rPr>
          <w:rFonts w:hint="default" w:ascii="Times New Roman" w:hAnsi="Times New Roman" w:eastAsia="宋体" w:cs="Times New Roman"/>
          <w:spacing w:val="-4"/>
          <w:sz w:val="24"/>
          <w:szCs w:val="24"/>
          <w:lang w:val="zh-CN" w:eastAsia="zh-CN"/>
        </w:rPr>
        <w:t>双方的技术人员需加强相关知识的学习，以提高解决故障的能力。</w:t>
      </w:r>
    </w:p>
    <w:p w14:paraId="57C9FBDD">
      <w:pPr>
        <w:keepNext w:val="0"/>
        <w:keepLines w:val="0"/>
        <w:pageBreakBefore w:val="0"/>
        <w:widowControl w:val="0"/>
        <w:kinsoku/>
        <w:wordWrap/>
        <w:overflowPunct/>
        <w:topLinePunct w:val="0"/>
        <w:autoSpaceDE/>
        <w:autoSpaceDN/>
        <w:bidi w:val="0"/>
        <w:adjustRightInd w:val="0"/>
        <w:snapToGrid w:val="0"/>
        <w:spacing w:line="600" w:lineRule="exact"/>
        <w:ind w:firstLine="0"/>
        <w:textAlignment w:val="auto"/>
        <w:rPr>
          <w:rFonts w:hint="default" w:ascii="Times New Roman" w:hAnsi="Times New Roman" w:eastAsia="宋体" w:cs="Times New Roman"/>
          <w:b/>
          <w:sz w:val="24"/>
          <w:szCs w:val="24"/>
          <w:lang w:val="zh-CN"/>
        </w:rPr>
      </w:pPr>
      <w:r>
        <w:rPr>
          <w:rFonts w:hint="default" w:ascii="Times New Roman" w:hAnsi="Times New Roman" w:eastAsia="宋体" w:cs="Times New Roman"/>
          <w:b/>
          <w:sz w:val="24"/>
          <w:szCs w:val="24"/>
          <w:lang w:val="zh-CN"/>
        </w:rPr>
        <w:t>（三）相关建议。</w:t>
      </w:r>
    </w:p>
    <w:p w14:paraId="0126CDDE">
      <w:pPr>
        <w:keepNext w:val="0"/>
        <w:keepLines w:val="0"/>
        <w:pageBreakBefore w:val="0"/>
        <w:widowControl w:val="0"/>
        <w:kinsoku/>
        <w:wordWrap/>
        <w:overflowPunct/>
        <w:topLinePunct w:val="0"/>
        <w:autoSpaceDE/>
        <w:autoSpaceDN/>
        <w:bidi w:val="0"/>
        <w:adjustRightInd w:val="0"/>
        <w:snapToGrid w:val="0"/>
        <w:spacing w:line="600" w:lineRule="exact"/>
        <w:ind w:firstLine="464" w:firstLineChars="200"/>
        <w:textAlignment w:val="auto"/>
        <w:rPr>
          <w:rFonts w:hint="default" w:ascii="Times New Roman" w:hAnsi="Times New Roman" w:eastAsia="宋体" w:cs="Times New Roman"/>
          <w:spacing w:val="-4"/>
          <w:sz w:val="24"/>
          <w:szCs w:val="24"/>
          <w:lang w:val="zh-CN" w:eastAsia="zh-CN"/>
        </w:rPr>
      </w:pPr>
      <w:r>
        <w:rPr>
          <w:rFonts w:hint="default" w:ascii="Times New Roman" w:hAnsi="Times New Roman" w:eastAsia="宋体" w:cs="Times New Roman"/>
          <w:spacing w:val="-4"/>
          <w:sz w:val="24"/>
          <w:szCs w:val="24"/>
          <w:lang w:val="zh-CN" w:eastAsia="zh-CN"/>
        </w:rPr>
        <w:t>加强操作人员培训，提升工作能力。</w:t>
      </w:r>
    </w:p>
    <w:p w14:paraId="5A5E4067">
      <w:pPr>
        <w:pStyle w:val="9"/>
        <w:rPr>
          <w:rFonts w:hint="default" w:ascii="Times New Roman" w:hAnsi="Times New Roman" w:eastAsia="宋体" w:cs="Times New Roman"/>
          <w:sz w:val="24"/>
          <w:szCs w:val="24"/>
        </w:rPr>
      </w:pPr>
    </w:p>
    <w:p w14:paraId="636CB3A9">
      <w:pPr>
        <w:pStyle w:val="9"/>
        <w:keepNext w:val="0"/>
        <w:keepLines w:val="0"/>
        <w:pageBreakBefore w:val="0"/>
        <w:kinsoku/>
        <w:wordWrap/>
        <w:overflowPunct/>
        <w:topLinePunct w:val="0"/>
        <w:autoSpaceDE/>
        <w:autoSpaceDN/>
        <w:bidi w:val="0"/>
        <w:spacing w:line="600" w:lineRule="exact"/>
        <w:ind w:firstLine="480" w:firstLineChars="200"/>
        <w:jc w:val="center"/>
        <w:textAlignment w:val="auto"/>
        <w:rPr>
          <w:rFonts w:hint="default" w:ascii="Times New Roman" w:hAnsi="Times New Roman" w:eastAsia="宋体" w:cs="Times New Roman"/>
          <w:color w:val="auto"/>
          <w:kern w:val="2"/>
          <w:sz w:val="24"/>
          <w:szCs w:val="24"/>
          <w:lang w:eastAsia="zh-CN"/>
        </w:rPr>
      </w:pPr>
      <w:r>
        <w:rPr>
          <w:rFonts w:hint="default" w:ascii="Times New Roman" w:hAnsi="Times New Roman" w:eastAsia="宋体" w:cs="Times New Roman"/>
          <w:color w:val="auto"/>
          <w:kern w:val="2"/>
          <w:sz w:val="24"/>
          <w:szCs w:val="24"/>
          <w:lang w:eastAsia="zh-CN"/>
        </w:rPr>
        <w:t>“社会治安综合治理中心系统”维保服务及</w:t>
      </w:r>
    </w:p>
    <w:p w14:paraId="540ACC2D">
      <w:pPr>
        <w:pStyle w:val="9"/>
        <w:keepNext w:val="0"/>
        <w:keepLines w:val="0"/>
        <w:pageBreakBefore w:val="0"/>
        <w:kinsoku/>
        <w:wordWrap/>
        <w:overflowPunct/>
        <w:topLinePunct w:val="0"/>
        <w:autoSpaceDE/>
        <w:autoSpaceDN/>
        <w:bidi w:val="0"/>
        <w:spacing w:line="600" w:lineRule="exact"/>
        <w:ind w:firstLine="480" w:firstLineChars="200"/>
        <w:jc w:val="center"/>
        <w:textAlignment w:val="auto"/>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eastAsia="zh-CN"/>
        </w:rPr>
        <w:t>三级等保测评服务项目支出</w:t>
      </w:r>
      <w:r>
        <w:rPr>
          <w:rFonts w:hint="default" w:ascii="Times New Roman" w:hAnsi="Times New Roman" w:eastAsia="宋体" w:cs="Times New Roman"/>
          <w:color w:val="auto"/>
          <w:kern w:val="2"/>
          <w:sz w:val="24"/>
          <w:szCs w:val="24"/>
        </w:rPr>
        <w:t>绩效自评报告</w:t>
      </w:r>
    </w:p>
    <w:p w14:paraId="064CCE85">
      <w:pPr>
        <w:pStyle w:val="9"/>
        <w:keepNext w:val="0"/>
        <w:keepLines w:val="0"/>
        <w:pageBreakBefore w:val="0"/>
        <w:kinsoku/>
        <w:wordWrap/>
        <w:overflowPunct/>
        <w:topLinePunct w:val="0"/>
        <w:autoSpaceDE/>
        <w:autoSpaceDN/>
        <w:bidi w:val="0"/>
        <w:spacing w:line="600" w:lineRule="exact"/>
        <w:ind w:firstLine="640"/>
        <w:jc w:val="center"/>
        <w:textAlignment w:val="auto"/>
        <w:rPr>
          <w:rFonts w:hint="default" w:ascii="Times New Roman" w:hAnsi="Times New Roman" w:eastAsia="宋体" w:cs="Times New Roman"/>
          <w:color w:val="auto"/>
          <w:kern w:val="2"/>
          <w:sz w:val="24"/>
          <w:szCs w:val="24"/>
        </w:rPr>
      </w:pPr>
    </w:p>
    <w:p w14:paraId="183FCE38">
      <w:pPr>
        <w:keepNext w:val="0"/>
        <w:keepLines w:val="0"/>
        <w:pageBreakBefore w:val="0"/>
        <w:widowControl w:val="0"/>
        <w:kinsoku/>
        <w:wordWrap/>
        <w:overflowPunct/>
        <w:topLinePunct w:val="0"/>
        <w:autoSpaceDE/>
        <w:autoSpaceDN/>
        <w:bidi w:val="0"/>
        <w:adjustRightInd w:val="0"/>
        <w:snapToGrid w:val="0"/>
        <w:spacing w:line="600" w:lineRule="exact"/>
        <w:ind w:firstLine="0"/>
        <w:textAlignment w:val="auto"/>
        <w:rPr>
          <w:rFonts w:hint="default" w:ascii="Times New Roman" w:hAnsi="Times New Roman" w:eastAsia="宋体" w:cs="Times New Roman"/>
          <w:sz w:val="24"/>
          <w:szCs w:val="24"/>
          <w:lang w:val="zh-CN"/>
        </w:rPr>
      </w:pPr>
      <w:r>
        <w:rPr>
          <w:rFonts w:hint="default" w:ascii="Times New Roman" w:hAnsi="Times New Roman" w:eastAsia="宋体" w:cs="Times New Roman"/>
          <w:sz w:val="24"/>
          <w:szCs w:val="24"/>
        </w:rPr>
        <w:t>一、</w:t>
      </w:r>
      <w:r>
        <w:rPr>
          <w:rFonts w:hint="default" w:ascii="Times New Roman" w:hAnsi="Times New Roman" w:eastAsia="宋体" w:cs="Times New Roman"/>
          <w:sz w:val="24"/>
          <w:szCs w:val="24"/>
          <w:lang w:val="zh-CN"/>
        </w:rPr>
        <w:t>项目概况</w:t>
      </w:r>
    </w:p>
    <w:p w14:paraId="0FD9E0BA">
      <w:pPr>
        <w:keepNext w:val="0"/>
        <w:keepLines w:val="0"/>
        <w:pageBreakBefore w:val="0"/>
        <w:widowControl w:val="0"/>
        <w:kinsoku/>
        <w:wordWrap/>
        <w:overflowPunct/>
        <w:topLinePunct w:val="0"/>
        <w:autoSpaceDE/>
        <w:autoSpaceDN/>
        <w:bidi w:val="0"/>
        <w:adjustRightInd w:val="0"/>
        <w:snapToGrid w:val="0"/>
        <w:spacing w:line="600" w:lineRule="exact"/>
        <w:ind w:firstLine="0"/>
        <w:textAlignment w:val="auto"/>
        <w:rPr>
          <w:rFonts w:hint="default" w:ascii="Times New Roman" w:hAnsi="Times New Roman" w:eastAsia="宋体" w:cs="Times New Roman"/>
          <w:b/>
          <w:sz w:val="24"/>
          <w:szCs w:val="24"/>
          <w:lang w:val="zh-CN"/>
        </w:rPr>
      </w:pPr>
      <w:r>
        <w:rPr>
          <w:rFonts w:hint="default" w:ascii="Times New Roman" w:hAnsi="Times New Roman" w:eastAsia="宋体" w:cs="Times New Roman"/>
          <w:b/>
          <w:sz w:val="24"/>
          <w:szCs w:val="24"/>
          <w:lang w:val="zh-CN"/>
        </w:rPr>
        <w:t>（一）项目基本情况。</w:t>
      </w:r>
    </w:p>
    <w:p w14:paraId="33CDB057">
      <w:pPr>
        <w:keepNext w:val="0"/>
        <w:keepLines w:val="0"/>
        <w:pageBreakBefore w:val="0"/>
        <w:widowControl w:val="0"/>
        <w:kinsoku/>
        <w:wordWrap/>
        <w:overflowPunct/>
        <w:topLinePunct w:val="0"/>
        <w:autoSpaceDE/>
        <w:autoSpaceDN/>
        <w:bidi w:val="0"/>
        <w:adjustRightInd w:val="0"/>
        <w:snapToGrid w:val="0"/>
        <w:spacing w:line="600" w:lineRule="exact"/>
        <w:ind w:firstLine="0"/>
        <w:textAlignment w:val="auto"/>
        <w:rPr>
          <w:rFonts w:hint="default" w:ascii="Times New Roman" w:hAnsi="Times New Roman" w:eastAsia="宋体" w:cs="Times New Roman"/>
          <w:sz w:val="24"/>
          <w:szCs w:val="24"/>
          <w:lang w:val="zh-CN"/>
        </w:rPr>
      </w:pPr>
      <w:r>
        <w:rPr>
          <w:rFonts w:hint="default" w:ascii="Times New Roman" w:hAnsi="Times New Roman" w:eastAsia="宋体" w:cs="Times New Roman"/>
          <w:sz w:val="24"/>
          <w:szCs w:val="24"/>
          <w:lang w:val="en-US" w:eastAsia="zh-CN"/>
        </w:rPr>
        <w:t>1.我单位</w:t>
      </w:r>
      <w:r>
        <w:rPr>
          <w:rFonts w:hint="default" w:ascii="Times New Roman" w:hAnsi="Times New Roman" w:eastAsia="宋体" w:cs="Times New Roman"/>
          <w:sz w:val="24"/>
          <w:szCs w:val="24"/>
          <w:lang w:val="zh-CN"/>
        </w:rPr>
        <w:t>阿坝州社会治安综合治理信息项目于 2019 年完成终验，质保运维服务期 3 年期满。系统为阿坝州基层社会治理指导中心中心节点。由于网络和应用的复杂程度较高，对系统运行维护管理、故障诊断、系统维护及优化等方面专业性、系统性、全面性和前瞻性要求也非常高，为了保障和提高系统运行效率，支撑全州基层社会治理工作开展，以维护服务外包方式采购 2022-2023年度系统运维及设备维保服务。开通 1 条 200M 网络专线，用于接入州公安局视频监控网络，实现天网与综治平台系统的对接。</w:t>
      </w:r>
    </w:p>
    <w:p w14:paraId="79673154">
      <w:pPr>
        <w:keepNext w:val="0"/>
        <w:keepLines w:val="0"/>
        <w:pageBreakBefore w:val="0"/>
        <w:widowControl w:val="0"/>
        <w:kinsoku/>
        <w:wordWrap/>
        <w:overflowPunct/>
        <w:topLinePunct w:val="0"/>
        <w:autoSpaceDE/>
        <w:autoSpaceDN/>
        <w:bidi w:val="0"/>
        <w:adjustRightInd w:val="0"/>
        <w:snapToGrid w:val="0"/>
        <w:spacing w:line="600" w:lineRule="exact"/>
        <w:ind w:firstLine="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zh-CN"/>
        </w:rPr>
        <w:t>2</w:t>
      </w:r>
      <w:r>
        <w:rPr>
          <w:rFonts w:hint="default" w:ascii="Times New Roman" w:hAnsi="Times New Roman" w:eastAsia="宋体" w:cs="Times New Roman"/>
          <w:sz w:val="24"/>
          <w:szCs w:val="24"/>
          <w:lang w:val="en-US"/>
        </w:rPr>
        <w:t>.</w:t>
      </w:r>
      <w:r>
        <w:rPr>
          <w:rFonts w:hint="default" w:ascii="Times New Roman" w:hAnsi="Times New Roman" w:eastAsia="宋体" w:cs="Times New Roman"/>
          <w:sz w:val="24"/>
          <w:szCs w:val="24"/>
          <w:lang w:val="en-US" w:eastAsia="zh-CN"/>
        </w:rPr>
        <w:t>根据合同进行立项、资金申报，财政下达该项目经费71万元。</w:t>
      </w:r>
    </w:p>
    <w:p w14:paraId="2633D874">
      <w:pPr>
        <w:keepNext w:val="0"/>
        <w:keepLines w:val="0"/>
        <w:pageBreakBefore w:val="0"/>
        <w:widowControl w:val="0"/>
        <w:kinsoku/>
        <w:wordWrap/>
        <w:overflowPunct/>
        <w:topLinePunct w:val="0"/>
        <w:autoSpaceDE/>
        <w:autoSpaceDN/>
        <w:bidi w:val="0"/>
        <w:adjustRightInd w:val="0"/>
        <w:snapToGrid w:val="0"/>
        <w:spacing w:line="600" w:lineRule="exact"/>
        <w:ind w:firstLine="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zh-CN"/>
        </w:rPr>
        <w:t>3</w:t>
      </w:r>
      <w:r>
        <w:rPr>
          <w:rFonts w:hint="default" w:ascii="Times New Roman" w:hAnsi="Times New Roman" w:eastAsia="宋体" w:cs="Times New Roman"/>
          <w:sz w:val="24"/>
          <w:szCs w:val="24"/>
          <w:lang w:val="en-US"/>
        </w:rPr>
        <w:t>.</w:t>
      </w:r>
      <w:r>
        <w:rPr>
          <w:rFonts w:hint="default" w:ascii="Times New Roman" w:hAnsi="Times New Roman" w:eastAsia="宋体" w:cs="Times New Roman"/>
          <w:sz w:val="24"/>
          <w:szCs w:val="24"/>
          <w:lang w:val="zh-CN"/>
        </w:rPr>
        <w:t>资金管支付按照合同约定进行。该项目全年运行正常，上半年支付</w:t>
      </w:r>
      <w:r>
        <w:rPr>
          <w:rFonts w:hint="default" w:ascii="Times New Roman" w:hAnsi="Times New Roman" w:eastAsia="宋体" w:cs="Times New Roman"/>
          <w:sz w:val="24"/>
          <w:szCs w:val="24"/>
          <w:lang w:val="en-US" w:eastAsia="zh-CN"/>
        </w:rPr>
        <w:t>35.1万元，下半年支付35.1万元,全年共计70.2万元。</w:t>
      </w:r>
    </w:p>
    <w:p w14:paraId="10106EE6">
      <w:pPr>
        <w:keepNext w:val="0"/>
        <w:keepLines w:val="0"/>
        <w:pageBreakBefore w:val="0"/>
        <w:widowControl w:val="0"/>
        <w:kinsoku/>
        <w:wordWrap/>
        <w:overflowPunct/>
        <w:topLinePunct w:val="0"/>
        <w:autoSpaceDE/>
        <w:autoSpaceDN/>
        <w:bidi w:val="0"/>
        <w:adjustRightInd w:val="0"/>
        <w:snapToGrid w:val="0"/>
        <w:spacing w:line="600" w:lineRule="exact"/>
        <w:ind w:firstLine="0" w:firstLineChars="0"/>
        <w:textAlignment w:val="auto"/>
        <w:rPr>
          <w:rFonts w:hint="default" w:ascii="Times New Roman" w:hAnsi="Times New Roman" w:eastAsia="宋体" w:cs="Times New Roman"/>
          <w:b/>
          <w:sz w:val="24"/>
          <w:szCs w:val="24"/>
          <w:lang w:val="zh-CN"/>
        </w:rPr>
      </w:pPr>
      <w:r>
        <w:rPr>
          <w:rFonts w:hint="default" w:ascii="Times New Roman" w:hAnsi="Times New Roman" w:eastAsia="宋体" w:cs="Times New Roman"/>
          <w:b/>
          <w:sz w:val="24"/>
          <w:szCs w:val="24"/>
          <w:lang w:val="zh-CN"/>
        </w:rPr>
        <w:t>（二）项目绩效目标。</w:t>
      </w:r>
    </w:p>
    <w:p w14:paraId="3462184F">
      <w:pPr>
        <w:keepNext w:val="0"/>
        <w:keepLines w:val="0"/>
        <w:pageBreakBefore w:val="0"/>
        <w:widowControl w:val="0"/>
        <w:kinsoku/>
        <w:wordWrap/>
        <w:overflowPunct/>
        <w:topLinePunct w:val="0"/>
        <w:autoSpaceDE/>
        <w:autoSpaceDN/>
        <w:bidi w:val="0"/>
        <w:adjustRightInd w:val="0"/>
        <w:snapToGrid w:val="0"/>
        <w:spacing w:line="600" w:lineRule="exact"/>
        <w:ind w:firstLine="0" w:firstLineChars="0"/>
        <w:textAlignment w:val="auto"/>
        <w:rPr>
          <w:rFonts w:hint="default" w:ascii="Times New Roman" w:hAnsi="Times New Roman" w:eastAsia="宋体" w:cs="Times New Roman"/>
          <w:sz w:val="24"/>
          <w:szCs w:val="24"/>
          <w:lang w:val="zh-CN"/>
        </w:rPr>
      </w:pPr>
      <w:r>
        <w:rPr>
          <w:rFonts w:hint="default" w:ascii="Times New Roman" w:hAnsi="Times New Roman" w:eastAsia="宋体" w:cs="Times New Roman"/>
          <w:sz w:val="24"/>
          <w:szCs w:val="24"/>
          <w:lang w:val="zh-CN"/>
        </w:rPr>
        <w:t>1．项目主要内容。系统维护和修理服务；2名工程师同时驻场服务；网络安全等级保护测评服务；公安网视频监控专线网络接入服务。</w:t>
      </w:r>
    </w:p>
    <w:p w14:paraId="3AE2F6EC">
      <w:pPr>
        <w:keepNext w:val="0"/>
        <w:keepLines w:val="0"/>
        <w:pageBreakBefore w:val="0"/>
        <w:widowControl w:val="0"/>
        <w:kinsoku/>
        <w:wordWrap/>
        <w:overflowPunct/>
        <w:topLinePunct w:val="0"/>
        <w:autoSpaceDE/>
        <w:autoSpaceDN/>
        <w:bidi w:val="0"/>
        <w:spacing w:line="576" w:lineRule="exact"/>
        <w:ind w:firstLine="0" w:firstLineChars="0"/>
        <w:textAlignment w:val="auto"/>
        <w:rPr>
          <w:rFonts w:hint="default" w:ascii="Times New Roman" w:hAnsi="Times New Roman" w:eastAsia="宋体" w:cs="Times New Roman"/>
          <w:sz w:val="24"/>
          <w:szCs w:val="24"/>
          <w:lang w:val="zh-CN"/>
        </w:rPr>
      </w:pPr>
      <w:r>
        <w:rPr>
          <w:rFonts w:hint="default" w:ascii="Times New Roman" w:hAnsi="Times New Roman" w:eastAsia="宋体" w:cs="Times New Roman"/>
          <w:sz w:val="24"/>
          <w:szCs w:val="24"/>
          <w:lang w:val="zh-CN"/>
        </w:rPr>
        <w:t>2．项目应实现的具体绩效目标。</w:t>
      </w:r>
    </w:p>
    <w:p w14:paraId="45581C62">
      <w:pPr>
        <w:keepNext w:val="0"/>
        <w:keepLines w:val="0"/>
        <w:pageBreakBefore w:val="0"/>
        <w:widowControl w:val="0"/>
        <w:kinsoku/>
        <w:wordWrap/>
        <w:overflowPunct/>
        <w:topLinePunct w:val="0"/>
        <w:autoSpaceDE/>
        <w:autoSpaceDN/>
        <w:bidi w:val="0"/>
        <w:spacing w:line="576" w:lineRule="exact"/>
        <w:ind w:firstLine="0" w:firstLineChars="0"/>
        <w:textAlignment w:val="auto"/>
        <w:rPr>
          <w:rFonts w:hint="default" w:ascii="Times New Roman" w:hAnsi="Times New Roman" w:eastAsia="宋体" w:cs="Times New Roman"/>
          <w:sz w:val="24"/>
          <w:szCs w:val="24"/>
          <w:lang w:val="zh-CN"/>
        </w:rPr>
      </w:pPr>
      <w:r>
        <w:rPr>
          <w:rFonts w:hint="default" w:ascii="Times New Roman" w:hAnsi="Times New Roman" w:eastAsia="宋体" w:cs="Times New Roman"/>
          <w:sz w:val="24"/>
          <w:szCs w:val="24"/>
          <w:lang w:val="zh-CN"/>
        </w:rPr>
        <w:t>（1）系统维护和修理服务</w:t>
      </w:r>
    </w:p>
    <w:p w14:paraId="3FE45F11">
      <w:pPr>
        <w:keepNext w:val="0"/>
        <w:keepLines w:val="0"/>
        <w:pageBreakBefore w:val="0"/>
        <w:widowControl w:val="0"/>
        <w:kinsoku/>
        <w:wordWrap/>
        <w:overflowPunct/>
        <w:topLinePunct w:val="0"/>
        <w:autoSpaceDE/>
        <w:autoSpaceDN/>
        <w:bidi w:val="0"/>
        <w:spacing w:line="576" w:lineRule="exact"/>
        <w:ind w:firstLine="0" w:firstLineChars="0"/>
        <w:textAlignment w:val="auto"/>
        <w:rPr>
          <w:rFonts w:hint="default" w:ascii="Times New Roman" w:hAnsi="Times New Roman" w:eastAsia="宋体" w:cs="Times New Roman"/>
          <w:sz w:val="24"/>
          <w:szCs w:val="24"/>
          <w:lang w:val="zh-CN"/>
        </w:rPr>
      </w:pPr>
      <w:r>
        <w:rPr>
          <w:rFonts w:hint="default" w:ascii="Times New Roman" w:hAnsi="Times New Roman" w:eastAsia="宋体" w:cs="Times New Roman"/>
          <w:sz w:val="24"/>
          <w:szCs w:val="24"/>
          <w:lang w:val="zh-CN"/>
        </w:rPr>
        <w:t>a.本项目乙方为甲方阿坝州社会治安综合治理信息项目平台提供日常作业支撑服务，对指挥中心的计算资源、小间距 LTE 大屏显示系统、音频中控系统、视频会议系统，以及研判室会议音频及视频系统，门禁监控系统提供系统维护、设备修理服务。</w:t>
      </w:r>
    </w:p>
    <w:p w14:paraId="07EE02D1">
      <w:pPr>
        <w:keepNext w:val="0"/>
        <w:keepLines w:val="0"/>
        <w:pageBreakBefore w:val="0"/>
        <w:widowControl w:val="0"/>
        <w:kinsoku/>
        <w:wordWrap/>
        <w:overflowPunct/>
        <w:topLinePunct w:val="0"/>
        <w:autoSpaceDE/>
        <w:autoSpaceDN/>
        <w:bidi w:val="0"/>
        <w:spacing w:line="576" w:lineRule="exact"/>
        <w:ind w:firstLine="0" w:firstLineChars="0"/>
        <w:textAlignment w:val="auto"/>
        <w:rPr>
          <w:rFonts w:hint="default" w:ascii="Times New Roman" w:hAnsi="Times New Roman" w:eastAsia="宋体" w:cs="Times New Roman"/>
          <w:sz w:val="24"/>
          <w:szCs w:val="24"/>
          <w:lang w:val="zh-CN"/>
        </w:rPr>
      </w:pPr>
      <w:r>
        <w:rPr>
          <w:rFonts w:hint="default" w:ascii="Times New Roman" w:hAnsi="Times New Roman" w:eastAsia="宋体" w:cs="Times New Roman"/>
          <w:sz w:val="24"/>
          <w:szCs w:val="24"/>
          <w:lang w:val="zh-CN"/>
        </w:rPr>
        <w:t xml:space="preserve">b.本项目系统出现故障问题，乙方在接到通知后 2 小时内响应到场，24 小时内完成维修或更换。 </w:t>
      </w:r>
    </w:p>
    <w:p w14:paraId="2D59F06E">
      <w:pPr>
        <w:keepNext w:val="0"/>
        <w:keepLines w:val="0"/>
        <w:pageBreakBefore w:val="0"/>
        <w:widowControl w:val="0"/>
        <w:kinsoku/>
        <w:wordWrap/>
        <w:overflowPunct/>
        <w:topLinePunct w:val="0"/>
        <w:autoSpaceDE/>
        <w:autoSpaceDN/>
        <w:bidi w:val="0"/>
        <w:spacing w:line="576" w:lineRule="exact"/>
        <w:ind w:firstLine="0" w:firstLineChars="0"/>
        <w:textAlignment w:val="auto"/>
        <w:rPr>
          <w:rFonts w:hint="default" w:ascii="Times New Roman" w:hAnsi="Times New Roman" w:eastAsia="宋体" w:cs="Times New Roman"/>
          <w:sz w:val="24"/>
          <w:szCs w:val="24"/>
          <w:lang w:val="zh-CN"/>
        </w:rPr>
      </w:pPr>
      <w:r>
        <w:rPr>
          <w:rFonts w:hint="default" w:ascii="Times New Roman" w:hAnsi="Times New Roman" w:eastAsia="宋体" w:cs="Times New Roman"/>
          <w:sz w:val="24"/>
          <w:szCs w:val="24"/>
          <w:lang w:val="zh-CN"/>
        </w:rPr>
        <w:t>（2）工程师驻场服务</w:t>
      </w:r>
    </w:p>
    <w:p w14:paraId="535DF4F6">
      <w:pPr>
        <w:keepNext w:val="0"/>
        <w:keepLines w:val="0"/>
        <w:pageBreakBefore w:val="0"/>
        <w:widowControl w:val="0"/>
        <w:kinsoku/>
        <w:wordWrap/>
        <w:overflowPunct/>
        <w:topLinePunct w:val="0"/>
        <w:autoSpaceDE/>
        <w:autoSpaceDN/>
        <w:bidi w:val="0"/>
        <w:spacing w:line="576" w:lineRule="exact"/>
        <w:ind w:firstLine="0" w:firstLineChars="0"/>
        <w:textAlignment w:val="auto"/>
        <w:rPr>
          <w:rFonts w:hint="default" w:ascii="Times New Roman" w:hAnsi="Times New Roman" w:eastAsia="宋体" w:cs="Times New Roman"/>
          <w:sz w:val="24"/>
          <w:szCs w:val="24"/>
          <w:lang w:val="zh-CN"/>
        </w:rPr>
      </w:pPr>
      <w:r>
        <w:rPr>
          <w:rFonts w:hint="default" w:ascii="Times New Roman" w:hAnsi="Times New Roman" w:eastAsia="宋体" w:cs="Times New Roman"/>
          <w:sz w:val="24"/>
          <w:szCs w:val="24"/>
          <w:lang w:val="zh-CN"/>
        </w:rPr>
        <w:t>a.本项目乙方为甲方提供 2 人的工程师驻场服务，正常工作日和州委政法委二办公区工作人员保持上下班时间一致，如遇紧急事件或者突发任务，保证 24 小时值守。甲方有权要求乙方更换不合格的驻场工程师，乙方应在收到甲方更换通知后10个工作日内更换；如乙方更换驻场工程师的，应当在更换前10个工作日书面告知甲方，不能脱岗、断岗。</w:t>
      </w:r>
    </w:p>
    <w:p w14:paraId="00C2AF87">
      <w:pPr>
        <w:keepNext w:val="0"/>
        <w:keepLines w:val="0"/>
        <w:pageBreakBefore w:val="0"/>
        <w:widowControl w:val="0"/>
        <w:kinsoku/>
        <w:wordWrap/>
        <w:overflowPunct/>
        <w:topLinePunct w:val="0"/>
        <w:autoSpaceDE/>
        <w:autoSpaceDN/>
        <w:bidi w:val="0"/>
        <w:spacing w:line="576" w:lineRule="exact"/>
        <w:ind w:firstLine="0" w:firstLineChars="0"/>
        <w:textAlignment w:val="auto"/>
        <w:rPr>
          <w:rFonts w:hint="default" w:ascii="Times New Roman" w:hAnsi="Times New Roman" w:eastAsia="宋体" w:cs="Times New Roman"/>
          <w:sz w:val="24"/>
          <w:szCs w:val="24"/>
          <w:lang w:val="zh-CN"/>
        </w:rPr>
      </w:pPr>
      <w:r>
        <w:rPr>
          <w:rFonts w:hint="default" w:ascii="Times New Roman" w:hAnsi="Times New Roman" w:eastAsia="宋体" w:cs="Times New Roman"/>
          <w:sz w:val="24"/>
          <w:szCs w:val="24"/>
          <w:lang w:val="zh-CN"/>
        </w:rPr>
        <w:t>b.本项目乙方提供的驻点服务工作人员必须严格执行国家保密相关制度，乙方须加强驻点人员保密知识培训，乙方与甲方签订保密协议。</w:t>
      </w:r>
    </w:p>
    <w:p w14:paraId="1F40F35E">
      <w:pPr>
        <w:keepNext w:val="0"/>
        <w:keepLines w:val="0"/>
        <w:pageBreakBefore w:val="0"/>
        <w:widowControl w:val="0"/>
        <w:kinsoku/>
        <w:wordWrap/>
        <w:overflowPunct/>
        <w:topLinePunct w:val="0"/>
        <w:autoSpaceDE/>
        <w:autoSpaceDN/>
        <w:bidi w:val="0"/>
        <w:spacing w:line="576" w:lineRule="exact"/>
        <w:ind w:firstLine="0" w:firstLineChars="0"/>
        <w:textAlignment w:val="auto"/>
        <w:rPr>
          <w:rFonts w:hint="default" w:ascii="Times New Roman" w:hAnsi="Times New Roman" w:eastAsia="宋体" w:cs="Times New Roman"/>
          <w:sz w:val="24"/>
          <w:szCs w:val="24"/>
          <w:lang w:val="zh-CN"/>
        </w:rPr>
      </w:pPr>
      <w:r>
        <w:rPr>
          <w:rFonts w:hint="default" w:ascii="Times New Roman" w:hAnsi="Times New Roman" w:eastAsia="宋体" w:cs="Times New Roman"/>
          <w:sz w:val="24"/>
          <w:szCs w:val="24"/>
          <w:lang w:val="zh-CN"/>
        </w:rPr>
        <w:t>c.本项目乙方提供保障甲方视频会议系统的正常运行，包括视频会议前期的准备、调试等工作，视频会议期间的设备正常运行维保服务。</w:t>
      </w:r>
    </w:p>
    <w:p w14:paraId="73554FC9">
      <w:pPr>
        <w:keepNext w:val="0"/>
        <w:keepLines w:val="0"/>
        <w:pageBreakBefore w:val="0"/>
        <w:widowControl w:val="0"/>
        <w:kinsoku/>
        <w:wordWrap/>
        <w:overflowPunct/>
        <w:topLinePunct w:val="0"/>
        <w:autoSpaceDE/>
        <w:autoSpaceDN/>
        <w:bidi w:val="0"/>
        <w:spacing w:line="576" w:lineRule="exact"/>
        <w:ind w:firstLine="0" w:firstLineChars="0"/>
        <w:textAlignment w:val="auto"/>
        <w:rPr>
          <w:rFonts w:hint="default" w:ascii="Times New Roman" w:hAnsi="Times New Roman" w:eastAsia="宋体" w:cs="Times New Roman"/>
          <w:sz w:val="24"/>
          <w:szCs w:val="24"/>
          <w:lang w:val="zh-CN"/>
        </w:rPr>
      </w:pPr>
      <w:r>
        <w:rPr>
          <w:rFonts w:hint="default" w:ascii="Times New Roman" w:hAnsi="Times New Roman" w:eastAsia="宋体" w:cs="Times New Roman"/>
          <w:sz w:val="24"/>
          <w:szCs w:val="24"/>
          <w:lang w:val="zh-CN"/>
        </w:rPr>
        <w:t>d.本项目乙方为甲方提供的驻点服务人员需协助甲方完成通过项目平台开展的相关工作。</w:t>
      </w:r>
    </w:p>
    <w:p w14:paraId="532A96B6">
      <w:pPr>
        <w:keepNext w:val="0"/>
        <w:keepLines w:val="0"/>
        <w:pageBreakBefore w:val="0"/>
        <w:widowControl w:val="0"/>
        <w:kinsoku/>
        <w:wordWrap/>
        <w:overflowPunct/>
        <w:topLinePunct w:val="0"/>
        <w:autoSpaceDE/>
        <w:autoSpaceDN/>
        <w:bidi w:val="0"/>
        <w:spacing w:line="576" w:lineRule="exact"/>
        <w:ind w:firstLine="0" w:firstLineChars="0"/>
        <w:textAlignment w:val="auto"/>
        <w:rPr>
          <w:rFonts w:hint="default" w:ascii="Times New Roman" w:hAnsi="Times New Roman" w:eastAsia="宋体" w:cs="Times New Roman"/>
          <w:sz w:val="24"/>
          <w:szCs w:val="24"/>
          <w:lang w:val="zh-CN"/>
        </w:rPr>
      </w:pPr>
      <w:r>
        <w:rPr>
          <w:rFonts w:hint="default" w:ascii="Times New Roman" w:hAnsi="Times New Roman" w:eastAsia="宋体" w:cs="Times New Roman"/>
          <w:sz w:val="24"/>
          <w:szCs w:val="24"/>
          <w:lang w:val="zh-CN"/>
        </w:rPr>
        <w:t>（3）网络安全等级保护测评服务</w:t>
      </w:r>
    </w:p>
    <w:p w14:paraId="1A8E8BAF">
      <w:pPr>
        <w:keepNext w:val="0"/>
        <w:keepLines w:val="0"/>
        <w:pageBreakBefore w:val="0"/>
        <w:widowControl w:val="0"/>
        <w:kinsoku/>
        <w:wordWrap/>
        <w:overflowPunct/>
        <w:topLinePunct w:val="0"/>
        <w:autoSpaceDE/>
        <w:autoSpaceDN/>
        <w:bidi w:val="0"/>
        <w:spacing w:line="576" w:lineRule="exact"/>
        <w:ind w:firstLine="0" w:firstLineChars="0"/>
        <w:textAlignment w:val="auto"/>
        <w:rPr>
          <w:rFonts w:hint="default" w:ascii="Times New Roman" w:hAnsi="Times New Roman" w:eastAsia="宋体" w:cs="Times New Roman"/>
          <w:sz w:val="24"/>
          <w:szCs w:val="24"/>
          <w:lang w:val="zh-CN"/>
        </w:rPr>
      </w:pPr>
      <w:r>
        <w:rPr>
          <w:rFonts w:hint="default" w:ascii="Times New Roman" w:hAnsi="Times New Roman" w:eastAsia="宋体" w:cs="Times New Roman"/>
          <w:sz w:val="24"/>
          <w:szCs w:val="24"/>
          <w:lang w:val="zh-CN"/>
        </w:rPr>
        <w:t>本项目乙方为甲方提供 1 次系统三级等级保护测评，并输出相应测评报告。</w:t>
      </w:r>
    </w:p>
    <w:p w14:paraId="79C2B8A5">
      <w:pPr>
        <w:keepNext w:val="0"/>
        <w:keepLines w:val="0"/>
        <w:pageBreakBefore w:val="0"/>
        <w:widowControl w:val="0"/>
        <w:kinsoku/>
        <w:wordWrap/>
        <w:overflowPunct/>
        <w:topLinePunct w:val="0"/>
        <w:autoSpaceDE/>
        <w:autoSpaceDN/>
        <w:bidi w:val="0"/>
        <w:spacing w:line="576" w:lineRule="exact"/>
        <w:ind w:firstLine="0" w:firstLineChars="0"/>
        <w:textAlignment w:val="auto"/>
        <w:rPr>
          <w:rFonts w:hint="default" w:ascii="Times New Roman" w:hAnsi="Times New Roman" w:eastAsia="宋体" w:cs="Times New Roman"/>
          <w:sz w:val="24"/>
          <w:szCs w:val="24"/>
          <w:lang w:val="zh-CN"/>
        </w:rPr>
      </w:pPr>
      <w:r>
        <w:rPr>
          <w:rFonts w:hint="default" w:ascii="Times New Roman" w:hAnsi="Times New Roman" w:eastAsia="宋体" w:cs="Times New Roman"/>
          <w:sz w:val="24"/>
          <w:szCs w:val="24"/>
          <w:lang w:val="zh-CN"/>
        </w:rPr>
        <w:t>（4）公安网视频监控专线网络接入服务</w:t>
      </w:r>
    </w:p>
    <w:p w14:paraId="6DB18F79">
      <w:pPr>
        <w:keepNext w:val="0"/>
        <w:keepLines w:val="0"/>
        <w:pageBreakBefore w:val="0"/>
        <w:widowControl w:val="0"/>
        <w:kinsoku/>
        <w:wordWrap/>
        <w:overflowPunct/>
        <w:topLinePunct w:val="0"/>
        <w:autoSpaceDE/>
        <w:autoSpaceDN/>
        <w:bidi w:val="0"/>
        <w:spacing w:line="576" w:lineRule="exact"/>
        <w:ind w:firstLine="0" w:firstLineChars="0"/>
        <w:textAlignment w:val="auto"/>
        <w:rPr>
          <w:rFonts w:hint="default" w:ascii="Times New Roman" w:hAnsi="Times New Roman" w:eastAsia="宋体" w:cs="Times New Roman"/>
          <w:sz w:val="24"/>
          <w:szCs w:val="24"/>
          <w:lang w:val="zh-CN"/>
        </w:rPr>
      </w:pPr>
      <w:r>
        <w:rPr>
          <w:rFonts w:hint="default" w:ascii="Times New Roman" w:hAnsi="Times New Roman" w:eastAsia="宋体" w:cs="Times New Roman"/>
          <w:sz w:val="24"/>
          <w:szCs w:val="24"/>
          <w:lang w:val="zh-CN"/>
        </w:rPr>
        <w:t>本项目乙方为甲方提供 1 条 200M 网络专线用于接入公安局视频监控网络，并实现州基层社会治理指导中心现有平台整合使用。</w:t>
      </w:r>
    </w:p>
    <w:p w14:paraId="6F62FDBE">
      <w:pPr>
        <w:keepNext w:val="0"/>
        <w:keepLines w:val="0"/>
        <w:pageBreakBefore w:val="0"/>
        <w:widowControl w:val="0"/>
        <w:kinsoku/>
        <w:wordWrap/>
        <w:overflowPunct/>
        <w:topLinePunct w:val="0"/>
        <w:autoSpaceDE/>
        <w:autoSpaceDN/>
        <w:bidi w:val="0"/>
        <w:adjustRightInd w:val="0"/>
        <w:snapToGrid w:val="0"/>
        <w:spacing w:line="600" w:lineRule="exact"/>
        <w:ind w:firstLine="0" w:firstLineChars="0"/>
        <w:textAlignment w:val="auto"/>
        <w:rPr>
          <w:rFonts w:hint="default" w:ascii="Times New Roman" w:hAnsi="Times New Roman" w:eastAsia="宋体" w:cs="Times New Roman"/>
          <w:b/>
          <w:sz w:val="24"/>
          <w:szCs w:val="24"/>
          <w:lang w:val="zh-CN"/>
        </w:rPr>
      </w:pPr>
      <w:r>
        <w:rPr>
          <w:rFonts w:hint="default" w:ascii="Times New Roman" w:hAnsi="Times New Roman" w:eastAsia="宋体" w:cs="Times New Roman"/>
          <w:b/>
          <w:sz w:val="24"/>
          <w:szCs w:val="24"/>
          <w:lang w:val="zh-CN"/>
        </w:rPr>
        <w:t>（三）项目自评步骤及方法。</w:t>
      </w:r>
    </w:p>
    <w:p w14:paraId="27DDF5D3">
      <w:pPr>
        <w:keepNext w:val="0"/>
        <w:keepLines w:val="0"/>
        <w:pageBreakBefore w:val="0"/>
        <w:widowControl w:val="0"/>
        <w:kinsoku/>
        <w:wordWrap/>
        <w:overflowPunct/>
        <w:topLinePunct w:val="0"/>
        <w:autoSpaceDE/>
        <w:autoSpaceDN/>
        <w:bidi w:val="0"/>
        <w:adjustRightInd w:val="0"/>
        <w:snapToGrid w:val="0"/>
        <w:spacing w:line="600" w:lineRule="exact"/>
        <w:ind w:firstLine="0" w:firstLineChars="0"/>
        <w:textAlignment w:val="auto"/>
        <w:rPr>
          <w:rFonts w:hint="default" w:ascii="Times New Roman" w:hAnsi="Times New Roman" w:eastAsia="宋体" w:cs="Times New Roman"/>
          <w:sz w:val="24"/>
          <w:szCs w:val="24"/>
          <w:lang w:val="zh-CN"/>
        </w:rPr>
      </w:pPr>
      <w:r>
        <w:rPr>
          <w:rFonts w:hint="default" w:ascii="Times New Roman" w:hAnsi="Times New Roman" w:eastAsia="宋体" w:cs="Times New Roman"/>
          <w:sz w:val="24"/>
          <w:szCs w:val="24"/>
          <w:lang w:val="en-US" w:eastAsia="zh-CN"/>
        </w:rPr>
        <w:t>1.</w:t>
      </w:r>
      <w:r>
        <w:rPr>
          <w:rFonts w:hint="default" w:ascii="Times New Roman" w:hAnsi="Times New Roman" w:eastAsia="宋体" w:cs="Times New Roman"/>
          <w:sz w:val="24"/>
          <w:szCs w:val="24"/>
          <w:lang w:val="zh-CN"/>
        </w:rPr>
        <w:t>社会调查法。通过对项目相关人员进行访谈，了解项目资金使用情况、组织管理情况、具体实施情况；开展问卷调查，了解各方对项目实施的满意程度。</w:t>
      </w:r>
    </w:p>
    <w:p w14:paraId="24215526">
      <w:pPr>
        <w:keepNext w:val="0"/>
        <w:keepLines w:val="0"/>
        <w:pageBreakBefore w:val="0"/>
        <w:widowControl w:val="0"/>
        <w:kinsoku/>
        <w:wordWrap/>
        <w:overflowPunct/>
        <w:topLinePunct w:val="0"/>
        <w:autoSpaceDE/>
        <w:autoSpaceDN/>
        <w:bidi w:val="0"/>
        <w:adjustRightInd w:val="0"/>
        <w:snapToGrid w:val="0"/>
        <w:spacing w:line="600" w:lineRule="exact"/>
        <w:ind w:firstLine="0" w:firstLineChars="0"/>
        <w:textAlignment w:val="auto"/>
        <w:rPr>
          <w:rFonts w:hint="default" w:ascii="Times New Roman" w:hAnsi="Times New Roman" w:eastAsia="宋体" w:cs="Times New Roman"/>
          <w:sz w:val="24"/>
          <w:szCs w:val="24"/>
          <w:lang w:val="zh-CN"/>
        </w:rPr>
      </w:pPr>
      <w:r>
        <w:rPr>
          <w:rFonts w:hint="default" w:ascii="Times New Roman" w:hAnsi="Times New Roman" w:eastAsia="宋体" w:cs="Times New Roman"/>
          <w:sz w:val="24"/>
          <w:szCs w:val="24"/>
          <w:lang w:val="en-US" w:eastAsia="zh-CN"/>
        </w:rPr>
        <w:t>2.据实据效法</w:t>
      </w:r>
      <w:r>
        <w:rPr>
          <w:rFonts w:hint="default" w:ascii="Times New Roman" w:hAnsi="Times New Roman" w:eastAsia="宋体" w:cs="Times New Roman"/>
          <w:sz w:val="24"/>
          <w:szCs w:val="24"/>
          <w:lang w:val="zh-CN"/>
        </w:rPr>
        <w:t>。根据业务工作需求或项目绩效目标、实施效果安排资金。</w:t>
      </w:r>
    </w:p>
    <w:p w14:paraId="7C09F84E">
      <w:pPr>
        <w:keepNext w:val="0"/>
        <w:keepLines w:val="0"/>
        <w:pageBreakBefore w:val="0"/>
        <w:widowControl w:val="0"/>
        <w:kinsoku/>
        <w:wordWrap/>
        <w:overflowPunct/>
        <w:topLinePunct w:val="0"/>
        <w:autoSpaceDE/>
        <w:autoSpaceDN/>
        <w:bidi w:val="0"/>
        <w:adjustRightInd w:val="0"/>
        <w:snapToGrid w:val="0"/>
        <w:spacing w:line="600" w:lineRule="exact"/>
        <w:ind w:firstLine="0" w:firstLineChars="0"/>
        <w:textAlignment w:val="auto"/>
        <w:rPr>
          <w:rFonts w:hint="default" w:ascii="Times New Roman" w:hAnsi="Times New Roman" w:eastAsia="宋体" w:cs="Times New Roman"/>
          <w:sz w:val="24"/>
          <w:szCs w:val="24"/>
          <w:lang w:val="zh-CN"/>
        </w:rPr>
      </w:pPr>
      <w:r>
        <w:rPr>
          <w:rFonts w:hint="default" w:ascii="Times New Roman" w:hAnsi="Times New Roman" w:eastAsia="宋体" w:cs="Times New Roman"/>
          <w:sz w:val="24"/>
          <w:szCs w:val="24"/>
          <w:lang w:val="en-US" w:eastAsia="zh-CN"/>
        </w:rPr>
        <w:t>3.</w:t>
      </w:r>
      <w:r>
        <w:rPr>
          <w:rFonts w:hint="default" w:ascii="Times New Roman" w:hAnsi="Times New Roman" w:eastAsia="宋体" w:cs="Times New Roman"/>
          <w:sz w:val="24"/>
          <w:szCs w:val="24"/>
          <w:lang w:val="zh-CN"/>
        </w:rPr>
        <w:t>因素分析法。通过梳理项目绩效目标的实现程度和影响绩效目标实现的内外因素，分析这些因素对目标实现的影响力，从而进一步分析如何通过控制这些影响因素来促进项目完成，实现项目绩效目标。</w:t>
      </w:r>
    </w:p>
    <w:p w14:paraId="0860C160">
      <w:pPr>
        <w:keepNext w:val="0"/>
        <w:keepLines w:val="0"/>
        <w:pageBreakBefore w:val="0"/>
        <w:widowControl w:val="0"/>
        <w:kinsoku/>
        <w:wordWrap/>
        <w:overflowPunct/>
        <w:topLinePunct w:val="0"/>
        <w:autoSpaceDE/>
        <w:autoSpaceDN/>
        <w:bidi w:val="0"/>
        <w:adjustRightInd w:val="0"/>
        <w:snapToGrid w:val="0"/>
        <w:spacing w:line="600" w:lineRule="exact"/>
        <w:ind w:firstLine="0" w:firstLineChars="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二、项目资金申报及使用情况</w:t>
      </w:r>
    </w:p>
    <w:p w14:paraId="27E6159F">
      <w:pPr>
        <w:keepNext w:val="0"/>
        <w:keepLines w:val="0"/>
        <w:pageBreakBefore w:val="0"/>
        <w:widowControl w:val="0"/>
        <w:kinsoku/>
        <w:wordWrap/>
        <w:overflowPunct/>
        <w:topLinePunct w:val="0"/>
        <w:autoSpaceDE/>
        <w:autoSpaceDN/>
        <w:bidi w:val="0"/>
        <w:adjustRightInd w:val="0"/>
        <w:snapToGrid w:val="0"/>
        <w:spacing w:line="600" w:lineRule="exact"/>
        <w:ind w:firstLine="0" w:firstLineChars="0"/>
        <w:textAlignment w:val="auto"/>
        <w:rPr>
          <w:rFonts w:hint="default" w:ascii="Times New Roman" w:hAnsi="Times New Roman" w:eastAsia="宋体" w:cs="Times New Roman"/>
          <w:b/>
          <w:sz w:val="24"/>
          <w:szCs w:val="24"/>
          <w:lang w:val="zh-CN"/>
        </w:rPr>
      </w:pPr>
      <w:r>
        <w:rPr>
          <w:rFonts w:hint="default" w:ascii="Times New Roman" w:hAnsi="Times New Roman" w:eastAsia="宋体" w:cs="Times New Roman"/>
          <w:b/>
          <w:sz w:val="24"/>
          <w:szCs w:val="24"/>
          <w:lang w:val="zh-CN"/>
        </w:rPr>
        <w:t>（一）项目资金申报及批复情况。</w:t>
      </w:r>
    </w:p>
    <w:p w14:paraId="0BD2DED9">
      <w:pPr>
        <w:keepNext w:val="0"/>
        <w:keepLines w:val="0"/>
        <w:pageBreakBefore w:val="0"/>
        <w:widowControl w:val="0"/>
        <w:kinsoku/>
        <w:wordWrap/>
        <w:overflowPunct/>
        <w:topLinePunct w:val="0"/>
        <w:autoSpaceDE/>
        <w:autoSpaceDN/>
        <w:bidi w:val="0"/>
        <w:adjustRightInd w:val="0"/>
        <w:snapToGrid w:val="0"/>
        <w:spacing w:line="600" w:lineRule="exact"/>
        <w:ind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zh-CN"/>
        </w:rPr>
        <w:t>项目资金申报为</w:t>
      </w:r>
      <w:r>
        <w:rPr>
          <w:rFonts w:hint="default" w:ascii="Times New Roman" w:hAnsi="Times New Roman" w:eastAsia="宋体" w:cs="Times New Roman"/>
          <w:sz w:val="24"/>
          <w:szCs w:val="24"/>
          <w:lang w:val="en-US" w:eastAsia="zh-CN"/>
        </w:rPr>
        <w:t>71万元，州财政局批复的预算金额为71万元。</w:t>
      </w:r>
    </w:p>
    <w:p w14:paraId="6C1FEBBA">
      <w:pPr>
        <w:keepNext w:val="0"/>
        <w:keepLines w:val="0"/>
        <w:pageBreakBefore w:val="0"/>
        <w:widowControl w:val="0"/>
        <w:kinsoku/>
        <w:wordWrap/>
        <w:overflowPunct/>
        <w:topLinePunct w:val="0"/>
        <w:autoSpaceDE/>
        <w:autoSpaceDN/>
        <w:bidi w:val="0"/>
        <w:adjustRightInd w:val="0"/>
        <w:snapToGrid w:val="0"/>
        <w:spacing w:line="600" w:lineRule="exact"/>
        <w:ind w:firstLine="0"/>
        <w:textAlignment w:val="auto"/>
        <w:rPr>
          <w:rFonts w:hint="default" w:ascii="Times New Roman" w:hAnsi="Times New Roman" w:eastAsia="宋体" w:cs="Times New Roman"/>
          <w:sz w:val="24"/>
          <w:szCs w:val="24"/>
          <w:lang w:val="zh-CN"/>
        </w:rPr>
      </w:pPr>
      <w:r>
        <w:rPr>
          <w:rFonts w:hint="default" w:ascii="Times New Roman" w:hAnsi="Times New Roman" w:eastAsia="宋体" w:cs="Times New Roman"/>
          <w:b/>
          <w:sz w:val="24"/>
          <w:szCs w:val="24"/>
          <w:lang w:val="zh-CN"/>
        </w:rPr>
        <w:t>（二）资金计划、到位及使用情况（可用表格形式反映）。</w:t>
      </w:r>
    </w:p>
    <w:p w14:paraId="65A33459">
      <w:pPr>
        <w:keepNext w:val="0"/>
        <w:keepLines w:val="0"/>
        <w:pageBreakBefore w:val="0"/>
        <w:widowControl w:val="0"/>
        <w:kinsoku/>
        <w:wordWrap/>
        <w:overflowPunct/>
        <w:topLinePunct w:val="0"/>
        <w:autoSpaceDE/>
        <w:autoSpaceDN/>
        <w:bidi w:val="0"/>
        <w:adjustRightInd w:val="0"/>
        <w:snapToGrid w:val="0"/>
        <w:spacing w:line="600" w:lineRule="exact"/>
        <w:ind w:firstLine="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w:t>
      </w:r>
      <w:r>
        <w:rPr>
          <w:rFonts w:hint="default" w:ascii="Times New Roman" w:hAnsi="Times New Roman" w:eastAsia="宋体" w:cs="Times New Roman"/>
          <w:sz w:val="24"/>
          <w:szCs w:val="24"/>
          <w:lang w:val="zh-CN"/>
        </w:rPr>
        <w:t>资金计划。资金计划为</w:t>
      </w:r>
      <w:r>
        <w:rPr>
          <w:rFonts w:hint="default" w:ascii="Times New Roman" w:hAnsi="Times New Roman" w:eastAsia="宋体" w:cs="Times New Roman"/>
          <w:sz w:val="24"/>
          <w:szCs w:val="24"/>
          <w:lang w:val="en-US" w:eastAsia="zh-CN"/>
        </w:rPr>
        <w:t>71万元。</w:t>
      </w:r>
    </w:p>
    <w:p w14:paraId="6A29DDBB">
      <w:pPr>
        <w:keepNext w:val="0"/>
        <w:keepLines w:val="0"/>
        <w:pageBreakBefore w:val="0"/>
        <w:widowControl w:val="0"/>
        <w:kinsoku/>
        <w:wordWrap/>
        <w:overflowPunct/>
        <w:topLinePunct w:val="0"/>
        <w:autoSpaceDE/>
        <w:autoSpaceDN/>
        <w:bidi w:val="0"/>
        <w:adjustRightInd w:val="0"/>
        <w:snapToGrid w:val="0"/>
        <w:spacing w:line="600" w:lineRule="exact"/>
        <w:ind w:firstLine="0"/>
        <w:textAlignment w:val="auto"/>
        <w:rPr>
          <w:rFonts w:hint="default" w:ascii="Times New Roman" w:hAnsi="Times New Roman" w:eastAsia="宋体" w:cs="Times New Roman"/>
          <w:sz w:val="24"/>
          <w:szCs w:val="24"/>
          <w:lang w:val="zh-CN" w:eastAsia="zh-CN"/>
        </w:rPr>
      </w:pPr>
      <w:r>
        <w:rPr>
          <w:rFonts w:hint="default" w:ascii="Times New Roman" w:hAnsi="Times New Roman" w:eastAsia="宋体" w:cs="Times New Roman"/>
          <w:sz w:val="24"/>
          <w:szCs w:val="24"/>
          <w:lang w:val="en-US" w:eastAsia="zh-CN"/>
        </w:rPr>
        <w:t>2.</w:t>
      </w:r>
      <w:r>
        <w:rPr>
          <w:rFonts w:hint="default" w:ascii="Times New Roman" w:hAnsi="Times New Roman" w:eastAsia="宋体" w:cs="Times New Roman"/>
          <w:sz w:val="24"/>
          <w:szCs w:val="24"/>
          <w:lang w:val="zh-CN"/>
        </w:rPr>
        <w:t>资金到位。年初预算批复后，到位资金为</w:t>
      </w:r>
      <w:r>
        <w:rPr>
          <w:rFonts w:hint="default" w:ascii="Times New Roman" w:hAnsi="Times New Roman" w:eastAsia="宋体" w:cs="Times New Roman"/>
          <w:sz w:val="24"/>
          <w:szCs w:val="24"/>
          <w:lang w:val="en-US" w:eastAsia="zh-CN"/>
        </w:rPr>
        <w:t>71</w:t>
      </w:r>
      <w:r>
        <w:rPr>
          <w:rFonts w:hint="default" w:ascii="Times New Roman" w:hAnsi="Times New Roman" w:eastAsia="宋体" w:cs="Times New Roman"/>
          <w:sz w:val="24"/>
          <w:szCs w:val="24"/>
          <w:lang w:val="zh-CN" w:eastAsia="zh-CN"/>
        </w:rPr>
        <w:t>万元。</w:t>
      </w:r>
    </w:p>
    <w:p w14:paraId="0356CD7C">
      <w:pPr>
        <w:keepNext w:val="0"/>
        <w:keepLines w:val="0"/>
        <w:pageBreakBefore w:val="0"/>
        <w:widowControl w:val="0"/>
        <w:kinsoku/>
        <w:wordWrap/>
        <w:overflowPunct/>
        <w:topLinePunct w:val="0"/>
        <w:autoSpaceDE/>
        <w:autoSpaceDN/>
        <w:bidi w:val="0"/>
        <w:adjustRightInd w:val="0"/>
        <w:snapToGrid w:val="0"/>
        <w:spacing w:line="600" w:lineRule="exact"/>
        <w:ind w:firstLine="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lang w:val="zh-CN"/>
        </w:rPr>
        <w:t>3.资金使用。按照合同约定分别向第三方支付维护费</w:t>
      </w:r>
      <w:r>
        <w:rPr>
          <w:rFonts w:hint="default" w:ascii="Times New Roman" w:hAnsi="Times New Roman" w:eastAsia="宋体" w:cs="Times New Roman"/>
          <w:sz w:val="24"/>
          <w:szCs w:val="24"/>
          <w:lang w:val="en-US" w:eastAsia="zh-CN"/>
        </w:rPr>
        <w:t>35.1</w:t>
      </w:r>
      <w:r>
        <w:rPr>
          <w:rFonts w:hint="default" w:ascii="Times New Roman" w:hAnsi="Times New Roman" w:eastAsia="宋体" w:cs="Times New Roman"/>
          <w:sz w:val="24"/>
          <w:szCs w:val="24"/>
          <w:lang w:val="zh-CN"/>
        </w:rPr>
        <w:t>万元。</w:t>
      </w:r>
    </w:p>
    <w:p w14:paraId="6709020A">
      <w:pPr>
        <w:keepNext w:val="0"/>
        <w:keepLines w:val="0"/>
        <w:pageBreakBefore w:val="0"/>
        <w:widowControl w:val="0"/>
        <w:kinsoku/>
        <w:wordWrap/>
        <w:overflowPunct/>
        <w:topLinePunct w:val="0"/>
        <w:autoSpaceDE/>
        <w:autoSpaceDN/>
        <w:bidi w:val="0"/>
        <w:adjustRightInd w:val="0"/>
        <w:snapToGrid w:val="0"/>
        <w:spacing w:line="600" w:lineRule="exact"/>
        <w:ind w:firstLine="0"/>
        <w:textAlignment w:val="auto"/>
        <w:rPr>
          <w:rFonts w:hint="default" w:ascii="Times New Roman" w:hAnsi="Times New Roman" w:eastAsia="宋体" w:cs="Times New Roman"/>
          <w:b/>
          <w:sz w:val="24"/>
          <w:szCs w:val="24"/>
          <w:lang w:val="zh-CN"/>
        </w:rPr>
      </w:pPr>
      <w:r>
        <w:rPr>
          <w:rFonts w:hint="default" w:ascii="Times New Roman" w:hAnsi="Times New Roman" w:eastAsia="宋体" w:cs="Times New Roman"/>
          <w:b/>
          <w:sz w:val="24"/>
          <w:szCs w:val="24"/>
          <w:lang w:val="zh-CN"/>
        </w:rPr>
        <w:t>（三）项目财务管理情况。</w:t>
      </w:r>
    </w:p>
    <w:p w14:paraId="5EA8572B">
      <w:pPr>
        <w:keepNext w:val="0"/>
        <w:keepLines w:val="0"/>
        <w:pageBreakBefore w:val="0"/>
        <w:widowControl w:val="0"/>
        <w:kinsoku/>
        <w:wordWrap/>
        <w:overflowPunct/>
        <w:topLinePunct w:val="0"/>
        <w:autoSpaceDE/>
        <w:autoSpaceDN/>
        <w:bidi w:val="0"/>
        <w:adjustRightInd w:val="0"/>
        <w:snapToGrid w:val="0"/>
        <w:spacing w:line="600" w:lineRule="exact"/>
        <w:ind w:firstLine="480" w:firstLineChars="200"/>
        <w:textAlignment w:val="auto"/>
        <w:rPr>
          <w:rFonts w:hint="default" w:ascii="Times New Roman" w:hAnsi="Times New Roman" w:eastAsia="宋体" w:cs="Times New Roman"/>
          <w:sz w:val="24"/>
          <w:szCs w:val="24"/>
          <w:lang w:val="zh-CN" w:eastAsia="zh-CN"/>
        </w:rPr>
      </w:pPr>
      <w:r>
        <w:rPr>
          <w:rFonts w:hint="default" w:ascii="Times New Roman" w:hAnsi="Times New Roman" w:eastAsia="宋体" w:cs="Times New Roman"/>
          <w:sz w:val="24"/>
          <w:szCs w:val="24"/>
        </w:rPr>
        <w:t>加强资金拨付管理，严格按照单位财务管理制度和项目资金实施方案执行，会同州财政局及时、足额将专项资金拨付到</w:t>
      </w:r>
      <w:r>
        <w:rPr>
          <w:rFonts w:hint="default" w:ascii="Times New Roman" w:hAnsi="Times New Roman" w:eastAsia="宋体" w:cs="Times New Roman"/>
          <w:sz w:val="24"/>
          <w:szCs w:val="24"/>
          <w:lang w:eastAsia="zh-CN"/>
        </w:rPr>
        <w:t>相关</w:t>
      </w:r>
      <w:r>
        <w:rPr>
          <w:rFonts w:hint="default" w:ascii="Times New Roman" w:hAnsi="Times New Roman" w:eastAsia="宋体" w:cs="Times New Roman"/>
          <w:sz w:val="24"/>
          <w:szCs w:val="24"/>
        </w:rPr>
        <w:t>单位，无滞留、延压、截留、挤占资金等问题；加强专项资金管理，统筹安排专项资金，落实专项资金实施方案，明确项目绩效目标，严格按照批准的项目和规定用途使用，不擅自扩大资金使用范围，确保专款专用和资金安全，提高资金使用效率</w:t>
      </w:r>
      <w:r>
        <w:rPr>
          <w:rFonts w:hint="default" w:ascii="Times New Roman" w:hAnsi="Times New Roman" w:eastAsia="宋体" w:cs="Times New Roman"/>
          <w:sz w:val="24"/>
          <w:szCs w:val="24"/>
          <w:lang w:eastAsia="zh-CN"/>
        </w:rPr>
        <w:t>。</w:t>
      </w:r>
    </w:p>
    <w:p w14:paraId="199F6317">
      <w:pPr>
        <w:keepNext w:val="0"/>
        <w:keepLines w:val="0"/>
        <w:pageBreakBefore w:val="0"/>
        <w:widowControl w:val="0"/>
        <w:kinsoku/>
        <w:wordWrap/>
        <w:overflowPunct/>
        <w:topLinePunct w:val="0"/>
        <w:autoSpaceDE/>
        <w:autoSpaceDN/>
        <w:bidi w:val="0"/>
        <w:adjustRightInd w:val="0"/>
        <w:snapToGrid w:val="0"/>
        <w:spacing w:line="600" w:lineRule="exact"/>
        <w:ind w:firstLine="0"/>
        <w:textAlignment w:val="auto"/>
        <w:rPr>
          <w:rFonts w:hint="default" w:ascii="Times New Roman" w:hAnsi="Times New Roman" w:eastAsia="宋体" w:cs="Times New Roman"/>
          <w:b/>
          <w:sz w:val="24"/>
          <w:szCs w:val="24"/>
          <w:lang w:val="zh-CN"/>
        </w:rPr>
      </w:pPr>
      <w:r>
        <w:rPr>
          <w:rFonts w:hint="default" w:ascii="Times New Roman" w:hAnsi="Times New Roman" w:eastAsia="宋体" w:cs="Times New Roman"/>
          <w:b/>
          <w:sz w:val="24"/>
          <w:szCs w:val="24"/>
          <w:lang w:val="zh-CN"/>
        </w:rPr>
        <w:t>三、项目实施及管理情况</w:t>
      </w:r>
    </w:p>
    <w:p w14:paraId="5EBA42F5">
      <w:pPr>
        <w:keepNext w:val="0"/>
        <w:keepLines w:val="0"/>
        <w:pageBreakBefore w:val="0"/>
        <w:widowControl w:val="0"/>
        <w:kinsoku/>
        <w:wordWrap/>
        <w:overflowPunct/>
        <w:topLinePunct w:val="0"/>
        <w:autoSpaceDE/>
        <w:autoSpaceDN/>
        <w:bidi w:val="0"/>
        <w:adjustRightInd w:val="0"/>
        <w:snapToGrid w:val="0"/>
        <w:spacing w:line="600" w:lineRule="exact"/>
        <w:ind w:firstLine="480" w:firstLineChars="200"/>
        <w:textAlignment w:val="auto"/>
        <w:rPr>
          <w:rFonts w:hint="default" w:ascii="Times New Roman" w:hAnsi="Times New Roman" w:eastAsia="宋体" w:cs="Times New Roman"/>
          <w:sz w:val="24"/>
          <w:szCs w:val="24"/>
          <w:lang w:val="zh-CN"/>
        </w:rPr>
      </w:pPr>
      <w:r>
        <w:rPr>
          <w:rFonts w:hint="default" w:ascii="Times New Roman" w:hAnsi="Times New Roman" w:eastAsia="宋体" w:cs="Times New Roman"/>
          <w:sz w:val="24"/>
          <w:szCs w:val="24"/>
          <w:lang w:val="zh-CN"/>
        </w:rPr>
        <w:t>结合项目组织实施管理办法，重点围绕以下内容进行分析评价，并对自评中发现的问题分析说明。</w:t>
      </w:r>
    </w:p>
    <w:p w14:paraId="5C379909">
      <w:pPr>
        <w:keepNext w:val="0"/>
        <w:keepLines w:val="0"/>
        <w:pageBreakBefore w:val="0"/>
        <w:widowControl w:val="0"/>
        <w:kinsoku/>
        <w:wordWrap/>
        <w:overflowPunct/>
        <w:topLinePunct w:val="0"/>
        <w:autoSpaceDE/>
        <w:autoSpaceDN/>
        <w:bidi w:val="0"/>
        <w:adjustRightInd w:val="0"/>
        <w:snapToGrid w:val="0"/>
        <w:spacing w:line="600" w:lineRule="exact"/>
        <w:ind w:firstLine="0"/>
        <w:textAlignment w:val="auto"/>
        <w:rPr>
          <w:rFonts w:hint="default" w:ascii="Times New Roman" w:hAnsi="Times New Roman" w:eastAsia="宋体" w:cs="Times New Roman"/>
          <w:b/>
          <w:sz w:val="24"/>
          <w:szCs w:val="24"/>
          <w:lang w:val="zh-CN"/>
        </w:rPr>
      </w:pPr>
      <w:r>
        <w:rPr>
          <w:rFonts w:hint="default" w:ascii="Times New Roman" w:hAnsi="Times New Roman" w:eastAsia="宋体" w:cs="Times New Roman"/>
          <w:b/>
          <w:sz w:val="24"/>
          <w:szCs w:val="24"/>
          <w:lang w:val="zh-CN"/>
        </w:rPr>
        <w:t>（一）项目管理情况。专项资金</w:t>
      </w:r>
      <w:r>
        <w:rPr>
          <w:rFonts w:hint="default" w:ascii="Times New Roman" w:hAnsi="Times New Roman" w:eastAsia="宋体" w:cs="Times New Roman"/>
          <w:b/>
          <w:sz w:val="24"/>
          <w:szCs w:val="24"/>
          <w:lang w:val="zh-CN" w:eastAsia="zh-CN"/>
        </w:rPr>
        <w:t>主要用于“社会治安综合治理中心系统”维保服务及三级等保测评服务等方面。</w:t>
      </w:r>
    </w:p>
    <w:p w14:paraId="7FF4E8E0">
      <w:pPr>
        <w:keepNext w:val="0"/>
        <w:keepLines w:val="0"/>
        <w:pageBreakBefore w:val="0"/>
        <w:widowControl w:val="0"/>
        <w:kinsoku/>
        <w:wordWrap/>
        <w:overflowPunct/>
        <w:topLinePunct w:val="0"/>
        <w:autoSpaceDE/>
        <w:autoSpaceDN/>
        <w:bidi w:val="0"/>
        <w:adjustRightInd w:val="0"/>
        <w:snapToGrid w:val="0"/>
        <w:spacing w:line="600" w:lineRule="exact"/>
        <w:ind w:firstLine="0"/>
        <w:textAlignment w:val="auto"/>
        <w:rPr>
          <w:rFonts w:hint="default" w:ascii="Times New Roman" w:hAnsi="Times New Roman" w:eastAsia="宋体" w:cs="Times New Roman"/>
          <w:b/>
          <w:sz w:val="24"/>
          <w:szCs w:val="24"/>
          <w:lang w:val="zh-CN"/>
        </w:rPr>
      </w:pPr>
      <w:r>
        <w:rPr>
          <w:rFonts w:hint="default" w:ascii="Times New Roman" w:hAnsi="Times New Roman" w:eastAsia="宋体" w:cs="Times New Roman"/>
          <w:b/>
          <w:sz w:val="24"/>
          <w:szCs w:val="24"/>
          <w:lang w:val="zh-CN"/>
        </w:rPr>
        <w:t>（二）项目监管情况。各业务科室具体负责项目方案的制定和实施，各分管领导负责对项目实施方案和具体过程进行审核，单位内部纪检监察部门负责对项目实施方案和具体过程进行监督。</w:t>
      </w:r>
    </w:p>
    <w:p w14:paraId="044E7CA5">
      <w:pPr>
        <w:keepNext w:val="0"/>
        <w:keepLines w:val="0"/>
        <w:pageBreakBefore w:val="0"/>
        <w:widowControl w:val="0"/>
        <w:kinsoku/>
        <w:wordWrap/>
        <w:overflowPunct/>
        <w:topLinePunct w:val="0"/>
        <w:autoSpaceDE/>
        <w:autoSpaceDN/>
        <w:bidi w:val="0"/>
        <w:adjustRightInd w:val="0"/>
        <w:snapToGrid w:val="0"/>
        <w:spacing w:line="600" w:lineRule="exact"/>
        <w:ind w:firstLine="0"/>
        <w:textAlignment w:val="auto"/>
        <w:rPr>
          <w:rFonts w:hint="default" w:ascii="Times New Roman" w:hAnsi="Times New Roman" w:eastAsia="宋体" w:cs="Times New Roman"/>
          <w:b/>
          <w:sz w:val="24"/>
          <w:szCs w:val="24"/>
          <w:lang w:val="zh-CN"/>
        </w:rPr>
      </w:pPr>
      <w:r>
        <w:rPr>
          <w:rFonts w:hint="default" w:ascii="Times New Roman" w:hAnsi="Times New Roman" w:eastAsia="宋体" w:cs="Times New Roman"/>
          <w:b/>
          <w:sz w:val="24"/>
          <w:szCs w:val="24"/>
          <w:lang w:val="zh-CN"/>
        </w:rPr>
        <w:t>四、项目绩效情况</w:t>
      </w:r>
      <w:r>
        <w:rPr>
          <w:rFonts w:hint="default" w:ascii="Times New Roman" w:hAnsi="Times New Roman" w:eastAsia="宋体" w:cs="Times New Roman"/>
          <w:b/>
          <w:sz w:val="24"/>
          <w:szCs w:val="24"/>
          <w:lang w:val="zh-CN"/>
        </w:rPr>
        <w:tab/>
      </w:r>
    </w:p>
    <w:p w14:paraId="34FFCFD4">
      <w:pPr>
        <w:keepNext w:val="0"/>
        <w:keepLines w:val="0"/>
        <w:pageBreakBefore w:val="0"/>
        <w:widowControl w:val="0"/>
        <w:kinsoku/>
        <w:wordWrap/>
        <w:overflowPunct/>
        <w:topLinePunct w:val="0"/>
        <w:autoSpaceDE/>
        <w:autoSpaceDN/>
        <w:bidi w:val="0"/>
        <w:adjustRightInd w:val="0"/>
        <w:snapToGrid w:val="0"/>
        <w:spacing w:line="600" w:lineRule="exact"/>
        <w:ind w:firstLine="0"/>
        <w:textAlignment w:val="auto"/>
        <w:rPr>
          <w:rFonts w:hint="default" w:ascii="Times New Roman" w:hAnsi="Times New Roman" w:eastAsia="宋体" w:cs="Times New Roman"/>
          <w:b/>
          <w:sz w:val="24"/>
          <w:szCs w:val="24"/>
          <w:lang w:val="zh-CN"/>
        </w:rPr>
      </w:pPr>
      <w:r>
        <w:rPr>
          <w:rFonts w:hint="default" w:ascii="Times New Roman" w:hAnsi="Times New Roman" w:eastAsia="宋体" w:cs="Times New Roman"/>
          <w:b/>
          <w:sz w:val="24"/>
          <w:szCs w:val="24"/>
          <w:lang w:val="zh-CN"/>
        </w:rPr>
        <w:t>（一）项目完成情况。</w:t>
      </w:r>
    </w:p>
    <w:p w14:paraId="36F39570">
      <w:pPr>
        <w:keepNext w:val="0"/>
        <w:keepLines w:val="0"/>
        <w:pageBreakBefore w:val="0"/>
        <w:widowControl w:val="0"/>
        <w:kinsoku/>
        <w:wordWrap/>
        <w:overflowPunct/>
        <w:topLinePunct w:val="0"/>
        <w:autoSpaceDE/>
        <w:autoSpaceDN/>
        <w:bidi w:val="0"/>
        <w:adjustRightInd w:val="0"/>
        <w:snapToGrid w:val="0"/>
        <w:spacing w:line="600" w:lineRule="exact"/>
        <w:ind w:firstLine="480" w:firstLineChars="200"/>
        <w:textAlignment w:val="auto"/>
        <w:rPr>
          <w:rFonts w:hint="default" w:ascii="Times New Roman" w:hAnsi="Times New Roman" w:eastAsia="宋体" w:cs="Times New Roman"/>
          <w:sz w:val="24"/>
          <w:szCs w:val="24"/>
          <w:lang w:val="zh-CN" w:eastAsia="zh-CN"/>
        </w:rPr>
      </w:pPr>
      <w:r>
        <w:rPr>
          <w:rFonts w:hint="default" w:ascii="Times New Roman" w:hAnsi="Times New Roman" w:eastAsia="宋体" w:cs="Times New Roman"/>
          <w:sz w:val="24"/>
          <w:szCs w:val="24"/>
          <w:lang w:val="zh-CN" w:eastAsia="zh-CN"/>
        </w:rPr>
        <w:t>经过双方的努力，“社会治安综合治理中心系统”运行正常。我委也按时支付了相关费用，项目完成良好。</w:t>
      </w:r>
    </w:p>
    <w:p w14:paraId="0B2B973A">
      <w:pPr>
        <w:keepNext w:val="0"/>
        <w:keepLines w:val="0"/>
        <w:pageBreakBefore w:val="0"/>
        <w:widowControl w:val="0"/>
        <w:kinsoku/>
        <w:wordWrap/>
        <w:overflowPunct/>
        <w:topLinePunct w:val="0"/>
        <w:autoSpaceDE/>
        <w:autoSpaceDN/>
        <w:bidi w:val="0"/>
        <w:adjustRightInd w:val="0"/>
        <w:snapToGrid w:val="0"/>
        <w:spacing w:line="600" w:lineRule="exact"/>
        <w:ind w:firstLine="0"/>
        <w:textAlignment w:val="auto"/>
        <w:rPr>
          <w:rFonts w:hint="default" w:ascii="Times New Roman" w:hAnsi="Times New Roman" w:eastAsia="宋体" w:cs="Times New Roman"/>
          <w:b/>
          <w:sz w:val="24"/>
          <w:szCs w:val="24"/>
          <w:lang w:val="zh-CN" w:eastAsia="zh-CN"/>
        </w:rPr>
      </w:pPr>
      <w:r>
        <w:rPr>
          <w:rFonts w:hint="default" w:ascii="Times New Roman" w:hAnsi="Times New Roman" w:eastAsia="宋体" w:cs="Times New Roman"/>
          <w:b/>
          <w:sz w:val="24"/>
          <w:szCs w:val="24"/>
          <w:lang w:val="zh-CN"/>
        </w:rPr>
        <w:t>（二</w:t>
      </w:r>
      <w:r>
        <w:rPr>
          <w:rFonts w:hint="default" w:ascii="Times New Roman" w:hAnsi="Times New Roman" w:eastAsia="宋体" w:cs="Times New Roman"/>
          <w:b/>
          <w:sz w:val="24"/>
          <w:szCs w:val="24"/>
          <w:lang w:val="zh-CN" w:eastAsia="zh-CN"/>
        </w:rPr>
        <w:t>）项目效益情况。</w:t>
      </w:r>
    </w:p>
    <w:p w14:paraId="10779CA5">
      <w:pPr>
        <w:keepNext w:val="0"/>
        <w:keepLines w:val="0"/>
        <w:pageBreakBefore w:val="0"/>
        <w:widowControl w:val="0"/>
        <w:kinsoku/>
        <w:wordWrap/>
        <w:overflowPunct/>
        <w:topLinePunct w:val="0"/>
        <w:autoSpaceDE/>
        <w:autoSpaceDN/>
        <w:bidi w:val="0"/>
        <w:adjustRightInd w:val="0"/>
        <w:snapToGrid w:val="0"/>
        <w:spacing w:line="600" w:lineRule="exact"/>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lang w:val="zh-CN" w:eastAsia="zh-CN"/>
        </w:rPr>
        <w:t>双方按照合同约定完成履约义务，项目完成率达</w:t>
      </w:r>
      <w:r>
        <w:rPr>
          <w:rFonts w:hint="default" w:ascii="Times New Roman" w:hAnsi="Times New Roman" w:eastAsia="宋体" w:cs="Times New Roman"/>
          <w:sz w:val="24"/>
          <w:szCs w:val="24"/>
          <w:lang w:val="en-US" w:eastAsia="zh-CN"/>
        </w:rPr>
        <w:t>100%；系统故障修复时间要达到行业规定标准，未影响工作开展；</w:t>
      </w:r>
      <w:r>
        <w:rPr>
          <w:rFonts w:hint="default" w:ascii="Times New Roman" w:hAnsi="Times New Roman" w:eastAsia="宋体" w:cs="Times New Roman"/>
          <w:sz w:val="24"/>
          <w:szCs w:val="24"/>
          <w:lang w:eastAsia="zh-CN"/>
        </w:rPr>
        <w:t>该</w:t>
      </w:r>
      <w:r>
        <w:rPr>
          <w:rFonts w:hint="default" w:ascii="Times New Roman" w:hAnsi="Times New Roman" w:eastAsia="宋体" w:cs="Times New Roman"/>
          <w:sz w:val="24"/>
          <w:szCs w:val="24"/>
        </w:rPr>
        <w:t>项目的社会效益和社会公众或服务对象满意度</w:t>
      </w:r>
      <w:r>
        <w:rPr>
          <w:rFonts w:hint="default" w:ascii="Times New Roman" w:hAnsi="Times New Roman" w:eastAsia="宋体" w:cs="Times New Roman"/>
          <w:sz w:val="24"/>
          <w:szCs w:val="24"/>
          <w:lang w:eastAsia="zh-CN"/>
        </w:rPr>
        <w:t>达到了预期效果。</w:t>
      </w:r>
    </w:p>
    <w:p w14:paraId="2BBD405F">
      <w:pPr>
        <w:keepNext w:val="0"/>
        <w:keepLines w:val="0"/>
        <w:pageBreakBefore w:val="0"/>
        <w:widowControl w:val="0"/>
        <w:kinsoku/>
        <w:wordWrap/>
        <w:overflowPunct/>
        <w:topLinePunct w:val="0"/>
        <w:autoSpaceDE/>
        <w:autoSpaceDN/>
        <w:bidi w:val="0"/>
        <w:adjustRightInd w:val="0"/>
        <w:snapToGrid w:val="0"/>
        <w:spacing w:line="600" w:lineRule="exact"/>
        <w:ind w:firstLine="0"/>
        <w:textAlignment w:val="auto"/>
        <w:rPr>
          <w:rFonts w:hint="default" w:ascii="Times New Roman" w:hAnsi="Times New Roman" w:eastAsia="宋体" w:cs="Times New Roman"/>
          <w:b/>
          <w:sz w:val="24"/>
          <w:szCs w:val="24"/>
          <w:lang w:val="zh-CN"/>
        </w:rPr>
      </w:pPr>
      <w:r>
        <w:rPr>
          <w:rFonts w:hint="default" w:ascii="Times New Roman" w:hAnsi="Times New Roman" w:eastAsia="宋体" w:cs="Times New Roman"/>
          <w:b/>
          <w:sz w:val="24"/>
          <w:szCs w:val="24"/>
          <w:lang w:val="zh-CN"/>
        </w:rPr>
        <w:t>五、评价结论及建议</w:t>
      </w:r>
    </w:p>
    <w:p w14:paraId="18CADEC4">
      <w:pPr>
        <w:keepNext w:val="0"/>
        <w:keepLines w:val="0"/>
        <w:pageBreakBefore w:val="0"/>
        <w:widowControl w:val="0"/>
        <w:kinsoku/>
        <w:wordWrap/>
        <w:overflowPunct/>
        <w:topLinePunct w:val="0"/>
        <w:autoSpaceDE/>
        <w:autoSpaceDN/>
        <w:bidi w:val="0"/>
        <w:adjustRightInd w:val="0"/>
        <w:snapToGrid w:val="0"/>
        <w:spacing w:line="600" w:lineRule="exact"/>
        <w:ind w:firstLine="0"/>
        <w:textAlignment w:val="auto"/>
        <w:rPr>
          <w:rFonts w:hint="default" w:ascii="Times New Roman" w:hAnsi="Times New Roman" w:eastAsia="宋体" w:cs="Times New Roman"/>
          <w:b/>
          <w:sz w:val="24"/>
          <w:szCs w:val="24"/>
          <w:lang w:val="zh-CN"/>
        </w:rPr>
      </w:pPr>
      <w:r>
        <w:rPr>
          <w:rFonts w:hint="default" w:ascii="Times New Roman" w:hAnsi="Times New Roman" w:eastAsia="宋体" w:cs="Times New Roman"/>
          <w:b/>
          <w:sz w:val="24"/>
          <w:szCs w:val="24"/>
          <w:lang w:val="zh-CN"/>
        </w:rPr>
        <w:t>（一）评价结论。</w:t>
      </w:r>
    </w:p>
    <w:p w14:paraId="67113ADA">
      <w:pPr>
        <w:keepNext w:val="0"/>
        <w:keepLines w:val="0"/>
        <w:pageBreakBefore w:val="0"/>
        <w:widowControl w:val="0"/>
        <w:kinsoku/>
        <w:wordWrap/>
        <w:overflowPunct/>
        <w:topLinePunct w:val="0"/>
        <w:autoSpaceDE/>
        <w:autoSpaceDN/>
        <w:bidi w:val="0"/>
        <w:adjustRightInd w:val="0"/>
        <w:snapToGrid w:val="0"/>
        <w:spacing w:line="600" w:lineRule="exact"/>
        <w:ind w:firstLine="480" w:firstLineChars="200"/>
        <w:textAlignment w:val="auto"/>
        <w:rPr>
          <w:rFonts w:hint="default" w:ascii="Times New Roman" w:hAnsi="Times New Roman" w:eastAsia="宋体" w:cs="Times New Roman"/>
          <w:sz w:val="24"/>
          <w:szCs w:val="24"/>
          <w:lang w:val="zh-CN" w:eastAsia="zh-CN"/>
        </w:rPr>
      </w:pPr>
      <w:r>
        <w:rPr>
          <w:rFonts w:hint="default" w:ascii="Times New Roman" w:hAnsi="Times New Roman" w:eastAsia="宋体" w:cs="Times New Roman"/>
          <w:sz w:val="24"/>
          <w:szCs w:val="24"/>
          <w:lang w:val="zh-CN" w:eastAsia="zh-CN"/>
        </w:rPr>
        <w:t>根据项目执行情况和项目绩效情况，总得分</w:t>
      </w:r>
      <w:r>
        <w:rPr>
          <w:rFonts w:hint="default" w:ascii="Times New Roman" w:hAnsi="Times New Roman" w:eastAsia="宋体" w:cs="Times New Roman"/>
          <w:sz w:val="24"/>
          <w:szCs w:val="24"/>
          <w:lang w:val="en-US" w:eastAsia="zh-CN"/>
        </w:rPr>
        <w:t>95</w:t>
      </w:r>
      <w:r>
        <w:rPr>
          <w:rFonts w:hint="default" w:ascii="Times New Roman" w:hAnsi="Times New Roman" w:eastAsia="宋体" w:cs="Times New Roman"/>
          <w:sz w:val="24"/>
          <w:szCs w:val="24"/>
          <w:lang w:val="zh-CN" w:eastAsia="zh-CN"/>
        </w:rPr>
        <w:t>分，项目综合绩效评价为良好。</w:t>
      </w:r>
    </w:p>
    <w:p w14:paraId="4650C636">
      <w:pPr>
        <w:keepNext w:val="0"/>
        <w:keepLines w:val="0"/>
        <w:pageBreakBefore w:val="0"/>
        <w:widowControl w:val="0"/>
        <w:kinsoku/>
        <w:wordWrap/>
        <w:overflowPunct/>
        <w:topLinePunct w:val="0"/>
        <w:autoSpaceDE/>
        <w:autoSpaceDN/>
        <w:bidi w:val="0"/>
        <w:adjustRightInd w:val="0"/>
        <w:snapToGrid w:val="0"/>
        <w:spacing w:line="600" w:lineRule="exact"/>
        <w:ind w:firstLine="0"/>
        <w:textAlignment w:val="auto"/>
        <w:rPr>
          <w:rFonts w:hint="default" w:ascii="Times New Roman" w:hAnsi="Times New Roman" w:eastAsia="宋体" w:cs="Times New Roman"/>
          <w:b/>
          <w:sz w:val="24"/>
          <w:szCs w:val="24"/>
          <w:lang w:val="zh-CN"/>
        </w:rPr>
      </w:pPr>
      <w:r>
        <w:rPr>
          <w:rFonts w:hint="default" w:ascii="Times New Roman" w:hAnsi="Times New Roman" w:eastAsia="宋体" w:cs="Times New Roman"/>
          <w:b/>
          <w:sz w:val="24"/>
          <w:szCs w:val="24"/>
          <w:lang w:val="zh-CN"/>
        </w:rPr>
        <w:t>（二）存在的问题。</w:t>
      </w:r>
    </w:p>
    <w:p w14:paraId="345EBDBF">
      <w:pPr>
        <w:keepNext w:val="0"/>
        <w:keepLines w:val="0"/>
        <w:pageBreakBefore w:val="0"/>
        <w:widowControl w:val="0"/>
        <w:kinsoku/>
        <w:wordWrap/>
        <w:overflowPunct/>
        <w:topLinePunct w:val="0"/>
        <w:autoSpaceDE/>
        <w:autoSpaceDN/>
        <w:bidi w:val="0"/>
        <w:adjustRightInd w:val="0"/>
        <w:snapToGrid w:val="0"/>
        <w:spacing w:line="600" w:lineRule="exact"/>
        <w:ind w:firstLine="480" w:firstLineChars="200"/>
        <w:textAlignment w:val="auto"/>
        <w:rPr>
          <w:rFonts w:hint="default" w:ascii="Times New Roman" w:hAnsi="Times New Roman" w:eastAsia="宋体" w:cs="Times New Roman"/>
          <w:sz w:val="24"/>
          <w:szCs w:val="24"/>
          <w:lang w:val="zh-CN" w:eastAsia="zh-CN"/>
        </w:rPr>
      </w:pPr>
      <w:r>
        <w:rPr>
          <w:rFonts w:hint="default" w:ascii="Times New Roman" w:hAnsi="Times New Roman" w:eastAsia="宋体" w:cs="Times New Roman"/>
          <w:sz w:val="24"/>
          <w:szCs w:val="24"/>
          <w:lang w:val="zh-CN" w:eastAsia="zh-CN"/>
        </w:rPr>
        <w:t>双方的技术人员需加强相关知识的学习，以提高解决故障的能力。</w:t>
      </w:r>
    </w:p>
    <w:p w14:paraId="7D6AE17B">
      <w:pPr>
        <w:keepNext w:val="0"/>
        <w:keepLines w:val="0"/>
        <w:pageBreakBefore w:val="0"/>
        <w:widowControl w:val="0"/>
        <w:kinsoku/>
        <w:wordWrap/>
        <w:overflowPunct/>
        <w:topLinePunct w:val="0"/>
        <w:autoSpaceDE/>
        <w:autoSpaceDN/>
        <w:bidi w:val="0"/>
        <w:adjustRightInd w:val="0"/>
        <w:snapToGrid w:val="0"/>
        <w:spacing w:line="600" w:lineRule="exact"/>
        <w:ind w:firstLine="0"/>
        <w:textAlignment w:val="auto"/>
        <w:rPr>
          <w:rFonts w:hint="default" w:ascii="Times New Roman" w:hAnsi="Times New Roman" w:eastAsia="宋体" w:cs="Times New Roman"/>
          <w:b/>
          <w:sz w:val="24"/>
          <w:szCs w:val="24"/>
          <w:lang w:val="zh-CN"/>
        </w:rPr>
      </w:pPr>
      <w:r>
        <w:rPr>
          <w:rFonts w:hint="default" w:ascii="Times New Roman" w:hAnsi="Times New Roman" w:eastAsia="宋体" w:cs="Times New Roman"/>
          <w:b/>
          <w:sz w:val="24"/>
          <w:szCs w:val="24"/>
          <w:lang w:val="zh-CN"/>
        </w:rPr>
        <w:t>（三）相关建议。</w:t>
      </w:r>
    </w:p>
    <w:p w14:paraId="6304EF01">
      <w:pPr>
        <w:keepNext w:val="0"/>
        <w:keepLines w:val="0"/>
        <w:pageBreakBefore w:val="0"/>
        <w:widowControl w:val="0"/>
        <w:kinsoku/>
        <w:wordWrap/>
        <w:overflowPunct/>
        <w:topLinePunct w:val="0"/>
        <w:autoSpaceDE/>
        <w:autoSpaceDN/>
        <w:bidi w:val="0"/>
        <w:adjustRightInd w:val="0"/>
        <w:snapToGrid w:val="0"/>
        <w:spacing w:line="600" w:lineRule="exact"/>
        <w:ind w:firstLine="480" w:firstLineChars="200"/>
        <w:textAlignment w:val="auto"/>
        <w:rPr>
          <w:rFonts w:hint="default" w:ascii="Times New Roman" w:hAnsi="Times New Roman" w:eastAsia="宋体" w:cs="Times New Roman"/>
          <w:sz w:val="24"/>
          <w:szCs w:val="24"/>
          <w:lang w:val="zh-CN" w:eastAsia="zh-CN"/>
        </w:rPr>
      </w:pPr>
      <w:r>
        <w:rPr>
          <w:rFonts w:hint="default" w:ascii="Times New Roman" w:hAnsi="Times New Roman" w:eastAsia="宋体" w:cs="Times New Roman"/>
          <w:sz w:val="24"/>
          <w:szCs w:val="24"/>
          <w:lang w:val="zh-CN" w:eastAsia="zh-CN"/>
        </w:rPr>
        <w:t>加强操作人员培训，提升工作能力。</w:t>
      </w:r>
    </w:p>
    <w:p w14:paraId="5A6140E1">
      <w:pPr>
        <w:pStyle w:val="9"/>
        <w:rPr>
          <w:rFonts w:hint="default" w:ascii="Times New Roman" w:hAnsi="Times New Roman" w:eastAsia="宋体" w:cs="Times New Roman"/>
          <w:sz w:val="24"/>
          <w:szCs w:val="24"/>
        </w:rPr>
      </w:pPr>
    </w:p>
    <w:p w14:paraId="3BEE1117">
      <w:pPr>
        <w:ind w:firstLine="480" w:firstLineChars="200"/>
        <w:rPr>
          <w:rFonts w:hint="default" w:ascii="Times New Roman" w:hAnsi="Times New Roman" w:eastAsia="宋体" w:cs="Times New Roman"/>
          <w:sz w:val="24"/>
          <w:szCs w:val="24"/>
          <w:lang w:eastAsia="zh-CN"/>
        </w:rPr>
      </w:pPr>
    </w:p>
    <w:p w14:paraId="43A0E969">
      <w:pPr>
        <w:spacing w:line="580" w:lineRule="exact"/>
        <w:rPr>
          <w:rStyle w:val="20"/>
          <w:rFonts w:hint="default" w:ascii="Times New Roman" w:hAnsi="Times New Roman" w:eastAsia="宋体" w:cs="Times New Roman"/>
          <w:color w:val="000000"/>
          <w:sz w:val="24"/>
          <w:szCs w:val="24"/>
        </w:rPr>
      </w:pPr>
    </w:p>
    <w:p w14:paraId="5223A022">
      <w:pPr>
        <w:spacing w:line="580" w:lineRule="exact"/>
        <w:rPr>
          <w:rStyle w:val="20"/>
          <w:rFonts w:hint="default" w:ascii="Times New Roman" w:hAnsi="Times New Roman" w:eastAsia="宋体" w:cs="Times New Roman"/>
          <w:color w:val="000000"/>
          <w:sz w:val="24"/>
          <w:szCs w:val="24"/>
        </w:rPr>
      </w:pPr>
    </w:p>
    <w:p w14:paraId="1FBCBF83">
      <w:pPr>
        <w:spacing w:line="580" w:lineRule="exact"/>
        <w:rPr>
          <w:rStyle w:val="20"/>
          <w:rFonts w:hint="default" w:ascii="Times New Roman" w:hAnsi="Times New Roman" w:eastAsia="宋体" w:cs="Times New Roman"/>
          <w:color w:val="000000"/>
          <w:sz w:val="24"/>
          <w:szCs w:val="24"/>
        </w:rPr>
      </w:pPr>
    </w:p>
    <w:p w14:paraId="32F7BBE4">
      <w:pPr>
        <w:spacing w:line="580" w:lineRule="exact"/>
        <w:rPr>
          <w:rStyle w:val="20"/>
          <w:rFonts w:hint="default" w:ascii="Times New Roman" w:hAnsi="Times New Roman" w:eastAsia="宋体" w:cs="Times New Roman"/>
          <w:color w:val="000000"/>
          <w:sz w:val="24"/>
          <w:szCs w:val="24"/>
        </w:rPr>
      </w:pPr>
    </w:p>
    <w:p w14:paraId="36D1941F">
      <w:pPr>
        <w:spacing w:line="580" w:lineRule="exact"/>
        <w:rPr>
          <w:rStyle w:val="20"/>
          <w:rFonts w:hint="default" w:ascii="Times New Roman" w:hAnsi="Times New Roman" w:eastAsia="宋体" w:cs="Times New Roman"/>
          <w:color w:val="000000"/>
          <w:sz w:val="24"/>
          <w:szCs w:val="24"/>
        </w:rPr>
      </w:pPr>
    </w:p>
    <w:bookmarkEnd w:id="49"/>
    <w:bookmarkEnd w:id="50"/>
    <w:p w14:paraId="7B949DA4">
      <w:pPr>
        <w:spacing w:line="600" w:lineRule="exact"/>
        <w:jc w:val="center"/>
        <w:outlineLvl w:val="0"/>
        <w:rPr>
          <w:rFonts w:hint="default" w:ascii="Times New Roman" w:hAnsi="Times New Roman" w:eastAsia="宋体" w:cs="Times New Roman"/>
          <w:b/>
          <w:bCs/>
          <w:color w:val="000000"/>
          <w:sz w:val="48"/>
          <w:szCs w:val="48"/>
        </w:rPr>
      </w:pPr>
      <w:bookmarkStart w:id="51" w:name="_Toc15396618"/>
      <w:r>
        <w:rPr>
          <w:rFonts w:hint="default" w:ascii="Times New Roman" w:hAnsi="Times New Roman" w:eastAsia="宋体" w:cs="Times New Roman"/>
          <w:b/>
          <w:bCs/>
          <w:color w:val="000000"/>
          <w:sz w:val="48"/>
          <w:szCs w:val="48"/>
        </w:rPr>
        <w:t>第</w:t>
      </w:r>
      <w:r>
        <w:rPr>
          <w:rStyle w:val="20"/>
          <w:rFonts w:hint="default" w:ascii="Times New Roman" w:hAnsi="Times New Roman" w:eastAsia="宋体" w:cs="Times New Roman"/>
          <w:b/>
          <w:bCs/>
          <w:sz w:val="48"/>
          <w:szCs w:val="48"/>
        </w:rPr>
        <w:t>五部分 附表</w:t>
      </w:r>
      <w:bookmarkEnd w:id="51"/>
      <w:bookmarkStart w:id="52" w:name="_Toc15396619"/>
    </w:p>
    <w:bookmarkEnd w:id="52"/>
    <w:p w14:paraId="5D1929B0">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suppressAutoHyphens w:val="0"/>
        <w:kinsoku/>
        <w:wordWrap/>
        <w:overflowPunct/>
        <w:topLinePunct w:val="0"/>
        <w:autoSpaceDE/>
        <w:autoSpaceDN/>
        <w:bidi w:val="0"/>
        <w:adjustRightInd/>
        <w:snapToGrid/>
        <w:spacing w:before="0" w:beforeAutospacing="0" w:after="100" w:afterAutospacing="1" w:line="240" w:lineRule="auto"/>
        <w:ind w:left="0" w:right="0" w:firstLine="0"/>
        <w:jc w:val="left"/>
        <w:textAlignment w:val="auto"/>
        <w:rPr>
          <w:rFonts w:hint="default" w:ascii="Times New Roman" w:hAnsi="Times New Roman" w:eastAsia="宋体" w:cs="Times New Roman"/>
          <w:bCs w:val="0"/>
          <w:snapToGrid/>
          <w:color w:val="auto"/>
          <w:spacing w:val="0"/>
          <w:w w:val="100"/>
          <w:kern w:val="0"/>
          <w:position w:val="0"/>
          <w:sz w:val="36"/>
          <w:szCs w:val="21"/>
          <w:u w:val="none" w:color="auto"/>
          <w:vertAlign w:val="baseline"/>
        </w:rPr>
      </w:pPr>
    </w:p>
    <w:p w14:paraId="77B8AF5B">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suppressAutoHyphens w:val="0"/>
        <w:kinsoku/>
        <w:wordWrap/>
        <w:overflowPunct/>
        <w:topLinePunct w:val="0"/>
        <w:autoSpaceDE/>
        <w:autoSpaceDN/>
        <w:bidi w:val="0"/>
        <w:adjustRightInd/>
        <w:snapToGrid/>
        <w:spacing w:before="0" w:beforeAutospacing="0" w:after="100" w:afterAutospacing="1" w:line="240" w:lineRule="auto"/>
        <w:ind w:left="0" w:right="0" w:firstLine="0"/>
        <w:jc w:val="left"/>
        <w:textAlignment w:val="auto"/>
        <w:rPr>
          <w:rFonts w:hint="default" w:ascii="Times New Roman" w:hAnsi="Times New Roman" w:eastAsia="宋体" w:cs="Times New Roman"/>
          <w:bCs w:val="0"/>
          <w:snapToGrid/>
          <w:color w:val="auto"/>
          <w:spacing w:val="0"/>
          <w:w w:val="100"/>
          <w:kern w:val="0"/>
          <w:position w:val="0"/>
          <w:sz w:val="36"/>
          <w:szCs w:val="21"/>
          <w:u w:val="none" w:color="auto"/>
          <w:vertAlign w:val="baseline"/>
        </w:rPr>
      </w:pPr>
      <w:r>
        <w:rPr>
          <w:rFonts w:hint="default" w:ascii="Times New Roman" w:hAnsi="Times New Roman" w:eastAsia="宋体" w:cs="Times New Roman"/>
          <w:bCs w:val="0"/>
          <w:snapToGrid/>
          <w:color w:val="auto"/>
          <w:spacing w:val="0"/>
          <w:w w:val="100"/>
          <w:kern w:val="0"/>
          <w:position w:val="0"/>
          <w:sz w:val="36"/>
          <w:szCs w:val="21"/>
          <w:u w:val="none" w:color="auto"/>
          <w:vertAlign w:val="baseline"/>
        </w:rPr>
        <w:t>一、收入支出决算总表</w:t>
      </w:r>
      <w:bookmarkStart w:id="53" w:name="_Toc15396620"/>
    </w:p>
    <w:p w14:paraId="2FB9FD54">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suppressAutoHyphens w:val="0"/>
        <w:kinsoku/>
        <w:wordWrap/>
        <w:overflowPunct/>
        <w:topLinePunct w:val="0"/>
        <w:autoSpaceDE/>
        <w:autoSpaceDN/>
        <w:bidi w:val="0"/>
        <w:adjustRightInd/>
        <w:snapToGrid/>
        <w:spacing w:before="0" w:beforeAutospacing="0" w:after="100" w:afterAutospacing="1" w:line="240" w:lineRule="auto"/>
        <w:ind w:left="0" w:right="0" w:firstLine="0"/>
        <w:jc w:val="left"/>
        <w:textAlignment w:val="auto"/>
        <w:rPr>
          <w:rFonts w:hint="default" w:ascii="Times New Roman" w:hAnsi="Times New Roman" w:eastAsia="宋体" w:cs="Times New Roman"/>
          <w:bCs w:val="0"/>
          <w:snapToGrid/>
          <w:color w:val="auto"/>
          <w:spacing w:val="0"/>
          <w:w w:val="100"/>
          <w:kern w:val="0"/>
          <w:position w:val="0"/>
          <w:sz w:val="36"/>
          <w:szCs w:val="21"/>
          <w:u w:val="none" w:color="auto"/>
          <w:vertAlign w:val="baseline"/>
        </w:rPr>
      </w:pPr>
      <w:r>
        <w:rPr>
          <w:rFonts w:hint="default" w:ascii="Times New Roman" w:hAnsi="Times New Roman" w:eastAsia="宋体" w:cs="Times New Roman"/>
          <w:bCs w:val="0"/>
          <w:snapToGrid/>
          <w:color w:val="auto"/>
          <w:spacing w:val="0"/>
          <w:w w:val="100"/>
          <w:kern w:val="0"/>
          <w:position w:val="0"/>
          <w:sz w:val="36"/>
          <w:szCs w:val="21"/>
          <w:u w:val="none" w:color="auto"/>
          <w:vertAlign w:val="baseline"/>
        </w:rPr>
        <w:t>二、收入决算表</w:t>
      </w:r>
      <w:bookmarkEnd w:id="53"/>
    </w:p>
    <w:p w14:paraId="3948BE9D">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suppressAutoHyphens w:val="0"/>
        <w:kinsoku/>
        <w:wordWrap/>
        <w:overflowPunct/>
        <w:topLinePunct w:val="0"/>
        <w:autoSpaceDE/>
        <w:autoSpaceDN/>
        <w:bidi w:val="0"/>
        <w:adjustRightInd/>
        <w:snapToGrid/>
        <w:spacing w:before="0" w:beforeAutospacing="0" w:after="100" w:afterAutospacing="1" w:line="240" w:lineRule="auto"/>
        <w:ind w:left="0" w:right="0" w:firstLine="0"/>
        <w:jc w:val="left"/>
        <w:textAlignment w:val="auto"/>
        <w:rPr>
          <w:rFonts w:hint="default" w:ascii="Times New Roman" w:hAnsi="Times New Roman" w:eastAsia="宋体" w:cs="Times New Roman"/>
          <w:bCs w:val="0"/>
          <w:snapToGrid/>
          <w:color w:val="auto"/>
          <w:spacing w:val="0"/>
          <w:w w:val="100"/>
          <w:kern w:val="0"/>
          <w:position w:val="0"/>
          <w:sz w:val="36"/>
          <w:szCs w:val="21"/>
          <w:u w:val="none" w:color="auto"/>
          <w:vertAlign w:val="baseline"/>
        </w:rPr>
      </w:pPr>
      <w:bookmarkStart w:id="54" w:name="_Toc15396621"/>
      <w:r>
        <w:rPr>
          <w:rFonts w:hint="default" w:ascii="Times New Roman" w:hAnsi="Times New Roman" w:eastAsia="宋体" w:cs="Times New Roman"/>
          <w:bCs w:val="0"/>
          <w:snapToGrid/>
          <w:color w:val="auto"/>
          <w:spacing w:val="0"/>
          <w:w w:val="100"/>
          <w:kern w:val="0"/>
          <w:position w:val="0"/>
          <w:sz w:val="36"/>
          <w:szCs w:val="21"/>
          <w:u w:val="none" w:color="auto"/>
          <w:vertAlign w:val="baseline"/>
        </w:rPr>
        <w:t>三、支出决算表</w:t>
      </w:r>
      <w:bookmarkEnd w:id="54"/>
    </w:p>
    <w:p w14:paraId="5CA5353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suppressAutoHyphens w:val="0"/>
        <w:kinsoku/>
        <w:wordWrap/>
        <w:overflowPunct/>
        <w:topLinePunct w:val="0"/>
        <w:autoSpaceDE/>
        <w:autoSpaceDN/>
        <w:bidi w:val="0"/>
        <w:adjustRightInd/>
        <w:snapToGrid/>
        <w:spacing w:before="0" w:beforeAutospacing="0" w:after="100" w:afterAutospacing="1" w:line="240" w:lineRule="auto"/>
        <w:ind w:left="0" w:right="0" w:firstLine="0"/>
        <w:jc w:val="left"/>
        <w:textAlignment w:val="auto"/>
        <w:rPr>
          <w:rFonts w:hint="default" w:ascii="Times New Roman" w:hAnsi="Times New Roman" w:eastAsia="宋体" w:cs="Times New Roman"/>
          <w:bCs w:val="0"/>
          <w:snapToGrid/>
          <w:color w:val="auto"/>
          <w:spacing w:val="0"/>
          <w:w w:val="100"/>
          <w:kern w:val="0"/>
          <w:position w:val="0"/>
          <w:sz w:val="36"/>
          <w:szCs w:val="21"/>
          <w:u w:val="none" w:color="auto"/>
          <w:vertAlign w:val="baseline"/>
        </w:rPr>
      </w:pPr>
      <w:bookmarkStart w:id="55" w:name="_Toc15396622"/>
      <w:r>
        <w:rPr>
          <w:rFonts w:hint="default" w:ascii="Times New Roman" w:hAnsi="Times New Roman" w:eastAsia="宋体" w:cs="Times New Roman"/>
          <w:bCs w:val="0"/>
          <w:snapToGrid/>
          <w:color w:val="auto"/>
          <w:spacing w:val="0"/>
          <w:w w:val="100"/>
          <w:kern w:val="0"/>
          <w:position w:val="0"/>
          <w:sz w:val="36"/>
          <w:szCs w:val="21"/>
          <w:u w:val="none" w:color="auto"/>
          <w:vertAlign w:val="baseline"/>
        </w:rPr>
        <w:t>四、财政拨款收入支出决算总表</w:t>
      </w:r>
      <w:bookmarkEnd w:id="55"/>
    </w:p>
    <w:p w14:paraId="4DF8CACB">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suppressAutoHyphens w:val="0"/>
        <w:kinsoku/>
        <w:wordWrap/>
        <w:overflowPunct/>
        <w:topLinePunct w:val="0"/>
        <w:autoSpaceDE/>
        <w:autoSpaceDN/>
        <w:bidi w:val="0"/>
        <w:adjustRightInd/>
        <w:snapToGrid/>
        <w:spacing w:before="0" w:beforeAutospacing="0" w:after="100" w:afterAutospacing="1" w:line="240" w:lineRule="auto"/>
        <w:ind w:left="0" w:right="0" w:firstLine="0"/>
        <w:jc w:val="left"/>
        <w:textAlignment w:val="auto"/>
        <w:rPr>
          <w:rFonts w:hint="default" w:ascii="Times New Roman" w:hAnsi="Times New Roman" w:eastAsia="宋体" w:cs="Times New Roman"/>
          <w:bCs w:val="0"/>
          <w:snapToGrid/>
          <w:color w:val="auto"/>
          <w:spacing w:val="0"/>
          <w:w w:val="100"/>
          <w:kern w:val="0"/>
          <w:position w:val="0"/>
          <w:sz w:val="36"/>
          <w:szCs w:val="21"/>
          <w:u w:val="none" w:color="auto"/>
          <w:vertAlign w:val="baseline"/>
        </w:rPr>
      </w:pPr>
      <w:bookmarkStart w:id="56" w:name="_Toc15396623"/>
      <w:r>
        <w:rPr>
          <w:rFonts w:hint="default" w:ascii="Times New Roman" w:hAnsi="Times New Roman" w:eastAsia="宋体" w:cs="Times New Roman"/>
          <w:bCs w:val="0"/>
          <w:snapToGrid/>
          <w:color w:val="auto"/>
          <w:spacing w:val="0"/>
          <w:w w:val="100"/>
          <w:kern w:val="0"/>
          <w:position w:val="0"/>
          <w:sz w:val="36"/>
          <w:szCs w:val="21"/>
          <w:u w:val="none" w:color="auto"/>
          <w:vertAlign w:val="baseline"/>
        </w:rPr>
        <w:t>五、财政拨款支出决算明细表</w:t>
      </w:r>
      <w:bookmarkEnd w:id="56"/>
      <w:bookmarkStart w:id="57" w:name="_Toc15396624"/>
    </w:p>
    <w:p w14:paraId="2E476875">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suppressAutoHyphens w:val="0"/>
        <w:kinsoku/>
        <w:wordWrap/>
        <w:overflowPunct/>
        <w:topLinePunct w:val="0"/>
        <w:autoSpaceDE/>
        <w:autoSpaceDN/>
        <w:bidi w:val="0"/>
        <w:adjustRightInd/>
        <w:snapToGrid/>
        <w:spacing w:before="0" w:beforeAutospacing="0" w:after="100" w:afterAutospacing="1" w:line="240" w:lineRule="auto"/>
        <w:ind w:left="0" w:right="0" w:firstLine="0"/>
        <w:jc w:val="left"/>
        <w:textAlignment w:val="auto"/>
        <w:rPr>
          <w:rFonts w:hint="default" w:ascii="Times New Roman" w:hAnsi="Times New Roman" w:eastAsia="宋体" w:cs="Times New Roman"/>
          <w:bCs w:val="0"/>
          <w:snapToGrid/>
          <w:color w:val="auto"/>
          <w:spacing w:val="0"/>
          <w:w w:val="100"/>
          <w:kern w:val="0"/>
          <w:position w:val="0"/>
          <w:sz w:val="36"/>
          <w:szCs w:val="21"/>
          <w:u w:val="none" w:color="auto"/>
          <w:vertAlign w:val="baseline"/>
        </w:rPr>
      </w:pPr>
      <w:r>
        <w:rPr>
          <w:rFonts w:hint="default" w:ascii="Times New Roman" w:hAnsi="Times New Roman" w:eastAsia="宋体" w:cs="Times New Roman"/>
          <w:bCs w:val="0"/>
          <w:snapToGrid/>
          <w:color w:val="auto"/>
          <w:spacing w:val="0"/>
          <w:w w:val="100"/>
          <w:kern w:val="0"/>
          <w:position w:val="0"/>
          <w:sz w:val="36"/>
          <w:szCs w:val="21"/>
          <w:u w:val="none" w:color="auto"/>
          <w:vertAlign w:val="baseline"/>
        </w:rPr>
        <w:t>六、一般公共预算财政拨款支出决算表</w:t>
      </w:r>
      <w:bookmarkEnd w:id="57"/>
    </w:p>
    <w:p w14:paraId="4C5975A7">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suppressAutoHyphens w:val="0"/>
        <w:kinsoku/>
        <w:wordWrap/>
        <w:overflowPunct/>
        <w:topLinePunct w:val="0"/>
        <w:autoSpaceDE/>
        <w:autoSpaceDN/>
        <w:bidi w:val="0"/>
        <w:adjustRightInd/>
        <w:snapToGrid/>
        <w:spacing w:before="0" w:beforeAutospacing="0" w:after="100" w:afterAutospacing="1" w:line="240" w:lineRule="auto"/>
        <w:ind w:left="0" w:right="0" w:firstLine="0"/>
        <w:jc w:val="left"/>
        <w:textAlignment w:val="auto"/>
        <w:rPr>
          <w:rFonts w:hint="default" w:ascii="Times New Roman" w:hAnsi="Times New Roman" w:eastAsia="宋体" w:cs="Times New Roman"/>
          <w:bCs w:val="0"/>
          <w:snapToGrid/>
          <w:color w:val="auto"/>
          <w:spacing w:val="0"/>
          <w:w w:val="100"/>
          <w:kern w:val="0"/>
          <w:position w:val="0"/>
          <w:sz w:val="36"/>
          <w:szCs w:val="21"/>
          <w:u w:val="none" w:color="auto"/>
          <w:vertAlign w:val="baseline"/>
        </w:rPr>
      </w:pPr>
      <w:bookmarkStart w:id="58" w:name="_Toc15396625"/>
      <w:r>
        <w:rPr>
          <w:rFonts w:hint="default" w:ascii="Times New Roman" w:hAnsi="Times New Roman" w:eastAsia="宋体" w:cs="Times New Roman"/>
          <w:bCs w:val="0"/>
          <w:snapToGrid/>
          <w:color w:val="auto"/>
          <w:spacing w:val="0"/>
          <w:w w:val="100"/>
          <w:kern w:val="0"/>
          <w:position w:val="0"/>
          <w:sz w:val="36"/>
          <w:szCs w:val="21"/>
          <w:u w:val="none" w:color="auto"/>
          <w:vertAlign w:val="baseline"/>
        </w:rPr>
        <w:t>七、一般公共预算财政拨款支出决算明细表</w:t>
      </w:r>
      <w:bookmarkEnd w:id="58"/>
    </w:p>
    <w:p w14:paraId="41B36ADC">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suppressAutoHyphens w:val="0"/>
        <w:kinsoku/>
        <w:wordWrap/>
        <w:overflowPunct/>
        <w:topLinePunct w:val="0"/>
        <w:autoSpaceDE/>
        <w:autoSpaceDN/>
        <w:bidi w:val="0"/>
        <w:adjustRightInd/>
        <w:snapToGrid/>
        <w:spacing w:before="0" w:beforeAutospacing="0" w:after="100" w:afterAutospacing="1" w:line="240" w:lineRule="auto"/>
        <w:ind w:left="0" w:right="0" w:firstLine="0"/>
        <w:jc w:val="left"/>
        <w:textAlignment w:val="auto"/>
        <w:rPr>
          <w:rFonts w:hint="default" w:ascii="Times New Roman" w:hAnsi="Times New Roman" w:eastAsia="宋体" w:cs="Times New Roman"/>
          <w:bCs w:val="0"/>
          <w:snapToGrid/>
          <w:color w:val="auto"/>
          <w:spacing w:val="0"/>
          <w:w w:val="100"/>
          <w:kern w:val="0"/>
          <w:position w:val="0"/>
          <w:sz w:val="36"/>
          <w:szCs w:val="21"/>
          <w:u w:val="none" w:color="auto"/>
          <w:vertAlign w:val="baseline"/>
        </w:rPr>
      </w:pPr>
      <w:bookmarkStart w:id="59" w:name="_Toc15396626"/>
      <w:r>
        <w:rPr>
          <w:rFonts w:hint="default" w:ascii="Times New Roman" w:hAnsi="Times New Roman" w:eastAsia="宋体" w:cs="Times New Roman"/>
          <w:bCs w:val="0"/>
          <w:snapToGrid/>
          <w:color w:val="auto"/>
          <w:spacing w:val="0"/>
          <w:w w:val="100"/>
          <w:kern w:val="0"/>
          <w:position w:val="0"/>
          <w:sz w:val="36"/>
          <w:szCs w:val="21"/>
          <w:u w:val="none" w:color="auto"/>
          <w:vertAlign w:val="baseline"/>
        </w:rPr>
        <w:t>八、一般公共预算财政拨款基本支出决算明细表</w:t>
      </w:r>
      <w:bookmarkEnd w:id="59"/>
    </w:p>
    <w:p w14:paraId="2A264F10">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suppressAutoHyphens w:val="0"/>
        <w:kinsoku/>
        <w:wordWrap/>
        <w:overflowPunct/>
        <w:topLinePunct w:val="0"/>
        <w:autoSpaceDE/>
        <w:autoSpaceDN/>
        <w:bidi w:val="0"/>
        <w:adjustRightInd/>
        <w:snapToGrid/>
        <w:spacing w:before="0" w:beforeAutospacing="0" w:after="100" w:afterAutospacing="1" w:line="240" w:lineRule="auto"/>
        <w:ind w:left="0" w:right="0" w:firstLine="0"/>
        <w:jc w:val="left"/>
        <w:textAlignment w:val="auto"/>
        <w:rPr>
          <w:rFonts w:hint="default" w:ascii="Times New Roman" w:hAnsi="Times New Roman" w:eastAsia="宋体" w:cs="Times New Roman"/>
          <w:bCs w:val="0"/>
          <w:snapToGrid/>
          <w:color w:val="auto"/>
          <w:spacing w:val="0"/>
          <w:w w:val="100"/>
          <w:kern w:val="0"/>
          <w:position w:val="0"/>
          <w:sz w:val="36"/>
          <w:szCs w:val="21"/>
          <w:u w:val="none" w:color="auto"/>
          <w:vertAlign w:val="baseline"/>
        </w:rPr>
      </w:pPr>
      <w:bookmarkStart w:id="60" w:name="_Toc15396627"/>
      <w:r>
        <w:rPr>
          <w:rFonts w:hint="default" w:ascii="Times New Roman" w:hAnsi="Times New Roman" w:eastAsia="宋体" w:cs="Times New Roman"/>
          <w:bCs w:val="0"/>
          <w:snapToGrid/>
          <w:color w:val="auto"/>
          <w:spacing w:val="0"/>
          <w:w w:val="100"/>
          <w:kern w:val="0"/>
          <w:position w:val="0"/>
          <w:sz w:val="36"/>
          <w:szCs w:val="21"/>
          <w:u w:val="none" w:color="auto"/>
          <w:vertAlign w:val="baseline"/>
        </w:rPr>
        <w:t>九、一般公共预算财政拨款项目支出决算表</w:t>
      </w:r>
      <w:bookmarkEnd w:id="60"/>
    </w:p>
    <w:p w14:paraId="55E5639A">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suppressAutoHyphens w:val="0"/>
        <w:kinsoku/>
        <w:wordWrap/>
        <w:overflowPunct/>
        <w:topLinePunct w:val="0"/>
        <w:autoSpaceDE/>
        <w:autoSpaceDN/>
        <w:bidi w:val="0"/>
        <w:adjustRightInd/>
        <w:snapToGrid/>
        <w:spacing w:before="0" w:beforeAutospacing="0" w:after="100" w:afterAutospacing="1" w:line="240" w:lineRule="auto"/>
        <w:ind w:left="0" w:right="0" w:firstLine="0"/>
        <w:jc w:val="left"/>
        <w:textAlignment w:val="auto"/>
        <w:rPr>
          <w:rFonts w:hint="default" w:ascii="Times New Roman" w:hAnsi="Times New Roman" w:eastAsia="宋体" w:cs="Times New Roman"/>
          <w:bCs w:val="0"/>
          <w:snapToGrid/>
          <w:color w:val="auto"/>
          <w:spacing w:val="0"/>
          <w:w w:val="100"/>
          <w:kern w:val="0"/>
          <w:position w:val="0"/>
          <w:sz w:val="36"/>
          <w:szCs w:val="21"/>
          <w:u w:val="none" w:color="auto"/>
          <w:vertAlign w:val="baseline"/>
        </w:rPr>
      </w:pPr>
      <w:bookmarkStart w:id="61" w:name="_Toc15396629"/>
      <w:r>
        <w:rPr>
          <w:rFonts w:hint="default" w:ascii="Times New Roman" w:hAnsi="Times New Roman" w:eastAsia="宋体" w:cs="Times New Roman"/>
          <w:bCs w:val="0"/>
          <w:snapToGrid/>
          <w:color w:val="auto"/>
          <w:spacing w:val="0"/>
          <w:w w:val="100"/>
          <w:kern w:val="0"/>
          <w:position w:val="0"/>
          <w:sz w:val="36"/>
          <w:szCs w:val="21"/>
          <w:u w:val="none" w:color="auto"/>
          <w:vertAlign w:val="baseline"/>
        </w:rPr>
        <w:t>十、政府性基金预算财政拨款收入支出决算表</w:t>
      </w:r>
      <w:bookmarkEnd w:id="61"/>
    </w:p>
    <w:p w14:paraId="457DBFB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suppressAutoHyphens w:val="0"/>
        <w:kinsoku/>
        <w:wordWrap/>
        <w:overflowPunct/>
        <w:topLinePunct w:val="0"/>
        <w:autoSpaceDE/>
        <w:autoSpaceDN/>
        <w:bidi w:val="0"/>
        <w:adjustRightInd/>
        <w:snapToGrid/>
        <w:spacing w:before="0" w:beforeAutospacing="0" w:after="100" w:afterAutospacing="1" w:line="240" w:lineRule="auto"/>
        <w:ind w:left="0" w:right="0" w:firstLine="0"/>
        <w:jc w:val="left"/>
        <w:textAlignment w:val="auto"/>
        <w:rPr>
          <w:rFonts w:hint="default" w:ascii="Times New Roman" w:hAnsi="Times New Roman" w:eastAsia="宋体" w:cs="Times New Roman"/>
          <w:bCs w:val="0"/>
          <w:snapToGrid/>
          <w:color w:val="auto"/>
          <w:spacing w:val="0"/>
          <w:w w:val="100"/>
          <w:kern w:val="0"/>
          <w:position w:val="0"/>
          <w:sz w:val="36"/>
          <w:szCs w:val="21"/>
          <w:u w:val="none" w:color="auto"/>
          <w:vertAlign w:val="baseline"/>
        </w:rPr>
      </w:pPr>
      <w:bookmarkStart w:id="62" w:name="_Toc15396631"/>
      <w:r>
        <w:rPr>
          <w:rFonts w:hint="default" w:ascii="Times New Roman" w:hAnsi="Times New Roman" w:eastAsia="宋体" w:cs="Times New Roman"/>
          <w:bCs w:val="0"/>
          <w:snapToGrid/>
          <w:color w:val="auto"/>
          <w:spacing w:val="0"/>
          <w:w w:val="100"/>
          <w:kern w:val="0"/>
          <w:position w:val="0"/>
          <w:sz w:val="36"/>
          <w:szCs w:val="21"/>
          <w:u w:val="none" w:color="auto"/>
          <w:vertAlign w:val="baseline"/>
        </w:rPr>
        <w:t>十一、国有资本经营预算财政拨款收入支出决算表</w:t>
      </w:r>
      <w:bookmarkEnd w:id="62"/>
    </w:p>
    <w:p w14:paraId="6F495DA6">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suppressAutoHyphens w:val="0"/>
        <w:kinsoku/>
        <w:wordWrap/>
        <w:overflowPunct/>
        <w:topLinePunct w:val="0"/>
        <w:autoSpaceDE/>
        <w:autoSpaceDN/>
        <w:bidi w:val="0"/>
        <w:adjustRightInd/>
        <w:snapToGrid/>
        <w:spacing w:before="0" w:beforeAutospacing="0" w:after="100" w:afterAutospacing="1" w:line="240" w:lineRule="auto"/>
        <w:ind w:left="0" w:right="0" w:firstLine="0"/>
        <w:jc w:val="left"/>
        <w:textAlignment w:val="auto"/>
        <w:rPr>
          <w:rFonts w:hint="default" w:ascii="Times New Roman" w:hAnsi="Times New Roman" w:eastAsia="宋体" w:cs="Times New Roman"/>
          <w:bCs w:val="0"/>
          <w:snapToGrid/>
          <w:color w:val="auto"/>
          <w:spacing w:val="0"/>
          <w:w w:val="100"/>
          <w:kern w:val="0"/>
          <w:position w:val="0"/>
          <w:sz w:val="36"/>
          <w:szCs w:val="21"/>
          <w:u w:val="none" w:color="auto"/>
          <w:vertAlign w:val="baseline"/>
        </w:rPr>
      </w:pPr>
      <w:r>
        <w:rPr>
          <w:rFonts w:hint="default" w:ascii="Times New Roman" w:hAnsi="Times New Roman" w:eastAsia="宋体" w:cs="Times New Roman"/>
          <w:bCs w:val="0"/>
          <w:snapToGrid/>
          <w:color w:val="auto"/>
          <w:spacing w:val="0"/>
          <w:w w:val="100"/>
          <w:kern w:val="0"/>
          <w:position w:val="0"/>
          <w:sz w:val="36"/>
          <w:szCs w:val="21"/>
          <w:u w:val="none" w:color="auto"/>
          <w:vertAlign w:val="baseline"/>
        </w:rPr>
        <w:t>十二、国有资本经营预算财政拨款支出决算表</w:t>
      </w:r>
    </w:p>
    <w:p w14:paraId="15C8EB4E">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suppressAutoHyphens w:val="0"/>
        <w:kinsoku/>
        <w:wordWrap/>
        <w:overflowPunct/>
        <w:topLinePunct w:val="0"/>
        <w:autoSpaceDE/>
        <w:autoSpaceDN/>
        <w:bidi w:val="0"/>
        <w:adjustRightInd/>
        <w:snapToGrid/>
        <w:spacing w:before="0" w:beforeAutospacing="0" w:after="100" w:afterAutospacing="1" w:line="240" w:lineRule="auto"/>
        <w:ind w:left="0" w:right="0" w:firstLine="0"/>
        <w:jc w:val="left"/>
        <w:textAlignment w:val="auto"/>
        <w:rPr>
          <w:rFonts w:hint="eastAsia" w:ascii="宋体" w:hAnsi="宋体" w:eastAsia="宋体" w:cs="宋体"/>
          <w:color w:val="000000"/>
          <w:sz w:val="24"/>
          <w:szCs w:val="24"/>
        </w:rPr>
      </w:pPr>
      <w:r>
        <w:rPr>
          <w:rFonts w:hint="default" w:ascii="Times New Roman" w:hAnsi="Times New Roman" w:eastAsia="宋体" w:cs="Times New Roman"/>
          <w:bCs w:val="0"/>
          <w:snapToGrid/>
          <w:color w:val="auto"/>
          <w:spacing w:val="0"/>
          <w:w w:val="100"/>
          <w:kern w:val="0"/>
          <w:position w:val="0"/>
          <w:sz w:val="36"/>
          <w:szCs w:val="21"/>
          <w:u w:val="none" w:color="auto"/>
          <w:vertAlign w:val="baseline"/>
        </w:rPr>
        <w:t>十三、财政拨款“三公”经费支出决算表</w:t>
      </w:r>
    </w:p>
    <w:sectPr>
      <w:headerReference r:id="rId3" w:type="default"/>
      <w:footerReference r:id="rId4" w:type="default"/>
      <w:pgSz w:w="11906" w:h="16838"/>
      <w:pgMar w:top="1440" w:right="1083" w:bottom="1440" w:left="1083" w:header="851" w:footer="992" w:gutter="0"/>
      <w:pgNumType w:start="1"/>
      <w:cols w:space="0" w:num="1"/>
      <w:titlePg/>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Calibri Light">
    <w:panose1 w:val="020F0302020204030204"/>
    <w:charset w:val="00"/>
    <w:family w:val="auto"/>
    <w:pitch w:val="default"/>
    <w:sig w:usb0="E4002EFF" w:usb1="C000247B" w:usb2="00000009" w:usb3="00000000" w:csb0="200001FF" w:csb1="00000000"/>
  </w:font>
  <w:font w:name="??">
    <w:altName w:val="仿宋_GB2312"/>
    <w:panose1 w:val="00000000000000000000"/>
    <w:charset w:val="00"/>
    <w:family w:val="roman"/>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 w:name="方正小标宋简体">
    <w:panose1 w:val="02010601030101010101"/>
    <w:charset w:val="86"/>
    <w:family w:val="script"/>
    <w:pitch w:val="default"/>
    <w:sig w:usb0="00000001" w:usb1="080E0000" w:usb2="00000000" w:usb3="00000000" w:csb0="00040000" w:csb1="00000000"/>
  </w:font>
  <w:font w:name="Lucida Sans">
    <w:altName w:val="Lucida Sans Unicode"/>
    <w:panose1 w:val="00000000000000000000"/>
    <w:charset w:val="01"/>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44A618">
    <w:pPr>
      <w:pStyle w:val="11"/>
      <w:jc w:val="center"/>
    </w:pPr>
    <w:r>
      <w:fldChar w:fldCharType="begin"/>
    </w:r>
    <w:r>
      <w:instrText xml:space="preserve">PAGE   \* MERGEFORMAT</w:instrText>
    </w:r>
    <w:r>
      <w:fldChar w:fldCharType="separate"/>
    </w:r>
    <w:r>
      <w:rPr>
        <w:lang w:val="zh-CN"/>
      </w:rPr>
      <w:t>27</w:t>
    </w:r>
    <w:r>
      <w:fldChar w:fldCharType="end"/>
    </w:r>
  </w:p>
  <w:p w14:paraId="21CDAE69">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8C973B">
    <w:pPr>
      <w:pStyle w:val="12"/>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dit="readOnly" w:enforcement="0"/>
  <w:defaultTabStop w:val="420"/>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DF16E51"/>
    <w:rsid w:val="0FFF410A"/>
    <w:rsid w:val="1EDFE0B9"/>
    <w:rsid w:val="2EF703EE"/>
    <w:rsid w:val="3DDFA9BD"/>
    <w:rsid w:val="4BD774C7"/>
    <w:rsid w:val="4FAF50BE"/>
    <w:rsid w:val="57BFBC4E"/>
    <w:rsid w:val="5BFB670E"/>
    <w:rsid w:val="5CF12A96"/>
    <w:rsid w:val="5D75B13F"/>
    <w:rsid w:val="5E7A3E67"/>
    <w:rsid w:val="5ECE9BB9"/>
    <w:rsid w:val="5EFCAD3C"/>
    <w:rsid w:val="5F7F6D57"/>
    <w:rsid w:val="5FC69028"/>
    <w:rsid w:val="5FCAB4DF"/>
    <w:rsid w:val="5FCE44C0"/>
    <w:rsid w:val="5FFF34D8"/>
    <w:rsid w:val="6477048A"/>
    <w:rsid w:val="67FFA6C0"/>
    <w:rsid w:val="6F3F7BF1"/>
    <w:rsid w:val="6F9FFDC1"/>
    <w:rsid w:val="6FF965BE"/>
    <w:rsid w:val="6FFF0404"/>
    <w:rsid w:val="715EDF45"/>
    <w:rsid w:val="736DB8EF"/>
    <w:rsid w:val="73F6322E"/>
    <w:rsid w:val="73FC3C08"/>
    <w:rsid w:val="74F22729"/>
    <w:rsid w:val="75B9F113"/>
    <w:rsid w:val="775F59FA"/>
    <w:rsid w:val="77B71A0D"/>
    <w:rsid w:val="77DF57C5"/>
    <w:rsid w:val="77FFD715"/>
    <w:rsid w:val="7BB7C05B"/>
    <w:rsid w:val="7BBB2FBB"/>
    <w:rsid w:val="7E7A601E"/>
    <w:rsid w:val="7ED7CD26"/>
    <w:rsid w:val="7F6F1829"/>
    <w:rsid w:val="7FB53635"/>
    <w:rsid w:val="7FBB0CC3"/>
    <w:rsid w:val="7FD7E0B9"/>
    <w:rsid w:val="7FD84972"/>
    <w:rsid w:val="7FDD587E"/>
    <w:rsid w:val="7FE9B614"/>
    <w:rsid w:val="7FEC56F1"/>
    <w:rsid w:val="7FF71865"/>
    <w:rsid w:val="7FFD3691"/>
    <w:rsid w:val="898E778D"/>
    <w:rsid w:val="8B7FAA71"/>
    <w:rsid w:val="9EFF01A0"/>
    <w:rsid w:val="9FEF0B54"/>
    <w:rsid w:val="A7196BF0"/>
    <w:rsid w:val="AA7E22F2"/>
    <w:rsid w:val="AB9E64B4"/>
    <w:rsid w:val="AF8FFE6D"/>
    <w:rsid w:val="BED3F5AA"/>
    <w:rsid w:val="BF7CF39F"/>
    <w:rsid w:val="BF7F82B4"/>
    <w:rsid w:val="C5FBC013"/>
    <w:rsid w:val="CFF78FD8"/>
    <w:rsid w:val="D4FB1AF3"/>
    <w:rsid w:val="D7E3EB27"/>
    <w:rsid w:val="D7F8A031"/>
    <w:rsid w:val="DCFF3B47"/>
    <w:rsid w:val="DFB76FD6"/>
    <w:rsid w:val="DFC79989"/>
    <w:rsid w:val="DFDF38C9"/>
    <w:rsid w:val="DFE72EC7"/>
    <w:rsid w:val="DFF314E0"/>
    <w:rsid w:val="E7BD7FF8"/>
    <w:rsid w:val="EDB7EBA6"/>
    <w:rsid w:val="EDF2F84C"/>
    <w:rsid w:val="EF5C104D"/>
    <w:rsid w:val="EFBF9714"/>
    <w:rsid w:val="EFFFE183"/>
    <w:rsid w:val="F3ADFACA"/>
    <w:rsid w:val="F6D51849"/>
    <w:rsid w:val="F6FE2DDD"/>
    <w:rsid w:val="F7BE21FF"/>
    <w:rsid w:val="F7D76F38"/>
    <w:rsid w:val="F7F15569"/>
    <w:rsid w:val="F7F71E57"/>
    <w:rsid w:val="F7FFED58"/>
    <w:rsid w:val="FB91753A"/>
    <w:rsid w:val="FBCF8F84"/>
    <w:rsid w:val="FBEF61EA"/>
    <w:rsid w:val="FBEF7FF2"/>
    <w:rsid w:val="FBF85B96"/>
    <w:rsid w:val="FD7B804C"/>
    <w:rsid w:val="FD7E528A"/>
    <w:rsid w:val="FDDF3643"/>
    <w:rsid w:val="FDFD4EA0"/>
    <w:rsid w:val="FDFFDEAC"/>
    <w:rsid w:val="FE5D1742"/>
    <w:rsid w:val="FEBF6858"/>
    <w:rsid w:val="FEFEE80E"/>
    <w:rsid w:val="FEFFC065"/>
    <w:rsid w:val="FF7E1F8C"/>
    <w:rsid w:val="FFBEEC44"/>
    <w:rsid w:val="FFBFD50D"/>
    <w:rsid w:val="FFF559E5"/>
    <w:rsid w:val="FFFB6F8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20"/>
    <w:qFormat/>
    <w:uiPriority w:val="0"/>
    <w:pPr>
      <w:keepNext/>
      <w:keepLines/>
      <w:widowControl w:val="0"/>
      <w:spacing w:before="340" w:after="330" w:line="578" w:lineRule="auto"/>
      <w:outlineLvl w:val="0"/>
    </w:pPr>
    <w:rPr>
      <w:b/>
      <w:bCs/>
      <w:kern w:val="44"/>
      <w:sz w:val="44"/>
      <w:szCs w:val="44"/>
    </w:rPr>
  </w:style>
  <w:style w:type="paragraph" w:styleId="5">
    <w:name w:val="heading 2"/>
    <w:basedOn w:val="1"/>
    <w:link w:val="21"/>
    <w:qFormat/>
    <w:uiPriority w:val="0"/>
    <w:pPr>
      <w:keepNext/>
      <w:keepLines/>
      <w:widowControl w:val="0"/>
      <w:spacing w:before="260" w:after="260" w:line="415" w:lineRule="auto"/>
      <w:outlineLvl w:val="1"/>
    </w:pPr>
    <w:rPr>
      <w:rFonts w:ascii="Cambria" w:hAnsi="Cambria"/>
      <w:b/>
      <w:bCs/>
      <w:sz w:val="32"/>
      <w:szCs w:val="32"/>
    </w:rPr>
  </w:style>
  <w:style w:type="paragraph" w:styleId="6">
    <w:name w:val="heading 3"/>
    <w:basedOn w:val="1"/>
    <w:next w:val="1"/>
    <w:qFormat/>
    <w:uiPriority w:val="0"/>
    <w:pPr>
      <w:keepNext/>
      <w:keepLines/>
      <w:widowControl w:val="0"/>
      <w:spacing w:before="260" w:after="260" w:line="415" w:lineRule="auto"/>
      <w:outlineLvl w:val="2"/>
    </w:pPr>
    <w:rPr>
      <w:b/>
      <w:bCs/>
      <w:sz w:val="32"/>
      <w:szCs w:val="32"/>
    </w:rPr>
  </w:style>
  <w:style w:type="character" w:default="1" w:styleId="17">
    <w:name w:val="Default Paragraph Font"/>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spacing w:before="30" w:beforeLines="30"/>
    </w:pPr>
    <w:rPr>
      <w:rFonts w:ascii="仿宋_GB2312" w:eastAsia="仿宋_GB2312"/>
      <w:kern w:val="0"/>
      <w:sz w:val="24"/>
      <w:szCs w:val="20"/>
    </w:rPr>
  </w:style>
  <w:style w:type="paragraph" w:styleId="3">
    <w:name w:val="Subtitle"/>
    <w:basedOn w:val="1"/>
    <w:next w:val="1"/>
    <w:qFormat/>
    <w:uiPriority w:val="0"/>
    <w:pPr>
      <w:spacing w:before="240" w:after="60" w:line="312" w:lineRule="auto"/>
      <w:jc w:val="center"/>
      <w:outlineLvl w:val="1"/>
    </w:pPr>
    <w:rPr>
      <w:rFonts w:ascii="Calibri Light" w:hAnsi="Calibri Light"/>
      <w:b/>
      <w:bCs/>
      <w:kern w:val="28"/>
      <w:sz w:val="32"/>
      <w:szCs w:val="32"/>
    </w:rPr>
  </w:style>
  <w:style w:type="paragraph" w:styleId="7">
    <w:name w:val="toc 3"/>
    <w:basedOn w:val="1"/>
    <w:next w:val="1"/>
    <w:qFormat/>
    <w:uiPriority w:val="0"/>
    <w:pPr>
      <w:tabs>
        <w:tab w:val="right" w:leader="dot" w:pos="8296"/>
      </w:tabs>
      <w:ind w:left="400" w:leftChars="400"/>
    </w:pPr>
  </w:style>
  <w:style w:type="paragraph" w:styleId="8">
    <w:name w:val="Plain Text"/>
    <w:basedOn w:val="1"/>
    <w:next w:val="9"/>
    <w:qFormat/>
    <w:uiPriority w:val="0"/>
    <w:pPr>
      <w:widowControl w:val="0"/>
      <w:jc w:val="both"/>
    </w:pPr>
    <w:rPr>
      <w:rFonts w:ascii="宋体" w:eastAsia="宋体" w:cs="Courier New"/>
      <w:kern w:val="2"/>
      <w:sz w:val="32"/>
      <w:szCs w:val="21"/>
      <w:lang w:val="en-US" w:eastAsia="zh-CN" w:bidi="ar-SA"/>
    </w:rPr>
  </w:style>
  <w:style w:type="paragraph" w:customStyle="1" w:styleId="9">
    <w:name w:val="四号正文"/>
    <w:basedOn w:val="1"/>
    <w:qFormat/>
    <w:uiPriority w:val="0"/>
    <w:pPr>
      <w:spacing w:line="360" w:lineRule="auto"/>
    </w:pPr>
    <w:rPr>
      <w:rFonts w:ascii="??" w:hAnsi="??" w:eastAsia="宋体"/>
      <w:color w:val="000000"/>
      <w:kern w:val="0"/>
      <w:sz w:val="28"/>
      <w:szCs w:val="21"/>
      <w:lang w:val="zh-CN" w:eastAsia="zh-CN"/>
    </w:rPr>
  </w:style>
  <w:style w:type="paragraph" w:styleId="10">
    <w:name w:val="Balloon Text"/>
    <w:basedOn w:val="1"/>
    <w:qFormat/>
    <w:uiPriority w:val="0"/>
    <w:rPr>
      <w:sz w:val="18"/>
      <w:szCs w:val="18"/>
    </w:rPr>
  </w:style>
  <w:style w:type="paragraph" w:styleId="11">
    <w:name w:val="footer"/>
    <w:basedOn w:val="1"/>
    <w:qFormat/>
    <w:uiPriority w:val="0"/>
    <w:pPr>
      <w:tabs>
        <w:tab w:val="center" w:pos="4153"/>
        <w:tab w:val="right" w:pos="8306"/>
      </w:tabs>
      <w:snapToGrid w:val="0"/>
      <w:jc w:val="left"/>
    </w:pPr>
    <w:rPr>
      <w:rFonts w:ascii="Calibri" w:hAnsi="Calibri"/>
      <w:kern w:val="0"/>
      <w:sz w:val="18"/>
      <w:szCs w:val="20"/>
    </w:rPr>
  </w:style>
  <w:style w:type="paragraph" w:styleId="12">
    <w:name w:val="header"/>
    <w:basedOn w:val="1"/>
    <w:qFormat/>
    <w:uiPriority w:val="0"/>
    <w:pPr>
      <w:pBdr>
        <w:bottom w:val="single" w:color="auto" w:sz="6" w:space="1"/>
      </w:pBdr>
      <w:tabs>
        <w:tab w:val="center" w:pos="4153"/>
        <w:tab w:val="right" w:pos="8306"/>
      </w:tabs>
      <w:snapToGrid w:val="0"/>
      <w:jc w:val="center"/>
    </w:pPr>
    <w:rPr>
      <w:rFonts w:ascii="Calibri" w:hAnsi="Calibri"/>
      <w:kern w:val="0"/>
      <w:sz w:val="18"/>
      <w:szCs w:val="20"/>
    </w:rPr>
  </w:style>
  <w:style w:type="paragraph" w:styleId="13">
    <w:name w:val="toc 1"/>
    <w:basedOn w:val="1"/>
    <w:next w:val="1"/>
    <w:qFormat/>
    <w:uiPriority w:val="0"/>
    <w:pPr>
      <w:tabs>
        <w:tab w:val="right" w:leader="dot" w:pos="8296"/>
      </w:tabs>
      <w:spacing w:before="93"/>
      <w:jc w:val="center"/>
    </w:pPr>
    <w:rPr>
      <w:rFonts w:ascii="仿宋" w:eastAsia="仿宋"/>
      <w:sz w:val="28"/>
      <w:szCs w:val="28"/>
    </w:rPr>
  </w:style>
  <w:style w:type="paragraph" w:styleId="14">
    <w:name w:val="toc 2"/>
    <w:basedOn w:val="1"/>
    <w:next w:val="1"/>
    <w:qFormat/>
    <w:uiPriority w:val="0"/>
    <w:pPr>
      <w:tabs>
        <w:tab w:val="right" w:leader="dot" w:pos="8296"/>
      </w:tabs>
      <w:ind w:left="200" w:leftChars="200"/>
    </w:pPr>
  </w:style>
  <w:style w:type="paragraph" w:styleId="15">
    <w:name w:val="Normal (Web)"/>
    <w:basedOn w:val="1"/>
    <w:qFormat/>
    <w:uiPriority w:val="0"/>
    <w:pPr>
      <w:widowControl/>
      <w:spacing w:before="100" w:beforeAutospacing="1" w:after="100" w:afterAutospacing="1"/>
      <w:jc w:val="left"/>
    </w:pPr>
    <w:rPr>
      <w:rFonts w:ascii="宋体" w:cs="宋体"/>
      <w:kern w:val="0"/>
      <w:sz w:val="24"/>
    </w:rPr>
  </w:style>
  <w:style w:type="character" w:styleId="18">
    <w:name w:val="Strong"/>
    <w:basedOn w:val="17"/>
    <w:qFormat/>
    <w:uiPriority w:val="0"/>
    <w:rPr>
      <w:rFonts w:cs="Times New Roman"/>
      <w:b/>
    </w:rPr>
  </w:style>
  <w:style w:type="character" w:styleId="19">
    <w:name w:val="Hyperlink"/>
    <w:basedOn w:val="17"/>
    <w:qFormat/>
    <w:uiPriority w:val="0"/>
    <w:rPr>
      <w:rFonts w:cs="Times New Roman"/>
      <w:color w:val="0000FF"/>
      <w:u w:val="single"/>
    </w:rPr>
  </w:style>
  <w:style w:type="character" w:customStyle="1" w:styleId="20">
    <w:name w:val="heading 1 Char"/>
    <w:basedOn w:val="17"/>
    <w:link w:val="4"/>
    <w:qFormat/>
    <w:uiPriority w:val="0"/>
    <w:rPr>
      <w:rFonts w:ascii="Times New Roman" w:hAnsi="Times New Roman" w:eastAsia="宋体" w:cs="Times New Roman"/>
      <w:b/>
      <w:bCs/>
      <w:kern w:val="44"/>
      <w:sz w:val="44"/>
      <w:szCs w:val="44"/>
      <w:lang w:val="en-US" w:eastAsia="zh-CN" w:bidi="ar-SA"/>
    </w:rPr>
  </w:style>
  <w:style w:type="character" w:customStyle="1" w:styleId="21">
    <w:name w:val="heading 2 Char"/>
    <w:basedOn w:val="17"/>
    <w:link w:val="5"/>
    <w:qFormat/>
    <w:uiPriority w:val="0"/>
    <w:rPr>
      <w:rFonts w:ascii="Cambria" w:hAnsi="Cambria" w:eastAsia="宋体" w:cs="Times New Roman"/>
      <w:b/>
      <w:bCs/>
      <w:kern w:val="2"/>
      <w:sz w:val="32"/>
      <w:szCs w:val="32"/>
      <w:lang w:val="en-US" w:eastAsia="zh-CN" w:bidi="ar-SA"/>
    </w:rPr>
  </w:style>
  <w:style w:type="paragraph" w:customStyle="1" w:styleId="22">
    <w:name w:val="Default"/>
    <w:qFormat/>
    <w:uiPriority w:val="0"/>
    <w:pPr>
      <w:widowControl w:val="0"/>
      <w:autoSpaceDE w:val="0"/>
      <w:autoSpaceDN w:val="0"/>
      <w:adjustRightInd w:val="0"/>
    </w:pPr>
    <w:rPr>
      <w:rFonts w:ascii="仿宋" w:hAnsi="Times New Roman" w:eastAsia="仿宋" w:cs="仿宋"/>
      <w:color w:val="000000"/>
      <w:kern w:val="0"/>
      <w:sz w:val="24"/>
      <w:szCs w:val="24"/>
      <w:lang w:val="en-US" w:eastAsia="zh-CN" w:bidi="ar-SA"/>
    </w:rPr>
  </w:style>
  <w:style w:type="paragraph" w:styleId="23">
    <w:name w:val="List Paragraph"/>
    <w:basedOn w:val="1"/>
    <w:qFormat/>
    <w:uiPriority w:val="0"/>
    <w:pPr>
      <w:ind w:firstLine="200" w:firstLineChars="200"/>
    </w:pPr>
  </w:style>
  <w:style w:type="paragraph" w:customStyle="1" w:styleId="24">
    <w:name w:val="TOC 标题1"/>
    <w:basedOn w:val="4"/>
    <w:next w:val="1"/>
    <w:qFormat/>
    <w:uiPriority w:val="0"/>
    <w:pPr>
      <w:keepNext/>
      <w:keepLines/>
      <w:widowControl/>
      <w:spacing w:before="480" w:after="0" w:line="276" w:lineRule="auto"/>
      <w:jc w:val="left"/>
      <w:outlineLvl w:val="9"/>
    </w:pPr>
    <w:rPr>
      <w:rFonts w:ascii="Cambria" w:hAnsi="Cambria"/>
      <w:color w:val="365F91"/>
      <w:kern w:val="0"/>
      <w:sz w:val="28"/>
      <w:szCs w:val="28"/>
    </w:rPr>
  </w:style>
  <w:style w:type="paragraph" w:customStyle="1" w:styleId="25">
    <w:name w:val="TOC Heading"/>
    <w:basedOn w:val="4"/>
    <w:next w:val="1"/>
    <w:qFormat/>
    <w:uiPriority w:val="0"/>
    <w:pPr>
      <w:keepNext/>
      <w:keepLines/>
      <w:widowControl/>
      <w:spacing w:before="480" w:after="0" w:line="276" w:lineRule="auto"/>
      <w:jc w:val="left"/>
      <w:outlineLvl w:val="9"/>
    </w:pPr>
    <w:rPr>
      <w:rFonts w:ascii="Cambria" w:hAnsi="Cambria"/>
      <w:color w:val="365F91"/>
      <w:kern w:val="0"/>
      <w:sz w:val="28"/>
      <w:szCs w:val="28"/>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1.bin"/><Relationship Id="rId8" Type="http://schemas.openxmlformats.org/officeDocument/2006/relationships/chart" Target="charts/chart3.xml"/><Relationship Id="rId7" Type="http://schemas.openxmlformats.org/officeDocument/2006/relationships/chart" Target="charts/chart2.xml"/><Relationship Id="rId6" Type="http://schemas.openxmlformats.org/officeDocument/2006/relationships/chart" Target="charts/chart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customXml" Target="../customXml/item1.xml"/><Relationship Id="rId20" Type="http://schemas.openxmlformats.org/officeDocument/2006/relationships/chart" Target="charts/chart7.xml"/><Relationship Id="rId2" Type="http://schemas.openxmlformats.org/officeDocument/2006/relationships/settings" Target="settings.xml"/><Relationship Id="rId19" Type="http://schemas.openxmlformats.org/officeDocument/2006/relationships/chart" Target="charts/chart6.xml"/><Relationship Id="rId18" Type="http://schemas.openxmlformats.org/officeDocument/2006/relationships/chart" Target="charts/chart5.xml"/><Relationship Id="rId17" Type="http://schemas.openxmlformats.org/officeDocument/2006/relationships/chart" Target="charts/chart4.xml"/><Relationship Id="rId16" Type="http://schemas.openxmlformats.org/officeDocument/2006/relationships/oleObject" Target="embeddings/oleObject7.bin"/><Relationship Id="rId15" Type="http://schemas.openxmlformats.org/officeDocument/2006/relationships/oleObject" Target="embeddings/oleObject6.bin"/><Relationship Id="rId14" Type="http://schemas.openxmlformats.org/officeDocument/2006/relationships/oleObject" Target="embeddings/oleObject5.bin"/><Relationship Id="rId13" Type="http://schemas.openxmlformats.org/officeDocument/2006/relationships/oleObject" Target="embeddings/oleObject4.bin"/><Relationship Id="rId12" Type="http://schemas.openxmlformats.org/officeDocument/2006/relationships/oleObject" Target="embeddings/oleObject3.bin"/><Relationship Id="rId11" Type="http://schemas.openxmlformats.org/officeDocument/2006/relationships/oleObject" Target="embeddings/oleObject2.bin"/><Relationship Id="rId10" Type="http://schemas.openxmlformats.org/officeDocument/2006/relationships/image" Target="media/image1.emf"/><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5.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Workbook7.xlsx"/></Relationships>
</file>

<file path=word/charts/_rels/chart4.xml.rels><?xml version="1.0" encoding="UTF-8" standalone="yes"?>
<Relationships xmlns="http://schemas.openxmlformats.org/package/2006/relationships"><Relationship Id="rId1" Type="http://schemas.openxmlformats.org/officeDocument/2006/relationships/package" Target="../embeddings/Workbook6.xlsx"/></Relationships>
</file>

<file path=word/charts/_rels/chart5.xml.rels><?xml version="1.0" encoding="UTF-8" standalone="yes"?>
<Relationships xmlns="http://schemas.openxmlformats.org/package/2006/relationships"><Relationship Id="rId1" Type="http://schemas.openxmlformats.org/officeDocument/2006/relationships/package" Target="../embeddings/Workbook1.xlsx"/></Relationships>
</file>

<file path=word/charts/_rels/chart6.xml.rels><?xml version="1.0" encoding="UTF-8" standalone="yes"?>
<Relationships xmlns="http://schemas.openxmlformats.org/package/2006/relationships"><Relationship Id="rId1" Type="http://schemas.openxmlformats.org/officeDocument/2006/relationships/package" Target="../embeddings/Workbook3.xlsx"/></Relationships>
</file>

<file path=word/charts/_rels/chart7.xml.rels><?xml version="1.0" encoding="UTF-8" standalone="yes"?>
<Relationships xmlns="http://schemas.openxmlformats.org/package/2006/relationships"><Relationship Id="rId1" Type="http://schemas.openxmlformats.org/officeDocument/2006/relationships/package" Target="../embeddings/Workbook4.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7061612"/>
          <c:y val="0.15328467"/>
          <c:w val="0.70616114"/>
          <c:h val="0.52554744"/>
        </c:manualLayout>
      </c:layout>
      <c:barChart>
        <c:barDir val="col"/>
        <c:grouping val="clustered"/>
        <c:varyColors val="0"/>
        <c:ser>
          <c:idx val="0"/>
          <c:order val="0"/>
          <c:tx>
            <c:strRef>
              <c:f>工作表465537!$A$2</c:f>
              <c:strCache>
                <c:ptCount val="1"/>
                <c:pt idx="0">
                  <c:v>金额(万元)</c:v>
                </c:pt>
              </c:strCache>
            </c:strRef>
          </c:tx>
          <c:spPr>
            <a:solidFill>
              <a:srgbClr val="4F81BD"/>
            </a:solidFill>
          </c:spPr>
          <c:invertIfNegative val="0"/>
          <c:dLbls>
            <c:dLbl>
              <c:idx val="0"/>
              <c:delete val="1"/>
            </c:dLbl>
            <c:dLbl>
              <c:idx val="1"/>
              <c:delete val="1"/>
            </c:dLbl>
            <c:numFmt formatCode="#,##0.00" sourceLinked="1"/>
            <c:spPr>
              <a:noFill/>
              <a:ln>
                <a:noFill/>
              </a:ln>
              <a:effectLst/>
            </c:spPr>
            <c:txPr>
              <a:bodyPr rot="0" spcFirstLastPara="0" vertOverflow="ellipsis" vert="horz" wrap="square" lIns="38100" tIns="19050" rIns="38100" bIns="19050" anchor="ctr" anchorCtr="1"/>
              <a:lstStyle/>
              <a:p>
                <a:pPr>
                  <a:defRPr lang="zh-CN" sz="350" b="0" i="0" u="none" strike="noStrike" kern="1200" baseline="0">
                    <a:solidFill>
                      <a:srgbClr val="000000"/>
                    </a:solidFill>
                    <a:latin typeface="宋体" panose="02010600030101010101" charset="-122"/>
                    <a:ea typeface="宋体" panose="02010600030101010101" charset="-122"/>
                    <a:cs typeface="Lucida Sans"/>
                  </a:defRPr>
                </a:pPr>
              </a:p>
            </c:txPr>
            <c:dLblPos val="outEnd"/>
            <c:showLegendKey val="0"/>
            <c:showVal val="0"/>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工作表465537!$B$1:$C$1</c:f>
              <c:strCache>
                <c:ptCount val="2"/>
                <c:pt idx="0">
                  <c:v>2021年收支总额</c:v>
                </c:pt>
                <c:pt idx="1">
                  <c:v>2022年收支总额</c:v>
                </c:pt>
              </c:strCache>
            </c:strRef>
          </c:cat>
          <c:val>
            <c:numRef>
              <c:f>工作表465537!$B$2:$C$2</c:f>
              <c:numCache>
                <c:formatCode>#,##0.00</c:formatCode>
                <c:ptCount val="2"/>
                <c:pt idx="0">
                  <c:v>1870.84</c:v>
                </c:pt>
                <c:pt idx="1">
                  <c:v>1749.29</c:v>
                </c:pt>
              </c:numCache>
            </c:numRef>
          </c:val>
        </c:ser>
        <c:dLbls>
          <c:showLegendKey val="0"/>
          <c:showVal val="0"/>
          <c:showCatName val="0"/>
          <c:showSerName val="0"/>
          <c:showPercent val="0"/>
          <c:showBubbleSize val="0"/>
        </c:dLbls>
        <c:gapWidth val="150"/>
        <c:axId val="0"/>
        <c:axId val="1"/>
      </c:barChart>
      <c:catAx>
        <c:axId val="0"/>
        <c:scaling>
          <c:orientation val="minMax"/>
        </c:scaling>
        <c:delete val="0"/>
        <c:axPos val="b"/>
        <c:numFmt formatCode="General" sourceLinked="0"/>
        <c:majorTickMark val="in"/>
        <c:minorTickMark val="none"/>
        <c:tickLblPos val="nextTo"/>
        <c:spPr>
          <a:ln w="6350" cap="flat" cmpd="sng" algn="ctr">
            <a:solidFill>
              <a:srgbClr val="000000"/>
            </a:solidFill>
            <a:prstDash val="solid"/>
            <a:round/>
          </a:ln>
        </c:spPr>
        <c:txPr>
          <a:bodyPr rot="0" spcFirstLastPara="0" vertOverflow="ellipsis" vert="horz" wrap="square" anchor="t" anchorCtr="0"/>
          <a:lstStyle/>
          <a:p>
            <a:pPr>
              <a:defRPr lang="zh-CN" sz="350" b="0" i="0" u="none" strike="noStrike" kern="1200" baseline="0">
                <a:solidFill>
                  <a:srgbClr val="000000"/>
                </a:solidFill>
                <a:latin typeface="宋体" panose="02010600030101010101" charset="-122"/>
                <a:ea typeface="宋体" panose="02010600030101010101" charset="-122"/>
                <a:cs typeface="Lucida Sans"/>
              </a:defRPr>
            </a:pPr>
          </a:p>
        </c:txPr>
        <c:crossAx val="1"/>
        <c:crosses val="autoZero"/>
        <c:auto val="1"/>
        <c:lblAlgn val="ctr"/>
        <c:lblOffset val="100"/>
        <c:noMultiLvlLbl val="0"/>
      </c:catAx>
      <c:valAx>
        <c:axId val="1"/>
        <c:scaling>
          <c:orientation val="minMax"/>
        </c:scaling>
        <c:delete val="0"/>
        <c:axPos val="l"/>
        <c:majorGridlines>
          <c:spPr>
            <a:ln w="6350" cap="flat" cmpd="sng" algn="ctr">
              <a:solidFill>
                <a:srgbClr val="000000"/>
              </a:solidFill>
              <a:prstDash val="solid"/>
              <a:round/>
            </a:ln>
          </c:spPr>
        </c:majorGridlines>
        <c:title>
          <c:tx>
            <c:rich>
              <a:bodyPr rot="-5400000" spcFirstLastPara="0" vertOverflow="ellipsis" vert="horz" wrap="square" anchor="ctr" anchorCtr="1"/>
              <a:lstStyle/>
              <a:p>
                <a:pPr>
                  <a:defRPr lang="zh-CN" sz="350" b="0" i="0" u="none" strike="noStrike" kern="1200" baseline="0">
                    <a:solidFill>
                      <a:srgbClr val="000000"/>
                    </a:solidFill>
                    <a:latin typeface="宋体" panose="02010600030101010101" charset="-122"/>
                    <a:ea typeface="宋体" panose="02010600030101010101" charset="-122"/>
                    <a:cs typeface="Lucida Sans"/>
                  </a:defRPr>
                </a:pPr>
                <a:r>
                  <a:rPr lang="zh-CN"/>
                  <a:t>单位：万元</a:t>
                </a:r>
                <a:endParaRPr lang="zh-CN"/>
              </a:p>
            </c:rich>
          </c:tx>
          <c:layout>
            <c:manualLayout>
              <c:xMode val="edge"/>
              <c:yMode val="edge"/>
              <c:x val="0.02594331"/>
              <c:y val="0.22077933"/>
            </c:manualLayout>
          </c:layout>
          <c:overlay val="0"/>
          <c:spPr>
            <a:noFill/>
            <a:ln>
              <a:noFill/>
            </a:ln>
          </c:spPr>
        </c:title>
        <c:numFmt formatCode="#,##0.00" sourceLinked="1"/>
        <c:majorTickMark val="in"/>
        <c:minorTickMark val="none"/>
        <c:tickLblPos val="nextTo"/>
        <c:spPr>
          <a:ln w="6350" cap="flat" cmpd="sng" algn="ctr">
            <a:solidFill>
              <a:srgbClr val="000000"/>
            </a:solidFill>
            <a:prstDash val="solid"/>
            <a:round/>
          </a:ln>
        </c:spPr>
        <c:txPr>
          <a:bodyPr rot="0" spcFirstLastPara="0" vertOverflow="ellipsis" vert="horz" wrap="square" anchor="t" anchorCtr="0"/>
          <a:lstStyle/>
          <a:p>
            <a:pPr>
              <a:defRPr lang="zh-CN" sz="350" b="0" i="0" u="none" strike="noStrike" kern="1200" baseline="0">
                <a:solidFill>
                  <a:srgbClr val="000000"/>
                </a:solidFill>
                <a:latin typeface="宋体" panose="02010600030101010101" charset="-122"/>
                <a:ea typeface="宋体" panose="02010600030101010101" charset="-122"/>
                <a:cs typeface="Lucida Sans"/>
              </a:defRPr>
            </a:pPr>
          </a:p>
        </c:txPr>
        <c:crossAx val="0"/>
        <c:crossesAt val="1"/>
        <c:crossBetween val="between"/>
      </c:valAx>
      <c:dTable>
        <c:showHorzBorder val="1"/>
        <c:showVertBorder val="1"/>
        <c:showOutline val="1"/>
        <c:showKeys val="1"/>
        <c:spPr>
          <a:ln w="6350" cap="flat" cmpd="sng" algn="ctr">
            <a:solidFill>
              <a:srgbClr val="000000"/>
            </a:solidFill>
            <a:prstDash val="solid"/>
            <a:round/>
          </a:ln>
        </c:spPr>
        <c:txPr>
          <a:bodyPr rot="0" spcFirstLastPara="0" vertOverflow="ellipsis" vert="horz" wrap="square" anchor="ctr" anchorCtr="1"/>
          <a:lstStyle/>
          <a:p>
            <a:pPr>
              <a:defRPr lang="zh-CN" sz="350" b="0" i="0" u="none" strike="noStrike" kern="1200" baseline="0">
                <a:solidFill>
                  <a:srgbClr val="000000"/>
                </a:solidFill>
                <a:latin typeface="宋体" panose="02010600030101010101" charset="-122"/>
                <a:ea typeface="宋体" panose="02010600030101010101" charset="-122"/>
                <a:cs typeface="Lucida Sans"/>
              </a:defRPr>
            </a:pPr>
          </a:p>
        </c:txPr>
      </c:dTable>
      <c:spPr>
        <a:solidFill>
          <a:srgbClr val="C0C0C0"/>
        </a:solidFill>
        <a:ln w="6350">
          <a:solidFill>
            <a:srgbClr val="808080"/>
          </a:solidFill>
          <a:prstDash val="solid"/>
        </a:ln>
      </c:spPr>
    </c:plotArea>
    <c:legend>
      <c:legendPos val="r"/>
      <c:layout>
        <c:manualLayout>
          <c:xMode val="edge"/>
          <c:yMode val="edge"/>
          <c:x val="0.89573467"/>
          <c:y val="0.3357662"/>
          <c:w val="0.094786614"/>
          <c:h val="0.12408742"/>
        </c:manualLayout>
      </c:layout>
      <c:overlay val="0"/>
      <c:spPr>
        <a:noFill/>
        <a:ln w="6350">
          <a:solidFill>
            <a:srgbClr val="000000"/>
          </a:solidFill>
          <a:prstDash val="solid"/>
        </a:ln>
      </c:spPr>
      <c:txPr>
        <a:bodyPr rot="0" spcFirstLastPara="0" vertOverflow="ellipsis" vert="horz" wrap="square" anchor="ctr" anchorCtr="1"/>
        <a:lstStyle/>
        <a:p>
          <a:pPr>
            <a:defRPr lang="zh-CN" sz="350" b="0" i="0" u="none" strike="noStrike" kern="1200" baseline="0">
              <a:solidFill>
                <a:srgbClr val="000000"/>
              </a:solidFill>
              <a:latin typeface="宋体" panose="02010600030101010101" charset="-122"/>
              <a:ea typeface="宋体" panose="02010600030101010101" charset="-122"/>
              <a:cs typeface="Lucida Sans"/>
            </a:defRPr>
          </a:pPr>
        </a:p>
      </c:txPr>
    </c:legend>
    <c:plotVisOnly val="1"/>
    <c:dispBlanksAs val="gap"/>
    <c:showDLblsOverMax val="0"/>
    <c:extLst>
      <c:ext uri="{0b15fc19-7d7d-44ad-8c2d-2c3a37ce22c3}">
        <chartProps xmlns="https://web.wps.cn/et/2018/main" chartId="{887fd90e-632b-43dd-a34d-df11a75bf078}"/>
      </c:ext>
    </c:extLst>
  </c:chart>
  <c:spPr>
    <a:noFill/>
    <a:ln w="9525" cap="flat" cmpd="sng" algn="ctr">
      <a:noFill/>
      <a:prstDash val="solid"/>
      <a:round/>
    </a:ln>
  </c:spPr>
  <c:txPr>
    <a:bodyPr/>
    <a:lstStyle/>
    <a:p>
      <a:pPr>
        <a:defRPr lang="zh-CN" sz="350" b="0" i="0" u="none" strike="noStrike" baseline="0">
          <a:solidFill>
            <a:srgbClr val="000000"/>
          </a:solidFill>
          <a:latin typeface="宋体" panose="02010600030101010101" charset="-122"/>
          <a:ea typeface="宋体" panose="02010600030101010101" charset="-122"/>
          <a:cs typeface="Lucida Sans"/>
        </a:defRPr>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0"/>
      <c:depthPercent val="100"/>
      <c:rAngAx val="0"/>
      <c:hPercent val="100"/>
      <c:perspective val="0"/>
    </c:view3D>
    <c:floor>
      <c:thickness val="0"/>
      <c:spPr>
        <a:ln>
          <a:noFill/>
        </a:ln>
      </c:spPr>
    </c:floor>
    <c:sideWall>
      <c:thickness val="0"/>
      <c:spPr>
        <a:ln>
          <a:noFill/>
        </a:ln>
      </c:spPr>
    </c:sideWall>
    <c:backWall>
      <c:thickness val="0"/>
      <c:spPr>
        <a:solidFill>
          <a:srgbClr val="C0C0C0"/>
        </a:solidFill>
        <a:ln w="6350">
          <a:solidFill>
            <a:srgbClr val="808080"/>
          </a:solidFill>
          <a:prstDash val="solid"/>
        </a:ln>
      </c:spPr>
    </c:backWall>
    <c:plotArea>
      <c:layout>
        <c:manualLayout>
          <c:layoutTarget val="inner"/>
          <c:xMode val="edge"/>
          <c:yMode val="edge"/>
          <c:x val="0.0026990497"/>
          <c:y val="0.41349956"/>
          <c:w val="0.6386871"/>
          <c:h val="0.48234645"/>
        </c:manualLayout>
      </c:layout>
      <c:pie3DChart>
        <c:varyColors val="1"/>
        <c:ser>
          <c:idx val="0"/>
          <c:order val="0"/>
          <c:tx>
            <c:strRef>
              <c:f>工作表465538!$A$2</c:f>
              <c:strCache>
                <c:ptCount val="1"/>
                <c:pt idx="0">
                  <c:v>比例</c:v>
                </c:pt>
              </c:strCache>
            </c:strRef>
          </c:tx>
          <c:spPr>
            <a:solidFill>
              <a:srgbClr val="4F81BD"/>
            </a:solidFill>
          </c:spPr>
          <c:explosion val="0"/>
          <c:dPt>
            <c:idx val="0"/>
            <c:bubble3D val="0"/>
            <c:spPr>
              <a:solidFill>
                <a:srgbClr val="4F81BD"/>
              </a:solidFill>
            </c:spPr>
          </c:dPt>
          <c:dPt>
            <c:idx val="1"/>
            <c:bubble3D val="0"/>
            <c:spPr>
              <a:solidFill>
                <a:srgbClr val="C0504D"/>
              </a:solidFill>
            </c:spPr>
          </c:dPt>
          <c:dLbls>
            <c:dLbl>
              <c:idx val="0"/>
              <c:delete val="1"/>
            </c:dLbl>
            <c:dLbl>
              <c:idx val="1"/>
              <c:delete val="1"/>
            </c:dLbl>
            <c:numFmt formatCode="0%" sourceLinked="1"/>
            <c:spPr>
              <a:noFill/>
              <a:ln>
                <a:noFill/>
              </a:ln>
              <a:effectLst/>
            </c:spPr>
            <c:txPr>
              <a:bodyPr rot="0" spcFirstLastPara="0" vertOverflow="ellipsis" vert="horz" wrap="square" lIns="38100" tIns="19050" rIns="38100" bIns="19050" anchor="ctr" anchorCtr="1"/>
              <a:lstStyle/>
              <a:p>
                <a:pPr>
                  <a:defRPr lang="zh-CN" sz="400" b="0" i="0" u="none" strike="noStrike" kern="1200" baseline="0">
                    <a:solidFill>
                      <a:srgbClr val="000000"/>
                    </a:solidFill>
                    <a:latin typeface="宋体" panose="02010600030101010101" charset="-122"/>
                    <a:ea typeface="宋体" panose="02010600030101010101" charset="-122"/>
                    <a:cs typeface="Lucida Sans"/>
                  </a:defRPr>
                </a:pPr>
              </a:p>
            </c:txPr>
            <c:dLblPos val="bestFit"/>
            <c:showLegendKey val="0"/>
            <c:showVal val="0"/>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工作表465538!$B$1:$C$1</c:f>
              <c:strCache>
                <c:ptCount val="2"/>
                <c:pt idx="0">
                  <c:v>财政拨款收入</c:v>
                </c:pt>
                <c:pt idx="1">
                  <c:v>其他收入</c:v>
                </c:pt>
              </c:strCache>
            </c:strRef>
          </c:cat>
          <c:val>
            <c:numRef>
              <c:f>工作表465538!$B$2:$C$2</c:f>
              <c:numCache>
                <c:formatCode>0%</c:formatCode>
                <c:ptCount val="2"/>
                <c:pt idx="0">
                  <c:v>1</c:v>
                </c:pt>
                <c:pt idx="1">
                  <c:v>0</c:v>
                </c:pt>
              </c:numCache>
            </c:numRef>
          </c:val>
        </c:ser>
        <c:dLbls>
          <c:showLegendKey val="0"/>
          <c:showVal val="0"/>
          <c:showCatName val="0"/>
          <c:showSerName val="0"/>
          <c:showPercent val="0"/>
          <c:showBubbleSize val="0"/>
        </c:dLbls>
      </c:pie3DChart>
      <c:spPr>
        <a:solidFill>
          <a:srgbClr val="C0C0C0"/>
        </a:solidFill>
        <a:ln w="6350">
          <a:solidFill>
            <a:srgbClr val="808080"/>
          </a:solidFill>
          <a:prstDash val="solid"/>
        </a:ln>
      </c:spPr>
    </c:plotArea>
    <c:legend>
      <c:legendPos val="r"/>
      <c:layout>
        <c:manualLayout>
          <c:xMode val="edge"/>
          <c:yMode val="edge"/>
          <c:x val="0.6670126"/>
          <c:y val="0.5463132"/>
          <c:w val="0.29484022"/>
          <c:h val="0.20560771"/>
        </c:manualLayout>
      </c:layout>
      <c:overlay val="0"/>
      <c:spPr>
        <a:noFill/>
        <a:ln w="6350">
          <a:solidFill>
            <a:srgbClr val="000000"/>
          </a:solidFill>
          <a:prstDash val="solid"/>
        </a:ln>
      </c:spPr>
      <c:txPr>
        <a:bodyPr rot="0" spcFirstLastPara="0" vertOverflow="ellipsis" vert="horz" wrap="square" anchor="ctr" anchorCtr="1"/>
        <a:lstStyle/>
        <a:p>
          <a:pPr>
            <a:defRPr lang="zh-CN" sz="350" b="0" i="0" u="none" strike="noStrike" kern="1200" baseline="0">
              <a:solidFill>
                <a:srgbClr val="000000"/>
              </a:solidFill>
              <a:latin typeface="宋体" panose="02010600030101010101" charset="-122"/>
              <a:ea typeface="宋体" panose="02010600030101010101" charset="-122"/>
              <a:cs typeface="Lucida Sans"/>
            </a:defRPr>
          </a:pPr>
        </a:p>
      </c:txPr>
    </c:legend>
    <c:plotVisOnly val="1"/>
    <c:dispBlanksAs val="zero"/>
    <c:showDLblsOverMax val="0"/>
    <c:extLst>
      <c:ext uri="{0b15fc19-7d7d-44ad-8c2d-2c3a37ce22c3}">
        <chartProps xmlns="https://web.wps.cn/et/2018/main" chartId="{8966a442-5bf8-4370-88d5-04c373a97585}"/>
      </c:ext>
    </c:extLst>
  </c:chart>
  <c:spPr>
    <a:noFill/>
    <a:ln w="9525" cap="flat" cmpd="sng" algn="ctr">
      <a:noFill/>
      <a:prstDash val="solid"/>
      <a:round/>
    </a:ln>
  </c:spPr>
  <c:txPr>
    <a:bodyPr/>
    <a:lstStyle/>
    <a:p>
      <a:pPr>
        <a:defRPr lang="zh-CN" sz="400" b="0" i="0" u="none" strike="noStrike" baseline="0">
          <a:solidFill>
            <a:srgbClr val="000000"/>
          </a:solidFill>
          <a:latin typeface="宋体" panose="02010600030101010101" charset="-122"/>
          <a:ea typeface="宋体" panose="02010600030101010101" charset="-122"/>
          <a:cs typeface="Lucida Sans"/>
        </a:defRPr>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0"/>
      <c:depthPercent val="100"/>
      <c:rAngAx val="0"/>
      <c:hPercent val="100"/>
      <c:perspective val="0"/>
    </c:view3D>
    <c:floor>
      <c:thickness val="0"/>
      <c:spPr>
        <a:ln>
          <a:noFill/>
        </a:ln>
      </c:spPr>
    </c:floor>
    <c:sideWall>
      <c:thickness val="0"/>
      <c:spPr>
        <a:ln>
          <a:noFill/>
        </a:ln>
      </c:spPr>
    </c:sideWall>
    <c:backWall>
      <c:thickness val="0"/>
      <c:spPr>
        <a:solidFill>
          <a:srgbClr val="C0C0C0"/>
        </a:solidFill>
        <a:ln w="6350">
          <a:solidFill>
            <a:srgbClr val="808080"/>
          </a:solidFill>
          <a:prstDash val="solid"/>
        </a:ln>
      </c:spPr>
    </c:backWall>
    <c:plotArea>
      <c:layout>
        <c:manualLayout>
          <c:layoutTarget val="inner"/>
          <c:xMode val="edge"/>
          <c:yMode val="edge"/>
          <c:x val="0.08043711"/>
          <c:y val="0.45794392"/>
          <c:w val="0.50193185"/>
          <c:h val="0.38166764"/>
        </c:manualLayout>
      </c:layout>
      <c:pie3DChart>
        <c:varyColors val="1"/>
        <c:ser>
          <c:idx val="0"/>
          <c:order val="0"/>
          <c:tx>
            <c:strRef>
              <c:f>工作表465539!$A$2</c:f>
              <c:strCache>
                <c:ptCount val="1"/>
                <c:pt idx="0">
                  <c:v>比例</c:v>
                </c:pt>
              </c:strCache>
            </c:strRef>
          </c:tx>
          <c:spPr>
            <a:solidFill>
              <a:srgbClr val="4F81BD"/>
            </a:solidFill>
          </c:spPr>
          <c:explosion val="0"/>
          <c:dPt>
            <c:idx val="0"/>
            <c:bubble3D val="0"/>
            <c:spPr>
              <a:solidFill>
                <a:srgbClr val="4F81BD"/>
              </a:solidFill>
            </c:spPr>
          </c:dPt>
          <c:dPt>
            <c:idx val="1"/>
            <c:bubble3D val="0"/>
            <c:spPr>
              <a:solidFill>
                <a:srgbClr val="C0504D"/>
              </a:solidFill>
            </c:spPr>
          </c:dPt>
          <c:dLbls>
            <c:numFmt formatCode="0.00%" sourceLinked="1"/>
            <c:spPr>
              <a:noFill/>
              <a:ln>
                <a:noFill/>
              </a:ln>
              <a:effectLst/>
            </c:spPr>
            <c:txPr>
              <a:bodyPr rot="0" spcFirstLastPara="0" vertOverflow="ellipsis" vert="horz" wrap="square" lIns="38100" tIns="19050" rIns="38100" bIns="19050" anchor="ctr" anchorCtr="1"/>
              <a:lstStyle/>
              <a:p>
                <a:pPr>
                  <a:defRPr lang="zh-CN" sz="350" b="0" i="0" u="none" strike="noStrike" kern="1200" baseline="0">
                    <a:solidFill>
                      <a:srgbClr val="000000"/>
                    </a:solidFill>
                    <a:latin typeface="宋体" panose="02010600030101010101" charset="-122"/>
                    <a:ea typeface="宋体" panose="02010600030101010101" charset="-122"/>
                    <a:cs typeface="Lucida San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工作表465539!$B$1:$C$1</c:f>
              <c:strCache>
                <c:ptCount val="2"/>
                <c:pt idx="0">
                  <c:v>基本支出</c:v>
                </c:pt>
                <c:pt idx="1">
                  <c:v>项目支出</c:v>
                </c:pt>
              </c:strCache>
            </c:strRef>
          </c:cat>
          <c:val>
            <c:numRef>
              <c:f>工作表465539!$B$2:$C$2</c:f>
              <c:numCache>
                <c:formatCode>0.00%</c:formatCode>
                <c:ptCount val="2"/>
                <c:pt idx="0">
                  <c:v>0.8122</c:v>
                </c:pt>
                <c:pt idx="1">
                  <c:v>0.1878</c:v>
                </c:pt>
              </c:numCache>
            </c:numRef>
          </c:val>
        </c:ser>
        <c:dLbls>
          <c:showLegendKey val="0"/>
          <c:showVal val="1"/>
          <c:showCatName val="0"/>
          <c:showSerName val="0"/>
          <c:showPercent val="0"/>
          <c:showBubbleSize val="0"/>
        </c:dLbls>
      </c:pie3DChart>
      <c:spPr>
        <a:solidFill>
          <a:srgbClr val="C0C0C0"/>
        </a:solidFill>
        <a:ln w="6350">
          <a:solidFill>
            <a:srgbClr val="808080"/>
          </a:solidFill>
          <a:prstDash val="solid"/>
        </a:ln>
      </c:spPr>
    </c:plotArea>
    <c:legend>
      <c:legendPos val="r"/>
      <c:layout>
        <c:manualLayout>
          <c:xMode val="edge"/>
          <c:yMode val="edge"/>
          <c:x val="0.6224711"/>
          <c:y val="0.497939"/>
          <c:w val="0.29484022"/>
          <c:h val="0.20560771"/>
        </c:manualLayout>
      </c:layout>
      <c:overlay val="0"/>
      <c:spPr>
        <a:noFill/>
        <a:ln w="6350">
          <a:solidFill>
            <a:srgbClr val="000000"/>
          </a:solidFill>
          <a:prstDash val="solid"/>
        </a:ln>
      </c:spPr>
      <c:txPr>
        <a:bodyPr rot="0" spcFirstLastPara="0" vertOverflow="ellipsis" vert="horz" wrap="square" anchor="ctr" anchorCtr="1"/>
        <a:lstStyle/>
        <a:p>
          <a:pPr>
            <a:defRPr lang="zh-CN" sz="300" b="0" i="0" u="none" strike="noStrike" kern="1200" baseline="0">
              <a:solidFill>
                <a:srgbClr val="000000"/>
              </a:solidFill>
              <a:latin typeface="宋体" panose="02010600030101010101" charset="-122"/>
              <a:ea typeface="宋体" panose="02010600030101010101" charset="-122"/>
              <a:cs typeface="Lucida Sans"/>
            </a:defRPr>
          </a:pPr>
        </a:p>
      </c:txPr>
    </c:legend>
    <c:plotVisOnly val="1"/>
    <c:dispBlanksAs val="zero"/>
    <c:showDLblsOverMax val="0"/>
    <c:extLst>
      <c:ext uri="{0b15fc19-7d7d-44ad-8c2d-2c3a37ce22c3}">
        <chartProps xmlns="https://web.wps.cn/et/2018/main" chartId="{af24c46b-68f4-4318-9657-cb7a38d7ae0f}"/>
      </c:ext>
    </c:extLst>
  </c:chart>
  <c:spPr>
    <a:noFill/>
    <a:ln w="9525" cap="flat" cmpd="sng" algn="ctr">
      <a:noFill/>
      <a:prstDash val="solid"/>
      <a:round/>
    </a:ln>
  </c:spPr>
  <c:txPr>
    <a:bodyPr/>
    <a:lstStyle/>
    <a:p>
      <a:pPr>
        <a:defRPr lang="zh-CN" sz="350" b="0" i="0" u="none" strike="noStrike" baseline="0">
          <a:solidFill>
            <a:srgbClr val="000000"/>
          </a:solidFill>
          <a:latin typeface="宋体" panose="02010600030101010101" charset="-122"/>
          <a:ea typeface="宋体" panose="02010600030101010101" charset="-122"/>
          <a:cs typeface="Lucida Sans"/>
        </a:defRPr>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693877"/>
          <c:y val="0.13725491"/>
          <c:w val="0.74489796"/>
          <c:h val="0.5751634"/>
        </c:manualLayout>
      </c:layout>
      <c:barChart>
        <c:barDir val="col"/>
        <c:grouping val="clustered"/>
        <c:varyColors val="0"/>
        <c:ser>
          <c:idx val="0"/>
          <c:order val="0"/>
          <c:tx>
            <c:strRef>
              <c:f>工作表465540!$A$2</c:f>
              <c:strCache>
                <c:ptCount val="1"/>
                <c:pt idx="0">
                  <c:v>金额(万元)</c:v>
                </c:pt>
              </c:strCache>
            </c:strRef>
          </c:tx>
          <c:invertIfNegative val="0"/>
          <c:dLbls>
            <c:delete val="1"/>
          </c:dLbls>
          <c:cat>
            <c:strRef>
              <c:f>工作表465540!$B$1:$C$1</c:f>
              <c:strCache>
                <c:ptCount val="2"/>
                <c:pt idx="0">
                  <c:v>2021年财政拨款收支</c:v>
                </c:pt>
                <c:pt idx="1">
                  <c:v>2022年财政拨款收支</c:v>
                </c:pt>
              </c:strCache>
            </c:strRef>
          </c:cat>
          <c:val>
            <c:numRef>
              <c:f>工作表465540!$B$2:$C$2</c:f>
              <c:numCache>
                <c:formatCode>General</c:formatCode>
                <c:ptCount val="2"/>
                <c:pt idx="0">
                  <c:v>1870.84</c:v>
                </c:pt>
                <c:pt idx="1" c:formatCode="#,##0.00">
                  <c:v>1749.29</c:v>
                </c:pt>
              </c:numCache>
            </c:numRef>
          </c:val>
        </c:ser>
        <c:dLbls>
          <c:showLegendKey val="0"/>
          <c:showVal val="0"/>
          <c:showCatName val="0"/>
          <c:showSerName val="0"/>
          <c:showPercent val="0"/>
          <c:showBubbleSize val="0"/>
        </c:dLbls>
        <c:gapWidth val="150"/>
        <c:axId val="0"/>
        <c:axId val="1"/>
      </c:barChart>
      <c:catAx>
        <c:axId val="0"/>
        <c:scaling>
          <c:orientation val="minMax"/>
        </c:scaling>
        <c:delete val="0"/>
        <c:axPos val="b"/>
        <c:numFmt formatCode="General" sourceLinked="0"/>
        <c:majorTickMark val="in"/>
        <c:minorTickMark val="none"/>
        <c:tickLblPos val="nextTo"/>
        <c:spPr>
          <a:ln w="6350" cap="flat" cmpd="sng" algn="ctr">
            <a:solidFill>
              <a:srgbClr val="000000"/>
            </a:solidFill>
            <a:prstDash val="solid"/>
            <a:round/>
          </a:ln>
        </c:spPr>
        <c:txPr>
          <a:bodyPr rot="0" spcFirstLastPara="0" vertOverflow="ellipsis" vert="horz" wrap="square" anchor="t" anchorCtr="0"/>
          <a:lstStyle/>
          <a:p>
            <a:pPr>
              <a:defRPr lang="zh-CN" sz="400" b="0" i="0" u="none" strike="noStrike" kern="1200" baseline="0">
                <a:solidFill>
                  <a:srgbClr val="000000"/>
                </a:solidFill>
                <a:latin typeface="宋体" panose="02010600030101010101" charset="-122"/>
                <a:ea typeface="宋体" panose="02010600030101010101" charset="-122"/>
                <a:cs typeface="Lucida Sans"/>
              </a:defRPr>
            </a:pPr>
          </a:p>
        </c:txPr>
        <c:crossAx val="1"/>
        <c:crosses val="autoZero"/>
        <c:auto val="1"/>
        <c:lblAlgn val="ctr"/>
        <c:lblOffset val="100"/>
        <c:noMultiLvlLbl val="0"/>
      </c:catAx>
      <c:valAx>
        <c:axId val="1"/>
        <c:scaling>
          <c:orientation val="minMax"/>
        </c:scaling>
        <c:delete val="0"/>
        <c:axPos val="l"/>
        <c:majorGridlines>
          <c:spPr>
            <a:ln w="6350" cap="flat" cmpd="sng" algn="ctr">
              <a:solidFill>
                <a:srgbClr val="000000"/>
              </a:solidFill>
              <a:prstDash val="solid"/>
              <a:round/>
            </a:ln>
          </c:spPr>
        </c:majorGridlines>
        <c:title>
          <c:tx>
            <c:rich>
              <a:bodyPr rot="-5400000" spcFirstLastPara="0" vertOverflow="ellipsis" vert="horz" wrap="square" anchor="ctr" anchorCtr="1"/>
              <a:lstStyle/>
              <a:p>
                <a:pPr>
                  <a:defRPr lang="zh-CN" sz="400" b="0" i="0" u="none" strike="noStrike" kern="1200" baseline="0">
                    <a:solidFill>
                      <a:srgbClr val="000000"/>
                    </a:solidFill>
                    <a:latin typeface="宋体" panose="02010600030101010101" charset="-122"/>
                    <a:ea typeface="宋体" panose="02010600030101010101" charset="-122"/>
                    <a:cs typeface="Lucida Sans"/>
                  </a:defRPr>
                </a:pPr>
                <a:r>
                  <a:rPr lang="zh-CN"/>
                  <a:t>单位：万元</a:t>
                </a:r>
                <a:endParaRPr lang="zh-CN"/>
              </a:p>
            </c:rich>
          </c:tx>
          <c:layout>
            <c:manualLayout>
              <c:xMode val="edge"/>
              <c:yMode val="edge"/>
              <c:x val="0.022449017"/>
              <c:y val="0.24852055"/>
            </c:manualLayout>
          </c:layout>
          <c:overlay val="0"/>
          <c:spPr>
            <a:noFill/>
            <a:ln>
              <a:noFill/>
            </a:ln>
          </c:spPr>
        </c:title>
        <c:numFmt formatCode="General" sourceLinked="1"/>
        <c:majorTickMark val="in"/>
        <c:minorTickMark val="none"/>
        <c:tickLblPos val="nextTo"/>
        <c:spPr>
          <a:ln w="6350" cap="flat" cmpd="sng" algn="ctr">
            <a:solidFill>
              <a:srgbClr val="000000"/>
            </a:solidFill>
            <a:prstDash val="solid"/>
            <a:round/>
          </a:ln>
        </c:spPr>
        <c:txPr>
          <a:bodyPr rot="0" spcFirstLastPara="0" vertOverflow="ellipsis" vert="horz" wrap="square" anchor="t" anchorCtr="0"/>
          <a:lstStyle/>
          <a:p>
            <a:pPr>
              <a:defRPr lang="zh-CN" sz="400" b="0" i="0" u="none" strike="noStrike" kern="1200" baseline="0">
                <a:solidFill>
                  <a:srgbClr val="000000"/>
                </a:solidFill>
                <a:latin typeface="宋体" panose="02010600030101010101" charset="-122"/>
                <a:ea typeface="宋体" panose="02010600030101010101" charset="-122"/>
                <a:cs typeface="Lucida Sans"/>
              </a:defRPr>
            </a:pPr>
          </a:p>
        </c:txPr>
        <c:crossAx val="0"/>
        <c:crossesAt val="1"/>
        <c:crossBetween val="between"/>
      </c:valAx>
      <c:dTable>
        <c:showHorzBorder val="1"/>
        <c:showVertBorder val="1"/>
        <c:showOutline val="1"/>
        <c:showKeys val="1"/>
        <c:spPr>
          <a:ln w="6350" cap="flat" cmpd="sng" algn="ctr">
            <a:solidFill>
              <a:srgbClr val="000000"/>
            </a:solidFill>
            <a:prstDash val="solid"/>
            <a:round/>
          </a:ln>
        </c:spPr>
        <c:txPr>
          <a:bodyPr rot="0" spcFirstLastPara="0" vertOverflow="ellipsis" vert="horz" wrap="square" anchor="ctr" anchorCtr="1"/>
          <a:lstStyle/>
          <a:p>
            <a:pPr>
              <a:defRPr lang="zh-CN" sz="400" b="0" i="0" u="none" strike="noStrike" kern="1200" baseline="0">
                <a:solidFill>
                  <a:srgbClr val="000000"/>
                </a:solidFill>
                <a:latin typeface="宋体" panose="02010600030101010101" charset="-122"/>
                <a:ea typeface="宋体" panose="02010600030101010101" charset="-122"/>
                <a:cs typeface="Lucida Sans"/>
              </a:defRPr>
            </a:pPr>
          </a:p>
        </c:txPr>
      </c:dTable>
      <c:spPr>
        <a:solidFill>
          <a:srgbClr val="C0C0C0"/>
        </a:solidFill>
        <a:ln w="6350">
          <a:solidFill>
            <a:srgbClr val="808080"/>
          </a:solidFill>
          <a:prstDash val="solid"/>
        </a:ln>
      </c:spPr>
    </c:plotArea>
    <c:legend>
      <c:legendPos val="r"/>
      <c:layout>
        <c:manualLayout>
          <c:xMode val="edge"/>
          <c:yMode val="edge"/>
          <c:x val="0.9102041"/>
          <c:y val="0.3594768"/>
          <c:w val="0.08163268"/>
          <c:h val="0.11111111"/>
        </c:manualLayout>
      </c:layout>
      <c:overlay val="0"/>
      <c:spPr>
        <a:noFill/>
        <a:ln w="6350">
          <a:solidFill>
            <a:srgbClr val="000000"/>
          </a:solidFill>
          <a:prstDash val="solid"/>
        </a:ln>
      </c:spPr>
      <c:txPr>
        <a:bodyPr rot="0" spcFirstLastPara="0" vertOverflow="ellipsis" vert="horz" wrap="square" anchor="ctr" anchorCtr="1"/>
        <a:lstStyle/>
        <a:p>
          <a:pPr>
            <a:defRPr lang="zh-CN" sz="350" b="0" i="0" u="none" strike="noStrike" kern="1200" baseline="0">
              <a:solidFill>
                <a:srgbClr val="000000"/>
              </a:solidFill>
              <a:latin typeface="宋体" panose="02010600030101010101" charset="-122"/>
              <a:ea typeface="宋体" panose="02010600030101010101" charset="-122"/>
              <a:cs typeface="Lucida Sans"/>
            </a:defRPr>
          </a:pPr>
        </a:p>
      </c:txPr>
    </c:legend>
    <c:plotVisOnly val="1"/>
    <c:dispBlanksAs val="gap"/>
    <c:showDLblsOverMax val="0"/>
    <c:extLst>
      <c:ext uri="{0b15fc19-7d7d-44ad-8c2d-2c3a37ce22c3}">
        <chartProps xmlns="https://web.wps.cn/et/2018/main" chartId="{5f952aa3-b7dd-4fe7-b269-22950b83743e}"/>
      </c:ext>
    </c:extLst>
  </c:chart>
  <c:spPr>
    <a:noFill/>
    <a:ln w="9525" cap="flat" cmpd="sng" algn="ctr">
      <a:noFill/>
      <a:prstDash val="solid"/>
      <a:round/>
    </a:ln>
  </c:spPr>
  <c:txPr>
    <a:bodyPr/>
    <a:lstStyle/>
    <a:p>
      <a:pPr>
        <a:defRPr lang="zh-CN" sz="400" b="0" i="0" u="none" strike="noStrike" baseline="0">
          <a:solidFill>
            <a:srgbClr val="000000"/>
          </a:solidFill>
          <a:latin typeface="宋体" panose="02010600030101010101" charset="-122"/>
          <a:ea typeface="宋体" panose="02010600030101010101" charset="-122"/>
          <a:cs typeface="Lucida Sans"/>
        </a:defRPr>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673913"/>
          <c:y val="0.090361446"/>
          <c:w val="0.70869565"/>
          <c:h val="0.60240966"/>
        </c:manualLayout>
      </c:layout>
      <c:barChart>
        <c:barDir val="col"/>
        <c:grouping val="clustered"/>
        <c:varyColors val="0"/>
        <c:ser>
          <c:idx val="0"/>
          <c:order val="0"/>
          <c:tx>
            <c:strRef>
              <c:f>工作表465541!$A$2</c:f>
              <c:strCache>
                <c:ptCount val="1"/>
                <c:pt idx="0">
                  <c:v>金额(万元)</c:v>
                </c:pt>
              </c:strCache>
            </c:strRef>
          </c:tx>
          <c:spPr>
            <a:solidFill>
              <a:srgbClr val="4F81BD"/>
            </a:solidFill>
          </c:spPr>
          <c:invertIfNegative val="0"/>
          <c:dLbls>
            <c:dLbl>
              <c:idx val="0"/>
              <c:delete val="1"/>
            </c:dLbl>
            <c:dLbl>
              <c:idx val="1"/>
              <c:delete val="1"/>
            </c:dLbl>
            <c:numFmt formatCode="General" sourceLinked="1"/>
            <c:spPr>
              <a:noFill/>
              <a:ln>
                <a:noFill/>
              </a:ln>
              <a:effectLst/>
            </c:spPr>
            <c:txPr>
              <a:bodyPr rot="0" spcFirstLastPara="0" vertOverflow="ellipsis" vert="horz" wrap="square" lIns="38100" tIns="19050" rIns="38100" bIns="19050" anchor="ctr" anchorCtr="1"/>
              <a:lstStyle/>
              <a:p>
                <a:pPr>
                  <a:defRPr lang="zh-CN" sz="550" b="0" i="0" u="none" strike="noStrike" kern="1200" baseline="0">
                    <a:solidFill>
                      <a:srgbClr val="000000"/>
                    </a:solidFill>
                    <a:latin typeface="宋体" panose="02010600030101010101" charset="-122"/>
                    <a:ea typeface="宋体" panose="02010600030101010101" charset="-122"/>
                    <a:cs typeface="Lucida Sans"/>
                  </a:defRPr>
                </a:pPr>
              </a:p>
            </c:txPr>
            <c:dLblPos val="outEnd"/>
            <c:showLegendKey val="0"/>
            <c:showVal val="0"/>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工作表465541!$B$1:$C$1</c:f>
              <c:strCache>
                <c:ptCount val="2"/>
                <c:pt idx="0">
                  <c:v>2021年财政拨款支出</c:v>
                </c:pt>
                <c:pt idx="1">
                  <c:v>2022年财政拨款支出</c:v>
                </c:pt>
              </c:strCache>
            </c:strRef>
          </c:cat>
          <c:val>
            <c:numRef>
              <c:f>工作表465541!$B$2:$C$2</c:f>
              <c:numCache>
                <c:formatCode>General</c:formatCode>
                <c:ptCount val="2"/>
                <c:pt idx="0">
                  <c:v>1870.84</c:v>
                </c:pt>
                <c:pt idx="1" c:formatCode="#,##0.00">
                  <c:v>1749.29</c:v>
                </c:pt>
              </c:numCache>
            </c:numRef>
          </c:val>
        </c:ser>
        <c:dLbls>
          <c:showLegendKey val="0"/>
          <c:showVal val="0"/>
          <c:showCatName val="0"/>
          <c:showSerName val="0"/>
          <c:showPercent val="0"/>
          <c:showBubbleSize val="0"/>
        </c:dLbls>
        <c:gapWidth val="150"/>
        <c:axId val="0"/>
        <c:axId val="1"/>
      </c:barChart>
      <c:catAx>
        <c:axId val="0"/>
        <c:scaling>
          <c:orientation val="minMax"/>
        </c:scaling>
        <c:delete val="0"/>
        <c:axPos val="b"/>
        <c:numFmt formatCode="General" sourceLinked="0"/>
        <c:majorTickMark val="in"/>
        <c:minorTickMark val="none"/>
        <c:tickLblPos val="nextTo"/>
        <c:spPr>
          <a:ln w="6350" cap="flat" cmpd="sng" algn="ctr">
            <a:solidFill>
              <a:srgbClr val="000000"/>
            </a:solidFill>
            <a:prstDash val="solid"/>
            <a:round/>
          </a:ln>
        </c:spPr>
        <c:txPr>
          <a:bodyPr rot="0" spcFirstLastPara="0" vertOverflow="ellipsis" vert="horz" wrap="square" anchor="t" anchorCtr="0"/>
          <a:lstStyle/>
          <a:p>
            <a:pPr>
              <a:defRPr lang="zh-CN" sz="550" b="0" i="0" u="none" strike="noStrike" kern="1200" baseline="0">
                <a:solidFill>
                  <a:srgbClr val="000000"/>
                </a:solidFill>
                <a:latin typeface="宋体" panose="02010600030101010101" charset="-122"/>
                <a:ea typeface="宋体" panose="02010600030101010101" charset="-122"/>
                <a:cs typeface="Lucida Sans"/>
              </a:defRPr>
            </a:pPr>
          </a:p>
        </c:txPr>
        <c:crossAx val="1"/>
        <c:crosses val="autoZero"/>
        <c:auto val="1"/>
        <c:lblAlgn val="ctr"/>
        <c:lblOffset val="100"/>
        <c:noMultiLvlLbl val="0"/>
      </c:catAx>
      <c:valAx>
        <c:axId val="1"/>
        <c:scaling>
          <c:orientation val="minMax"/>
        </c:scaling>
        <c:delete val="0"/>
        <c:axPos val="l"/>
        <c:title>
          <c:tx>
            <c:rich>
              <a:bodyPr rot="-5400000" spcFirstLastPara="0" vertOverflow="ellipsis" vert="horz" wrap="square" anchor="ctr" anchorCtr="1"/>
              <a:lstStyle/>
              <a:p>
                <a:pPr>
                  <a:defRPr lang="zh-CN" sz="550" b="0" i="0" u="none" strike="noStrike" kern="1200" baseline="0">
                    <a:solidFill>
                      <a:srgbClr val="000000"/>
                    </a:solidFill>
                    <a:latin typeface="宋体" panose="02010600030101010101" charset="-122"/>
                    <a:ea typeface="宋体" panose="02010600030101010101" charset="-122"/>
                    <a:cs typeface="Lucida Sans"/>
                  </a:defRPr>
                </a:pPr>
                <a:r>
                  <a:rPr lang="zh-CN"/>
                  <a:t>单位：万元</a:t>
                </a:r>
                <a:endParaRPr lang="zh-CN"/>
              </a:p>
            </c:rich>
          </c:tx>
          <c:layout>
            <c:manualLayout>
              <c:xMode val="edge"/>
              <c:yMode val="edge"/>
              <c:x val="0.023912981"/>
              <c:y val="0.24175835"/>
            </c:manualLayout>
          </c:layout>
          <c:overlay val="0"/>
          <c:spPr>
            <a:noFill/>
            <a:ln>
              <a:noFill/>
            </a:ln>
          </c:spPr>
        </c:title>
        <c:numFmt formatCode="General" sourceLinked="1"/>
        <c:majorTickMark val="in"/>
        <c:minorTickMark val="none"/>
        <c:tickLblPos val="nextTo"/>
        <c:spPr>
          <a:ln w="6350" cap="flat" cmpd="sng" algn="ctr">
            <a:solidFill>
              <a:srgbClr val="000000"/>
            </a:solidFill>
            <a:prstDash val="solid"/>
            <a:round/>
          </a:ln>
        </c:spPr>
        <c:txPr>
          <a:bodyPr rot="0" spcFirstLastPara="0" vertOverflow="ellipsis" vert="horz" wrap="square" anchor="t" anchorCtr="0"/>
          <a:lstStyle/>
          <a:p>
            <a:pPr>
              <a:defRPr lang="zh-CN" sz="550" b="0" i="0" u="none" strike="noStrike" kern="1200" baseline="0">
                <a:solidFill>
                  <a:srgbClr val="000000"/>
                </a:solidFill>
                <a:latin typeface="宋体" panose="02010600030101010101" charset="-122"/>
                <a:ea typeface="宋体" panose="02010600030101010101" charset="-122"/>
                <a:cs typeface="Lucida Sans"/>
              </a:defRPr>
            </a:pPr>
          </a:p>
        </c:txPr>
        <c:crossAx val="0"/>
        <c:crossesAt val="1"/>
        <c:crossBetween val="between"/>
      </c:valAx>
      <c:dTable>
        <c:showHorzBorder val="1"/>
        <c:showVertBorder val="1"/>
        <c:showOutline val="1"/>
        <c:showKeys val="1"/>
        <c:spPr>
          <a:ln w="6350" cap="flat" cmpd="sng" algn="ctr">
            <a:solidFill>
              <a:srgbClr val="000000"/>
            </a:solidFill>
            <a:prstDash val="solid"/>
            <a:round/>
          </a:ln>
        </c:spPr>
        <c:txPr>
          <a:bodyPr rot="0" spcFirstLastPara="0" vertOverflow="ellipsis" vert="horz" wrap="square" anchor="ctr" anchorCtr="1"/>
          <a:lstStyle/>
          <a:p>
            <a:pPr>
              <a:defRPr lang="zh-CN" sz="550" b="0" i="0" u="none" strike="noStrike" kern="1200" baseline="0">
                <a:solidFill>
                  <a:srgbClr val="000000"/>
                </a:solidFill>
                <a:latin typeface="宋体" panose="02010600030101010101" charset="-122"/>
                <a:ea typeface="宋体" panose="02010600030101010101" charset="-122"/>
                <a:cs typeface="Lucida Sans"/>
              </a:defRPr>
            </a:pPr>
          </a:p>
        </c:txPr>
      </c:dTable>
      <c:spPr>
        <a:solidFill>
          <a:srgbClr val="C0C0C0"/>
        </a:solidFill>
        <a:ln w="6350">
          <a:solidFill>
            <a:srgbClr val="808080"/>
          </a:solidFill>
          <a:prstDash val="solid"/>
        </a:ln>
      </c:spPr>
    </c:plotArea>
    <c:legend>
      <c:legendPos val="r"/>
      <c:layout>
        <c:manualLayout>
          <c:xMode val="edge"/>
          <c:yMode val="edge"/>
          <c:x val="0.8956522"/>
          <c:y val="0.36144555"/>
          <c:w val="0.09565217"/>
          <c:h val="0.10843359"/>
        </c:manualLayout>
      </c:layout>
      <c:overlay val="0"/>
      <c:spPr>
        <a:noFill/>
        <a:ln w="6350">
          <a:solidFill>
            <a:srgbClr val="000000"/>
          </a:solidFill>
          <a:prstDash val="solid"/>
        </a:ln>
      </c:spPr>
      <c:txPr>
        <a:bodyPr rot="0" spcFirstLastPara="0" vertOverflow="ellipsis" vert="horz" wrap="square" anchor="ctr" anchorCtr="1"/>
        <a:lstStyle/>
        <a:p>
          <a:pPr>
            <a:defRPr lang="zh-CN" sz="500" b="0" i="0" u="none" strike="noStrike" kern="1200" baseline="0">
              <a:solidFill>
                <a:srgbClr val="000000"/>
              </a:solidFill>
              <a:latin typeface="宋体" panose="02010600030101010101" charset="-122"/>
              <a:ea typeface="宋体" panose="02010600030101010101" charset="-122"/>
              <a:cs typeface="Lucida Sans"/>
            </a:defRPr>
          </a:pPr>
        </a:p>
      </c:txPr>
    </c:legend>
    <c:plotVisOnly val="1"/>
    <c:dispBlanksAs val="gap"/>
    <c:showDLblsOverMax val="0"/>
    <c:extLst>
      <c:ext uri="{0b15fc19-7d7d-44ad-8c2d-2c3a37ce22c3}">
        <chartProps xmlns="https://web.wps.cn/et/2018/main" chartId="{3aa9e87f-f388-47f2-b4f6-f51cffb7b523}"/>
      </c:ext>
    </c:extLst>
  </c:chart>
  <c:spPr>
    <a:noFill/>
    <a:ln w="9525" cap="flat" cmpd="sng" algn="ctr">
      <a:noFill/>
      <a:prstDash val="solid"/>
      <a:round/>
    </a:ln>
  </c:spPr>
  <c:txPr>
    <a:bodyPr/>
    <a:lstStyle/>
    <a:p>
      <a:pPr>
        <a:defRPr lang="zh-CN" sz="550" b="0" i="0" u="none" strike="noStrike" baseline="0">
          <a:solidFill>
            <a:srgbClr val="000000"/>
          </a:solidFill>
          <a:latin typeface="宋体" panose="02010600030101010101" charset="-122"/>
          <a:ea typeface="宋体" panose="02010600030101010101" charset="-122"/>
          <a:cs typeface="Lucida Sans"/>
        </a:defRPr>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1436699"/>
          <c:y val="0.055670105"/>
          <c:w val="0.44482654"/>
          <c:h val="0.7617191"/>
        </c:manualLayout>
      </c:layout>
      <c:pieChart>
        <c:varyColors val="1"/>
        <c:ser>
          <c:idx val="0"/>
          <c:order val="0"/>
          <c:tx>
            <c:strRef>
              <c:f>工作表465542!$A$2</c:f>
              <c:strCache>
                <c:ptCount val="1"/>
                <c:pt idx="0">
                  <c:v>比例</c:v>
                </c:pt>
              </c:strCache>
            </c:strRef>
          </c:tx>
          <c:spPr>
            <a:solidFill>
              <a:srgbClr val="4F81BD"/>
            </a:solidFill>
          </c:spPr>
          <c:explosion val="0"/>
          <c:dPt>
            <c:idx val="0"/>
            <c:bubble3D val="0"/>
            <c:spPr>
              <a:solidFill>
                <a:srgbClr val="4F81BD"/>
              </a:solidFill>
            </c:spPr>
          </c:dPt>
          <c:dPt>
            <c:idx val="1"/>
            <c:bubble3D val="0"/>
            <c:spPr>
              <a:solidFill>
                <a:srgbClr val="C0504D"/>
              </a:solidFill>
            </c:spPr>
          </c:dPt>
          <c:dPt>
            <c:idx val="2"/>
            <c:bubble3D val="0"/>
            <c:spPr>
              <a:solidFill>
                <a:srgbClr val="9BBB59"/>
              </a:solidFill>
            </c:spPr>
          </c:dPt>
          <c:dPt>
            <c:idx val="3"/>
            <c:bubble3D val="0"/>
            <c:spPr>
              <a:solidFill>
                <a:srgbClr val="8064A2"/>
              </a:solidFill>
            </c:spPr>
          </c:dPt>
          <c:dLbls>
            <c:numFmt formatCode="General" sourceLinked="1"/>
            <c:spPr>
              <a:noFill/>
              <a:ln>
                <a:noFill/>
              </a:ln>
              <a:effectLst/>
            </c:spPr>
            <c:txPr>
              <a:bodyPr rot="0" spcFirstLastPara="0" vertOverflow="ellipsis" vert="horz" wrap="square" lIns="38100" tIns="19050" rIns="38100" bIns="19050" anchor="ctr" anchorCtr="1"/>
              <a:lstStyle/>
              <a:p>
                <a:pPr>
                  <a:defRPr lang="zh-CN" sz="400" b="0" i="0" u="none" strike="noStrike" kern="1200" baseline="0">
                    <a:solidFill>
                      <a:srgbClr val="000000"/>
                    </a:solidFill>
                    <a:latin typeface="宋体" panose="02010600030101010101" charset="-122"/>
                    <a:ea typeface="宋体" panose="02010600030101010101" charset="-122"/>
                    <a:cs typeface="Lucida San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工作表465542!$B$1:$E$1</c:f>
              <c:strCache>
                <c:ptCount val="4"/>
                <c:pt idx="0">
                  <c:v>公共安全支出</c:v>
                </c:pt>
                <c:pt idx="1">
                  <c:v>社会保障和就业支出</c:v>
                </c:pt>
                <c:pt idx="2">
                  <c:v>卫生健康支出</c:v>
                </c:pt>
                <c:pt idx="3">
                  <c:v>住房保障支出</c:v>
                </c:pt>
              </c:strCache>
            </c:strRef>
          </c:cat>
          <c:val>
            <c:numRef>
              <c:f>工作表465542!$B$2:$E$2</c:f>
              <c:numCache>
                <c:formatCode>0.00%</c:formatCode>
                <c:ptCount val="4"/>
                <c:pt idx="0">
                  <c:v>0.887</c:v>
                </c:pt>
                <c:pt idx="1">
                  <c:v>0.0563</c:v>
                </c:pt>
                <c:pt idx="2">
                  <c:v>0.0223</c:v>
                </c:pt>
                <c:pt idx="3">
                  <c:v>0.0344</c:v>
                </c:pt>
              </c:numCache>
            </c:numRef>
          </c:val>
        </c:ser>
        <c:dLbls>
          <c:showLegendKey val="0"/>
          <c:showVal val="1"/>
          <c:showCatName val="0"/>
          <c:showSerName val="0"/>
          <c:showPercent val="0"/>
          <c:showBubbleSize val="0"/>
          <c:showLeaderLines val="1"/>
        </c:dLbls>
        <c:firstSliceAng val="0"/>
      </c:pieChart>
      <c:spPr>
        <a:solidFill>
          <a:srgbClr val="C0C0C0"/>
        </a:solidFill>
        <a:ln w="6350">
          <a:solidFill>
            <a:srgbClr val="808080"/>
          </a:solidFill>
          <a:prstDash val="solid"/>
        </a:ln>
      </c:spPr>
    </c:plotArea>
    <c:legend>
      <c:legendPos val="r"/>
      <c:layout>
        <c:manualLayout>
          <c:xMode val="edge"/>
          <c:yMode val="edge"/>
          <c:x val="0.72708035"/>
          <c:y val="0.09347641"/>
          <c:w val="0.18652043"/>
          <c:h val="0.5158019"/>
        </c:manualLayout>
      </c:layout>
      <c:overlay val="0"/>
      <c:spPr>
        <a:noFill/>
        <a:ln w="6350">
          <a:solidFill>
            <a:srgbClr val="000000"/>
          </a:solidFill>
          <a:prstDash val="solid"/>
        </a:ln>
      </c:spPr>
      <c:txPr>
        <a:bodyPr rot="0" spcFirstLastPara="0" vertOverflow="ellipsis" vert="horz" wrap="square" anchor="ctr" anchorCtr="1"/>
        <a:lstStyle/>
        <a:p>
          <a:pPr>
            <a:defRPr lang="zh-CN" sz="350" b="0" i="0" u="none" strike="noStrike" kern="1200" baseline="0">
              <a:solidFill>
                <a:srgbClr val="000000"/>
              </a:solidFill>
              <a:latin typeface="宋体" panose="02010600030101010101" charset="-122"/>
              <a:ea typeface="宋体" panose="02010600030101010101" charset="-122"/>
              <a:cs typeface="Lucida Sans"/>
            </a:defRPr>
          </a:pPr>
        </a:p>
      </c:txPr>
    </c:legend>
    <c:plotVisOnly val="1"/>
    <c:dispBlanksAs val="zero"/>
    <c:showDLblsOverMax val="0"/>
    <c:extLst>
      <c:ext uri="{0b15fc19-7d7d-44ad-8c2d-2c3a37ce22c3}">
        <chartProps xmlns="https://web.wps.cn/et/2018/main" chartId="{9840fe80-8a2c-4799-a941-18713dc2c0dc}"/>
      </c:ext>
    </c:extLst>
  </c:chart>
  <c:spPr>
    <a:noFill/>
    <a:ln w="9525" cap="flat" cmpd="sng" algn="ctr">
      <a:noFill/>
      <a:prstDash val="solid"/>
      <a:round/>
    </a:ln>
  </c:spPr>
  <c:txPr>
    <a:bodyPr/>
    <a:lstStyle/>
    <a:p>
      <a:pPr>
        <a:defRPr lang="zh-CN" sz="400" b="0" i="0" u="none" strike="noStrike" baseline="0">
          <a:solidFill>
            <a:srgbClr val="000000"/>
          </a:solidFill>
          <a:latin typeface="宋体" panose="02010600030101010101" charset="-122"/>
          <a:ea typeface="宋体" panose="02010600030101010101" charset="-122"/>
          <a:cs typeface="Lucida Sans"/>
        </a:defRPr>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9520501"/>
          <c:y val="0.3996646"/>
          <c:w val="0.37179455"/>
          <c:h val="0.594657"/>
        </c:manualLayout>
      </c:layout>
      <c:pieChart>
        <c:varyColors val="1"/>
        <c:ser>
          <c:idx val="0"/>
          <c:order val="0"/>
          <c:tx>
            <c:strRef>
              <c:f>工作表465543!$A$2</c:f>
              <c:strCache>
                <c:ptCount val="1"/>
                <c:pt idx="0">
                  <c:v>比例</c:v>
                </c:pt>
              </c:strCache>
            </c:strRef>
          </c:tx>
          <c:spPr>
            <a:solidFill>
              <a:srgbClr val="4F81BD"/>
            </a:solidFill>
          </c:spPr>
          <c:explosion val="0"/>
          <c:dPt>
            <c:idx val="0"/>
            <c:bubble3D val="0"/>
            <c:spPr>
              <a:solidFill>
                <a:srgbClr val="4F81BD"/>
              </a:solidFill>
            </c:spPr>
          </c:dPt>
          <c:dPt>
            <c:idx val="1"/>
            <c:bubble3D val="0"/>
            <c:spPr>
              <a:solidFill>
                <a:srgbClr val="C0504D"/>
              </a:solidFill>
            </c:spPr>
          </c:dPt>
          <c:dLbls>
            <c:numFmt formatCode="General" sourceLinked="1"/>
            <c:spPr>
              <a:noFill/>
              <a:ln>
                <a:noFill/>
              </a:ln>
              <a:effectLst/>
            </c:spPr>
            <c:txPr>
              <a:bodyPr rot="0" spcFirstLastPara="0" vertOverflow="ellipsis" vert="horz" wrap="square" lIns="38100" tIns="19050" rIns="38100" bIns="19050" anchor="ctr" anchorCtr="1"/>
              <a:lstStyle/>
              <a:p>
                <a:pPr>
                  <a:defRPr lang="zh-CN" sz="300" b="0" i="0" u="none" strike="noStrike" kern="1200" baseline="0">
                    <a:solidFill>
                      <a:srgbClr val="000000"/>
                    </a:solidFill>
                    <a:latin typeface="宋体" panose="02010600030101010101" charset="-122"/>
                    <a:ea typeface="宋体" panose="02010600030101010101" charset="-122"/>
                    <a:cs typeface="Lucida San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工作表465543!$B$1:$C$1</c:f>
              <c:strCache>
                <c:ptCount val="2"/>
                <c:pt idx="0">
                  <c:v>公务用车购置及运行维护费</c:v>
                </c:pt>
                <c:pt idx="1">
                  <c:v>公务接待费</c:v>
                </c:pt>
              </c:strCache>
            </c:strRef>
          </c:cat>
          <c:val>
            <c:numRef>
              <c:f>工作表465543!$B$2:$C$2</c:f>
              <c:numCache>
                <c:formatCode>0.00%</c:formatCode>
                <c:ptCount val="2"/>
                <c:pt idx="0">
                  <c:v>0.9947</c:v>
                </c:pt>
                <c:pt idx="1">
                  <c:v>0.0053</c:v>
                </c:pt>
              </c:numCache>
            </c:numRef>
          </c:val>
        </c:ser>
        <c:dLbls>
          <c:showLegendKey val="0"/>
          <c:showVal val="1"/>
          <c:showCatName val="0"/>
          <c:showSerName val="0"/>
          <c:showPercent val="0"/>
          <c:showBubbleSize val="0"/>
          <c:showLeaderLines val="1"/>
        </c:dLbls>
        <c:firstSliceAng val="0"/>
      </c:pieChart>
      <c:spPr>
        <a:solidFill>
          <a:srgbClr val="C0C0C0"/>
        </a:solidFill>
        <a:ln w="6350">
          <a:solidFill>
            <a:srgbClr val="808080"/>
          </a:solidFill>
          <a:prstDash val="solid"/>
        </a:ln>
      </c:spPr>
    </c:plotArea>
    <c:legend>
      <c:legendPos val="r"/>
      <c:layout>
        <c:manualLayout>
          <c:xMode val="edge"/>
          <c:yMode val="edge"/>
          <c:x val="0.60973203"/>
          <c:y val="0.50911844"/>
          <c:w val="0.10563356"/>
          <c:h val="0.4428587"/>
        </c:manualLayout>
      </c:layout>
      <c:overlay val="0"/>
      <c:spPr>
        <a:noFill/>
        <a:ln w="6350">
          <a:solidFill>
            <a:srgbClr val="000000"/>
          </a:solidFill>
          <a:prstDash val="solid"/>
        </a:ln>
      </c:spPr>
      <c:txPr>
        <a:bodyPr rot="0" spcFirstLastPara="0" vertOverflow="ellipsis" vert="horz" wrap="square" anchor="ctr" anchorCtr="1"/>
        <a:lstStyle/>
        <a:p>
          <a:pPr>
            <a:defRPr lang="zh-CN" sz="250" b="0" i="0" u="none" strike="noStrike" kern="1200" baseline="0">
              <a:solidFill>
                <a:srgbClr val="000000"/>
              </a:solidFill>
              <a:latin typeface="宋体" panose="02010600030101010101" charset="-122"/>
              <a:ea typeface="宋体" panose="02010600030101010101" charset="-122"/>
              <a:cs typeface="Lucida Sans"/>
            </a:defRPr>
          </a:pPr>
        </a:p>
      </c:txPr>
    </c:legend>
    <c:plotVisOnly val="1"/>
    <c:dispBlanksAs val="zero"/>
    <c:showDLblsOverMax val="0"/>
    <c:extLst>
      <c:ext uri="{0b15fc19-7d7d-44ad-8c2d-2c3a37ce22c3}">
        <chartProps xmlns="https://web.wps.cn/et/2018/main" chartId="{7d5ed488-72f3-4542-ae25-afa87f9e8604}"/>
      </c:ext>
    </c:extLst>
  </c:chart>
  <c:spPr>
    <a:noFill/>
    <a:ln w="9525" cap="flat" cmpd="sng" algn="ctr">
      <a:noFill/>
      <a:prstDash val="solid"/>
      <a:round/>
    </a:ln>
  </c:spPr>
  <c:txPr>
    <a:bodyPr/>
    <a:lstStyle/>
    <a:p>
      <a:pPr>
        <a:defRPr lang="zh-CN" sz="300" b="0" i="0" u="none" strike="noStrike" baseline="0">
          <a:solidFill>
            <a:srgbClr val="000000"/>
          </a:solidFill>
          <a:latin typeface="宋体" panose="02010600030101010101" charset="-122"/>
          <a:ea typeface="宋体" panose="02010600030101010101" charset="-122"/>
          <a:cs typeface="Lucida Sans"/>
        </a:defRPr>
      </a:pPr>
    </a:p>
  </c:txPr>
  <c:externalData r:id="rId1">
    <c:autoUpdate val="0"/>
  </c:externalData>
</c:chartSpace>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Info spid="_x0000_s1027"/>
    <customShpInfo spid="_x0000_s1028"/>
    <customShpInfo spid="_x0000_s1029"/>
    <customShpInfo spid="_x0000_s1030"/>
    <customShpInfo spid="_x0000_s1031"/>
    <customShpInfo spid="_x0000_s1032"/>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Normal.eit</Template>
  <Company>四川省财政厅</Company>
  <Pages>22</Pages>
  <Words>9713</Words>
  <Characters>10563</Characters>
  <Lines>683</Lines>
  <Paragraphs>271</Paragraphs>
  <TotalTime>29</TotalTime>
  <ScaleCrop>false</ScaleCrop>
  <LinksUpToDate>false</LinksUpToDate>
  <CharactersWithSpaces>10659</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2021-10-03T21:42:00Z</dcterms:created>
  <dc:creator>曹颖</dc:creator>
  <cp:lastModifiedBy>一个笨蛋</cp:lastModifiedBy>
  <cp:lastPrinted>2023-09-27T20:41:00Z</cp:lastPrinted>
  <dcterms:modified xsi:type="dcterms:W3CDTF">2026-09-15T01:12:27Z</dcterms:modified>
  <dc:title>四川省***</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7A580E3DF25B77CF57B40E658A655056</vt:lpwstr>
  </property>
  <property fmtid="{D5CDD505-2E9C-101B-9397-08002B2CF9AE}" pid="4" name="KSOTemplateDocerSaveRecord">
    <vt:lpwstr>eyJoZGlkIjoiYjllZGNkZWEzYjg0NDNmNTQ5MjkzNjk0ODlhNmVkYzAiLCJ1c2VySWQiOiI0MTAxMDQ4MDkifQ==</vt:lpwstr>
  </property>
</Properties>
</file>