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jc w:val="center"/>
        <w:textAlignment w:val="auto"/>
        <w:outlineLvl w:val="0"/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</w:pPr>
      <w:bookmarkStart w:id="0" w:name="_Toc15378441"/>
      <w:bookmarkStart w:id="1" w:name="_Toc15377193"/>
      <w:bookmarkStart w:id="2" w:name="_Toc15377425"/>
      <w:bookmarkStart w:id="3" w:name="_Toc15396475"/>
      <w:bookmarkStart w:id="4" w:name="_Toc15396597"/>
      <w:bookmarkStart w:id="5" w:name="_Toc15306267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202</w:t>
      </w:r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  <w:lang w:val="en-US" w:eastAsia="zh-CN"/>
        </w:rPr>
        <w:t>5</w:t>
      </w:r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年度</w:t>
      </w:r>
      <w:bookmarkEnd w:id="0"/>
      <w:bookmarkEnd w:id="1"/>
      <w:bookmarkEnd w:id="2"/>
      <w:bookmarkEnd w:id="3"/>
      <w:bookmarkEnd w:id="4"/>
    </w:p>
    <w:bookmarkEnd w:id="5"/>
    <w:p>
      <w:pPr>
        <w:adjustRightInd w:val="0"/>
        <w:snapToGrid w:val="0"/>
        <w:spacing w:line="360" w:lineRule="auto"/>
        <w:jc w:val="center"/>
        <w:outlineLvl w:val="0"/>
        <w:rPr>
          <w:rFonts w:hint="eastAsia" w:ascii="Times New Roman" w:hAnsi="Times New Roman" w:eastAsia="宋体" w:cs="Times New Roman"/>
          <w:color w:val="000000"/>
          <w:sz w:val="52"/>
          <w:szCs w:val="52"/>
          <w:lang w:eastAsia="zh-CN"/>
        </w:rPr>
      </w:pPr>
      <w:bookmarkStart w:id="6" w:name="_Toc15396598"/>
      <w:bookmarkStart w:id="7" w:name="_Toc15396476"/>
      <w:bookmarkStart w:id="8" w:name="_Toc15377426"/>
      <w:bookmarkStart w:id="9" w:name="_Toc15378442"/>
      <w:bookmarkStart w:id="10" w:name="_Toc15377194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阿坝州</w:t>
      </w:r>
      <w:bookmarkStart w:id="11" w:name="_Toc15306268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委政法委</w:t>
      </w:r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  <w:lang w:eastAsia="zh-CN"/>
        </w:rPr>
        <w:t>单位</w:t>
      </w:r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决算</w:t>
      </w:r>
      <w:bookmarkEnd w:id="6"/>
      <w:bookmarkEnd w:id="7"/>
      <w:bookmarkEnd w:id="8"/>
      <w:bookmarkEnd w:id="9"/>
      <w:bookmarkEnd w:id="10"/>
      <w:bookmarkEnd w:id="11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  <w:lang w:eastAsia="zh-CN"/>
        </w:rPr>
        <w:t>公开</w:t>
      </w:r>
    </w:p>
    <w:p>
      <w:pPr>
        <w:widowControl/>
        <w:jc w:val="center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spacing w:before="93" w:beforeLines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已经保密审查、内容审定，同意对外公开</w:t>
      </w:r>
    </w:p>
    <w:p>
      <w:pPr>
        <w:widowControl/>
        <w:jc w:val="center"/>
        <w:rPr>
          <w:rFonts w:hint="eastAsia" w:ascii="黑体" w:hAnsi="黑体" w:eastAsia="黑体" w:cs="黑体"/>
          <w:sz w:val="48"/>
          <w:szCs w:val="48"/>
        </w:rPr>
      </w:pPr>
      <w:bookmarkStart w:id="12" w:name="_Toc15377196"/>
      <w:bookmarkStart w:id="13" w:name="_Toc15396599"/>
      <w:r>
        <w:rPr>
          <w:rFonts w:hint="eastAsia" w:ascii="黑体" w:hAnsi="黑体" w:eastAsia="黑体" w:cs="黑体"/>
          <w:sz w:val="48"/>
          <w:szCs w:val="48"/>
        </w:rPr>
        <w:t>目录</w:t>
      </w:r>
    </w:p>
    <w:p>
      <w:pPr>
        <w:widowControl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1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公开时间：202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年9月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第一部分 </w:t>
      </w:r>
      <w:r>
        <w:rPr>
          <w:rFonts w:hint="eastAsia" w:ascii="Times New Roman" w:eastAsia="宋体" w:cs="Times New Roman"/>
          <w:sz w:val="24"/>
          <w:szCs w:val="24"/>
          <w:lang w:eastAsia="zh-CN"/>
        </w:rPr>
        <w:t>部门</w:t>
      </w:r>
      <w:r>
        <w:rPr>
          <w:rFonts w:hint="default" w:ascii="Times New Roman" w:hAnsi="Times New Roman" w:eastAsia="宋体" w:cs="Times New Roman"/>
          <w:sz w:val="24"/>
          <w:szCs w:val="24"/>
        </w:rPr>
        <w:t>概况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4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</w:t>
      </w:r>
      <w:r>
        <w:rPr>
          <w:rFonts w:hint="eastAsia" w:cs="Times New Roman"/>
          <w:sz w:val="24"/>
          <w:szCs w:val="24"/>
          <w:lang w:eastAsia="zh-CN"/>
        </w:rPr>
        <w:t>部门</w:t>
      </w:r>
      <w:r>
        <w:rPr>
          <w:rFonts w:hint="default" w:ascii="Times New Roman" w:hAnsi="Times New Roman" w:eastAsia="宋体" w:cs="Times New Roman"/>
          <w:sz w:val="24"/>
          <w:szCs w:val="24"/>
        </w:rPr>
        <w:t>职责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4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二、机构设置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第二部分 202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年度</w:t>
      </w:r>
      <w:r>
        <w:rPr>
          <w:rFonts w:hint="eastAsia" w:cs="Times New Roman"/>
          <w:sz w:val="24"/>
          <w:szCs w:val="24"/>
          <w:lang w:eastAsia="zh-CN"/>
        </w:rPr>
        <w:t>部门</w:t>
      </w:r>
      <w:r>
        <w:rPr>
          <w:rFonts w:hint="default" w:ascii="Times New Roman" w:hAnsi="Times New Roman" w:eastAsia="宋体" w:cs="Times New Roman"/>
          <w:sz w:val="24"/>
          <w:szCs w:val="24"/>
        </w:rPr>
        <w:t>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6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一、收入支出决算总体情况说明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6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二、收入决算情况说明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6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7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四、财政拨款收入支出决算总体情况说明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7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五、一般公共预算财政拨款支出决算情况说明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8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六、一般公共预算财政拨款基本支出决算情况说明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七、财政拨款“三公”经费支出决算情况说明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八、政府性基金预算支出决算情况说明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/>
        </w:rPr>
        <w:t>3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九、国有资本经营预算支出决算情况说明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3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十、其他重要事项的情况说明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3</w:t>
      </w: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第三部分 名词解释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eastAsia="宋体" w:cs="Times New Roman"/>
          <w:sz w:val="24"/>
          <w:szCs w:val="24"/>
          <w:lang w:val="en-US" w:eastAsia="zh-CN"/>
        </w:rPr>
        <w:t>4</w:t>
      </w: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第四部分 附件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eastAsia="宋体" w:cs="Times New Roman"/>
          <w:sz w:val="24"/>
          <w:szCs w:val="24"/>
          <w:lang w:val="en-US" w:eastAsia="zh-CN"/>
        </w:rPr>
        <w:t>7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第五部分 附表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二、收入决算表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四、财政拨款收入支出决算总表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五、财政拨款支出决算明细表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六、一般公共预算财政拨款支出决算表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七、一般公共预算财政拨款支出决算明细表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八、一般公共预算财政拨款基本支出决算明细表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九、一般公共预算财政拨款项目支出决算表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十、政府性基金预算财政拨款收入支出决算表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十一、国有资本经营预算财政拨款收入支出决算表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十二、国有资本经营预算财政拨款支出决算表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十三、财政拨款“三公”经费支出决算表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sdt>
      <w:sdtPr>
        <w:rPr>
          <w:rFonts w:hint="default" w:ascii="Times New Roman" w:hAnsi="Times New Roman" w:eastAsia="宋体" w:cs="Times New Roman"/>
          <w:sz w:val="24"/>
          <w:szCs w:val="24"/>
          <w:lang w:val="zh-CN"/>
        </w:rPr>
        <w:id w:val="-1"/>
        <w:showingPlcHdr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/>
        </w:rPr>
      </w:sdtEndPr>
      <w:sdtContent>
        <w:p>
          <w:pPr>
            <w:pStyle w:val="15"/>
            <w:jc w:val="center"/>
            <w:rPr>
              <w:rFonts w:hint="default" w:ascii="Times New Roman" w:hAnsi="Times New Roman" w:eastAsia="宋体" w:cs="Times New Roman"/>
              <w:sz w:val="24"/>
              <w:szCs w:val="24"/>
            </w:rPr>
          </w:pPr>
        </w:p>
      </w:sdtContent>
    </w:sdt>
    <w:p>
      <w:pPr>
        <w:widowControl/>
        <w:spacing w:line="480" w:lineRule="auto"/>
        <w:jc w:val="left"/>
        <w:rPr>
          <w:rFonts w:hint="default" w:ascii="Times New Roman" w:hAnsi="Times New Roman" w:eastAsia="仿宋" w:cs="Times New Roman"/>
          <w:b/>
          <w:bCs/>
          <w:color w:val="000000"/>
          <w:kern w:val="44"/>
          <w:sz w:val="20"/>
          <w:szCs w:val="20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pStyle w:val="5"/>
        <w:jc w:val="center"/>
        <w:rPr>
          <w:rFonts w:hint="default" w:ascii="Times New Roman" w:hAnsi="Times New Roman" w:eastAsia="黑体" w:cs="Times New Roman"/>
          <w:b w:val="0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pStyle w:val="5"/>
        <w:jc w:val="center"/>
        <w:rPr>
          <w:rStyle w:val="23"/>
          <w:rFonts w:hint="eastAsia" w:ascii="黑体" w:hAnsi="黑体" w:eastAsia="黑体" w:cs="黑体"/>
          <w:b/>
          <w:bCs w:val="0"/>
          <w:color w:val="000000"/>
          <w:sz w:val="48"/>
          <w:szCs w:val="48"/>
        </w:rPr>
      </w:pP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 xml:space="preserve">第一部分 </w:t>
      </w:r>
      <w:r>
        <w:rPr>
          <w:rStyle w:val="23"/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部门概况</w:t>
      </w:r>
      <w:bookmarkEnd w:id="12"/>
      <w:bookmarkEnd w:id="13"/>
    </w:p>
    <w:p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ind w:firstLine="642" w:firstLineChars="200"/>
        <w:textAlignment w:val="auto"/>
        <w:rPr>
          <w:rStyle w:val="24"/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eastAsia="zh-CN"/>
        </w:rPr>
      </w:pPr>
      <w:bookmarkStart w:id="14" w:name="_Toc15396600"/>
      <w:bookmarkStart w:id="15" w:name="_Toc15377197"/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</w:rPr>
        <w:t>一、</w:t>
      </w:r>
      <w:bookmarkEnd w:id="14"/>
      <w:bookmarkEnd w:id="15"/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lang w:eastAsia="zh-CN"/>
        </w:rPr>
        <w:t>部门职责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16" w:name="_Toc15378446"/>
      <w:bookmarkStart w:id="17" w:name="_Toc15377199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贯彻习近平新时代中国特色社会主义思想，坚持党对政法工作的绝对领导，坚决执行党的路线方针政策和党中央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、省委及州委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重大决策部署，推动完善和落实政治轮训和政治督察制度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，推进平安阿坝、法治阿坝建设，加强过硬队伍建设，深化智能化建设，确保社会大局稳定、促进社会公平正义、保障人民安居乐业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贯彻党中央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、省委和州委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以及上级党组织决定，研究协调政法单位之间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政法单位和有关部门、地方之间有关重大事项，统一政法单位思想和行动。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（三）组织开展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政法领域重大实践和理论问题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调查研究，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研究拟订全州政法工作的政策措施，及时向州委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提出重大决策部署和改革措施的意见和建议，协助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委决策和统筹推进政法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领域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改革等各项工作。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参与有关民族自治法规、地方性法规和规章的起草、修改工作，及时提出立法建议。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了解掌握和分析研判社会稳定形势、政法工作情况动态，创新完善多部门参与的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综治维稳机制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，协调推动预防、化解影响稳定的社会矛盾和风险，协调应对和妥善处置重大突发事件。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（五）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加强对政法工作的督查，统筹协调维护社会稳定、社会治安综合治理等有关法律法规和政策的实施工作。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（六）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支持和监督政法单位依法行使职权，检查政法单位执行党的路线方针政策、党中央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、省委和州委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重大决策部署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法律法规的情况，指导和协调政法单位密切配合，完善与纪检监察机关工作衔接和协作配合机制，推进严格执法、公正司法。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（七）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指导推动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政法系统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党的建设和政法队伍建设，协助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组织部加强政法单位领导班子和干部队伍建设，协助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州纪委监委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做好监督检查、审查调查工作。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（八）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落实全面依法治国领导机构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、城乡基层治理领导机构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各项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部署，支持配合其办事机构工作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指导政法单位加强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社会稳定、平安建设、法治建设等重大问题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研究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提出建议和工作意见，指导和协调政法单位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开展维护社会稳定、执法司法、创新社会治理等有关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指导见义勇为表彰奖励工作。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（九）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掌握分析政法舆情动态，指导和协调政法单位和有关部门做好依法办理、宣传报道和舆论引导等相关工作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,推动政法网络新媒体发展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统筹指导并推动智能化建设。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（十）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完成州委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和上级党委政法委员会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交办的其他任务。</w:t>
      </w:r>
    </w:p>
    <w:bookmarkEnd w:id="16"/>
    <w:bookmarkEnd w:id="17"/>
    <w:p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ind w:firstLine="642" w:firstLineChars="200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sz w:val="32"/>
          <w:szCs w:val="32"/>
          <w:lang w:eastAsia="zh-CN"/>
        </w:rPr>
      </w:pPr>
      <w:bookmarkStart w:id="18" w:name="_Toc15377200"/>
      <w:bookmarkStart w:id="19" w:name="_Toc15396601"/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lang w:eastAsia="zh-CN"/>
        </w:rPr>
        <w:t>二、机构设置</w:t>
      </w:r>
      <w:bookmarkEnd w:id="18"/>
      <w:bookmarkEnd w:id="1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bookmarkStart w:id="20" w:name="_Toc15377204"/>
      <w:bookmarkStart w:id="21" w:name="_Toc15396602"/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州委政法委属二级预算单位。内设办公室、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政治安全科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、法治与执法监督科、宣传科、政治部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8个科室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。行政编制22名，工勤编制8名；在职人员总数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人，其中行政人员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人，机关工勤人员8人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编外长聘人员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;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退休职工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人已纳入社保。</w:t>
      </w:r>
    </w:p>
    <w:p>
      <w:pPr>
        <w:pStyle w:val="5"/>
        <w:ind w:right="440"/>
        <w:jc w:val="center"/>
        <w:rPr>
          <w:rStyle w:val="23"/>
          <w:rFonts w:hint="eastAsia" w:ascii="黑体" w:hAnsi="黑体" w:eastAsia="黑体" w:cs="黑体"/>
          <w:b/>
          <w:bCs w:val="0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 xml:space="preserve">第二部分 </w:t>
      </w:r>
      <w:r>
        <w:rPr>
          <w:rStyle w:val="23"/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202</w:t>
      </w:r>
      <w:r>
        <w:rPr>
          <w:rStyle w:val="23"/>
          <w:rFonts w:hint="eastAsia" w:ascii="黑体" w:hAnsi="黑体" w:eastAsia="黑体" w:cs="黑体"/>
          <w:b/>
          <w:bCs w:val="0"/>
          <w:color w:val="000000"/>
          <w:sz w:val="44"/>
          <w:szCs w:val="44"/>
          <w:lang w:val="en-US"/>
        </w:rPr>
        <w:t>5</w:t>
      </w:r>
      <w:r>
        <w:rPr>
          <w:rStyle w:val="23"/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年度部门决算情况说明</w:t>
      </w:r>
      <w:bookmarkEnd w:id="20"/>
      <w:bookmarkEnd w:id="21"/>
    </w:p>
    <w:p>
      <w:pPr>
        <w:pStyle w:val="1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</w:pPr>
      <w:bookmarkStart w:id="22" w:name="_Toc15377205"/>
      <w:bookmarkStart w:id="23" w:name="_Toc15396603"/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  <w:lang w:eastAsia="zh-CN"/>
        </w:rPr>
        <w:t>一、</w:t>
      </w:r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  <w:t>收入支出决算总体情况说明</w:t>
      </w:r>
      <w:bookmarkEnd w:id="22"/>
      <w:bookmarkEnd w:id="2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2025年度收、支总计3283.03万元。与2025年相比，收、支总计各增加913.9万元，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37.9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主要变动原因是年中新增项目“采购阿坝州‘微网实格’信息系统服务”，该项目增加预算较多。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（图1：收、支决算总计变动情况图）（柱状图）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16865" distB="339725" distL="369570" distR="293370" simplePos="0" relativeHeight="251660288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106680</wp:posOffset>
            </wp:positionV>
            <wp:extent cx="5299710" cy="1824355"/>
            <wp:effectExtent l="0" t="0" r="0" b="0"/>
            <wp:wrapNone/>
            <wp:docPr id="1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</w:pPr>
      <w:bookmarkStart w:id="24" w:name="_Toc15377206"/>
      <w:bookmarkStart w:id="25" w:name="_Toc15396604"/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  <w:lang w:eastAsia="zh-CN"/>
        </w:rPr>
        <w:t>二、</w:t>
      </w:r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  <w:t>收入决算情况说明</w:t>
      </w:r>
      <w:bookmarkEnd w:id="24"/>
      <w:bookmarkEnd w:id="2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年收入合计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3283.03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万元，其中：一般公共预算财政拨款收入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3267.07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99.51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；政府性基金预算财政拨款收入0.00万元，占 0.00%；上级补助收入0.00万元，占 0.00%；事业收入0.00万元，占 0.00%；经营收入0.00万元，占 0.00%；附属单位上缴收入0.00万元，占 0.00%；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其他收入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15.95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0.48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（图2：收入决算结构图）（饼状图）</w:t>
      </w:r>
      <w:bookmarkStart w:id="51" w:name="_GoBack"/>
      <w:bookmarkEnd w:id="5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1402080" distB="1383665" distL="2863215" distR="118745" simplePos="0" relativeHeight="251660288" behindDoc="0" locked="0" layoutInCell="1" allowOverlap="1">
            <wp:simplePos x="0" y="0"/>
            <wp:positionH relativeFrom="column">
              <wp:posOffset>512445</wp:posOffset>
            </wp:positionH>
            <wp:positionV relativeFrom="paragraph">
              <wp:posOffset>215265</wp:posOffset>
            </wp:positionV>
            <wp:extent cx="4660900" cy="1143000"/>
            <wp:effectExtent l="0" t="0" r="0" b="0"/>
            <wp:wrapNone/>
            <wp:docPr id="2" name="对象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tabs>
          <w:tab w:val="left" w:pos="5220"/>
        </w:tabs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ab/>
      </w: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三、支出决算情况说明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年度本年支出合计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3283.03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万元，其中：基本支出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1120.65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47.3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1248.41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52.7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%；上缴上级支出0万元，占0%；经营支出0万元，占0%；对附属单位补助支出0万元，占0%。（图3：支出决算结构图）（饼状图）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1438275" distB="1439545" distL="2448560" distR="118745" simplePos="0" relativeHeight="251660288" behindDoc="0" locked="0" layoutInCell="1" allowOverlap="1">
            <wp:simplePos x="0" y="0"/>
            <wp:positionH relativeFrom="column">
              <wp:posOffset>180340</wp:posOffset>
            </wp:positionH>
            <wp:positionV relativeFrom="paragraph">
              <wp:posOffset>165100</wp:posOffset>
            </wp:positionV>
            <wp:extent cx="4761230" cy="2225040"/>
            <wp:effectExtent l="0" t="0" r="0" b="0"/>
            <wp:wrapNone/>
            <wp:docPr id="3" name="对象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6" o:spid="_x0000_s1026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3" o:title="image1"/>
            <o:lock v:ext="edit" aspectratio="t"/>
          </v:shape>
          <o:OLEObject Type="Embed" ProgID="Package" ShapeID="_x0000_s1026" DrawAspect="Content" ObjectID="_1468075725" r:id="rId12">
            <o:LockedField>false</o:LockedField>
          </o:OLEObject>
        </w:pic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7" o:spid="_x0000_s1027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3" o:title="image1"/>
            <o:lock v:ext="edit" aspectratio="t"/>
          </v:shape>
          <o:OLEObject Type="Embed" ProgID="Package" ShapeID="_x0000_s1027" DrawAspect="Content" ObjectID="_1468075726" r:id="rId14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8" o:spid="_x0000_s1028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3" o:title="image1"/>
            <o:lock v:ext="edit" aspectratio="t"/>
          </v:shape>
          <o:OLEObject Type="Embed" ProgID="Package" ShapeID="_x0000_s1028" DrawAspect="Content" ObjectID="_1468075727" r:id="rId15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9" o:spid="_x0000_s1029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3" o:title="image1"/>
            <o:lock v:ext="edit" aspectratio="t"/>
          </v:shape>
          <o:OLEObject Type="Embed" ProgID="Package" ShapeID="_x0000_s1029" DrawAspect="Content" ObjectID="_1468075728" r:id="rId16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30" o:spid="_x0000_s1030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3" o:title="image1"/>
            <o:lock v:ext="edit" aspectratio="t"/>
          </v:shape>
          <o:OLEObject Type="Embed" ProgID="Package" ShapeID="_x0000_s1030" DrawAspect="Content" ObjectID="_1468075729" r:id="rId17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31" o:spid="_x0000_s1031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3" o:title="image1"/>
            <o:lock v:ext="edit" aspectratio="t"/>
          </v:shape>
          <o:OLEObject Type="Embed" ProgID="Package" ShapeID="_x0000_s1031" DrawAspect="Content" ObjectID="_1468075730" r:id="rId18">
            <o:LockedField>false</o:LockedField>
          </o:OLEObject>
        </w:pic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32" o:spid="_x0000_s1032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3" o:title="image1"/>
            <o:lock v:ext="edit" aspectratio="t"/>
          </v:shape>
          <o:OLEObject Type="Embed" ProgID="Package" ShapeID="_x0000_s1032" DrawAspect="Content" ObjectID="_1468075731" r:id="rId19">
            <o:LockedField>false</o:LockedField>
          </o:OLEObject>
        </w:pic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26" w:name="_Toc15396606"/>
      <w:bookmarkStart w:id="27" w:name="_Toc15377208"/>
      <w:r>
        <w:rPr>
          <w:rFonts w:hint="eastAsia" w:ascii="黑体" w:hAnsi="黑体" w:eastAsia="黑体" w:cs="黑体"/>
          <w:sz w:val="32"/>
          <w:szCs w:val="32"/>
        </w:rPr>
        <w:t>四、财政拨款收入支出决算总体情况说明</w:t>
      </w:r>
      <w:bookmarkEnd w:id="26"/>
      <w:bookmarkEnd w:id="2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年财政拨款收、支总计占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3283.03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与2024年相比，收、支总计各增加913.9万元，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35.87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主要变动原因是年中新增项目“采购阿坝州‘微网实格’信息系统服务”，该项目增加预算较多。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（图4：财政拨款收、支决算总计变动情况）（柱状图）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tabs>
          <w:tab w:val="center" w:pos="4393"/>
        </w:tabs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16865" distB="327660" distL="369570" distR="285750" simplePos="0" relativeHeight="251660288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184150</wp:posOffset>
            </wp:positionV>
            <wp:extent cx="4334510" cy="938530"/>
            <wp:effectExtent l="0" t="0" r="0" b="0"/>
            <wp:wrapTight wrapText="bothSides">
              <wp:wrapPolygon>
                <wp:start x="14524" y="877"/>
                <wp:lineTo x="2848" y="1754"/>
                <wp:lineTo x="380" y="2631"/>
                <wp:lineTo x="380" y="11838"/>
                <wp:lineTo x="1424" y="14907"/>
                <wp:lineTo x="1329" y="19291"/>
                <wp:lineTo x="19366" y="19291"/>
                <wp:lineTo x="19366" y="14907"/>
                <wp:lineTo x="20030" y="14907"/>
                <wp:lineTo x="21549" y="10084"/>
                <wp:lineTo x="21549" y="5261"/>
                <wp:lineTo x="19081" y="2192"/>
                <wp:lineTo x="15854" y="877"/>
                <wp:lineTo x="14524" y="877"/>
              </wp:wrapPolygon>
            </wp:wrapTight>
            <wp:docPr id="12" name="对象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ab/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28" w:name="_Toc15377210"/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</w:t>
      </w:r>
      <w:r>
        <w:rPr>
          <w:rStyle w:val="21"/>
          <w:rFonts w:hint="eastAsia" w:ascii="黑体" w:hAnsi="黑体" w:eastAsia="黑体" w:cs="黑体"/>
          <w:sz w:val="32"/>
          <w:szCs w:val="32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般公共预算财政拨款支出决算情况说明</w:t>
      </w:r>
    </w:p>
    <w:bookmarkEnd w:id="28"/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21"/>
          <w:rFonts w:hint="eastAsia" w:ascii="仿宋_GB2312" w:hAnsi="仿宋_GB2312" w:eastAsia="仿宋_GB2312" w:cs="仿宋_GB2312"/>
          <w:sz w:val="32"/>
          <w:szCs w:val="32"/>
        </w:rPr>
        <w:t>（一）一般公共预算财政拨款支出决算总体情况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年一般公共预算财政拨款支出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3283.03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万元，占本年支出合计的 100.00%。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与2024年相比，收、支总计各增加913.9万元，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35.87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主要变动原因是年中新增项目“采购阿坝州‘微网实格’信息系统服务”，该项目增加预算较多。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16865" distB="339725" distL="369570" distR="293370" simplePos="0" relativeHeight="251662336" behindDoc="1" locked="0" layoutInCell="1" allowOverlap="1">
            <wp:simplePos x="0" y="0"/>
            <wp:positionH relativeFrom="column">
              <wp:posOffset>316865</wp:posOffset>
            </wp:positionH>
            <wp:positionV relativeFrom="paragraph">
              <wp:posOffset>563880</wp:posOffset>
            </wp:positionV>
            <wp:extent cx="5022850" cy="1729105"/>
            <wp:effectExtent l="0" t="0" r="0" b="0"/>
            <wp:wrapNone/>
            <wp:docPr id="18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（图5：一般公共预算财政拨款支出决算变动情况）（柱状图）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shd w:val="clear" w:color="auto" w:fill="FFFFFF"/>
        <w:spacing w:before="0" w:beforeAutospacing="0"/>
        <w:ind w:left="0"/>
        <w:jc w:val="left"/>
        <w:rPr>
          <w:rStyle w:val="21"/>
          <w:rFonts w:hint="default" w:ascii="Times New Roman" w:hAnsi="Times New Roman" w:cs="Times New Roman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21"/>
          <w:rFonts w:hint="eastAsia" w:ascii="仿宋_GB2312" w:hAnsi="仿宋_GB2312" w:eastAsia="仿宋_GB2312" w:cs="仿宋_GB2312"/>
          <w:sz w:val="32"/>
          <w:szCs w:val="32"/>
        </w:rPr>
        <w:t>（二）一般公共预算财政拨款支出决算结构情况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年一般公共预算财政拨款支出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3283.03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万元，主要用于以下方面:公共安全支出为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3040.53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93.07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教育支出为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万元，占比0%；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社会保障和就业支出为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124.1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%；卫生健康支出为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44.66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1.37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%；住房保障支出为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57.79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1.77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文化旅游体育与传媒支出为0,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（图6：一般公共预算财政拨款支出决算结构）（饼状图）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725170" distB="803275" distL="1546860" distR="419735" simplePos="0" relativeHeight="251660288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231140</wp:posOffset>
            </wp:positionV>
            <wp:extent cx="5410200" cy="2925445"/>
            <wp:effectExtent l="0" t="0" r="0" b="0"/>
            <wp:wrapNone/>
            <wp:docPr id="14" name="对象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shd w:val="clear" w:color="auto" w:fill="FFFFFF"/>
        <w:spacing w:before="0" w:beforeAutospacing="0"/>
        <w:ind w:left="0"/>
        <w:jc w:val="left"/>
        <w:rPr>
          <w:rStyle w:val="21"/>
          <w:rFonts w:hint="default" w:ascii="Times New Roman" w:hAnsi="Times New Roman" w:cs="Times New Roman"/>
        </w:rPr>
      </w:pPr>
    </w:p>
    <w:p>
      <w:pPr>
        <w:pStyle w:val="18"/>
        <w:shd w:val="clear" w:color="auto" w:fill="FFFFFF"/>
        <w:spacing w:before="0" w:beforeAutospacing="0"/>
        <w:ind w:left="0"/>
        <w:jc w:val="left"/>
        <w:rPr>
          <w:rStyle w:val="21"/>
          <w:rFonts w:hint="default" w:ascii="Times New Roman" w:hAnsi="Times New Roman" w:cs="Times New Roman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Style w:val="21"/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Style w:val="21"/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21"/>
          <w:rFonts w:hint="eastAsia" w:ascii="仿宋_GB2312" w:hAnsi="仿宋_GB2312" w:eastAsia="仿宋_GB2312" w:cs="仿宋_GB2312"/>
          <w:sz w:val="32"/>
          <w:szCs w:val="32"/>
        </w:rPr>
        <w:t>（三）一般公共预算财政拨款支出决算具体情况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年一般公共预算支出决算数为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3283.03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万元，完成预算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%。其中：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bookmarkStart w:id="29" w:name="_Toc15396608"/>
      <w:bookmarkStart w:id="30" w:name="_Toc15377214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（1）一般公共服务2040201：2025年决算数为856.53万元，完成预算100%，决算数等于预算数。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（2）一般公共服务2040202：2025年决算数为2167.46万元，完成预算100%，决算数等于预算数。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（3）公共安全支出2040299：2025年决算数为16.55万元，决算数等于预算数。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（4）其他教育支出2059999：2025年决算数为0万元，完成预算100%，决算数等于预算数。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（5）其他文化旅游体育与传媒支出2079999；2025年决算数为0万元，完成预算100%，决算数等于预算数。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（6）社会保障和就业2080505：2025年决算数为82.81万元，完成预算100%，决算数等于预算数。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（7）社会保障和就业2080506：2025年决算数为41.28万元，完成预算100%，决算数等于预算数。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（8）卫生健康支出2101101：2025年决算数为37.62万元，完成预算100%，决算数等于预算数。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（9）卫生健康支出2101103：2025年决算数为7.04万元，完成预算100%，决算数等于预算数。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（10）住房保障2210201：2025年决算数为57.79万元，完成预算100%，决算数等于预算数。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Style w:val="24"/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六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、一</w:t>
      </w:r>
      <w:r>
        <w:rPr>
          <w:rStyle w:val="24"/>
          <w:rFonts w:hint="eastAsia" w:ascii="黑体" w:hAnsi="黑体" w:eastAsia="黑体" w:cs="黑体"/>
          <w:b w:val="0"/>
          <w:color w:val="000000"/>
          <w:sz w:val="32"/>
          <w:szCs w:val="32"/>
        </w:rPr>
        <w:t>般公共预算财政拨款基本支出决算情况说明</w:t>
      </w:r>
      <w:bookmarkEnd w:id="29"/>
      <w:bookmarkEnd w:id="30"/>
      <w:r>
        <w:rPr>
          <w:rStyle w:val="24"/>
          <w:rFonts w:hint="default" w:ascii="Times New Roman" w:hAnsi="Times New Roman" w:eastAsia="宋体" w:cs="Times New Roman"/>
          <w:b w:val="0"/>
          <w:color w:val="000000"/>
          <w:sz w:val="24"/>
          <w:szCs w:val="24"/>
        </w:rPr>
        <w:tab/>
      </w:r>
    </w:p>
    <w:p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31" w:name="_Toc15396609"/>
      <w:bookmarkStart w:id="32" w:name="_Toc15377215"/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年度一般公共预算财政拨款基本支出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3283.03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人员经费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943.63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主要包括：基本工资、津贴补贴、奖金、伙食补助费、绩效工资、机关事业单位基本养老保险缴费、职业年金缴费、其他社会保障缴费、其他工资福利支出、离休费、退休费、抚恤金、生活补助、医疗费补助、奖励金、住房公积金、其他对个人和家庭的补助支出等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公用经费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2323.44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主要包括：办公费、印刷费、咨询费、手续费、水费、电费、邮电费、取暖费、物业管理费、差旅费、因公出国（境）费用、维修（护）费、租赁费、会议费、培训费、公务接待费、劳务费、委托业务费、工会经费、福利费、公务用车运行维护费、其他交通费、税金及附加费用、其他商品和服务支出、办公设备购置、专用设备购置、信息网络及软件购置更新、其他资本性支出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4"/>
          <w:rFonts w:hint="eastAsia" w:ascii="黑体" w:hAnsi="黑体" w:eastAsia="黑体" w:cs="黑体"/>
          <w:b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七、</w:t>
      </w:r>
      <w:r>
        <w:rPr>
          <w:rStyle w:val="24"/>
          <w:rFonts w:hint="eastAsia" w:ascii="黑体" w:hAnsi="黑体" w:eastAsia="黑体" w:cs="黑体"/>
          <w:b w:val="0"/>
          <w:color w:val="000000"/>
          <w:sz w:val="32"/>
          <w:szCs w:val="32"/>
        </w:rPr>
        <w:t>财政拨款</w:t>
      </w:r>
      <w:r>
        <w:rPr>
          <w:rStyle w:val="24"/>
          <w:rFonts w:hint="eastAsia" w:ascii="黑体" w:hAnsi="黑体" w:eastAsia="黑体" w:cs="黑体"/>
          <w:color w:val="000000"/>
          <w:sz w:val="32"/>
          <w:szCs w:val="32"/>
        </w:rPr>
        <w:t>“</w:t>
      </w:r>
      <w:r>
        <w:rPr>
          <w:rStyle w:val="24"/>
          <w:rFonts w:hint="eastAsia" w:ascii="黑体" w:hAnsi="黑体" w:eastAsia="黑体" w:cs="黑体"/>
          <w:b w:val="0"/>
          <w:color w:val="000000"/>
          <w:sz w:val="32"/>
          <w:szCs w:val="32"/>
        </w:rPr>
        <w:t>三公”经费支出决算情况说明</w:t>
      </w:r>
      <w:bookmarkEnd w:id="31"/>
      <w:bookmarkEnd w:id="3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2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bookmarkStart w:id="33" w:name="_Toc15377216"/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（一）“三公”经费财政拨款支出决算总体情况说明</w:t>
      </w:r>
      <w:bookmarkEnd w:id="3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年度“三公”经费财政拨款支出决算为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79.81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较上年度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65.6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45.11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部门坚持过紧日子，进一步压减“三公”经费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2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bookmarkStart w:id="34" w:name="_Toc15377217"/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（二）“三公”经费财政拨款支出决算具体情况说明</w:t>
      </w:r>
      <w:bookmarkEnd w:id="34"/>
    </w:p>
    <w:p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35" w:name="_Toc15396610"/>
      <w:bookmarkStart w:id="36" w:name="_Toc15377218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2025年度“三公”经费财政拨款支出决算中，因公出国（境）费支出决算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万元，占0%；公务用车购置及运行维护费支出决算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79.32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万元，占99.39%；公务接待费支出决算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0.49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万元，占0.61%。具体情况如下：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drawing>
          <wp:anchor distT="718185" distB="1114425" distL="2618740" distR="761365" simplePos="0" relativeHeight="251660288" behindDoc="0" locked="0" layoutInCell="1" allowOverlap="1">
            <wp:simplePos x="0" y="0"/>
            <wp:positionH relativeFrom="column">
              <wp:posOffset>595630</wp:posOffset>
            </wp:positionH>
            <wp:positionV relativeFrom="paragraph">
              <wp:posOffset>415290</wp:posOffset>
            </wp:positionV>
            <wp:extent cx="4533900" cy="2203450"/>
            <wp:effectExtent l="0" t="0" r="0" b="0"/>
            <wp:wrapNone/>
            <wp:docPr id="15" name="对象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（图7：“三公”经费财政拨款支出结构）（饼状图）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  <w:drawing>
          <wp:anchor distT="718185" distB="1114425" distL="2618740" distR="761365" simplePos="0" relativeHeight="251661312" behindDoc="0" locked="0" layoutInCell="1" allowOverlap="1">
            <wp:simplePos x="0" y="0"/>
            <wp:positionH relativeFrom="column">
              <wp:posOffset>747395</wp:posOffset>
            </wp:positionH>
            <wp:positionV relativeFrom="paragraph">
              <wp:posOffset>53340</wp:posOffset>
            </wp:positionV>
            <wp:extent cx="4533900" cy="2203450"/>
            <wp:effectExtent l="0" t="0" r="0" b="0"/>
            <wp:wrapNone/>
            <wp:docPr id="4" name="对象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>
      <w:pPr>
        <w:pStyle w:val="8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pStyle w:val="16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pStyle w:val="8"/>
        <w:rPr>
          <w:rFonts w:hint="default"/>
        </w:rPr>
      </w:pP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年无因公出国（境）费预算和支出。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2.公务用车购置及运行维护费支出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79.32万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元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完成预算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100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公务用车购置及运行维护费支出决算比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减少65.59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减少45.26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2024年新购一辆车，价格为59.5万元，公务用车购置及运行维护费相应增加。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年12月31日，单位共有公务用车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辆，其中：轿车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辆、越野车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辆、载客汽车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辆。公务用车运行维护费支出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79.32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万元。主要用于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综治维稳工作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等所需的公务用车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购置费、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燃料费、维修费、过路过桥费、保险费等支出。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3.公务接待费支出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0.49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公务接待费支出决算比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0.49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%。主要原因是</w:t>
      </w:r>
      <w:r>
        <w:rPr>
          <w:rFonts w:hint="eastAsia" w:ascii="仿宋_GB2312" w:eastAsia="仿宋_GB2312"/>
          <w:color w:val="000000"/>
          <w:sz w:val="32"/>
          <w:szCs w:val="32"/>
        </w:rPr>
        <w:t>接待人数上升，相应增加费用。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其中：国内公务接待支出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万元，主要用于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上级单位检查指导工作人员的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用餐费等。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国内公务接待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批次，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（不包括陪同人员），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共计支出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4"/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八、</w:t>
      </w:r>
      <w:r>
        <w:rPr>
          <w:rStyle w:val="24"/>
          <w:rFonts w:hint="eastAsia" w:ascii="黑体" w:hAnsi="黑体" w:eastAsia="黑体" w:cs="黑体"/>
          <w:b w:val="0"/>
          <w:color w:val="000000"/>
          <w:sz w:val="32"/>
          <w:szCs w:val="32"/>
        </w:rPr>
        <w:t>政府性基金预算支出决算情况说明</w:t>
      </w:r>
      <w:bookmarkEnd w:id="35"/>
      <w:bookmarkEnd w:id="3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年政府性基金预算拨款支出0.00万元。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4"/>
          <w:rFonts w:hint="default" w:ascii="黑体" w:hAnsi="黑体" w:eastAsia="黑体" w:cs="黑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7" w:name="_Toc15377219"/>
      <w:bookmarkStart w:id="38" w:name="_Toc15396611"/>
      <w:r>
        <w:rPr>
          <w:rStyle w:val="24"/>
          <w:rFonts w:hint="default" w:ascii="黑体" w:hAnsi="黑体" w:eastAsia="黑体" w:cs="黑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九、国有资本经营预算支出决算情况说明</w:t>
      </w:r>
      <w:bookmarkEnd w:id="37"/>
      <w:bookmarkEnd w:id="3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年国有资本经营预算拨款支出0.00万元。</w:t>
      </w:r>
      <w:bookmarkStart w:id="39" w:name="_Toc15396612"/>
      <w:bookmarkStart w:id="40" w:name="_Toc1537722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4"/>
          <w:rFonts w:hint="default" w:ascii="黑体" w:hAnsi="黑体" w:eastAsia="黑体" w:cs="黑体"/>
          <w:b w:val="0"/>
          <w:color w:val="000000"/>
          <w:sz w:val="32"/>
          <w:szCs w:val="32"/>
        </w:rPr>
      </w:pPr>
      <w:r>
        <w:rPr>
          <w:rStyle w:val="24"/>
          <w:rFonts w:hint="default" w:ascii="黑体" w:hAnsi="黑体" w:eastAsia="黑体" w:cs="黑体"/>
          <w:b w:val="0"/>
          <w:color w:val="000000"/>
          <w:sz w:val="32"/>
          <w:szCs w:val="32"/>
        </w:rPr>
        <w:t>十、其他重要事项的情况说明</w:t>
      </w:r>
      <w:bookmarkEnd w:id="39"/>
      <w:bookmarkEnd w:id="4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bookmarkStart w:id="41" w:name="_Toc15377222"/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（一）机关运行经费支出情况</w:t>
      </w:r>
      <w:bookmarkEnd w:id="4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2025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年，中共四川省阿坝州委政法委员会（本级）机关运行经费支出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149.44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万元，比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2024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年有所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，</w:t>
      </w:r>
      <w:bookmarkStart w:id="42" w:name="_Toc15377223"/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部门坚持过紧日子。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（二）政府采购支出情况</w:t>
      </w:r>
      <w:bookmarkEnd w:id="42"/>
    </w:p>
    <w:p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43" w:name="_Toc15377224"/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中共阿坝州委政法委员会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政府采购支出总额</w:t>
      </w:r>
      <w:r>
        <w:rPr>
          <w:rFonts w:hint="eastAsia" w:ascii="仿宋_GB2312" w:hAnsi="仿宋_GB2312" w:eastAsia="仿宋_GB2312" w:cs="仿宋_GB2312"/>
          <w:sz w:val="32"/>
          <w:szCs w:val="32"/>
        </w:rPr>
        <w:t>1143.06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万元，其中：政府采购货物支出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万元、政府采购工程支出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万元、政府采购服务支出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1143.06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万元。授予中小企业合同金额</w:t>
      </w:r>
      <w:r>
        <w:rPr>
          <w:rFonts w:hint="eastAsia" w:ascii="仿宋_GB2312" w:hAnsi="仿宋_GB2312" w:eastAsia="仿宋_GB2312" w:cs="仿宋_GB2312"/>
          <w:sz w:val="32"/>
          <w:szCs w:val="32"/>
        </w:rPr>
        <w:t>102.33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</w:rPr>
        <w:t>8.95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%，其中：授予小微企业合同金额</w:t>
      </w:r>
      <w:r>
        <w:rPr>
          <w:rFonts w:hint="eastAsia" w:ascii="仿宋_GB2312" w:hAnsi="仿宋_GB2312" w:eastAsia="仿宋_GB2312" w:cs="仿宋_GB2312"/>
          <w:sz w:val="32"/>
          <w:szCs w:val="32"/>
        </w:rPr>
        <w:t>6.43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</w:rPr>
        <w:t>0.56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（三）国有资产占有使用情况</w:t>
      </w:r>
      <w:bookmarkEnd w:id="4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截至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2025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年12月31日，中共四川省阿坝州委政法委员会（本级）共有车辆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辆，其中：主要领导干部用车0辆、机要通信用车0辆、应急保障用车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辆、执法执勤用车0 辆、特种专业技术用车0辆、离退休干部用车0辆、其他用车 0辆。无单价50万元以上通用设备和单价100万元以上专用设备。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（四）预算绩效管理情况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bookmarkStart w:id="44" w:name="_Toc15396613"/>
      <w:bookmarkStart w:id="45" w:name="_Toc15377225"/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根据预算绩效管理要求，本部门在年初预算编制阶段，组织对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个项目开展了预算事前绩效评估，对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个项目编制了绩效目标，预算执行过程中，选取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个项目开展绩效监控，年终执行完毕后，对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个项目开展了绩效自评。</w:t>
      </w:r>
    </w:p>
    <w:p>
      <w:pPr>
        <w:spacing w:line="58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  <w:highlight w:val="yellow"/>
        </w:rPr>
      </w:pPr>
    </w:p>
    <w:bookmarkEnd w:id="44"/>
    <w:bookmarkEnd w:id="45"/>
    <w:p>
      <w:pPr>
        <w:pStyle w:val="18"/>
        <w:shd w:val="clear" w:color="auto" w:fill="FFFFFF"/>
        <w:spacing w:before="0" w:beforeAutospacing="0"/>
        <w:ind w:left="0"/>
        <w:jc w:val="center"/>
        <w:rPr>
          <w:rFonts w:hint="eastAsia" w:ascii="黑体" w:hAnsi="黑体" w:eastAsia="黑体" w:cs="黑体"/>
        </w:rPr>
      </w:pPr>
      <w:r>
        <w:rPr>
          <w:rStyle w:val="21"/>
          <w:rFonts w:hint="eastAsia" w:ascii="黑体" w:hAnsi="黑体" w:eastAsia="黑体" w:cs="黑体"/>
          <w:sz w:val="39"/>
          <w:szCs w:val="39"/>
        </w:rPr>
        <w:t>第三部分 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46" w:name="_Toc15396614"/>
      <w:bookmarkStart w:id="47" w:name="_Toc15377226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1．财政拨款收入：指省级财政当年拨付的资金。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2．其他收入：指除上述“财政拨款收入”、“事业收入”、“经营收入”等以外的收入。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3．公共安全支出（类）公安（款）行政运行（项）:指主要用于在职在编人员基本工资、津贴补贴，保障机关正常运转的日常公用支出。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．公共安全支出（类）公安（款）一般行政管理事务（项）:指主要用于有序开展反恐维稳、社会治安综合治理、司法体制和社会体制改革、依法治省、政法队伍建设、政法部门服务保障经济发展、信息化建设以及见义勇为等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5．社会保障和就业支出（类）行政事业单位离退休（款）未归口管理的行政单位离退休（项）:指主要用于离退休人员离退休费和津补贴。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6．社会保障和就业支出（类）行政事业单位离退休（款）机关事业单位基本养老保险缴费支出（项）:指主要用于离退休人员离退休费和津补贴。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7．社会保障和就业支出（类）其他社会保障和就业支出（款）其他社会保障和就业支出（项）:指其它用于社会保障和就业方面的支出。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8．医疗卫生与计划生育支出（类）医疗保障（款）行政单位医疗（项）：指财政部门集中安排的行政单位基本医疗保险缴费经费。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9．医疗卫生与计划生育支出（类）医疗保障（款）公务员医疗补助（项）:指财政部门集中安排的公务员医疗补助经费。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10．住房保障支出（类）住房改革支出（款）住房公积金（项）:指按照相关政策规定比例为个人缴纳的住房公积金。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11．住房保障支出（类）住房改革支出（款）购房补贴（项）:指按照相关政策规定，向符合条件的个人发放的用于购买住房的补贴。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12．年末结转和结余：指本年度或以前年度预算安排、因客观条件发生变化无法按原计划实施，需延迟到以后年度按有关规定继续使用的资金。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13．基本支出：是用于保障省委政法委机关、省法学会、省政法研究所正常运转的日常支出，包括基本工资、津贴补贴等人员经费以及办公费、印刷费、水电费等日常公用经费。  　　14．项目支出：是用于保障省委政法委机关、省法学会、省政法研究所，为完成特定的行政工作任务或事业发展目标，用于专项业务工作的经费支出。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15．“三公”经费：纳入省级财政预决算管理的“三公”经费，是指部门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公务接待（含外宾接待）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16．机关运行经费：为保障行政单位（含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>
      <w:pPr>
        <w:spacing w:line="600" w:lineRule="exact"/>
        <w:jc w:val="center"/>
        <w:outlineLvl w:val="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bookmarkEnd w:id="46"/>
    <w:p>
      <w:pPr>
        <w:spacing w:line="580" w:lineRule="exact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  <w:bookmarkStart w:id="48" w:name="_Toc15396617"/>
      <w:r>
        <w:rPr>
          <w:rStyle w:val="21"/>
          <w:rFonts w:hint="eastAsia" w:ascii="黑体" w:hAnsi="黑体" w:eastAsia="黑体" w:cs="黑体"/>
          <w:sz w:val="44"/>
          <w:szCs w:val="44"/>
          <w:highlight w:val="none"/>
        </w:rPr>
        <w:t>第四部分 附件</w:t>
      </w:r>
    </w:p>
    <w:p>
      <w:pPr>
        <w:spacing w:line="600" w:lineRule="exact"/>
        <w:jc w:val="center"/>
        <w:outlineLvl w:val="0"/>
        <w:rPr>
          <w:rStyle w:val="23"/>
          <w:rFonts w:hint="default" w:ascii="Times New Roman" w:hAnsi="Times New Roman" w:eastAsia="宋体" w:cs="Times New Roman"/>
          <w:b w:val="0"/>
          <w:color w:val="000000"/>
          <w:sz w:val="24"/>
          <w:szCs w:val="24"/>
          <w:lang w:eastAsia="zh-CN"/>
        </w:rPr>
      </w:pPr>
    </w:p>
    <w:bookmarkEnd w:id="47"/>
    <w:bookmarkEnd w:id="48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</w:pPr>
      <w:bookmarkStart w:id="49" w:name="_Toc15396618"/>
      <w:r>
        <w:rPr>
          <w:rFonts w:hint="eastAsia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  <w:t>中共阿坝州委政法委员会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  <w:t>关于202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  <w:t>年整体支出绩效评价报告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州财政局：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按照阿坝州财政局《关于开展202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年州级部门预算绩效自评工作的通知》（阿州财监绩〔202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号）要求，我单位及时对202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年度单位整体支出绩效情况开展自评，现将自评情况报告如下：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一、单位概况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州委政法委属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级预算单位。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内设办公室、州委维护稳定指挥部办公室、维护稳定与综治督导科、基层社会治理科、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平安建设科、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法治与执法监督科、宣传科、政治部。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（二）机构职能。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州委政法委职能简介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贯彻习近平新时代中国特色社会主义思想，坚持党对政法工作的绝对领导，坚决执行党的路线方针政策和党中央、省委及州委重大决策部署，推动完善和落实政治轮训和政治督察制度，推进平安阿坝、法治阿坝建设，加强过硬队伍建设，深化智能化建设，确保社会大局稳定、促进社会公平正义、保障人民安居乐业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贯彻党中央、省委和州委以及上级党组织决定，研究协调政法单位之间以及政法单位和有关部门、地方之间有关重大事项，统一政法单位思想和行动。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组织开展政法领域重大实践和理论问题的调查研究，研究拟订全州政法工作的政策措施，及时向州委提出重大决策部署和改革措施的意见和建议，协助州委决策和统筹推进政法领域改革等各项工作。参与有关民族自治法规、地方性法规和规章的起草、修改工作，及时提出立法建议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了解掌握和分析研判社会稳定形势、政法工作情况动态，创新完善多部门参与的综治维稳机制，协调推动预防、化解影响稳定的社会矛盾和风险，协调应对和妥善处置重大突发事件。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加强对政法工作的督查，统筹协调维护社会稳定、社会治安综合治理等有关法律法规和政策的实施工作。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支持和监督政法单位依法行使职权，检查政法单位执行党的路线方针政策、党中央、省委和州委重大决策部署以及法律法规的情况，指导和协调政法单位密切配合，完善与纪检监察机关工作衔接和协作配合机制，推进严格执法、公正司法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指导推动政法系统党的建设和政法队伍建设，协助州委及州委组织部加强政法单位领导班子和干部队伍建设，协助州委和州纪委监委做好监督检查、审查调查工作。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落实全面依法治国领导机构、城乡基层治理领导机构的各项部署，支持配合其办事机构工作。指导政法单位加强社会稳定、平安建设、法治建设等重大问题研究，提出建议和工作意见，指导和协调政法单位开展维护社会稳定、执法司法、创新社会治理等有关工作。指导见义勇为表彰奖励工作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掌握分析政法舆情动态，指导和协调政法单位和有关部门做好依法办理、宣传报道和舆论引导等相关工作,推动政法网络新媒体发展。统筹指导并推动智能化建设。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完成州委和上级党委政法委员会交办的其他任务。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（三）人员概况。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州编委核定州委政法委人员编制30名，其中：公务员编制22名，工勤编制8名。202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年底在职职工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人，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编外长聘人员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2人。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退休职工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人已纳入社保。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二、单位资金收支情况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（一）收入情况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年年初预算收入为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1481.19万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元，决算报表收入为</w:t>
      </w:r>
      <w:r>
        <w:rPr>
          <w:rFonts w:hint="eastAsia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3283.03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元。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（二）支出情况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年年初预算支出为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1481.19万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元，决算报表支出为</w:t>
      </w:r>
      <w:r>
        <w:rPr>
          <w:rFonts w:hint="eastAsia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3283.03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元，其中：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公共安全支出为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3040.53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90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%；社会保障和就业支出为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124.1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3.8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%；卫生健康支出为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44.66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1.37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%；住房保障支出为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57.79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1.77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（三）结余分配和结转结余情况。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无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三、单位预算绩效分析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sz w:val="32"/>
          <w:szCs w:val="32"/>
        </w:rPr>
        <w:t>（一）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sz w:val="32"/>
          <w:szCs w:val="32"/>
        </w:rPr>
        <w:t>预算总体绩效分析</w:t>
      </w:r>
      <w:r>
        <w:rPr>
          <w:rFonts w:hint="eastAsia" w:eastAsia="方正公文楷体" w:cs="Times New Roman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sz w:val="32"/>
          <w:szCs w:val="32"/>
        </w:rPr>
        <w:t>（65分）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960" w:firstLineChars="3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1.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履职效能（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15分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锚定绝对忠诚，强化政治建设。一是政治忠诚入脑见行。深入贯彻落实《中国共产党政法工作条例》及其实施细则，严格落实“第一议题”制度，修订议事决策规则，通过召开州委政法委员会全体委员会议、委务会议，研究解决重大问题26个。严格落实重大事项请示报告制度，主动向州委和省委政法委汇报工作17次，确保政法工作始终朝着正确方向前进。二是学习教育圆满收关。扎实开展深入贯彻中央八项规定精神学习教育，深化州委“四不”问题专项整治，查摆整改问题119个，健全常治长效制度11项。开展“文山会海”“指尖上的形式主义”“公文抄袭”问题等专项整治，修订完善班子建设、整治形式主义等方面制度措施7项。三是政治督察实现全面覆盖。全力配合州委第一巡察组对委机关开展政治巡察，与州委第二巡察组共同完成对州公安局的政治督察，高质量完成对13县（市）政法单位的政治督察，政治监督更加具体化、精准化、规范化。四是教育活动推进走实走深。举办政法系统“铸忠诚警魂 建高原铁军”教育活动暨“廉动政能量”清廉故事演讲比赛，组织全州政法系统18名青年干警参加比赛，教育引导广大政法干警以务实清廉的优良作风奋进新征程、建功新时代。考察锤炼86名参赛选手逻辑思维、文字表达能力，发现和培养政法机关文字工作人才，涵养短实新政法新文风，提升政法干警新质战斗力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（2）树牢底线思维，主动创安创稳</w:t>
      </w:r>
      <w:r>
        <w:rPr>
          <w:rFonts w:hint="eastAsia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。（略）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3）深化基层治理，夯实平安底座。一是“微网实格”治理体系更加完善。持续优化网格布局，创新“四个协同”机制，推动“三个进网入格”，组织网格力量办结各类事件82764件，办结率达99.56%。加快信息系统建设，融入公安、林草、民政等部门数据资源90万余条，对精神障碍患者、安置帮教、社区矫正等重点人员规范管理率达97.89%，风险预警防控能力明显提升。二是“综治中心”运转更加规范。对标“五个规范化”，完成州、县两级综治中心实体化建设，落实政法信访部门常驻、高频事项单位轮驻、中心吹哨随驻机制，构建“综治中心＋网格化＋大数据”模式，初步实现综治中心一体化调度、专班化管理和矛盾纠纷、利益诉求“一站式受理、一揽子调处、全链条解决。三是平安建设根基更加巩固。制定《平安建设大推进责任分工方案》，细化落实18项任务责任分工。深入开展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打击整治侵害未成年人违法犯罪专项行动，依法打击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12人。深化“化解矛盾风险、维护社会稳定”专项治理，排查化解矛盾纠纷1432件，调解成功率达98.89%。全案起底大排查起底信访积案33件，化解省、州挂牌督办信访事项25件。四是服务中心大局更加有力。紧扣“五个之州”建设目标，构建“政法+文旅”协同体系，推动“四圈四同”“鹤翔兰萨”“文旅警务”等护航文旅发展的法治品牌创新升级，高效审执民宿经营、生态养殖、农特产品等领域纠纷86件，办理生态环境领域公益诉讼43件。按照州委统一部署，扎实做好托底性帮扶、驻村帮扶等中心工作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（4）强化铁军锻造，建强政法队伍。一是综合素能稳步提升。深入开展“铸忠诚警魂 建高原铁军”教育活动，聚焦党建引领“微网实格”基层治理机制深化、维护社会稳定、矛盾纠纷化解等重点任务，举办各类政治轮训、专题培训班13期，培训政法业务骨干1500余名；常态开展技能比武、岗位练兵等活动，在全省党委政法委系统舆情实战演练比赛中荣获全省第一名。二是纪律作风持续从严。健全正风肃纪反腐和执法司法监督长效机制，精细研判12337举报平台问题线索，召开全州政法系统警示教育会、党风廉政建设工作会3次，举办政法系统“廉动政能量”清廉故事演讲比赛，持续教育引导政法干警筑牢思想防线。三是从优待警落地落实。优化机关力量配备，公开选调和个别调动补充工作人员15名；优化政法单位班子结构，推动全州政法系统必须交流干部按期轮岗交流，完成48批次96名协管干部事前沟通事项审批。建立政法干警专业库，强化政法干警源头培养，分类储备专业干部。切实加强暖警爱警，扎实推进团圆工程，解决民辅警异地分居26户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2.预算管理（25分）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（1）预算编制质量（8分）。严格按要求编制年初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预算，年初预算编制的科学性和准确性较高，财政拨款预算偏离度为</w:t>
      </w:r>
      <w:r>
        <w:rPr>
          <w:rFonts w:hint="eastAsia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%，资产配置预算偏离度为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%，政府采购预算偏离度为0%。自评得分：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7.5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分。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（2）单位收入统筹（4分）。无自有收入、无财政核定的综合补助比例。自评得分：4分。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（3）支出执行进度（6分）。1至6月、1至10月预算执行支付进度分别为3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%、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64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无支出预警金额，无支出违规金额。自评得分：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/>
        </w:rPr>
        <w:t>5.5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（4）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预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算年终结余（2分）。预算注销金额和结转金额为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23.75万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元，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预算总金额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1481.19万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元，整体预算结余率为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%。自评得分：2分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（5）严控一般性支出（5分）。严控“三公”经费、会议、培训、差旅、办节办展、办公设备购置、信息网络及软件购置更新、课题经费等。自评得分：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/>
        </w:rPr>
        <w:t>4.5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3.财务管理（10分）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1）财务管理制度（4分）。根据本单位工作实际，在建立并实施内部监督和控制过程中，制定了内部财务管理制度。建立和完善各项制度的同时，相关人员在工作过程中严格遵守这些规章制度，有效地实施了内部监督和控制。自评得分：4分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2）财务岗位设置（2分）。明确了记账人员和审批人员、经办人员的职责权限，使其相互分离、相互制约，以明确责任，防止舞弊，各项业务事项得以有序进行；明确了财务收支审批程序和审批人员的权限，规范了各项资金的使用，提高了资金使用效益。自评得分：2分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（3）资金使用规范（4分）。明确了经费支出的范围和开支标准，采取各种有效措施控制经费开支，杜绝了浪费现象的发生。自评得分：4分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4.资产管理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（1）人均资产变化率（3分）。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截至202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年12月31日，资产总额（账面净值，下同）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179.29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万元，较上年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%。负债总额2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万元，较上年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1.56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%。净资产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179.29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万元,较上年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%。截至202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年12月31日，编制人数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人，较上年度增加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人，年末实有人数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人（其中事业人员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20）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，较上年度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人。人均资产变化率较小。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（2）资产利用率（3分）。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办公家具超最低使用年限资产利用率为0；办公设备超最低使用年限资产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412.65万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元，办公设备的账面价值为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577.5万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元，办公设备超最低使用年限资产利用率为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52.7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（3）资产利用率（3分）。2024年和2025年均无闲置资产。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5.采购管理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（1）支持中小企业发展（3分）。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采购中严格执行政府采购促进中小企业发展相关管理办法，202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年采购金额共计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1143.06万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元，其中涉及中小企业的采购金额为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102.33万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（2）采购执行率（3分）。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年采购金额共计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1143.06万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元，当年政府采购总预算数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1143.06万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(二)项目绩效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（35分）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eastAsia="zh-CN"/>
        </w:rPr>
        <w:t>项目决策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  <w:t>2分）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（1）决策程序（4分）。部门预算项目设立按规定履行评估论证、申报程序，无未履行事前评估程序的部门预算项目。2025年共有24个特定目标类预算项目，决策程序合规。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2）目标设置（4分）。预算项目绩效目标与计划期内的任务量、预算安排的资金量匹配较好，绩效目标设置科学合理、规范完整、量化细化、预算匹配。特定目标类项目目标设置都是经业务科室和财务部门共同合作完成，并经过相关专家指导，目标设置符合规定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（3）项目入库（4分）。部门预算项目能在规定时间完成项目入库。2025年共有24个特定目标类预算项目能在州财政局规定的时间内按时入库。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项目执行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执行同向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。部门预算项目实际列支内容是与绩效目标设置方向相符，无实际列支内容与绩效目标设置方向不相符的部门预算阶段项目。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项目调整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部门预算项目中无应采取未采取收回预算、调整目标等处置措施的部门预算项目。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执行结果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宣传教育转化工作经费项目支付率为100%，平安创建、群防群治、网格化管理工作经费项目支付率为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%,见义勇为专项经费项目支付率为100%，法学会工作经费项目支付率为100%，大调解工作经费项目支付率为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政法三级网、阿坝长安网、大调解网络租赁及维护费项目支付率为97.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57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全州政法干部培训费项目支付率为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综治工作经费项目支付率为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%,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州综治中心信息系统运行服务、视频会议系统提升建设项目支付率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79.13%，阿坝州综治中心专业技术业务用房租赁费及物管费项目支付率100%，“微网实格”基层社会治理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支付率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0.08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目标实现（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（1）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目标完成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（4分）</w:t>
      </w:r>
      <w:r>
        <w:rPr>
          <w:rFonts w:hint="eastAsia" w:eastAsia="方正仿宋_GBK" w:cs="Times New Roman"/>
          <w:color w:val="00000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部门预算项目绩效目标数量指标完成情况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在全州政法系统党纪学习教育中走在前、作表率，锚定动员部署、学习研讨、警示教育、学习中央八项规定精神、辅导培训等7个重点任务，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构建“综治中心＋网格化＋大数据”模式，持续优化网格布局，组织网格力量办结各类事件82764件，办结率达99.56%；深化“化解矛盾风险、维护社会稳定”专项治理，排查化解矛盾纠纷1432件，调解成功率达98.89%；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举办政法轮训、专题培训班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13期，培训政法业务骨干1500余名；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召开全州政法系统警示教育会、党风廉政建设工作会3次。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）目标偏离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。部门预算项目绩效目标数量指标实现程度与预期目标的偏离较小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。自评得分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）实现效果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（3分）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。部门预算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项目绩效目标效益指标实施效果：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坚持政治引领，党的政治建设不断加强。坚持综合施策，政治社会大局持续稳定向好。坚持夯基固本，平安阿坝建设再上新台阶。坚持法治先行，服务保障能力显著提升。锻造高原铁军，综合能力水平全面提高。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（三）绩效结果应用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1.内部应用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将内设机构绩效目标管理纳入内部考核体系；建立对内设机构预算绩效挂钩。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2.信息公开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（1）预算公开。经保密审查，按要求在财政部门批复后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日内向社会公开本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预算（含所有财政资金安排的“三公”经费、机关运行经费的安排、使用情况等）在州政府门户网站上进行了公开。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（2）决算公开。经保密审查，按要求在财政部门批复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日内向社会公开本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决算（含所有财政资金安排的“三公”经费、机关运行经费的安排、使用情况等）在州政府门户网站上进行了公开。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3.整改反馈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阿坝州财政局《关于开展202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、202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年预决算公开情况专项检查情况的通报》，对公开不及时、公开内容不完整、细化程度不够、其它方面存在的问题进行了通报，均无我单位。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我单位无债务资金、无非税收入；编制政府采购实施计划与政府采购预算的一致；按规定完成资产清查任务，并及时上报行政事业单位资产报表；设立了完整的内控制度，未发生廉政或重大责任事故，并按要求上报了内控报表、分析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我单位202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年度整体支出绩效评价自评合格，并按规定将自评情况及时报送财政部门备案，对于自评过程中发现的不足及问题，我单位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将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积极整改，力求下一年度通过完善相关政策制度，建立更加切合实际的绩效评价体系。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四、评价结论及建议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（一）评价结论。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通过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整体支出绩效评价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自评满分为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分，通过自评得分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/>
        </w:rPr>
        <w:t>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8.5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分。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（二）存在问题。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9" w:firstLine="584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一是预算编制准确度有待提高，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由于维稳工作的不确定性，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存在中期追加、期末追减情况；二是固定资产卡片有未及时更新情况，管理有待完善。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（三）改进建议。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jc w:val="left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一是加强每月预算执行监控，及时督促相关科室推进项目执行。二是通过近年预决算数据对比，科学编制预算，未雨绸缪尽量做好年度规划，降低经费追加减比例。三是进一步健全完善内部控制制度，加强资产管理，及时更新固定资产卡片，提高单位成本费用准确度，提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整体支出绩效评价。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left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  </w:t>
      </w:r>
    </w:p>
    <w:p>
      <w:pPr>
        <w:pStyle w:val="3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color w:val="000000"/>
          <w:sz w:val="32"/>
          <w:szCs w:val="32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 w:start="1"/>
          <w:cols w:space="0" w:num="1"/>
          <w:titlePg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88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第五部分 附表</w:t>
      </w:r>
      <w:bookmarkEnd w:id="49"/>
      <w:bookmarkStart w:id="50" w:name="_Toc15396619"/>
    </w:p>
    <w:bookmarkEnd w:id="50"/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一、收入支出决算总表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二、收入决算表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四、财政拨款收入支出决算总表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五、财政拨款支出决算明细表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六、一般公共预算财政拨款支出决算表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七、一般公共预算财政拨款支出决算明细表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八、一般公共预算财政拨款基本支出决算表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九、一般公共预算财政拨款项目支出决算表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十、政府性基金预算财政拨款收入支出决算表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十一、国有资本经营预算财政拨款收入支出决算表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十二、国有资本经营预算财政拨款支出决算表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十三、财政拨款“三公”经费支出决算表</w:t>
      </w:r>
    </w:p>
    <w:sectPr>
      <w:footerReference r:id="rId7" w:type="first"/>
      <w:footerReference r:id="rId6" w:type="default"/>
      <w:pgSz w:w="11906" w:h="16838"/>
      <w:pgMar w:top="2098" w:right="1474" w:bottom="1984" w:left="1587" w:header="851" w:footer="992" w:gutter="0"/>
      <w:pgNumType w:fmt="decimal" w:start="41"/>
      <w:cols w:space="0" w:num="1"/>
      <w:titlePg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DejaVu Sans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公文仿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Lucida Sans">
    <w:altName w:val="仿宋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黑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楷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f46tET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iRJeMQIAAGE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wiRJe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DrADh6MQIAAGM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1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mU02ZMgIAAGM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5lNNmTICAABj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CBAC3B"/>
    <w:rsid w:val="0DF16E51"/>
    <w:rsid w:val="0F0F7E72"/>
    <w:rsid w:val="0FFF410A"/>
    <w:rsid w:val="1D6FF929"/>
    <w:rsid w:val="1EBD8FAB"/>
    <w:rsid w:val="1EDFE0B9"/>
    <w:rsid w:val="1EEB46C2"/>
    <w:rsid w:val="1FF6DAAA"/>
    <w:rsid w:val="1FFF7759"/>
    <w:rsid w:val="27FB0990"/>
    <w:rsid w:val="297FF61D"/>
    <w:rsid w:val="2EF703EE"/>
    <w:rsid w:val="2FF50864"/>
    <w:rsid w:val="2FFF2724"/>
    <w:rsid w:val="33FF20B2"/>
    <w:rsid w:val="35877992"/>
    <w:rsid w:val="35FE0B02"/>
    <w:rsid w:val="39D36B56"/>
    <w:rsid w:val="39EFA5A2"/>
    <w:rsid w:val="39FDF4A2"/>
    <w:rsid w:val="3AF9B953"/>
    <w:rsid w:val="3DDFA9BD"/>
    <w:rsid w:val="3EE376C5"/>
    <w:rsid w:val="3EEFD572"/>
    <w:rsid w:val="3EFABA70"/>
    <w:rsid w:val="3F13FA48"/>
    <w:rsid w:val="3F308DC2"/>
    <w:rsid w:val="3F9C69AA"/>
    <w:rsid w:val="3FD9B66D"/>
    <w:rsid w:val="49736254"/>
    <w:rsid w:val="4B7FE096"/>
    <w:rsid w:val="4FAF50BE"/>
    <w:rsid w:val="4FF7ECCF"/>
    <w:rsid w:val="53FF3588"/>
    <w:rsid w:val="56DB1824"/>
    <w:rsid w:val="57777F5C"/>
    <w:rsid w:val="57BFBC4E"/>
    <w:rsid w:val="5AED3A42"/>
    <w:rsid w:val="5B7F0A7D"/>
    <w:rsid w:val="5BB6D661"/>
    <w:rsid w:val="5BB74121"/>
    <w:rsid w:val="5BD9BB6F"/>
    <w:rsid w:val="5BE64B22"/>
    <w:rsid w:val="5BFB670E"/>
    <w:rsid w:val="5BFF53EA"/>
    <w:rsid w:val="5CF12A96"/>
    <w:rsid w:val="5D75B13F"/>
    <w:rsid w:val="5E06FF84"/>
    <w:rsid w:val="5E340B47"/>
    <w:rsid w:val="5E5A6538"/>
    <w:rsid w:val="5E7A3E67"/>
    <w:rsid w:val="5E7F7A91"/>
    <w:rsid w:val="5EB46D6A"/>
    <w:rsid w:val="5ECE9BB9"/>
    <w:rsid w:val="5EFCAD3C"/>
    <w:rsid w:val="5EFFBF6A"/>
    <w:rsid w:val="5F7F6D57"/>
    <w:rsid w:val="5F9F51C3"/>
    <w:rsid w:val="5FC69028"/>
    <w:rsid w:val="5FCAB4DF"/>
    <w:rsid w:val="5FCE44C0"/>
    <w:rsid w:val="5FFF34D8"/>
    <w:rsid w:val="61DB4851"/>
    <w:rsid w:val="6477048A"/>
    <w:rsid w:val="66B6732F"/>
    <w:rsid w:val="67770C2E"/>
    <w:rsid w:val="67CF0DF6"/>
    <w:rsid w:val="67FFA6C0"/>
    <w:rsid w:val="69FF8A78"/>
    <w:rsid w:val="6BFFDCD9"/>
    <w:rsid w:val="6C47519B"/>
    <w:rsid w:val="6D0924DA"/>
    <w:rsid w:val="6DB3B7E1"/>
    <w:rsid w:val="6EFADA11"/>
    <w:rsid w:val="6F3F7BF1"/>
    <w:rsid w:val="6F5F2B5D"/>
    <w:rsid w:val="6F9FFDC1"/>
    <w:rsid w:val="6FE2CE45"/>
    <w:rsid w:val="6FF965BE"/>
    <w:rsid w:val="6FFF0404"/>
    <w:rsid w:val="715EDF45"/>
    <w:rsid w:val="727FB87B"/>
    <w:rsid w:val="736DB8EF"/>
    <w:rsid w:val="73DF3BA2"/>
    <w:rsid w:val="73F6322E"/>
    <w:rsid w:val="73FC3C08"/>
    <w:rsid w:val="74F22729"/>
    <w:rsid w:val="74FA6BFF"/>
    <w:rsid w:val="75B9F113"/>
    <w:rsid w:val="769E081B"/>
    <w:rsid w:val="771D2537"/>
    <w:rsid w:val="775F59FA"/>
    <w:rsid w:val="777D9F21"/>
    <w:rsid w:val="77B43FBA"/>
    <w:rsid w:val="77B71A0D"/>
    <w:rsid w:val="77DD47FC"/>
    <w:rsid w:val="77DF57C5"/>
    <w:rsid w:val="77EF20FD"/>
    <w:rsid w:val="77FFBE9E"/>
    <w:rsid w:val="77FFD715"/>
    <w:rsid w:val="7AFE43D3"/>
    <w:rsid w:val="7B794F78"/>
    <w:rsid w:val="7B7E382A"/>
    <w:rsid w:val="7B7F9364"/>
    <w:rsid w:val="7BAD6679"/>
    <w:rsid w:val="7BB7C05B"/>
    <w:rsid w:val="7BBB2FBB"/>
    <w:rsid w:val="7BBB768A"/>
    <w:rsid w:val="7BFFCF58"/>
    <w:rsid w:val="7C6B2DB6"/>
    <w:rsid w:val="7CAF2ECE"/>
    <w:rsid w:val="7D2F6FD0"/>
    <w:rsid w:val="7D7FD6C0"/>
    <w:rsid w:val="7DB7BBC8"/>
    <w:rsid w:val="7DFEF52D"/>
    <w:rsid w:val="7E631E5E"/>
    <w:rsid w:val="7E7A601E"/>
    <w:rsid w:val="7EB5E1A3"/>
    <w:rsid w:val="7EBD73D7"/>
    <w:rsid w:val="7ED7CD26"/>
    <w:rsid w:val="7EFFDA60"/>
    <w:rsid w:val="7F6F1829"/>
    <w:rsid w:val="7F7D57E1"/>
    <w:rsid w:val="7F9FB1EB"/>
    <w:rsid w:val="7FA747DA"/>
    <w:rsid w:val="7FAFFDA3"/>
    <w:rsid w:val="7FB53635"/>
    <w:rsid w:val="7FBA866F"/>
    <w:rsid w:val="7FBB0CC3"/>
    <w:rsid w:val="7FBF3813"/>
    <w:rsid w:val="7FD51F4D"/>
    <w:rsid w:val="7FD7E0B9"/>
    <w:rsid w:val="7FD7E8BF"/>
    <w:rsid w:val="7FD7FECD"/>
    <w:rsid w:val="7FD84972"/>
    <w:rsid w:val="7FDB7E36"/>
    <w:rsid w:val="7FDD587E"/>
    <w:rsid w:val="7FE9B614"/>
    <w:rsid w:val="7FEC56F1"/>
    <w:rsid w:val="7FEE282D"/>
    <w:rsid w:val="7FEFECBF"/>
    <w:rsid w:val="7FF555F6"/>
    <w:rsid w:val="7FF71865"/>
    <w:rsid w:val="7FF7A9B1"/>
    <w:rsid w:val="7FF7AFC2"/>
    <w:rsid w:val="7FFD3691"/>
    <w:rsid w:val="7FFD71F2"/>
    <w:rsid w:val="7FFDBBF6"/>
    <w:rsid w:val="7FFDE83D"/>
    <w:rsid w:val="7FFE3F64"/>
    <w:rsid w:val="7FFE9C57"/>
    <w:rsid w:val="7FFFCE9A"/>
    <w:rsid w:val="898E778D"/>
    <w:rsid w:val="8B7FAA71"/>
    <w:rsid w:val="94E6A478"/>
    <w:rsid w:val="98B510AE"/>
    <w:rsid w:val="98FB735C"/>
    <w:rsid w:val="9B5F15F4"/>
    <w:rsid w:val="9BF76FC2"/>
    <w:rsid w:val="9EFF01A0"/>
    <w:rsid w:val="9FEF0B54"/>
    <w:rsid w:val="9FF7C979"/>
    <w:rsid w:val="A655EE13"/>
    <w:rsid w:val="A7196BF0"/>
    <w:rsid w:val="A9EFD409"/>
    <w:rsid w:val="AA7E22F2"/>
    <w:rsid w:val="AA7FE4E0"/>
    <w:rsid w:val="AB9E64B4"/>
    <w:rsid w:val="AEB5F1AB"/>
    <w:rsid w:val="AF8FFE6D"/>
    <w:rsid w:val="B0DD0511"/>
    <w:rsid w:val="B0FF9CEE"/>
    <w:rsid w:val="B1FF136C"/>
    <w:rsid w:val="B3FD89C9"/>
    <w:rsid w:val="B3FF2AA6"/>
    <w:rsid w:val="B46FFB44"/>
    <w:rsid w:val="B5EEC036"/>
    <w:rsid w:val="B7FFD812"/>
    <w:rsid w:val="B8BF48AC"/>
    <w:rsid w:val="B8EB7DEB"/>
    <w:rsid w:val="BB76D8F9"/>
    <w:rsid w:val="BCAF5EF2"/>
    <w:rsid w:val="BCED427D"/>
    <w:rsid w:val="BDD97C83"/>
    <w:rsid w:val="BED3F5AA"/>
    <w:rsid w:val="BEEFE7C4"/>
    <w:rsid w:val="BF3EA4E3"/>
    <w:rsid w:val="BF5F882B"/>
    <w:rsid w:val="BF7BA066"/>
    <w:rsid w:val="BF7CF39F"/>
    <w:rsid w:val="BF7F82B4"/>
    <w:rsid w:val="BFACDA84"/>
    <w:rsid w:val="BFBCEB1C"/>
    <w:rsid w:val="BFFB3700"/>
    <w:rsid w:val="BFFF8B02"/>
    <w:rsid w:val="C5FBC013"/>
    <w:rsid w:val="C7DFF375"/>
    <w:rsid w:val="C8EFD5D7"/>
    <w:rsid w:val="CBAF6C47"/>
    <w:rsid w:val="CF3E863B"/>
    <w:rsid w:val="CF4D667D"/>
    <w:rsid w:val="CFF78FD8"/>
    <w:rsid w:val="D4FB1AF3"/>
    <w:rsid w:val="D76E075E"/>
    <w:rsid w:val="D7E3EB27"/>
    <w:rsid w:val="D7F8A031"/>
    <w:rsid w:val="D9F3AA7D"/>
    <w:rsid w:val="DAF76E8B"/>
    <w:rsid w:val="DB2F1843"/>
    <w:rsid w:val="DBF64098"/>
    <w:rsid w:val="DCFF3B47"/>
    <w:rsid w:val="DDF40EA8"/>
    <w:rsid w:val="DDFB5F3B"/>
    <w:rsid w:val="DEF54476"/>
    <w:rsid w:val="DF2E96C4"/>
    <w:rsid w:val="DF7B292C"/>
    <w:rsid w:val="DF9306EA"/>
    <w:rsid w:val="DF9F0C2A"/>
    <w:rsid w:val="DF9F8F71"/>
    <w:rsid w:val="DFB76FD6"/>
    <w:rsid w:val="DFC79989"/>
    <w:rsid w:val="DFDF38C9"/>
    <w:rsid w:val="DFE173E3"/>
    <w:rsid w:val="DFE72EC7"/>
    <w:rsid w:val="DFF314E0"/>
    <w:rsid w:val="DFFB9419"/>
    <w:rsid w:val="DFFE4D0C"/>
    <w:rsid w:val="E689B88E"/>
    <w:rsid w:val="E7BD7FF8"/>
    <w:rsid w:val="EA721425"/>
    <w:rsid w:val="EBB7E43F"/>
    <w:rsid w:val="EBEFA8F6"/>
    <w:rsid w:val="EDB7EBA6"/>
    <w:rsid w:val="EDEB265D"/>
    <w:rsid w:val="EDF2F84C"/>
    <w:rsid w:val="EEEE23EF"/>
    <w:rsid w:val="EEF50678"/>
    <w:rsid w:val="EF376C07"/>
    <w:rsid w:val="EF5C104D"/>
    <w:rsid w:val="EF6C0F7E"/>
    <w:rsid w:val="EF7CBFA5"/>
    <w:rsid w:val="EF7D03B5"/>
    <w:rsid w:val="EFBF9714"/>
    <w:rsid w:val="EFFFE183"/>
    <w:rsid w:val="F1FFD46E"/>
    <w:rsid w:val="F2F70ECB"/>
    <w:rsid w:val="F2FFAC40"/>
    <w:rsid w:val="F347FC10"/>
    <w:rsid w:val="F3ADFACA"/>
    <w:rsid w:val="F3E2236E"/>
    <w:rsid w:val="F3FBF3A0"/>
    <w:rsid w:val="F4B49787"/>
    <w:rsid w:val="F55F1B3B"/>
    <w:rsid w:val="F58EEB0B"/>
    <w:rsid w:val="F5B73878"/>
    <w:rsid w:val="F5E6DB98"/>
    <w:rsid w:val="F5F5A803"/>
    <w:rsid w:val="F6358B73"/>
    <w:rsid w:val="F63D357C"/>
    <w:rsid w:val="F6D51849"/>
    <w:rsid w:val="F6DF417E"/>
    <w:rsid w:val="F6F548A8"/>
    <w:rsid w:val="F6FA757A"/>
    <w:rsid w:val="F6FE2DDD"/>
    <w:rsid w:val="F7763685"/>
    <w:rsid w:val="F776500A"/>
    <w:rsid w:val="F779C4FB"/>
    <w:rsid w:val="F7BE21FF"/>
    <w:rsid w:val="F7BF2AD2"/>
    <w:rsid w:val="F7BFFC27"/>
    <w:rsid w:val="F7CB6EF0"/>
    <w:rsid w:val="F7D76F38"/>
    <w:rsid w:val="F7E76821"/>
    <w:rsid w:val="F7F15569"/>
    <w:rsid w:val="F7F61311"/>
    <w:rsid w:val="F7F71E57"/>
    <w:rsid w:val="F7FFED58"/>
    <w:rsid w:val="F9F5157F"/>
    <w:rsid w:val="FA4D0140"/>
    <w:rsid w:val="FB7BE2D0"/>
    <w:rsid w:val="FB91753A"/>
    <w:rsid w:val="FBCF8F84"/>
    <w:rsid w:val="FBE8F7BB"/>
    <w:rsid w:val="FBEF61EA"/>
    <w:rsid w:val="FBEF7FF2"/>
    <w:rsid w:val="FBF3FCE9"/>
    <w:rsid w:val="FBF85B96"/>
    <w:rsid w:val="FBFB5A6E"/>
    <w:rsid w:val="FBFF8C87"/>
    <w:rsid w:val="FBFFF873"/>
    <w:rsid w:val="FC7DE244"/>
    <w:rsid w:val="FCBFADBB"/>
    <w:rsid w:val="FD7B804C"/>
    <w:rsid w:val="FD7E528A"/>
    <w:rsid w:val="FDDF3643"/>
    <w:rsid w:val="FDEF8B59"/>
    <w:rsid w:val="FDF7C2B7"/>
    <w:rsid w:val="FDFBAAA9"/>
    <w:rsid w:val="FDFD4EA0"/>
    <w:rsid w:val="FDFFDEAC"/>
    <w:rsid w:val="FE5D1742"/>
    <w:rsid w:val="FE7D04AB"/>
    <w:rsid w:val="FEBF6858"/>
    <w:rsid w:val="FEBFFC81"/>
    <w:rsid w:val="FEFEC435"/>
    <w:rsid w:val="FEFEE80E"/>
    <w:rsid w:val="FEFFC065"/>
    <w:rsid w:val="FF5E5571"/>
    <w:rsid w:val="FF770043"/>
    <w:rsid w:val="FF7E1F8C"/>
    <w:rsid w:val="FF7F0038"/>
    <w:rsid w:val="FFBEEC44"/>
    <w:rsid w:val="FFBFD50D"/>
    <w:rsid w:val="FFCF9246"/>
    <w:rsid w:val="FFDFFC5B"/>
    <w:rsid w:val="FFEFD951"/>
    <w:rsid w:val="FFF5272E"/>
    <w:rsid w:val="FFF559E5"/>
    <w:rsid w:val="FFF9D5BF"/>
    <w:rsid w:val="FFF9E837"/>
    <w:rsid w:val="FFFA80A5"/>
    <w:rsid w:val="FFFB6F87"/>
    <w:rsid w:val="FFFFA0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23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link w:val="24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20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8">
    <w:name w:val="Body Text"/>
    <w:basedOn w:val="1"/>
    <w:qFormat/>
    <w:uiPriority w:val="0"/>
    <w:pPr>
      <w:spacing w:before="30" w:beforeLines="30"/>
    </w:pPr>
    <w:rPr>
      <w:rFonts w:ascii="仿宋_GB2312" w:eastAsia="仿宋_GB2312"/>
      <w:kern w:val="0"/>
      <w:sz w:val="24"/>
      <w:szCs w:val="20"/>
    </w:rPr>
  </w:style>
  <w:style w:type="paragraph" w:styleId="9">
    <w:name w:val="toc 3"/>
    <w:basedOn w:val="1"/>
    <w:next w:val="1"/>
    <w:qFormat/>
    <w:uiPriority w:val="0"/>
    <w:pPr>
      <w:tabs>
        <w:tab w:val="right" w:leader="dot" w:pos="8296"/>
      </w:tabs>
      <w:ind w:left="400" w:leftChars="400"/>
    </w:pPr>
  </w:style>
  <w:style w:type="paragraph" w:styleId="10">
    <w:name w:val="Plain Text"/>
    <w:basedOn w:val="1"/>
    <w:next w:val="11"/>
    <w:qFormat/>
    <w:uiPriority w:val="0"/>
    <w:pPr>
      <w:widowControl w:val="0"/>
      <w:jc w:val="both"/>
    </w:pPr>
    <w:rPr>
      <w:rFonts w:ascii="宋体" w:eastAsia="宋体" w:cs="Courier New"/>
      <w:kern w:val="2"/>
      <w:sz w:val="32"/>
      <w:szCs w:val="21"/>
      <w:lang w:val="en-US" w:eastAsia="zh-CN" w:bidi="ar-SA"/>
    </w:rPr>
  </w:style>
  <w:style w:type="paragraph" w:customStyle="1" w:styleId="11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paragraph" w:styleId="12">
    <w:name w:val="Balloon Text"/>
    <w:basedOn w:val="1"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20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20"/>
    </w:rPr>
  </w:style>
  <w:style w:type="paragraph" w:styleId="15">
    <w:name w:val="toc 1"/>
    <w:basedOn w:val="1"/>
    <w:next w:val="1"/>
    <w:qFormat/>
    <w:uiPriority w:val="0"/>
    <w:pPr>
      <w:tabs>
        <w:tab w:val="right" w:leader="dot" w:pos="8296"/>
      </w:tabs>
      <w:spacing w:before="93"/>
      <w:jc w:val="center"/>
    </w:pPr>
    <w:rPr>
      <w:rFonts w:ascii="仿宋" w:eastAsia="仿宋"/>
      <w:sz w:val="28"/>
      <w:szCs w:val="28"/>
    </w:rPr>
  </w:style>
  <w:style w:type="paragraph" w:styleId="1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17">
    <w:name w:val="toc 2"/>
    <w:basedOn w:val="1"/>
    <w:next w:val="1"/>
    <w:qFormat/>
    <w:uiPriority w:val="0"/>
    <w:pPr>
      <w:tabs>
        <w:tab w:val="right" w:leader="dot" w:pos="8296"/>
      </w:tabs>
      <w:ind w:left="200" w:leftChars="200"/>
    </w:pPr>
  </w:style>
  <w:style w:type="paragraph" w:styleId="1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21">
    <w:name w:val="Strong"/>
    <w:basedOn w:val="20"/>
    <w:qFormat/>
    <w:uiPriority w:val="0"/>
    <w:rPr>
      <w:rFonts w:cs="Times New Roman"/>
      <w:b/>
    </w:rPr>
  </w:style>
  <w:style w:type="character" w:styleId="22">
    <w:name w:val="Hyperlink"/>
    <w:basedOn w:val="20"/>
    <w:qFormat/>
    <w:uiPriority w:val="0"/>
    <w:rPr>
      <w:rFonts w:cs="Times New Roman"/>
      <w:color w:val="0000FF"/>
      <w:u w:val="single"/>
    </w:rPr>
  </w:style>
  <w:style w:type="character" w:customStyle="1" w:styleId="23">
    <w:name w:val="heading 1 Char"/>
    <w:basedOn w:val="20"/>
    <w:link w:val="5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4">
    <w:name w:val="heading 2 Char"/>
    <w:basedOn w:val="20"/>
    <w:link w:val="6"/>
    <w:qFormat/>
    <w:uiPriority w:val="0"/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kern w:val="0"/>
      <w:sz w:val="24"/>
      <w:szCs w:val="24"/>
      <w:lang w:val="en-US" w:eastAsia="zh-CN" w:bidi="ar-SA"/>
    </w:rPr>
  </w:style>
  <w:style w:type="paragraph" w:styleId="26">
    <w:name w:val="List Paragraph"/>
    <w:basedOn w:val="1"/>
    <w:qFormat/>
    <w:uiPriority w:val="0"/>
    <w:pPr>
      <w:ind w:firstLine="200" w:firstLineChars="200"/>
    </w:pPr>
  </w:style>
  <w:style w:type="paragraph" w:customStyle="1" w:styleId="27">
    <w:name w:val="TOC 标题1"/>
    <w:basedOn w:val="5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8">
    <w:name w:val="TOC Heading"/>
    <w:basedOn w:val="5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9">
    <w:name w:val="font01"/>
    <w:basedOn w:val="20"/>
    <w:qFormat/>
    <w:uiPriority w:val="0"/>
    <w:rPr>
      <w:rFonts w:ascii="方正小标宋_GBK" w:hAnsi="方正小标宋_GBK" w:eastAsia="方正小标宋_GBK" w:cs="方正小标宋_GBK"/>
      <w:b/>
      <w:bCs/>
      <w:color w:val="000000"/>
      <w:sz w:val="30"/>
      <w:szCs w:val="30"/>
      <w:u w:val="none"/>
    </w:rPr>
  </w:style>
  <w:style w:type="character" w:customStyle="1" w:styleId="30">
    <w:name w:val="font11"/>
    <w:basedOn w:val="20"/>
    <w:qFormat/>
    <w:uiPriority w:val="0"/>
    <w:rPr>
      <w:rFonts w:ascii="方正小标宋_GBK" w:hAnsi="方正小标宋_GBK" w:eastAsia="方正小标宋_GBK" w:cs="方正小标宋_GBK"/>
      <w:b/>
      <w:bCs/>
      <w:color w:val="000000"/>
      <w:sz w:val="30"/>
      <w:szCs w:val="30"/>
      <w:u w:val="none"/>
    </w:rPr>
  </w:style>
  <w:style w:type="character" w:customStyle="1" w:styleId="31">
    <w:name w:val="font8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2">
    <w:name w:val="font9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3">
    <w:name w:val="font4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4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5">
    <w:name w:val="font51"/>
    <w:basedOn w:val="20"/>
    <w:qFormat/>
    <w:uiPriority w:val="0"/>
    <w:rPr>
      <w:rFonts w:ascii="方正公文仿宋" w:hAnsi="方正公文仿宋" w:eastAsia="方正公文仿宋" w:cs="方正公文仿宋"/>
      <w:color w:val="000000"/>
      <w:sz w:val="18"/>
      <w:szCs w:val="18"/>
      <w:u w:val="none"/>
    </w:rPr>
  </w:style>
  <w:style w:type="character" w:customStyle="1" w:styleId="36">
    <w:name w:val="font2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7">
    <w:name w:val="font61"/>
    <w:basedOn w:val="20"/>
    <w:qFormat/>
    <w:uiPriority w:val="0"/>
    <w:rPr>
      <w:rFonts w:ascii="方正小标宋_GBK" w:hAnsi="方正小标宋_GBK" w:eastAsia="方正小标宋_GBK" w:cs="方正小标宋_GBK"/>
      <w:b/>
      <w:bCs/>
      <w:color w:val="000000"/>
      <w:sz w:val="30"/>
      <w:szCs w:val="30"/>
      <w:u w:val="none"/>
    </w:rPr>
  </w:style>
  <w:style w:type="character" w:customStyle="1" w:styleId="38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chart" Target="charts/chart8.xml"/><Relationship Id="rId23" Type="http://schemas.openxmlformats.org/officeDocument/2006/relationships/chart" Target="charts/chart7.xml"/><Relationship Id="rId22" Type="http://schemas.openxmlformats.org/officeDocument/2006/relationships/chart" Target="charts/chart6.xml"/><Relationship Id="rId21" Type="http://schemas.openxmlformats.org/officeDocument/2006/relationships/chart" Target="charts/chart5.xml"/><Relationship Id="rId20" Type="http://schemas.openxmlformats.org/officeDocument/2006/relationships/chart" Target="charts/chart4.xml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oleObject" Target="embeddings/oleObject6.bin"/><Relationship Id="rId17" Type="http://schemas.openxmlformats.org/officeDocument/2006/relationships/oleObject" Target="embeddings/oleObject5.bin"/><Relationship Id="rId16" Type="http://schemas.openxmlformats.org/officeDocument/2006/relationships/oleObject" Target="embeddings/oleObject4.bin"/><Relationship Id="rId15" Type="http://schemas.openxmlformats.org/officeDocument/2006/relationships/oleObject" Target="embeddings/oleObject3.bin"/><Relationship Id="rId14" Type="http://schemas.openxmlformats.org/officeDocument/2006/relationships/oleObject" Target="embeddings/oleObject2.bin"/><Relationship Id="rId13" Type="http://schemas.openxmlformats.org/officeDocument/2006/relationships/image" Target="media/image1.emf"/><Relationship Id="rId12" Type="http://schemas.openxmlformats.org/officeDocument/2006/relationships/oleObject" Target="embeddings/oleObject1.bin"/><Relationship Id="rId11" Type="http://schemas.openxmlformats.org/officeDocument/2006/relationships/chart" Target="charts/chart3.xml"/><Relationship Id="rId10" Type="http://schemas.openxmlformats.org/officeDocument/2006/relationships/chart" Target="charts/chart2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8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61612"/>
          <c:y val="0.15328467"/>
          <c:w val="0.70616114"/>
          <c:h val="0.52554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工作表465537!$A$2</c:f>
              <c:strCache>
                <c:ptCount val="1"/>
                <c:pt idx="0">
                  <c:v>金额(万元)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delete val="1"/>
            </c:dLbl>
            <c:dLbl>
              <c:idx val="1"/>
              <c:delete val="1"/>
            </c:dLbl>
            <c:numFmt formatCode="#,##0.00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工作表465537!$B$1:$C$1</c:f>
              <c:strCache>
                <c:ptCount val="2"/>
                <c:pt idx="0">
                  <c:v>2025年收支总额</c:v>
                </c:pt>
                <c:pt idx="1">
                  <c:v>2024年收支总额</c:v>
                </c:pt>
              </c:strCache>
            </c:strRef>
          </c:cat>
          <c:val>
            <c:numRef>
              <c:f>工作表465537!$B$2:$C$2</c:f>
              <c:numCache>
                <c:formatCode>#,##0.00</c:formatCode>
                <c:ptCount val="2"/>
                <c:pt idx="0">
                  <c:v>3267.07</c:v>
                </c:pt>
                <c:pt idx="1">
                  <c:v>2369.05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594331"/>
              <c:y val="0.22077933"/>
            </c:manualLayout>
          </c:layout>
          <c:overlay val="0"/>
          <c:spPr>
            <a:noFill/>
            <a:ln>
              <a:noFill/>
            </a:ln>
          </c:spPr>
        </c:title>
        <c:numFmt formatCode="#,##0.00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573467"/>
          <c:y val="0.3357662"/>
          <c:w val="0.094786614"/>
          <c:h val="0.12408742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depthPercent val="100"/>
      <c:rAngAx val="0"/>
      <c:hPercent val="100"/>
      <c:perspective val="0"/>
    </c:view3D>
    <c:floor>
      <c:thickness val="0"/>
      <c:spPr>
        <a:ln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0026990497"/>
          <c:y val="0.41349956"/>
          <c:w val="0.6386871"/>
          <c:h val="0.48234645"/>
        </c:manualLayout>
      </c:layout>
      <c:pie3DChart>
        <c:varyColors val="1"/>
        <c:ser>
          <c:idx val="0"/>
          <c:order val="0"/>
          <c:tx>
            <c:strRef>
              <c:f>工作表465538!$A$2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dLbl>
              <c:idx val="0"/>
              <c:delete val="1"/>
            </c:dLbl>
            <c:dLbl>
              <c:idx val="1"/>
              <c:delete val="1"/>
            </c:dLbl>
            <c:numFmt formatCode="0%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工作表465538!$B$1:$C$1</c:f>
              <c:strCache>
                <c:ptCount val="2"/>
                <c:pt idx="0">
                  <c:v>财政拨款收入</c:v>
                </c:pt>
                <c:pt idx="1">
                  <c:v>其他收入</c:v>
                </c:pt>
              </c:strCache>
            </c:strRef>
          </c:cat>
          <c:val>
            <c:numRef>
              <c:f>工作表465538!$B$2:$C$2</c:f>
              <c:numCache>
                <c:formatCode>0%</c:formatCode>
                <c:ptCount val="2"/>
                <c:pt idx="0">
                  <c:v>0.9951</c:v>
                </c:pt>
                <c:pt idx="1">
                  <c:v>0.0048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</c:pie3D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8201634877384"/>
          <c:y val="0.47"/>
          <c:w val="0.294822888283379"/>
          <c:h val="0.402777777777778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depthPercent val="100"/>
      <c:rAngAx val="0"/>
      <c:hPercent val="100"/>
      <c:perspective val="0"/>
    </c:view3D>
    <c:floor>
      <c:thickness val="0"/>
      <c:spPr>
        <a:ln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08043711"/>
          <c:y val="0.45794392"/>
          <c:w val="0.50193185"/>
          <c:h val="0.38166764"/>
        </c:manualLayout>
      </c:layout>
      <c:pie3DChart>
        <c:varyColors val="1"/>
        <c:ser>
          <c:idx val="0"/>
          <c:order val="0"/>
          <c:tx>
            <c:strRef>
              <c:f>工作表465539!$A$2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dLbl>
              <c:idx val="1"/>
              <c:layout>
                <c:manualLayout>
                  <c:x val="0.056877954903356"/>
                  <c:y val="-0.11082937545253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0%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工作表465539!$B$1:$C$1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工作表465539!$B$2:$C$2</c:f>
              <c:numCache>
                <c:formatCode>0.00%</c:formatCode>
                <c:ptCount val="2"/>
                <c:pt idx="0">
                  <c:v>0.473</c:v>
                </c:pt>
                <c:pt idx="1">
                  <c:v>0.527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224711"/>
          <c:y val="0.497939"/>
          <c:w val="0.29484022"/>
          <c:h val="0.20560771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48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title>
    <c:autoTitleDeleted val="0"/>
    <c:plotArea>
      <c:layout>
        <c:manualLayout>
          <c:layoutTarget val="inner"/>
          <c:xMode val="edge"/>
          <c:yMode val="edge"/>
          <c:x val="0.14693877"/>
          <c:y val="0.13725491"/>
          <c:w val="0.74489796"/>
          <c:h val="0.57516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工作表465540!$A$2</c:f>
              <c:strCache>
                <c:ptCount val="1"/>
                <c:pt idx="0">
                  <c:v>金额(万元)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工作表465540!$B$1:$C$1</c:f>
              <c:strCache>
                <c:ptCount val="2"/>
                <c:pt idx="0">
                  <c:v>2023年财政拨款收支</c:v>
                </c:pt>
                <c:pt idx="1">
                  <c:v>2024年财政拨款收支</c:v>
                </c:pt>
              </c:strCache>
            </c:strRef>
          </c:cat>
          <c:val>
            <c:numRef>
              <c:f>工作表465540!$B$2:$C$2</c:f>
              <c:numCache>
                <c:formatCode>General</c:formatCode>
                <c:ptCount val="2"/>
                <c:pt idx="0">
                  <c:v>1917.84</c:v>
                </c:pt>
                <c:pt idx="1" c:formatCode="#,##0.00">
                  <c:v>2369.05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2449017"/>
              <c:y val="0.24852055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4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9102041"/>
          <c:y val="0.3594768"/>
          <c:w val="0.08163268"/>
          <c:h val="0.11111111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61612"/>
          <c:y val="0.15328467"/>
          <c:w val="0.70616114"/>
          <c:h val="0.52554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工作表465537!$A$2</c:f>
              <c:strCache>
                <c:ptCount val="1"/>
                <c:pt idx="0">
                  <c:v>金额(万元)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delete val="1"/>
            </c:dLbl>
            <c:dLbl>
              <c:idx val="1"/>
              <c:delete val="1"/>
            </c:dLbl>
            <c:numFmt formatCode="#,##0.00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工作表465537!$B$1:$C$1</c:f>
              <c:strCache>
                <c:ptCount val="2"/>
                <c:pt idx="0">
                  <c:v>2025年收支总额</c:v>
                </c:pt>
                <c:pt idx="1">
                  <c:v>2024年收支总额</c:v>
                </c:pt>
              </c:strCache>
            </c:strRef>
          </c:cat>
          <c:val>
            <c:numRef>
              <c:f>工作表465537!$B$2:$C$2</c:f>
              <c:numCache>
                <c:formatCode>#,##0.00</c:formatCode>
                <c:ptCount val="2"/>
                <c:pt idx="0">
                  <c:v>3267.07</c:v>
                </c:pt>
                <c:pt idx="1">
                  <c:v>2369.05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594331"/>
              <c:y val="0.22077933"/>
            </c:manualLayout>
          </c:layout>
          <c:overlay val="0"/>
          <c:spPr>
            <a:noFill/>
            <a:ln>
              <a:noFill/>
            </a:ln>
          </c:spPr>
        </c:title>
        <c:numFmt formatCode="#,##0.00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573467"/>
          <c:y val="0.3357662"/>
          <c:w val="0.094786614"/>
          <c:h val="0.12408742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436699"/>
          <c:y val="0.055670105"/>
          <c:w val="0.44482654"/>
          <c:h val="0.7617191"/>
        </c:manualLayout>
      </c:layout>
      <c:pieChart>
        <c:varyColors val="1"/>
        <c:ser>
          <c:idx val="0"/>
          <c:order val="0"/>
          <c:tx>
            <c:strRef>
              <c:f>工作表465542!$A$2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Pt>
            <c:idx val="2"/>
            <c:bubble3D val="0"/>
            <c:spPr>
              <a:solidFill>
                <a:srgbClr val="9BBB59"/>
              </a:solidFill>
            </c:spPr>
          </c:dPt>
          <c:dPt>
            <c:idx val="3"/>
            <c:bubble3D val="0"/>
            <c:spPr>
              <a:solidFill>
                <a:srgbClr val="8064A2"/>
              </a:solidFill>
            </c:spPr>
          </c:dPt>
          <c:dPt>
            <c:idx val="4"/>
            <c:bubble3D val="0"/>
            <c:spPr>
              <a:solidFill>
                <a:srgbClr val="4F81BD"/>
              </a:solidFill>
            </c:spPr>
          </c:dPt>
          <c:dPt>
            <c:idx val="5"/>
            <c:bubble3D val="0"/>
            <c:spPr>
              <a:solidFill>
                <a:srgbClr val="4F81BD"/>
              </a:solidFill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工作表465542!$B$1:$G$1</c:f>
              <c:strCache>
                <c:ptCount val="6"/>
                <c:pt idx="0">
                  <c:v>公共安全支出</c:v>
                </c:pt>
                <c:pt idx="1">
                  <c:v>教育支出</c:v>
                </c:pt>
                <c:pt idx="2">
                  <c:v>社会保障和就业支出</c:v>
                </c:pt>
                <c:pt idx="3">
                  <c:v>卫生健康支出</c:v>
                </c:pt>
                <c:pt idx="4">
                  <c:v>住房保障支出</c:v>
                </c:pt>
                <c:pt idx="5">
                  <c:v>文化旅游体育与传媒</c:v>
                </c:pt>
              </c:strCache>
            </c:strRef>
          </c:cat>
          <c:val>
            <c:numRef>
              <c:f>工作表465542!$B$2:$G$2</c:f>
              <c:numCache>
                <c:formatCode>0.00%</c:formatCode>
                <c:ptCount val="6"/>
                <c:pt idx="0">
                  <c:v>0.9307</c:v>
                </c:pt>
                <c:pt idx="1">
                  <c:v>0</c:v>
                </c:pt>
                <c:pt idx="2">
                  <c:v>0.038</c:v>
                </c:pt>
                <c:pt idx="3">
                  <c:v>0.0137</c:v>
                </c:pt>
                <c:pt idx="4">
                  <c:v>0.0177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2708035"/>
          <c:y val="0.09347641"/>
          <c:w val="0.18652043"/>
          <c:h val="0.5158019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520501"/>
          <c:y val="0.3996646"/>
          <c:w val="0.37179455"/>
          <c:h val="0.594657"/>
        </c:manualLayout>
      </c:layout>
      <c:pieChart>
        <c:varyColors val="1"/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0973203"/>
          <c:y val="0.50911844"/>
          <c:w val="0.10563356"/>
          <c:h val="0.442858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2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520501"/>
          <c:y val="0.3996646"/>
          <c:w val="0.37179455"/>
          <c:h val="0.594657"/>
        </c:manualLayout>
      </c:layout>
      <c:pieChart>
        <c:varyColors val="1"/>
        <c:ser>
          <c:idx val="0"/>
          <c:order val="0"/>
          <c:tx>
            <c:strRef>
              <c:f>工作表465543!$A$2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3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工作表465543!$B$1:$C$1</c:f>
              <c:strCache>
                <c:ptCount val="2"/>
                <c:pt idx="0">
                  <c:v>公务用车购置及运行维护费</c:v>
                </c:pt>
                <c:pt idx="1">
                  <c:v>公务接待费</c:v>
                </c:pt>
              </c:strCache>
            </c:strRef>
          </c:cat>
          <c:val>
            <c:numRef>
              <c:f>工作表465543!$B$2:$C$2</c:f>
              <c:numCache>
                <c:formatCode>0.00%</c:formatCode>
                <c:ptCount val="2"/>
                <c:pt idx="0">
                  <c:v>0.9939</c:v>
                </c:pt>
                <c:pt idx="1">
                  <c:v>0.0061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0973203"/>
          <c:y val="0.50911844"/>
          <c:w val="0.10563356"/>
          <c:h val="0.442858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2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四川省财政厅</Company>
  <Pages>28</Pages>
  <Words>9104</Words>
  <Characters>10022</Characters>
  <Lines>683</Lines>
  <Paragraphs>271</Paragraphs>
  <TotalTime>5</TotalTime>
  <ScaleCrop>false</ScaleCrop>
  <LinksUpToDate>false</LinksUpToDate>
  <CharactersWithSpaces>10516</CharactersWithSpaces>
  <Application>WPS Office_11.8.2.1117_F1E327BC-269C-435d-A152-05C5408002CA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2021-10-10T21:42:00Z</dcterms:created>
  <dc:creator>曹颖</dc:creator>
  <cp:lastModifiedBy>user</cp:lastModifiedBy>
  <cp:lastPrinted>2026-09-17T15:08:07Z</cp:lastPrinted>
  <dcterms:modified xsi:type="dcterms:W3CDTF">2026-09-17T15:10:43Z</dcterms:modified>
  <dc:title>四川省***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2052-11.8.2.1117</vt:lpwstr>
  </property>
  <property fmtid="{D5CDD505-2E9C-101B-9397-08002B2CF9AE}" pid="3" name="ICV">
    <vt:lpwstr>C46A6C9A79E687213DBDA06A60D47DA3</vt:lpwstr>
  </property>
</Properties>
</file>