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jc w:val="center"/>
        <w:textAlignment w:val="auto"/>
        <w:outlineLvl w:val="0"/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</w:pPr>
      <w:bookmarkStart w:id="0" w:name="_Toc15377425"/>
      <w:bookmarkStart w:id="1" w:name="_Toc15377193"/>
      <w:bookmarkStart w:id="2" w:name="_Toc15396475"/>
      <w:bookmarkStart w:id="3" w:name="_Toc15396597"/>
      <w:bookmarkStart w:id="4" w:name="_Toc15378441"/>
      <w:bookmarkStart w:id="5" w:name="_Toc15306267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  <w:lang w:eastAsia="zh-CN"/>
        </w:rPr>
        <w:t>2025</w:t>
      </w:r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年度</w:t>
      </w:r>
      <w:bookmarkEnd w:id="0"/>
      <w:bookmarkEnd w:id="1"/>
      <w:bookmarkEnd w:id="2"/>
      <w:bookmarkEnd w:id="3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jc w:val="center"/>
        <w:textAlignment w:val="auto"/>
        <w:outlineLvl w:val="0"/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  <w:lang w:eastAsia="zh-CN"/>
        </w:rPr>
      </w:pPr>
      <w:bookmarkStart w:id="6" w:name="_Toc15377194"/>
      <w:bookmarkStart w:id="7" w:name="_Toc15377426"/>
      <w:bookmarkStart w:id="8" w:name="_Toc15396598"/>
      <w:bookmarkStart w:id="9" w:name="_Toc15378442"/>
      <w:bookmarkStart w:id="10" w:name="_Toc15396476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阿坝州</w:t>
      </w:r>
      <w:bookmarkEnd w:id="5"/>
      <w:bookmarkStart w:id="11" w:name="_Toc15306268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委政法委</w:t>
      </w:r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  <w:lang w:eastAsia="zh-CN"/>
        </w:rPr>
        <w:t>部门</w:t>
      </w:r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</w:rPr>
        <w:t>决算</w:t>
      </w:r>
      <w:bookmarkEnd w:id="6"/>
      <w:bookmarkEnd w:id="7"/>
      <w:bookmarkEnd w:id="8"/>
      <w:bookmarkEnd w:id="9"/>
      <w:bookmarkEnd w:id="10"/>
      <w:bookmarkEnd w:id="11"/>
      <w:r>
        <w:rPr>
          <w:rFonts w:hint="eastAsia" w:ascii="方正公文小标宋" w:hAnsi="方正公文小标宋" w:eastAsia="方正公文小标宋" w:cs="方正公文小标宋"/>
          <w:color w:val="000000"/>
          <w:sz w:val="52"/>
          <w:szCs w:val="52"/>
          <w:lang w:eastAsia="zh-CN"/>
        </w:rPr>
        <w:t>公开</w:t>
      </w:r>
    </w:p>
    <w:p>
      <w:pPr>
        <w:adjustRightInd w:val="0"/>
        <w:snapToGrid w:val="0"/>
        <w:spacing w:line="360" w:lineRule="auto"/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sz w:val="52"/>
          <w:szCs w:val="52"/>
        </w:rPr>
      </w:pPr>
    </w:p>
    <w:p>
      <w:pPr>
        <w:widowControl/>
        <w:jc w:val="center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</w:pPr>
    </w:p>
    <w:p>
      <w:pPr>
        <w:pStyle w:val="8"/>
        <w:spacing w:before="93" w:beforeLines="0"/>
        <w:jc w:val="center"/>
        <w:rPr>
          <w:rFonts w:hint="default" w:ascii="Times New Roman" w:hAnsi="Times New Roman" w:eastAsia="仿宋" w:cs="Times New Roman"/>
          <w:color w:val="000000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已经保密审查、内容审定，同意对外公开</w:t>
      </w:r>
    </w:p>
    <w:p>
      <w:pPr>
        <w:widowControl/>
        <w:jc w:val="center"/>
        <w:rPr>
          <w:rFonts w:hint="eastAsia" w:ascii="黑体" w:hAnsi="黑体" w:eastAsia="黑体" w:cs="黑体"/>
          <w:sz w:val="48"/>
          <w:szCs w:val="48"/>
        </w:rPr>
      </w:pPr>
      <w:bookmarkStart w:id="12" w:name="_Toc15377196"/>
      <w:bookmarkStart w:id="13" w:name="_Toc15396599"/>
      <w:r>
        <w:rPr>
          <w:rFonts w:hint="eastAsia" w:ascii="黑体" w:hAnsi="黑体" w:eastAsia="黑体" w:cs="黑体"/>
          <w:sz w:val="48"/>
          <w:szCs w:val="48"/>
        </w:rPr>
        <w:t>目录</w:t>
      </w:r>
    </w:p>
    <w:p>
      <w:pPr>
        <w:widowControl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1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公开时间：202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年9月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第一部分 </w:t>
      </w:r>
      <w:r>
        <w:rPr>
          <w:rFonts w:hint="eastAsia" w:ascii="Times New Roman" w:eastAsia="宋体" w:cs="Times New Roman"/>
          <w:sz w:val="24"/>
          <w:szCs w:val="24"/>
          <w:lang w:eastAsia="zh-CN"/>
        </w:rPr>
        <w:t>部门</w:t>
      </w:r>
      <w:r>
        <w:rPr>
          <w:rFonts w:hint="default" w:ascii="Times New Roman" w:hAnsi="Times New Roman" w:eastAsia="宋体" w:cs="Times New Roman"/>
          <w:sz w:val="24"/>
          <w:szCs w:val="24"/>
        </w:rPr>
        <w:t>概况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4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</w:t>
      </w:r>
      <w:r>
        <w:rPr>
          <w:rFonts w:hint="eastAsia" w:cs="Times New Roman"/>
          <w:sz w:val="24"/>
          <w:szCs w:val="24"/>
          <w:lang w:eastAsia="zh-CN"/>
        </w:rPr>
        <w:t>部门</w:t>
      </w:r>
      <w:r>
        <w:rPr>
          <w:rFonts w:hint="default" w:ascii="Times New Roman" w:hAnsi="Times New Roman" w:eastAsia="宋体" w:cs="Times New Roman"/>
          <w:sz w:val="24"/>
          <w:szCs w:val="24"/>
        </w:rPr>
        <w:t>职责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4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二、机构设置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第二部分 </w:t>
      </w:r>
      <w:r>
        <w:rPr>
          <w:rFonts w:hint="eastAsia" w:ascii="Times New Roman" w:eastAsia="宋体" w:cs="Times New Roman"/>
          <w:sz w:val="24"/>
          <w:szCs w:val="24"/>
          <w:lang w:eastAsia="zh-CN"/>
        </w:rPr>
        <w:t>2025</w:t>
      </w:r>
      <w:r>
        <w:rPr>
          <w:rFonts w:hint="default" w:ascii="Times New Roman" w:hAnsi="Times New Roman" w:eastAsia="宋体" w:cs="Times New Roman"/>
          <w:sz w:val="24"/>
          <w:szCs w:val="24"/>
        </w:rPr>
        <w:t>年度</w:t>
      </w:r>
      <w:r>
        <w:rPr>
          <w:rFonts w:hint="eastAsia" w:cs="Times New Roman"/>
          <w:sz w:val="24"/>
          <w:szCs w:val="24"/>
          <w:lang w:eastAsia="zh-CN"/>
        </w:rPr>
        <w:t>部门</w:t>
      </w:r>
      <w:r>
        <w:rPr>
          <w:rFonts w:hint="default" w:ascii="Times New Roman" w:hAnsi="Times New Roman" w:eastAsia="宋体" w:cs="Times New Roman"/>
          <w:sz w:val="24"/>
          <w:szCs w:val="24"/>
        </w:rPr>
        <w:t>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6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一、收入支出决算总体情况说明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6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二、收入决算情况说明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6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7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四、财政拨款收入支出决算总体情况说明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 w:eastAsia="zh-CN"/>
        </w:rPr>
        <w:t>8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五、一般公共预算财政拨款支出决算情况说明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eastAsia" w:cs="Times New Roman"/>
          <w:sz w:val="24"/>
          <w:szCs w:val="24"/>
          <w:lang w:val="en-US" w:eastAsia="zh-CN"/>
        </w:rPr>
        <w:t>8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六、一般公共预算财政拨款基本支出决算情况说明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七、财政拨款“三公”经费支出决算情况说明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2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八、政府性基金预算支出决算情况说明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3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九、国有资本经营预算支出决算情况说明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4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十、其他重要事项的情况说明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cs="Times New Roman"/>
          <w:sz w:val="24"/>
          <w:szCs w:val="24"/>
          <w:lang w:val="en-US" w:eastAsia="zh-CN"/>
        </w:rPr>
        <w:t>4</w:t>
      </w: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第三部分 名词解释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eastAsia="宋体" w:cs="Times New Roman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第四部分 附件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eastAsia="宋体" w:cs="Times New Roman"/>
          <w:sz w:val="24"/>
          <w:szCs w:val="24"/>
          <w:lang w:val="en-US" w:eastAsia="zh-CN"/>
        </w:rPr>
        <w:t>7</w:t>
      </w:r>
    </w:p>
    <w:p>
      <w:pPr>
        <w:pStyle w:val="15"/>
        <w:adjustRightInd w:val="0"/>
        <w:snapToGrid w:val="0"/>
        <w:spacing w:before="0"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第五部分 附表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eastAsia="宋体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一、收入支出决算总表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二、收入决算表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四、财政拨款收入支出决算总表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五、财政拨款支出决算明细表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六、一般公共预算财政拨款支出决算表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七、一般公共预算财政拨款支出决算明细表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八、一般公共预算财政拨款基本支出决算明细表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九、一般公共预算财政拨款项目支出决算表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十、政府性基金预算财政拨款收入支出决算表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十一、国有资本经营预算财政拨款收入支出决算表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十二、国有资本经营预算财政拨款支出决算表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p>
      <w:pPr>
        <w:pStyle w:val="17"/>
        <w:adjustRightInd w:val="0"/>
        <w:snapToGrid w:val="0"/>
        <w:spacing w:line="440" w:lineRule="exact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十三、财政拨款“三公”经费支出决算表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cs="Times New Roman"/>
          <w:sz w:val="24"/>
          <w:szCs w:val="24"/>
          <w:lang w:val="en-US"/>
        </w:rPr>
        <w:t>41</w:t>
      </w:r>
    </w:p>
    <w:sdt>
      <w:sdtPr>
        <w:rPr>
          <w:rFonts w:hint="default" w:ascii="Times New Roman" w:hAnsi="Times New Roman" w:eastAsia="宋体" w:cs="Times New Roman"/>
          <w:sz w:val="24"/>
          <w:szCs w:val="24"/>
          <w:lang w:val="zh-CN"/>
        </w:rPr>
        <w:id w:val="-1"/>
        <w:showingPlcHdr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/>
        </w:rPr>
      </w:sdtEndPr>
      <w:sdtContent>
        <w:p>
          <w:pPr>
            <w:pStyle w:val="15"/>
            <w:jc w:val="center"/>
            <w:rPr>
              <w:rFonts w:hint="default" w:ascii="Times New Roman" w:hAnsi="Times New Roman" w:eastAsia="宋体" w:cs="Times New Roman"/>
              <w:sz w:val="24"/>
              <w:szCs w:val="24"/>
            </w:rPr>
          </w:pPr>
        </w:p>
      </w:sdtContent>
    </w:sdt>
    <w:p>
      <w:pPr>
        <w:widowControl/>
        <w:spacing w:line="480" w:lineRule="auto"/>
        <w:jc w:val="left"/>
        <w:rPr>
          <w:rFonts w:hint="default" w:ascii="Times New Roman" w:hAnsi="Times New Roman" w:eastAsia="仿宋" w:cs="Times New Roman"/>
          <w:b/>
          <w:bCs/>
          <w:color w:val="000000"/>
          <w:kern w:val="44"/>
          <w:sz w:val="20"/>
          <w:szCs w:val="20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widowControl/>
        <w:spacing w:line="440" w:lineRule="exact"/>
        <w:jc w:val="left"/>
        <w:rPr>
          <w:rFonts w:hint="default" w:ascii="Times New Roman" w:hAnsi="Times New Roman" w:eastAsia="仿宋" w:cs="Times New Roman"/>
          <w:bCs/>
          <w:color w:val="000000"/>
          <w:kern w:val="44"/>
          <w:sz w:val="24"/>
        </w:rPr>
      </w:pPr>
    </w:p>
    <w:p>
      <w:pPr>
        <w:pStyle w:val="5"/>
        <w:jc w:val="both"/>
        <w:rPr>
          <w:rFonts w:hint="default" w:ascii="Times New Roman" w:hAnsi="Times New Roman" w:eastAsia="黑体" w:cs="Times New Roman"/>
          <w:b w:val="0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pStyle w:val="5"/>
        <w:jc w:val="center"/>
        <w:rPr>
          <w:rStyle w:val="24"/>
          <w:rFonts w:hint="eastAsia" w:ascii="黑体" w:hAnsi="黑体" w:eastAsia="黑体" w:cs="黑体"/>
          <w:b/>
          <w:bCs w:val="0"/>
          <w:color w:val="000000"/>
          <w:sz w:val="48"/>
          <w:szCs w:val="48"/>
        </w:rPr>
      </w:pPr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 xml:space="preserve">第一部分 </w:t>
      </w:r>
      <w:r>
        <w:rPr>
          <w:rStyle w:val="24"/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部门概况</w:t>
      </w:r>
      <w:bookmarkEnd w:id="12"/>
      <w:bookmarkEnd w:id="13"/>
    </w:p>
    <w:p>
      <w:pPr>
        <w:pStyle w:val="6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ind w:firstLine="642" w:firstLineChars="200"/>
        <w:textAlignment w:val="auto"/>
        <w:rPr>
          <w:rStyle w:val="25"/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eastAsia="zh-CN"/>
        </w:rPr>
      </w:pPr>
      <w:bookmarkStart w:id="14" w:name="_Toc15396600"/>
      <w:bookmarkStart w:id="15" w:name="_Toc15377197"/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</w:rPr>
        <w:t>一、</w:t>
      </w:r>
      <w:bookmarkEnd w:id="14"/>
      <w:bookmarkEnd w:id="15"/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lang w:eastAsia="zh-CN"/>
        </w:rPr>
        <w:t>部门职责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16" w:name="_Toc15378446"/>
      <w:bookmarkStart w:id="17" w:name="_Toc15377199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贯彻习近平新时代中国特色社会主义思想，坚持党对政法工作的绝对领导，坚决执行党的路线方针政策和党中央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、省委及州委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重大决策部署，推动完善和落实政治轮训和政治督察制度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，推进平安阿坝、法治阿坝建设，加强过硬队伍建设，深化智能化建设，确保社会大局稳定、促进社会公平正义、保障人民安居乐业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贯彻党中央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、省委和州委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以及上级党组织决定，研究协调政法单位之间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政法单位和有关部门、地方之间有关重大事项，统一政法单位思想和行动。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（三）组织开展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政法领域重大实践和理论问题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调查研究，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研究拟订全州政法工作的政策措施，及时向州委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提出重大决策部署和改革措施的意见和建议，协助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委决策和统筹推进政法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领域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改革等各项工作。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参与有关民族自治法规、地方性法规和规章的起草、修改工作，及时提出立法建议。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了解掌握和分析研判社会稳定形势、政法工作情况动态，创新完善多部门参与的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综治维稳机制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，协调推动预防、化解影响稳定的社会矛盾和风险，协调应对和妥善处置重大突发事件。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（五）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加强对政法工作的督查，统筹协调维护社会稳定、社会治安综合治理等有关法律法规和政策的实施工作。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（六）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支持和监督政法单位依法行使职权，检查政法单位执行党的路线方针政策、党中央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、省委和州委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重大决策部署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以及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法律法规的情况，指导和协调政法单位密切配合，完善与纪检监察机关工作衔接和协作配合机制，推进严格执法、公正司法。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（七）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指导推动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政法系统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党的建设和政法队伍建设，协助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组织部加强政法单位领导班子和干部队伍建设，协助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委和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州纪委监委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做好监督检查、审查调查工作。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（八）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落实全面依法治国领导机构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、城乡基层治理领导机构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各项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部署，支持配合其办事机构工作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指导政法单位加强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社会稳定、平安建设、法治建设等重大问题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研究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提出建议和工作意见，指导和协调政法单位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开展维护社会稳定、执法司法、创新社会治理等有关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指导见义勇为表彰奖励工作。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（九）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掌握分析政法舆情动态，指导和协调政法单位和有关部门做好依法办理、宣传报道和舆论引导等相关工作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,推动政法网络新媒体发展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统筹指导并推动智能化建设。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（十）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完成州委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和上级党委政法委员会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交办的其他任务。</w:t>
      </w:r>
      <w:bookmarkEnd w:id="16"/>
      <w:bookmarkEnd w:id="17"/>
      <w:bookmarkStart w:id="18" w:name="_Toc15396601"/>
      <w:bookmarkStart w:id="19" w:name="_Toc1537720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 w:val="0"/>
          <w:color w:val="000000"/>
          <w:sz w:val="32"/>
          <w:szCs w:val="32"/>
          <w:lang w:eastAsia="zh-CN"/>
        </w:rPr>
        <w:t>二、机构设置</w:t>
      </w:r>
      <w:bookmarkEnd w:id="18"/>
      <w:bookmarkEnd w:id="19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中共阿坝州委政法委员会下属二级预算单位2个，其中行政单位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个，参照公务员法管理的事业单位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个，其他事业单位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纳入中共阿坝州委政法委员会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年度部门决算编制范围的二级预算单位包括：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1.中共阿坝州委政法委员会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2.阿坝州法学会</w:t>
      </w:r>
    </w:p>
    <w:p>
      <w:pPr>
        <w:pStyle w:val="5"/>
        <w:ind w:right="440"/>
        <w:jc w:val="center"/>
        <w:rPr>
          <w:rStyle w:val="24"/>
          <w:rFonts w:hint="eastAsia" w:ascii="黑体" w:hAnsi="黑体" w:eastAsia="黑体" w:cs="黑体"/>
          <w:b/>
          <w:bCs w:val="0"/>
          <w:color w:val="000000"/>
          <w:sz w:val="44"/>
          <w:szCs w:val="44"/>
        </w:rPr>
      </w:pPr>
      <w:bookmarkStart w:id="20" w:name="_Toc15377204"/>
      <w:bookmarkStart w:id="21" w:name="_Toc15396602"/>
      <w:r>
        <w:rPr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 xml:space="preserve">第二部分 </w:t>
      </w:r>
      <w:r>
        <w:rPr>
          <w:rStyle w:val="24"/>
          <w:rFonts w:hint="eastAsia" w:ascii="黑体" w:hAnsi="黑体" w:eastAsia="黑体" w:cs="黑体"/>
          <w:b/>
          <w:bCs w:val="0"/>
          <w:color w:val="000000"/>
          <w:sz w:val="44"/>
          <w:szCs w:val="44"/>
        </w:rPr>
        <w:t>2025年度部门决算情况说明</w:t>
      </w:r>
      <w:bookmarkEnd w:id="20"/>
      <w:bookmarkEnd w:id="21"/>
    </w:p>
    <w:p>
      <w:pPr>
        <w:pStyle w:val="1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</w:pPr>
      <w:bookmarkStart w:id="22" w:name="_Toc15396603"/>
      <w:bookmarkStart w:id="23" w:name="_Toc15377205"/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  <w:lang w:eastAsia="zh-CN"/>
        </w:rPr>
        <w:t>一、</w:t>
      </w:r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  <w:t>收入支出决算总体情况说明</w:t>
      </w:r>
      <w:bookmarkEnd w:id="22"/>
      <w:bookmarkEnd w:id="2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2025年度收、支总计3507.84万元。与2024年相比，收、支总计各增加955.12万元，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37.42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主要变动原因是年中新增项目“采购阿坝州‘微网实格’信息系统服务”，该项目增加预算较多。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（图1：收、支决算总计变动情况图）（柱状图）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16865" distB="339725" distL="369570" distR="293370" simplePos="0" relativeHeight="251660288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106680</wp:posOffset>
            </wp:positionV>
            <wp:extent cx="5033645" cy="1732915"/>
            <wp:effectExtent l="0" t="0" r="0" b="0"/>
            <wp:wrapNone/>
            <wp:docPr id="1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</w:pPr>
      <w:bookmarkStart w:id="24" w:name="_Toc15396604"/>
      <w:bookmarkStart w:id="25" w:name="_Toc15377206"/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  <w:lang w:eastAsia="zh-CN"/>
        </w:rPr>
        <w:t>二、</w:t>
      </w:r>
      <w:r>
        <w:rPr>
          <w:rFonts w:hint="eastAsia" w:ascii="黑体" w:hAnsi="黑体" w:eastAsia="黑体" w:cs="黑体"/>
          <w:snapToGrid/>
          <w:color w:val="auto"/>
          <w:spacing w:val="0"/>
          <w:w w:val="100"/>
          <w:position w:val="0"/>
          <w:sz w:val="32"/>
          <w:szCs w:val="32"/>
          <w:u w:val="none" w:color="auto"/>
          <w:vertAlign w:val="baseline"/>
        </w:rPr>
        <w:t>收入决算情况说明</w:t>
      </w:r>
      <w:bookmarkEnd w:id="24"/>
      <w:bookmarkEnd w:id="2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年收入合计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3507.84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万元，其中：一般公共预算财政拨款收入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3491.89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万元，占 </w:t>
      </w:r>
      <w:r>
        <w:rPr>
          <w:rFonts w:hint="eastAsia" w:ascii="仿宋_GB2312" w:hAnsi="仿宋_GB2312" w:eastAsia="仿宋_GB2312" w:cs="仿宋_GB2312"/>
          <w:sz w:val="32"/>
          <w:szCs w:val="32"/>
        </w:rPr>
        <w:t>99.54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%；政府性基金预算财政拨款收入0.00万元，占 0.00%；上级补助收入0.00万元，占 0.00%；事业收入0.00万元，占 0.00%；经营收入0.00万元，占 0.00%；附属单位上缴收入0.00万元，占 0.00%；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其他收入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15.95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0.45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（图2：收入决算结构图）（饼状图）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1402080" distB="1383665" distL="2863215" distR="118745" simplePos="0" relativeHeight="251660288" behindDoc="0" locked="0" layoutInCell="1" allowOverlap="1">
            <wp:simplePos x="0" y="0"/>
            <wp:positionH relativeFrom="column">
              <wp:posOffset>522605</wp:posOffset>
            </wp:positionH>
            <wp:positionV relativeFrom="paragraph">
              <wp:posOffset>266700</wp:posOffset>
            </wp:positionV>
            <wp:extent cx="4660900" cy="1143000"/>
            <wp:effectExtent l="0" t="0" r="0" b="0"/>
            <wp:wrapNone/>
            <wp:docPr id="2" name="对象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tabs>
          <w:tab w:val="left" w:pos="5220"/>
        </w:tabs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ab/>
      </w: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三、支出决算情况说明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1438275" distB="1439545" distL="2448560" distR="118745" simplePos="0" relativeHeight="251660288" behindDoc="0" locked="0" layoutInCell="1" allowOverlap="1">
            <wp:simplePos x="0" y="0"/>
            <wp:positionH relativeFrom="column">
              <wp:posOffset>319405</wp:posOffset>
            </wp:positionH>
            <wp:positionV relativeFrom="paragraph">
              <wp:posOffset>1313815</wp:posOffset>
            </wp:positionV>
            <wp:extent cx="4761230" cy="2225040"/>
            <wp:effectExtent l="0" t="0" r="0" b="0"/>
            <wp:wrapNone/>
            <wp:docPr id="3" name="对象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年度本年支出合计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3507.84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万元，其中：基本支出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1307.89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37.46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2199.96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%；上缴上级支出0万元，占0%；经营支出0万元，占0%；对附属单位补助支出0万元，占0%。（图3：支出决算结构图）（饼状图）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6" o:spid="_x0000_s1026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1" o:title="image1"/>
            <o:lock v:ext="edit" aspectratio="t"/>
          </v:shape>
          <o:OLEObject Type="Embed" ProgID="Package" ShapeID="_x0000_s1026" DrawAspect="Content" ObjectID="_1468075725" r:id="rId10">
            <o:LockedField>false</o:LockedField>
          </o:OLEObject>
        </w:pic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7" o:spid="_x0000_s1027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1" o:title="image1"/>
            <o:lock v:ext="edit" aspectratio="t"/>
          </v:shape>
          <o:OLEObject Type="Embed" ProgID="Package" ShapeID="_x0000_s1027" DrawAspect="Content" ObjectID="_1468075726" r:id="rId12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8" o:spid="_x0000_s1028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1" o:title="image1"/>
            <o:lock v:ext="edit" aspectratio="t"/>
          </v:shape>
          <o:OLEObject Type="Embed" ProgID="Package" ShapeID="_x0000_s1028" DrawAspect="Content" ObjectID="_1468075727" r:id="rId13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29" o:spid="_x0000_s1029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1" o:title="image1"/>
            <o:lock v:ext="edit" aspectratio="t"/>
          </v:shape>
          <o:OLEObject Type="Embed" ProgID="Package" ShapeID="_x0000_s1029" DrawAspect="Content" ObjectID="_1468075728" r:id="rId14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30" o:spid="_x0000_s1030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1" o:title="image1"/>
            <o:lock v:ext="edit" aspectratio="t"/>
          </v:shape>
          <o:OLEObject Type="Embed" ProgID="Package" ShapeID="_x0000_s1030" DrawAspect="Content" ObjectID="_1468075729" r:id="rId15">
            <o:LockedField>false</o:LockedField>
          </o:OLEObject>
        </w:pi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31" o:spid="_x0000_s1031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1" o:title="image1"/>
            <o:lock v:ext="edit" aspectratio="t"/>
          </v:shape>
          <o:OLEObject Type="Embed" ProgID="Package" ShapeID="_x0000_s1031" DrawAspect="Content" ObjectID="_1468075730" r:id="rId16">
            <o:LockedField>false</o:LockedField>
          </o:OLEObject>
        </w:pic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pict>
          <v:shape id="_x0000_s1032" o:spid="_x0000_s1032" o:spt="75" type="#_x0000_t75" style="position:absolute;left:0pt;margin-left:237.1pt;margin-top:740.05pt;height:14.4pt;width:107pt;z-index:251660288;mso-width-relative:page;mso-height-relative:page;" o:ole="t" filled="f" o:preferrelative="t" stroked="f" coordsize="21600,21600">
            <v:path/>
            <v:fill on="f" focussize="0,0"/>
            <v:stroke on="f" color="#000000"/>
            <v:imagedata r:id="rId11" o:title="image1"/>
            <o:lock v:ext="edit" aspectratio="t"/>
          </v:shape>
          <o:OLEObject Type="Embed" ProgID="Package" ShapeID="_x0000_s1032" DrawAspect="Content" ObjectID="_1468075731" r:id="rId17">
            <o:LockedField>false</o:LockedField>
          </o:OLEObject>
        </w:pic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26" w:name="_Toc15377208"/>
      <w:bookmarkStart w:id="27" w:name="_Toc15396606"/>
      <w:r>
        <w:rPr>
          <w:rFonts w:hint="eastAsia" w:ascii="黑体" w:hAnsi="黑体" w:eastAsia="黑体" w:cs="黑体"/>
          <w:sz w:val="32"/>
          <w:szCs w:val="32"/>
        </w:rPr>
        <w:t>四、财政拨款收入支出决算总体情况说明</w:t>
      </w:r>
      <w:bookmarkEnd w:id="26"/>
      <w:bookmarkEnd w:id="2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年财政拨款收、支总计占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3507.84万元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年相比，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收、支总计各增加955.12万元，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37.42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%。主要变动原因是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年中新增项目“采购阿坝州‘微网实格’信息系统服务”，该项目增加预算较多。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（图4：财政拨款收、支决算总计变动情况）（柱状图）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tabs>
          <w:tab w:val="center" w:pos="4393"/>
        </w:tabs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16865" distB="327660" distL="369570" distR="285750" simplePos="0" relativeHeight="251660288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184150</wp:posOffset>
            </wp:positionV>
            <wp:extent cx="4334510" cy="938530"/>
            <wp:effectExtent l="0" t="0" r="0" b="0"/>
            <wp:wrapTight wrapText="bothSides">
              <wp:wrapPolygon>
                <wp:start x="2278" y="2192"/>
                <wp:lineTo x="475" y="6138"/>
                <wp:lineTo x="475" y="11838"/>
                <wp:lineTo x="2943" y="16222"/>
                <wp:lineTo x="1804" y="16222"/>
                <wp:lineTo x="1329" y="16660"/>
                <wp:lineTo x="1329" y="19291"/>
                <wp:lineTo x="19366" y="19291"/>
                <wp:lineTo x="19651" y="16222"/>
                <wp:lineTo x="21549" y="10084"/>
                <wp:lineTo x="21549" y="3069"/>
                <wp:lineTo x="18701" y="2192"/>
                <wp:lineTo x="3133" y="2192"/>
                <wp:lineTo x="2278" y="2192"/>
              </wp:wrapPolygon>
            </wp:wrapTight>
            <wp:docPr id="12" name="对象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ab/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28" w:name="_Toc15377210"/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</w:t>
      </w:r>
      <w:r>
        <w:rPr>
          <w:rStyle w:val="21"/>
          <w:rFonts w:hint="eastAsia" w:ascii="黑体" w:hAnsi="黑体" w:eastAsia="黑体" w:cs="黑体"/>
          <w:sz w:val="32"/>
          <w:szCs w:val="32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般公共预算财政拨款支出决算情况说明</w:t>
      </w:r>
    </w:p>
    <w:bookmarkEnd w:id="28"/>
    <w:p>
      <w:pPr>
        <w:pStyle w:val="1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21"/>
          <w:rFonts w:hint="eastAsia" w:ascii="仿宋_GB2312" w:hAnsi="仿宋_GB2312" w:eastAsia="仿宋_GB2312" w:cs="仿宋_GB2312"/>
          <w:sz w:val="32"/>
          <w:szCs w:val="32"/>
        </w:rPr>
        <w:t>（一）一般公共预算财政拨款支出决算总体情况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一般公共预算财政拨款支出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3491.89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</w:rPr>
        <w:t>99.54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年相比，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收、支总计各增加955.12万元，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37.42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%。主要变动原因是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年中新增项目“采购阿坝州‘微网实格’信息系统服务”，该项目增加预算较多。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drawing>
          <wp:anchor distT="255270" distB="150495" distL="375920" distR="302895" simplePos="0" relativeHeight="251660288" behindDoc="1" locked="0" layoutInCell="1" allowOverlap="1">
            <wp:simplePos x="0" y="0"/>
            <wp:positionH relativeFrom="column">
              <wp:posOffset>906780</wp:posOffset>
            </wp:positionH>
            <wp:positionV relativeFrom="paragraph">
              <wp:posOffset>702310</wp:posOffset>
            </wp:positionV>
            <wp:extent cx="4023360" cy="1286510"/>
            <wp:effectExtent l="0" t="0" r="0" b="0"/>
            <wp:wrapNone/>
            <wp:docPr id="13" name="对象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（图5：一般公共预算财政拨款支出决算变动情况）（柱状图）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shd w:val="clear" w:color="auto" w:fill="FFFFFF"/>
        <w:spacing w:before="0" w:beforeAutospacing="0"/>
        <w:ind w:left="0"/>
        <w:jc w:val="left"/>
        <w:rPr>
          <w:rStyle w:val="21"/>
          <w:rFonts w:hint="default" w:ascii="Times New Roman" w:hAnsi="Times New Roman" w:cs="Times New Roman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21"/>
          <w:rFonts w:hint="eastAsia" w:ascii="仿宋_GB2312" w:hAnsi="仿宋_GB2312" w:eastAsia="仿宋_GB2312" w:cs="仿宋_GB2312"/>
          <w:sz w:val="32"/>
          <w:szCs w:val="32"/>
        </w:rPr>
        <w:t>（二）一般公共预算财政拨款支出决算结构情况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年一般公共预算财政拨款支出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3491.89</w:t>
      </w:r>
      <w:bookmarkStart w:id="51" w:name="_GoBack"/>
      <w:bookmarkEnd w:id="51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万元，主要用于以下方面:公共安全支出为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3212.05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91.99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%；教育支出为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%；社会保障和就业支出为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151.73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4.35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%；卫生健康支出为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56.98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1.63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%；住房保障支出为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87.08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文化旅游体育与传媒支出0万元,占比0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（图6：一般公共预算财政拨款支出决算结构）（饼状图）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725170" distB="803275" distL="1546860" distR="419735" simplePos="0" relativeHeight="251660288" behindDoc="0" locked="0" layoutInCell="1" allowOverlap="1">
            <wp:simplePos x="0" y="0"/>
            <wp:positionH relativeFrom="column">
              <wp:posOffset>243205</wp:posOffset>
            </wp:positionH>
            <wp:positionV relativeFrom="paragraph">
              <wp:posOffset>23495</wp:posOffset>
            </wp:positionV>
            <wp:extent cx="5695950" cy="3079750"/>
            <wp:effectExtent l="0" t="0" r="0" b="0"/>
            <wp:wrapNone/>
            <wp:docPr id="14" name="对象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8"/>
        <w:shd w:val="clear" w:color="auto" w:fill="FFFFFF"/>
        <w:spacing w:before="0" w:beforeAutospacing="0"/>
        <w:ind w:left="0"/>
        <w:jc w:val="left"/>
        <w:rPr>
          <w:rStyle w:val="21"/>
          <w:rFonts w:hint="default" w:ascii="Times New Roman" w:hAnsi="Times New Roman" w:cs="Times New Roman"/>
        </w:rPr>
      </w:pPr>
    </w:p>
    <w:p>
      <w:pPr>
        <w:pStyle w:val="18"/>
        <w:shd w:val="clear" w:color="auto" w:fill="FFFFFF"/>
        <w:spacing w:before="0" w:beforeAutospacing="0"/>
        <w:ind w:left="0"/>
        <w:jc w:val="left"/>
        <w:rPr>
          <w:rStyle w:val="21"/>
          <w:rFonts w:hint="default" w:ascii="Times New Roman" w:hAnsi="Times New Roman" w:cs="Times New Roman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Style w:val="21"/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Style w:val="21"/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1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642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21"/>
          <w:rFonts w:hint="eastAsia" w:ascii="仿宋_GB2312" w:hAnsi="仿宋_GB2312" w:eastAsia="仿宋_GB2312" w:cs="仿宋_GB2312"/>
          <w:sz w:val="32"/>
          <w:szCs w:val="32"/>
        </w:rPr>
        <w:t>（三）一般公共预算财政拨款支出决算具体情况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年一般公共预算支出决算数为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3507.84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万元，完成预算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%。其中：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bookmarkStart w:id="29" w:name="_Toc15377214"/>
      <w:bookmarkStart w:id="30" w:name="_Toc15396608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（1）一般公共服务2040201：2025年决算数为856.53万元，完成预算100%，决算数等于预算数。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（2）一般公共服务2040202：2025年决算数为2167.46万元，完成预算100%，决算数等于预算数。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（3）公共安全支出2040250：2025年决算数为155.57万元，决算数等于预算数。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（4）其他公共安全支出2040299：2025年决算数为16.55万元，完成预算100%，决算数等于预算数。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（5）其他教育支出2059999：2025年决算数为0万元，完成预算100%，决算数等于预算数。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（6）社会保障和就业支出2080505：2025年决算数为101.24万元，完成预算100%，决算数等于预算数。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（7）社会保障和就业支出2080506：2025年决算数为50.49万元，完成预算100%，决算数等于预算数。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（8）卫生健康支出2101101：2025年决算数为37.62万元，完成预算100%，决算数等于预算数。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（9）卫生健康支出2101102：2025年决算数为12.32万元，完成预算100%，决算数等于预算数。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（10）卫生健康支出2101103：2025年决算数为7.04万元，完成预算100%，决算数等于预算数。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（11）住房保障2210201：2025年决算数为87.08万元，完成预算100%，决算数等于预算数。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600" w:lineRule="exact"/>
        <w:ind w:firstLine="640" w:firstLineChars="200"/>
        <w:textAlignment w:val="auto"/>
        <w:outlineLvl w:val="1"/>
        <w:rPr>
          <w:rStyle w:val="25"/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六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、一</w:t>
      </w:r>
      <w:r>
        <w:rPr>
          <w:rStyle w:val="25"/>
          <w:rFonts w:hint="eastAsia" w:ascii="黑体" w:hAnsi="黑体" w:eastAsia="黑体" w:cs="黑体"/>
          <w:b w:val="0"/>
          <w:color w:val="000000"/>
          <w:sz w:val="32"/>
          <w:szCs w:val="32"/>
        </w:rPr>
        <w:t>般公共预算财政拨款基本支出决算情况说明</w:t>
      </w:r>
      <w:bookmarkEnd w:id="29"/>
      <w:bookmarkEnd w:id="30"/>
      <w:r>
        <w:rPr>
          <w:rStyle w:val="25"/>
          <w:rFonts w:hint="default" w:ascii="Times New Roman" w:hAnsi="Times New Roman" w:eastAsia="宋体" w:cs="Times New Roman"/>
          <w:b w:val="0"/>
          <w:color w:val="000000"/>
          <w:sz w:val="24"/>
          <w:szCs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31" w:name="_Toc15396609"/>
      <w:bookmarkStart w:id="32" w:name="_Toc15377215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年一般公共预算财政拨款基本支出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1307.89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1141.74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主要包括：基本工资、津贴补贴、奖金、伙食补助费、绩效工资、机关事业单位基本养老保险缴费、职业年金缴费、其他社会保障缴费、其他工资福利支出、离休费、退休费、抚恤金、生活补助、医疗费补助、奖励金、住房公积金、其他对个人和家庭的补助支出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日常公用经费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166.15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主要包括：办公费、印刷费、咨询费、手续费、水费、电费、邮电费、取暖费、物业管理费、差旅费、因公出国（境）费用、维修（护）费、租赁费、会议费、培训费、公务接待费、劳务费、委托业务费、工会经费、福利费、公务用车运行维护费、其他交通费、税金及附加费用、其他商品和服务支出、办公设备购置、专用设备购置、信息网络及软件购置更新、其他资本性支出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5"/>
          <w:rFonts w:hint="eastAsia" w:ascii="黑体" w:hAnsi="黑体" w:eastAsia="黑体" w:cs="黑体"/>
          <w:b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七、</w:t>
      </w:r>
      <w:r>
        <w:rPr>
          <w:rStyle w:val="25"/>
          <w:rFonts w:hint="eastAsia" w:ascii="黑体" w:hAnsi="黑体" w:eastAsia="黑体" w:cs="黑体"/>
          <w:b w:val="0"/>
          <w:color w:val="000000"/>
          <w:sz w:val="32"/>
          <w:szCs w:val="32"/>
        </w:rPr>
        <w:t>财政拨款</w:t>
      </w:r>
      <w:r>
        <w:rPr>
          <w:rStyle w:val="25"/>
          <w:rFonts w:hint="eastAsia" w:ascii="黑体" w:hAnsi="黑体" w:eastAsia="黑体" w:cs="黑体"/>
          <w:color w:val="000000"/>
          <w:sz w:val="32"/>
          <w:szCs w:val="32"/>
        </w:rPr>
        <w:t>“</w:t>
      </w:r>
      <w:r>
        <w:rPr>
          <w:rStyle w:val="25"/>
          <w:rFonts w:hint="eastAsia" w:ascii="黑体" w:hAnsi="黑体" w:eastAsia="黑体" w:cs="黑体"/>
          <w:b w:val="0"/>
          <w:color w:val="000000"/>
          <w:sz w:val="32"/>
          <w:szCs w:val="32"/>
        </w:rPr>
        <w:t>三公”经费支出决算情况说明</w:t>
      </w:r>
      <w:bookmarkEnd w:id="31"/>
      <w:bookmarkEnd w:id="3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2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bookmarkStart w:id="33" w:name="_Toc15377216"/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（一）“三公”经费财政拨款支出决算总体情况说明</w:t>
      </w:r>
      <w:bookmarkEnd w:id="3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bookmarkStart w:id="34" w:name="_Toc15377217"/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年度“三公”经费财政拨款支出决算为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79.81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较上年度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65.6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45.11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2024年购置一辆公务用车和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部门坚持过紧日子，进一步压减“三公”经费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2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（二）“三公”经费财政拨款支出决算具体情况说明</w:t>
      </w:r>
      <w:bookmarkEnd w:id="34"/>
    </w:p>
    <w:p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35" w:name="_Toc15377218"/>
      <w:bookmarkStart w:id="36" w:name="_Toc1539661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2025年度“三公”经费财政拨款支出决算中，因公出国（境）费支出决算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万元，占0%；公务用车购置及运行维护费支出决算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79.32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万元，占99.39%；公务接待费支出决算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0.49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万元，占0.61%。具体情况如下：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drawing>
          <wp:anchor distT="718185" distB="1114425" distL="2618740" distR="761365" simplePos="0" relativeHeight="251660288" behindDoc="0" locked="0" layoutInCell="1" allowOverlap="1">
            <wp:simplePos x="0" y="0"/>
            <wp:positionH relativeFrom="column">
              <wp:posOffset>595630</wp:posOffset>
            </wp:positionH>
            <wp:positionV relativeFrom="paragraph">
              <wp:posOffset>415290</wp:posOffset>
            </wp:positionV>
            <wp:extent cx="4533900" cy="2203450"/>
            <wp:effectExtent l="0" t="0" r="0" b="0"/>
            <wp:wrapNone/>
            <wp:docPr id="15" name="对象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（图7：“三公”经费财政拨款支出结构）（饼状图）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  <w:drawing>
          <wp:anchor distT="718185" distB="1114425" distL="2618740" distR="761365" simplePos="0" relativeHeight="251661312" behindDoc="0" locked="0" layoutInCell="1" allowOverlap="1">
            <wp:simplePos x="0" y="0"/>
            <wp:positionH relativeFrom="column">
              <wp:posOffset>747395</wp:posOffset>
            </wp:positionH>
            <wp:positionV relativeFrom="paragraph">
              <wp:posOffset>234315</wp:posOffset>
            </wp:positionV>
            <wp:extent cx="4533900" cy="2203450"/>
            <wp:effectExtent l="0" t="0" r="0" b="0"/>
            <wp:wrapNone/>
            <wp:docPr id="4" name="对象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</w:p>
    <w:p>
      <w:pPr>
        <w:pStyle w:val="8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pStyle w:val="16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pStyle w:val="3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pStyle w:val="3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pStyle w:val="3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年无因公出国（境）费预算和支出。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2.公务用车购置及运行维护费支出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79.32万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元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完成预算</w:t>
      </w:r>
      <w:r>
        <w:rPr>
          <w:rFonts w:hint="eastAsia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100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公务用车购置及运行维护费支出决算比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减少65.59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减少45.26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2024年新购一辆车，价格为59.5万元，公务用车购置及运行维护费相应增加。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年12月31日，单位共有公务用车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辆，其中：轿车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辆、越野车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辆、载客汽车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辆。公务用车运行维护费支出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79.32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万元。主要用于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综治维稳工作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等所需的公务用车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购置费、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燃料费、维修费、过路过桥费、保险费等支出。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3.公务接待费支出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0.49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公务接待费支出决算比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0.49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%。主要原因是</w:t>
      </w:r>
      <w:r>
        <w:rPr>
          <w:rFonts w:hint="eastAsia" w:ascii="仿宋_GB2312" w:eastAsia="仿宋_GB2312"/>
          <w:color w:val="000000"/>
          <w:sz w:val="32"/>
          <w:szCs w:val="32"/>
        </w:rPr>
        <w:t>接待人数上升，相应增加费用。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其中：国内公务接待支出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万元，主要用于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上级单位检查指导工作人员的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用餐费等。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国内公务接待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批次，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（不包括陪同人员），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共计支出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.49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5"/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八、</w:t>
      </w:r>
      <w:r>
        <w:rPr>
          <w:rStyle w:val="25"/>
          <w:rFonts w:hint="eastAsia" w:ascii="黑体" w:hAnsi="黑体" w:eastAsia="黑体" w:cs="黑体"/>
          <w:b w:val="0"/>
          <w:color w:val="000000"/>
          <w:sz w:val="32"/>
          <w:szCs w:val="32"/>
        </w:rPr>
        <w:t>政府性基金预算支出决算情况说明</w:t>
      </w:r>
      <w:bookmarkEnd w:id="35"/>
      <w:bookmarkEnd w:id="3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</w:rPr>
        <w:t>年政府性基金预算拨款支出0.00万元。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5"/>
          <w:rFonts w:hint="default" w:ascii="黑体" w:hAnsi="黑体" w:eastAsia="黑体" w:cs="黑体"/>
          <w:b w:val="0"/>
          <w:color w:val="000000"/>
          <w:sz w:val="32"/>
          <w:szCs w:val="32"/>
        </w:rPr>
      </w:pPr>
      <w:bookmarkStart w:id="37" w:name="_Toc15377219"/>
      <w:bookmarkStart w:id="38" w:name="_Toc15396611"/>
      <w:r>
        <w:rPr>
          <w:rStyle w:val="25"/>
          <w:rFonts w:hint="default" w:ascii="黑体" w:hAnsi="黑体" w:eastAsia="黑体" w:cs="黑体"/>
          <w:b w:val="0"/>
          <w:color w:val="000000"/>
          <w:sz w:val="32"/>
          <w:szCs w:val="32"/>
        </w:rPr>
        <w:t>九、国有资本经营预算支出决算情况说明</w:t>
      </w:r>
      <w:bookmarkEnd w:id="37"/>
      <w:bookmarkEnd w:id="3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  <w:t>年国有资本经营预算拨款支出0.00万元。</w:t>
      </w:r>
      <w:bookmarkStart w:id="39" w:name="_Toc15396612"/>
      <w:bookmarkStart w:id="40" w:name="_Toc1537722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5"/>
          <w:rFonts w:hint="default" w:ascii="黑体" w:hAnsi="黑体" w:eastAsia="黑体" w:cs="黑体"/>
          <w:b w:val="0"/>
          <w:color w:val="000000"/>
          <w:sz w:val="32"/>
          <w:szCs w:val="32"/>
        </w:rPr>
      </w:pPr>
      <w:r>
        <w:rPr>
          <w:rStyle w:val="25"/>
          <w:rFonts w:hint="default" w:ascii="黑体" w:hAnsi="黑体" w:eastAsia="黑体" w:cs="黑体"/>
          <w:b w:val="0"/>
          <w:color w:val="000000"/>
          <w:sz w:val="32"/>
          <w:szCs w:val="32"/>
        </w:rPr>
        <w:t>十、其他重要事项的情况说明</w:t>
      </w:r>
      <w:bookmarkEnd w:id="39"/>
      <w:bookmarkEnd w:id="4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bookmarkStart w:id="41" w:name="_Toc15377222"/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（一）机关运行经费支出情况</w:t>
      </w:r>
      <w:bookmarkEnd w:id="4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2025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年，中共四川省阿坝州委政法委员会（本级）机关运行经费支出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149.44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万元，比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2024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年有所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，主要原因是</w:t>
      </w:r>
      <w:bookmarkStart w:id="42" w:name="_Toc15377223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部门坚持过紧日子。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（二）政府采购支出情况</w:t>
      </w:r>
      <w:bookmarkEnd w:id="42"/>
    </w:p>
    <w:p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43" w:name="_Toc15377224"/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2025年度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中共阿坝州委政法委员会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政府采购支出总额</w:t>
      </w:r>
      <w:r>
        <w:rPr>
          <w:rFonts w:hint="eastAsia" w:ascii="仿宋_GB2312" w:hAnsi="仿宋_GB2312" w:eastAsia="仿宋_GB2312" w:cs="仿宋_GB2312"/>
          <w:sz w:val="32"/>
          <w:szCs w:val="32"/>
        </w:rPr>
        <w:t>1143.06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万元，其中：政府采购货物支出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万元、政府采购工程支出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万元、政府采购服务支出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1143.06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万元。授予中小企业合同金额</w:t>
      </w:r>
      <w:r>
        <w:rPr>
          <w:rFonts w:hint="eastAsia" w:ascii="仿宋_GB2312" w:hAnsi="仿宋_GB2312" w:eastAsia="仿宋_GB2312" w:cs="仿宋_GB2312"/>
          <w:sz w:val="32"/>
          <w:szCs w:val="32"/>
        </w:rPr>
        <w:t>102.33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</w:rPr>
        <w:t>8.95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%，其中：授予小微企业合同金额</w:t>
      </w:r>
      <w:r>
        <w:rPr>
          <w:rFonts w:hint="eastAsia" w:ascii="仿宋_GB2312" w:hAnsi="仿宋_GB2312" w:eastAsia="仿宋_GB2312" w:cs="仿宋_GB2312"/>
          <w:sz w:val="32"/>
          <w:szCs w:val="32"/>
        </w:rPr>
        <w:t>6.43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</w:rPr>
        <w:t>0.56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  <w:t>（三）国有资产占有使用情况</w:t>
      </w:r>
      <w:bookmarkEnd w:id="4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  <w:t>截至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  <w:t>年12月31日，中共四川省阿坝州委政法委员会（本级）共有车辆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  <w:t>辆，其中：主要领导干部用车0辆、机要通信用车0辆、应急保障用车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eastAsia="zh-CN"/>
        </w:rPr>
        <w:t>辆、执法执勤用车0 辆、特种专业技术用车0辆、离退休干部用车0辆、其他用车 0辆。无单价50万元以上通用设备和单价100万元以上专用设备。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（四）预算绩效管理情况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44" w:name="_Toc15396613"/>
      <w:bookmarkStart w:id="45" w:name="_Toc15377225"/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根据预算绩效管理要求，本部门在年初预算编制阶段，组织对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个项目开展了预算事前绩效评估，对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个项目编制了绩效目标，预算执行过程中，选取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个项目开展绩效监控，年终执行完毕后，对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个项目开展了绩效自评。</w:t>
      </w:r>
    </w:p>
    <w:bookmarkEnd w:id="44"/>
    <w:bookmarkEnd w:id="45"/>
    <w:p>
      <w:pPr>
        <w:pStyle w:val="18"/>
        <w:shd w:val="clear" w:color="auto" w:fill="FFFFFF"/>
        <w:spacing w:before="0" w:beforeAutospacing="0"/>
        <w:ind w:left="0"/>
        <w:jc w:val="center"/>
        <w:rPr>
          <w:rFonts w:hint="eastAsia" w:ascii="黑体" w:hAnsi="黑体" w:eastAsia="黑体" w:cs="黑体"/>
        </w:rPr>
      </w:pPr>
      <w:r>
        <w:rPr>
          <w:rStyle w:val="21"/>
          <w:rFonts w:hint="eastAsia" w:ascii="黑体" w:hAnsi="黑体" w:eastAsia="黑体" w:cs="黑体"/>
          <w:sz w:val="39"/>
          <w:szCs w:val="39"/>
        </w:rPr>
        <w:t>第三部分 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46" w:name="_Toc15396614"/>
      <w:bookmarkStart w:id="47" w:name="_Toc15377226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1．财政拨款收入：指省级财政当年拨付的资金。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2．其他收入：指除上述“财政拨款收入”、“事业收入”、“经营收入”等以外的收入。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3．公共安全支出（类）公安（款）行政运行（项）:指主要用于在职在编人员基本工资、津贴补贴，保障机关正常运转的日常公用支出。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．公共安全支出（类）公安（款）一般行政管理事务（项）:指主要用于有序开展反恐维稳、社会治安综合治理、司法体制和社会体制改革、依法治省、政法队伍建设、政法部门服务保障经济发展、信息化建设以及见义勇为等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5．社会保障和就业支出（类）行政事业单位离退休（款）未归口管理的行政单位离退休（项）:指主要用于离退休人员离退休费和津补贴。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6．社会保障和就业支出（类）行政事业单位离退休（款）机关事业单位基本养老保险缴费支出（项）:指主要用于离退休人员离退休费和津补贴。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7．社会保障和就业支出（类）其他社会保障和就业支出（款）其他社会保障和就业支出（项）:指其它用于社会保障和就业方面的支出。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8．医疗卫生与计划生育支出（类）医疗保障（款）行政单位医疗（项）：指财政部门集中安排的行政单位基本医疗保险缴费经费。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9．医疗卫生与计划生育支出（类）医疗保障（款）公务员医疗补助（项）:指财政部门集中安排的公务员医疗补助经费。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10．住房保障支出（类）住房改革支出（款）住房公积金（项）:指按照相关政策规定比例为个人缴纳的住房公积金。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11．住房保障支出（类）住房改革支出（款）购房补贴（项）:指按照相关政策规定，向符合条件的个人发放的用于购买住房的补贴。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12．年末结转和结余：指本年度或以前年度预算安排、因客观条件发生变化无法按原计划实施，需延迟到以后年度按有关规定继续使用的资金。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13．基本支出：是用于保障省委政法委机关、省法学会、省政法研究所正常运转的日常支出，包括基本工资、津贴补贴等人员经费以及办公费、印刷费、水电费等日常公用经费。  　　14．项目支出：是用于保障省委政法委机关、省法学会、省政法研究所，为完成特定的行政工作任务或事业发展目标，用于专项业务工作的经费支出。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15．“三公”经费：纳入省级财政预决算管理的“三公”经费，是指部门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公务接待（含外宾接待）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16．机关运行经费：为保障行政单位（含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>
      <w:pPr>
        <w:spacing w:line="600" w:lineRule="exact"/>
        <w:jc w:val="center"/>
        <w:outlineLvl w:val="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bookmarkEnd w:id="46"/>
    <w:p>
      <w:pPr>
        <w:spacing w:line="580" w:lineRule="exact"/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  <w:bookmarkStart w:id="48" w:name="_Toc15396617"/>
      <w:r>
        <w:rPr>
          <w:rStyle w:val="21"/>
          <w:rFonts w:hint="eastAsia" w:ascii="黑体" w:hAnsi="黑体" w:eastAsia="黑体" w:cs="黑体"/>
          <w:sz w:val="44"/>
          <w:szCs w:val="44"/>
          <w:highlight w:val="none"/>
        </w:rPr>
        <w:t>第四部分 附件</w:t>
      </w:r>
    </w:p>
    <w:bookmarkEnd w:id="47"/>
    <w:bookmarkEnd w:id="48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" w:eastAsia="zh-CN"/>
        </w:rPr>
      </w:pPr>
      <w:bookmarkStart w:id="49" w:name="_Toc15396618"/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" w:eastAsia="zh-CN"/>
        </w:rPr>
        <w:t xml:space="preserve">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" w:eastAsia="zh-CN"/>
        </w:rPr>
        <w:t>关于202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" w:eastAsia="zh-CN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" w:eastAsia="zh-CN"/>
        </w:rPr>
        <w:t>部门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" w:eastAsia="zh-CN"/>
        </w:rPr>
        <w:t>整体支出绩效评价报告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州财政局：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按照阿坝州财政局《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关于开展202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年州级部门预算绩效自评工作的通知》（阿州财监绩〔202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号）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要求，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我部门及时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对202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年度部门整体支出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绩效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情况开展自评，现将自评情况报告如下：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</w:rPr>
        <w:t>一、</w:t>
      </w: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部门概况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（一）机构组成。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州委政法委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部门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属一级预算单位，下属二级预算单位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2个，分别为州委政法委和州法学会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（二）机构职能。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州委政法委职能简介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贯彻习近平新时代中国特色社会主义思想，坚持党对政法工作的绝对领导，坚决执行党的路线方针政策和党中央、省委及州委重大决策部署，推动完善和落实政治轮训和政治督察制度，推进平安阿坝、法治阿坝建设，加强过硬队伍建设，深化智能化建设，确保社会大局稳定、促进社会公平正义、保障人民安居乐业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贯彻党中央、省委和州委以及上级党组织决定，研究协调政法单位之间以及政法单位和有关部门、地方之间有关重大事项，统一政法单位思想和行动。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组织开展政法领域重大实践和理论问题的调查研究，研究拟订全州政法工作的政策措施，及时向州委提出重大决策部署和改革措施的意见和建议，协助州委决策和统筹推进政法领域改革等各项工作。参与有关民族自治法规、地方性法规和规章的起草、修改工作，及时提出立法建议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了解掌握和分析研判社会稳定形势、政法工作情况动态，创新完善多部门参与的综治维稳机制，协调推动预防、化解影响稳定的社会矛盾和风险，协调应对和妥善处置重大突发事件。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加强对政法工作的督查，统筹协调维护社会稳定、社会治安综合治理等有关法律法规和政策的实施工作。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支持和监督政法单位依法行使职权，检查政法单位执行党的路线方针政策、党中央、省委和州委重大决策部署以及法律法规的情况，指导和协调政法单位密切配合，完善与纪检监察机关工作衔接和协作配合机制，推进严格执法、公正司法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指导推动政法系统党的建设和政法队伍建设，协助州委及州委组织部加强政法单位领导班子和干部队伍建设，协助州委和州纪委监委做好监督检查、审查调查工作。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落实全面依法治国领导机构、城乡基层治理领导机构的各项部署，支持配合其办事机构工作。指导政法单位加强社会稳定、平安建设、法治建设等重大问题研究，提出建议和工作意见，指导和协调政法单位开展维护社会稳定、执法司法、创新社会治理等有关工作。指导见义勇为表彰奖励工作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掌握分析政法舆情动态，指导和协调政法单位和有关部门做好依法办理、宣传报道和舆论引导等相关工作,推动政法网络新媒体发展。统筹指导并推动智能化建设。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完成州委和上级党委政法委员会交办的其他任务。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/>
        </w:rPr>
        <w:t>（三）人员概况。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2025年底，编制59名，其中：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公务员编制22名，工勤编制8名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，事业编制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29名。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年底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实有在职人数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50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人，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其中，公务员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22人，工勤人员8人，事业人员20人，编外长聘人员2人。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退休职工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人已纳入社保。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</w:rPr>
        <w:t>二、部门资金收支情况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（一）收入情况。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年初预算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收入为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1632.08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决算报表收入为</w:t>
      </w:r>
      <w:r>
        <w:rPr>
          <w:rFonts w:hint="eastAsia" w:eastAsia="方正仿宋_GBK" w:cs="Times New Roman"/>
          <w:color w:val="000000"/>
          <w:sz w:val="32"/>
          <w:szCs w:val="32"/>
          <w:lang w:val="en-US" w:eastAsia="zh-CN"/>
        </w:rPr>
        <w:t>3507.84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（二）支出情况。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年年初预算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支出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1632.08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元，决算报表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支出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为</w:t>
      </w:r>
      <w:r>
        <w:rPr>
          <w:rFonts w:hint="eastAsia" w:eastAsia="方正仿宋_GBK" w:cs="Times New Roman"/>
          <w:color w:val="000000"/>
          <w:sz w:val="32"/>
          <w:szCs w:val="32"/>
          <w:lang w:val="en-US" w:eastAsia="zh-CN"/>
        </w:rPr>
        <w:t>3507.84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其中：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公共安全支出为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3196.1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91.11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%；社会保障和就业支出为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151.73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4.33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%；卫生健康支出为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56.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1.62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%；住房保障支出为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87.08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2.28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  <w:t>（三）结余分配和结转结余情况。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1600" w:firstLineChars="5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 w:eastAsia="zh-CN"/>
        </w:rPr>
        <w:t>无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</w:rPr>
        <w:t>三、部门</w:t>
      </w: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eastAsia="zh-CN"/>
        </w:rPr>
        <w:t>预算绩效分析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/>
        </w:rPr>
        <w:t>（一）部门预算总体绩效分析。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65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1.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履职效能（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15分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锚定绝对忠诚，强化政治建设。一是政治忠诚入脑见行。深入贯彻落实《中国共产党政法工作条例》及其实施细则，严格落实“第一议题”制度，修订议事决策规则，通过召开州委政法委员会全体委员会议、委务会议，研究解决重大问题26个。严格落实重大事项请示报告制度，主动向州委和省委政法委汇报工作17次，确保政法工作始终朝着正确方向前进。二是学习教育圆满收关。扎实开展深入贯彻中央八项规定精神学习教育，深化州委“四不”问题专项整治，查摆整改问题119个，健全常治长效制度11项。开展“文山会海”“指尖上的形式主义”“公文抄袭”问题等专项整治，修订完善班子建设、整治形式主义等方面制度措施7项。三是政治督察实现全面覆盖。全力配合州委第一巡察组对委机关开展政治巡察，与州委第二巡察组共同完成对州公安局的政治督察，高质量完成对13县（市）政法单位的政治督察，政治监督更加具体化、精准化、规范化。四是教育活动推进走实走深。举办政法系统“铸忠诚警魂 建高原铁军”教育活动暨“廉动政能量”清廉故事演讲比赛，组织全州政法系统18名青年干警参加比赛，教育引导广大政法干警以务实清廉的优良作风奋进新征程、建功新时代。考察锤炼86名参赛选手逻辑思维、文字表达能力，发现和培养政法机关文字工作人才，涵养短实新政法新文风，提升政法干警新质战斗力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（2）树牢底线思维，主动创安创稳。（略）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3）深化基层治理，夯实平安底座。一是“微网实格”治理体系更加完善。持续优化网格布局，创新“四个协同”机制，推动“三个进网入格”，组织网格力量办结各类事件82764件，办结率达99.56%。加快信息系统建设，融入公安、林草、民政等部门数据资源90万余条，对精神障碍患者、安置帮教、社区矫正等重点人员规范管理率达97.89%，风险预警防控能力明显提升。二是“综治中心”运转更加规范。对标“五个规范化”，完成州、县两级综治中心实体化建设，落实政法信访部门常驻、高频事项单位轮驻、中心吹哨随驻机制，构建“综治中心＋网格化＋大数据”模式，初步实现综治中心一体化调度、专班化管理和矛盾纠纷、利益诉求“一站式受理、一揽子调处、全链条解决。三是平安建设根基更加巩固。制定《平安建设大推进责任分工方案》，细化落实18项任务责任分工。深入开展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打击整治侵害未成年人违法犯罪专项行动，依法打击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12人。深化“化解矛盾风险、维护社会稳定”专项治理，排查化解矛盾纠纷1432件，调解成功率达98.89%。全案起底大排查起底信访积案33件，化解省、州挂牌督办信访事项25件。四是服务中心大局更加有力。紧扣“五个之州”建设目标，构建“政法+文旅”协同体系，推动“四圈四同”“鹤翔兰萨”“文旅警务”等护航文旅发展的法治品牌创新升级，高效审执民宿经营、生态养殖、农特产品等领域纠纷86件，办理生态环境领域公益诉讼43件。按照州委统一部署，扎实做好托底性帮扶、驻村帮扶等中心工作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（4）强化铁军锻造，建强政法队伍。一是综合素能稳步提升。深入开展“铸忠诚警魂 建高原铁军”教育活动，聚焦党建引领“微网实格”基层治理机制深化、维护社会稳定、矛盾纠纷化解等重点任务，举办各类政治轮训、专题培训班13期，培训政法业务骨干1500余名；常态开展技能比武、岗位练兵等活动，在全省党委政法委系统舆情实战演练比赛中荣获全省第一名。二是纪律作风持续从严。健全正风肃纪反腐和执法司法监督长效机制，精细研判12337举报平台问题线索，召开全州政法系统警示教育会、党风廉政建设工作会3次，举办政法系统“廉动政能量”清廉故事演讲比赛，持续教育引导政法干警筑牢思想防线。三是从优待警落地落实。优化机关力量配备，公开选调和个别调动补充工作人员15名；优化政法单位班子结构，推动全州政法系统必须交流干部按期轮岗交流，完成48批次96名协管干部事前沟通事项审批。建立政法干警专业库，强化政法干警源头培养，分类储备专业干部。切实加强暖警爱警，扎实推进团圆工程，解决民辅警异地分居26户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2.预算管理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（1）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预算编制质量（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分）。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严格按要求编制年初部门预算，年初预算编制的科学性和准确性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较高，财政拨款预算偏离度为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，资产配置预算偏离度为5%，政府采购预算偏离度为0%。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/>
        </w:rPr>
        <w:t>7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（2）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部门收入统筹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分）。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无自有收入、无财政核定的综合补助比例。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）支出执行进度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分）。1至6月、1至10月预算执行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支付进度分别为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25.3%、45.5%,无支出预警金额，无支出违规金额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5.5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）算年终结余（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）。预算注销金额和结转金额为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23.25万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，部门预算总金额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1632.08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万元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，整体预算结余率为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eastAsia="方正仿宋_GBK" w:cs="Times New Roman"/>
          <w:color w:val="000000"/>
          <w:sz w:val="32"/>
          <w:szCs w:val="32"/>
          <w:highlight w:val="none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严控一般性支出（5分）。严控“三公”经费、会议、培训、差旅、办节办展、办公设备购置、信息网络及软件购置更新、课题经费等。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财务管理（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10分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财务管理制度（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）。根据本部门工作实际，在建立并实施内部监督和控制过程中，制定了内部财务管理制度。建立和完善各项制度的同时，相关人员在工作过程中严格遵守这些规章制度，有效地实施了内部监督和控制。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）财务岗位设置（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）。明确了记账人员和审批人员、经办人员的职责权限，使其相互分离、相互制约，以明确责任，防止舞弊，各项业务事项得以有序进行；明确了财务收支审批程序和审批人员的权限，规范了各项资金的使用，提高了资金使用效益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）资金使用规范（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）。明确了经费支出的范围和开支标准，采取各种有效措施控制经费开支，杜绝了浪费现象的发生。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4.资产管理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）人均资产变化率（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 w:eastAsia="zh-CN"/>
        </w:rPr>
        <w:t>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截至202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年12月31日，资产总额（账面净值，下同）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179.29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万元，较上年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%。负债总额2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万元，较上年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1.56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%。净资产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179.29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万元,较上年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%。截至202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年12月31日，编制人数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人，较上年度增加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人，年末实有人数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人（其中事业人员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20）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，较上年度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人。人均资产变化率较小。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（2）资产利用率（3分）。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办公家具超最低使用年限资产利用率为0；办公设备超最低使用年限资产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412.65万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元，办公设备的账面价值为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577.5万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元，办公设备超最低使用年限资产利用率为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52.7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（3）资产利用率（3分）。2024年和2025年均无闲置资产。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5.采购管理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（1）支持中小企业发展（3分）。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采购中严格执行政府采购促进中小企业发展相关管理办法，202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年采购金额共计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1143.06万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元，其中涉及中小企业的采购金额为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102.33万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（2）采购执行率（3分）。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年采购金额共计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1143.06万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元，当年政府采购总预算数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1143.06万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(二)项目绩效。（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en-US" w:eastAsia="zh-CN"/>
        </w:rPr>
        <w:t>35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textAlignment w:val="auto"/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eastAsia="zh-CN"/>
        </w:rPr>
        <w:t>项目决策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/>
          <w:bCs/>
          <w:color w:val="000000"/>
          <w:kern w:val="0"/>
          <w:sz w:val="32"/>
          <w:szCs w:val="32"/>
        </w:rPr>
        <w:t>2分）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（1）决策程序（4分）。部门预算项目设立按规定履行评估论证、申报程序，无未履行事前评估程序的部门预算项目。2025年共有24个特定目标类预算项目，决策程序合规。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2）目标设置（4分）。预算项目绩效目标与计划期内的任务量、预算安排的资金量匹配较好，绩效目标设置科学合理、规范完整、量化细化、预算匹配。特定目标类项目目标设置都是经业务科室和财务部门共同合作完成，并经过相关专家指导，目标设置符合规定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（3）项目入库（4分）。部门预算项目能在规定时间完成项目入库。2025年共有24个特定目标类预算项目能在州财政局规定的时间内按时入库。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项目执行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执行同向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。部门预算项目实际列支内容是与绩效目标设置方向相符，无实际列支内容与绩效目标设置方向不相符的部门预算阶段项目。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项目调整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部门预算项目中无应采取未采取收回预算、调整目标等处置措施的部门预算项目。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执行结果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宣传教育转化工作经费项目支付率为100%，平安创建、群防群治、网格化管理工作经费项目支付率为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%,见义勇为专项经费项目支付率为100%，法学会工作经费项目支付率为100%，大调解工作经费项目支付率为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政法三级网、阿坝长安网、大调解网络租赁及维护费项目支付率为97.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57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全州政法干部培训费项目支付率为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综治工作经费项目支付率为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100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%,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州综治中心信息系统运行服务、视频会议系统提升建设项目支付率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79.13%，阿坝州综治中心专业技术业务用房租赁费及物管费项目支付率100%，“微网实格”基层社会治理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支付率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0.08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目标实现（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分）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（1）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目标完成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。部门预算项目绩效目标数量指标完成情况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在全州政法系统党纪学习教育中走在前、作表率，锚定动员部署、学习研讨、警示教育、学习中央八项规定精神、辅导培训等7个重点任务，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构建“综治中心＋网格化＋大数据”模式，持续优化网格布局，组织网格力量办结各类事件82764件，办结率达99.56%；深化“化解矛盾风险、维护社会稳定”专项治理，排查化解矛盾纠纷1432件，调解成功率达98.89%；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举办政法轮训、专题培训班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13期，培训政法业务骨干1500余名；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召开全州政法系统警示教育会、党风廉政建设工作会3次。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）目标偏离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（4分）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。部门预算项目绩效目标数量指标实现程度与预期目标的偏离较小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。自评得分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）实现效果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（3分）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。部门预算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</w:rPr>
        <w:t>项目绩效目标效益指标实施效果：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坚持政治引领，党的政治建设不断加强。坚持综合施策，政治社会大局持续稳定向好。坚持夯基固本，平安阿坝建设再上新台阶。坚持法治先行，服务保障能力显著提升。锻造高原铁军，综合能力水平全面提高。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  <w:t>（三）绩效结果应用。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1.内部应用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将内设机构和下属单位绩效目标管理纳入内部考核体系；建立对内设机构和下属单位预算绩效挂钩。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2.信息公开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（1）预算公开。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经保密审查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，按要求在财政部门批复后二十日内向社会公开本部门预算（含所有财政资金安排的“三公”经费、机关运行经费的安排、使用情况等）在州政府门户网站上进行了公开。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（2）决算公开。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经保密审查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，按要求在财政部门批复二十日内向社会公开本部门决算（含所有财政资金安排的“三公”经费、机关运行经费的安排、使用情况等）在州政府门户网站上进行了公开。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3.整改反馈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阿坝州财政局《关于开展20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、202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年预决算公开情况专项检查情况的通报》，对公开不及时、公开内容不完整、细化程度不够、其它方面存在的问题进行了通报，均无我单位。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我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部门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无债务资金、无非税收入；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编制政府采购实施计划与政府采购预算的一致；按规定完成资产清查任务，并及时上报行政事业单位资产报表；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设立了完整的内控制度，未发生廉政或重大责任事故，并按要求上报了内控报表、分析材料。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我部门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年度整体支出绩效评价自评合格，并按规定将自评情况及时报送财政部门备案，对于自评过程中发现的不足及问题，我单位积极整改，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/>
        </w:rPr>
        <w:t>力求下一年度通过完善相关政策制度，建立更加切合实际的绩效评价体系。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</w:rPr>
        <w:t>四、评价结论及建议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（一）评价结论。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根据《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政法维稳预算绩效自评打分表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，自评得分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  <w:t>98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  <w:t>（二）存在问题。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一是预算编制准确度有待提高，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由于维稳工作的不确定性，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存在中期追加、期末追减情况；二是固定资产卡片有未及时更新情况，管理有待完善。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  <w:t>（三）改进建议。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是加强每月预算执行监控，及时督促相关科室推进项目执行。二是通过近年预决算数据对比，科学编制预算，未雨绸缪尽量做好年度规划，降低经费追加减比例。三是进一步健全完善内部控制制度，加强资产管理，及时更新固定资产卡片，提高单位成本费用准确度，提升部门整体支出绩效评价。</w:t>
      </w: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23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pStyle w:val="3"/>
        <w:ind w:left="0" w:leftChars="0" w:firstLine="0" w:firstLineChars="0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88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44"/>
          <w:szCs w:val="44"/>
        </w:rPr>
        <w:t>第五部分 附表</w:t>
      </w:r>
      <w:bookmarkEnd w:id="49"/>
      <w:bookmarkStart w:id="50" w:name="_Toc15396619"/>
    </w:p>
    <w:bookmarkEnd w:id="50"/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一、收入支出决算总表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二、收入决算表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四、财政拨款收入支出决算总表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五、财政拨款支出决算明细表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六、一般公共预算财政拨款支出决算表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七、一般公共预算财政拨款支出决算明细表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八、一般公共预算财政拨款基本支出决算表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九、一般公共预算财政拨款项目支出决算表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十、政府性基金预算财政拨款收入支出决算表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十一、国有资本经营预算财政拨款收入支出决算表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十二、国有资本经营预算财政拨款支出决算表</w:t>
      </w:r>
    </w:p>
    <w:p>
      <w:pPr>
        <w:keepNext w:val="0"/>
        <w:keepLines w:val="0"/>
        <w:pageBreakBefore w:val="0"/>
        <w:widowControl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76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十三、财政拨款“三公”经费支出决算表</w:t>
      </w:r>
    </w:p>
    <w:sectPr>
      <w:footerReference r:id="rId5" w:type="first"/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0" w:num="1"/>
      <w:titlePg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DejaVu Sans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公文仿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Lucida Sans">
    <w:altName w:val="仿宋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黑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楷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f46tET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iRJeMQIAAGE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wiRJe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05"/>
  <w:drawingGridVerticalSpacing w:val="158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CBAC3B"/>
    <w:rsid w:val="0DF16E51"/>
    <w:rsid w:val="0FFF410A"/>
    <w:rsid w:val="1D6FF929"/>
    <w:rsid w:val="1EDFE0B9"/>
    <w:rsid w:val="1F2EA82B"/>
    <w:rsid w:val="1FB77A2F"/>
    <w:rsid w:val="1FF6DAAA"/>
    <w:rsid w:val="1FFB0BFB"/>
    <w:rsid w:val="1FFED979"/>
    <w:rsid w:val="1FFF7759"/>
    <w:rsid w:val="297FF61D"/>
    <w:rsid w:val="2EF703EE"/>
    <w:rsid w:val="2F7A1038"/>
    <w:rsid w:val="2FF50864"/>
    <w:rsid w:val="2FFF2724"/>
    <w:rsid w:val="33FF20B2"/>
    <w:rsid w:val="35877992"/>
    <w:rsid w:val="377B21C2"/>
    <w:rsid w:val="37F90D69"/>
    <w:rsid w:val="38AF916F"/>
    <w:rsid w:val="39D36B56"/>
    <w:rsid w:val="39FDF4A2"/>
    <w:rsid w:val="3DDFA9BD"/>
    <w:rsid w:val="3DF55611"/>
    <w:rsid w:val="3EE376C5"/>
    <w:rsid w:val="3EEFD572"/>
    <w:rsid w:val="3F13FA48"/>
    <w:rsid w:val="3F9C69AA"/>
    <w:rsid w:val="3FD9B66D"/>
    <w:rsid w:val="3FFDB9AB"/>
    <w:rsid w:val="47DDA30B"/>
    <w:rsid w:val="49736254"/>
    <w:rsid w:val="4B7FE096"/>
    <w:rsid w:val="4BFF0A7A"/>
    <w:rsid w:val="4FAF50BE"/>
    <w:rsid w:val="50B6A592"/>
    <w:rsid w:val="53FF3588"/>
    <w:rsid w:val="56DB1824"/>
    <w:rsid w:val="57BFBC4E"/>
    <w:rsid w:val="5B7F0A7D"/>
    <w:rsid w:val="5BD9BB6F"/>
    <w:rsid w:val="5BE64B22"/>
    <w:rsid w:val="5BE6ECB6"/>
    <w:rsid w:val="5BFB670E"/>
    <w:rsid w:val="5BFF53EA"/>
    <w:rsid w:val="5CF12A96"/>
    <w:rsid w:val="5D75B13F"/>
    <w:rsid w:val="5E5A6538"/>
    <w:rsid w:val="5E7A3E67"/>
    <w:rsid w:val="5E7F7A91"/>
    <w:rsid w:val="5ECE9BB9"/>
    <w:rsid w:val="5EFCAD3C"/>
    <w:rsid w:val="5EFFBF6A"/>
    <w:rsid w:val="5F7F6D57"/>
    <w:rsid w:val="5F8D7A45"/>
    <w:rsid w:val="5FC69028"/>
    <w:rsid w:val="5FCAB4DF"/>
    <w:rsid w:val="5FCE44C0"/>
    <w:rsid w:val="5FFF34D8"/>
    <w:rsid w:val="61DB4851"/>
    <w:rsid w:val="6477048A"/>
    <w:rsid w:val="675687B9"/>
    <w:rsid w:val="67770C2E"/>
    <w:rsid w:val="67CF0DF6"/>
    <w:rsid w:val="67DFB5FB"/>
    <w:rsid w:val="67FFA6C0"/>
    <w:rsid w:val="69FF8A78"/>
    <w:rsid w:val="6AFE333A"/>
    <w:rsid w:val="6BFFDCD9"/>
    <w:rsid w:val="6D9D1247"/>
    <w:rsid w:val="6F3F7BF1"/>
    <w:rsid w:val="6F5FCFDB"/>
    <w:rsid w:val="6F9FFDC1"/>
    <w:rsid w:val="6FC370CC"/>
    <w:rsid w:val="6FF965BE"/>
    <w:rsid w:val="6FFAE06A"/>
    <w:rsid w:val="6FFEE3B6"/>
    <w:rsid w:val="6FFF0404"/>
    <w:rsid w:val="715EDF45"/>
    <w:rsid w:val="727FB87B"/>
    <w:rsid w:val="730E2C48"/>
    <w:rsid w:val="736DB8EF"/>
    <w:rsid w:val="73DF3BA2"/>
    <w:rsid w:val="73F6322E"/>
    <w:rsid w:val="73FC3C08"/>
    <w:rsid w:val="73FFD68F"/>
    <w:rsid w:val="74F22729"/>
    <w:rsid w:val="75B9F113"/>
    <w:rsid w:val="769E081B"/>
    <w:rsid w:val="76D23F42"/>
    <w:rsid w:val="76EFF73B"/>
    <w:rsid w:val="775F59FA"/>
    <w:rsid w:val="777D9F21"/>
    <w:rsid w:val="77B43FBA"/>
    <w:rsid w:val="77B71A0D"/>
    <w:rsid w:val="77DD47FC"/>
    <w:rsid w:val="77DF57C5"/>
    <w:rsid w:val="77EF20FD"/>
    <w:rsid w:val="77FF5226"/>
    <w:rsid w:val="77FFBE9E"/>
    <w:rsid w:val="77FFD715"/>
    <w:rsid w:val="797FBF4B"/>
    <w:rsid w:val="79FF9FF6"/>
    <w:rsid w:val="7AF59651"/>
    <w:rsid w:val="7AFE43D3"/>
    <w:rsid w:val="7B7E382A"/>
    <w:rsid w:val="7BB7C05B"/>
    <w:rsid w:val="7BBB2FBB"/>
    <w:rsid w:val="7BBB768A"/>
    <w:rsid w:val="7BFFD022"/>
    <w:rsid w:val="7C6B2DB6"/>
    <w:rsid w:val="7CAF2ECE"/>
    <w:rsid w:val="7D2FBD8B"/>
    <w:rsid w:val="7D7FD6C0"/>
    <w:rsid w:val="7DB7BBC8"/>
    <w:rsid w:val="7DFEF52D"/>
    <w:rsid w:val="7E631E5E"/>
    <w:rsid w:val="7E7A601E"/>
    <w:rsid w:val="7EAFFAF8"/>
    <w:rsid w:val="7EBFF2F2"/>
    <w:rsid w:val="7ED7CD26"/>
    <w:rsid w:val="7EFFDA60"/>
    <w:rsid w:val="7F6F1829"/>
    <w:rsid w:val="7F7D57E1"/>
    <w:rsid w:val="7F9FB1EB"/>
    <w:rsid w:val="7FA89519"/>
    <w:rsid w:val="7FAFFDA3"/>
    <w:rsid w:val="7FB1E1D8"/>
    <w:rsid w:val="7FB53635"/>
    <w:rsid w:val="7FBA866F"/>
    <w:rsid w:val="7FBB0CC3"/>
    <w:rsid w:val="7FBF3813"/>
    <w:rsid w:val="7FD7E0B9"/>
    <w:rsid w:val="7FD7E8BF"/>
    <w:rsid w:val="7FD7FECD"/>
    <w:rsid w:val="7FD84972"/>
    <w:rsid w:val="7FDD587E"/>
    <w:rsid w:val="7FE9B614"/>
    <w:rsid w:val="7FEAA3B0"/>
    <w:rsid w:val="7FEC56F1"/>
    <w:rsid w:val="7FEFECBF"/>
    <w:rsid w:val="7FF555F6"/>
    <w:rsid w:val="7FF71865"/>
    <w:rsid w:val="7FF7AFC2"/>
    <w:rsid w:val="7FFD3691"/>
    <w:rsid w:val="7FFDBBF6"/>
    <w:rsid w:val="7FFDE83D"/>
    <w:rsid w:val="7FFE210C"/>
    <w:rsid w:val="7FFED4D8"/>
    <w:rsid w:val="7FFFCE9A"/>
    <w:rsid w:val="7FFFEAA7"/>
    <w:rsid w:val="898E778D"/>
    <w:rsid w:val="8B7FAA71"/>
    <w:rsid w:val="98B510AE"/>
    <w:rsid w:val="98FB735C"/>
    <w:rsid w:val="9EFF01A0"/>
    <w:rsid w:val="9FEF0B54"/>
    <w:rsid w:val="9FF7C979"/>
    <w:rsid w:val="A655EE13"/>
    <w:rsid w:val="A7196BF0"/>
    <w:rsid w:val="A9EFD409"/>
    <w:rsid w:val="AA7E22F2"/>
    <w:rsid w:val="AB9E64B4"/>
    <w:rsid w:val="AEB5F1AB"/>
    <w:rsid w:val="AF8FFE6D"/>
    <w:rsid w:val="B0DD0511"/>
    <w:rsid w:val="B1FF136C"/>
    <w:rsid w:val="B3FD89C9"/>
    <w:rsid w:val="B3FF2AA6"/>
    <w:rsid w:val="B46FFB44"/>
    <w:rsid w:val="B5EEC036"/>
    <w:rsid w:val="B7FB000E"/>
    <w:rsid w:val="B8BF48AC"/>
    <w:rsid w:val="BCED427D"/>
    <w:rsid w:val="BDD97C83"/>
    <w:rsid w:val="BED3F5AA"/>
    <w:rsid w:val="BEEDCED6"/>
    <w:rsid w:val="BF7CF39F"/>
    <w:rsid w:val="BF7F82B4"/>
    <w:rsid w:val="BFACDA84"/>
    <w:rsid w:val="BFAF27C1"/>
    <w:rsid w:val="BFFB3700"/>
    <w:rsid w:val="BFFF8B02"/>
    <w:rsid w:val="C5FBC013"/>
    <w:rsid w:val="C7DFF375"/>
    <w:rsid w:val="CF3E863B"/>
    <w:rsid w:val="CFF78FD8"/>
    <w:rsid w:val="D4FB1AF3"/>
    <w:rsid w:val="D76E075E"/>
    <w:rsid w:val="D7E3EB27"/>
    <w:rsid w:val="D7F8A031"/>
    <w:rsid w:val="DABF2DBA"/>
    <w:rsid w:val="DAF76E8B"/>
    <w:rsid w:val="DB2F1843"/>
    <w:rsid w:val="DBDD6977"/>
    <w:rsid w:val="DBED146C"/>
    <w:rsid w:val="DBEF95D7"/>
    <w:rsid w:val="DCFF3B47"/>
    <w:rsid w:val="DD464A27"/>
    <w:rsid w:val="DD7527E7"/>
    <w:rsid w:val="DDFB5F3B"/>
    <w:rsid w:val="DF7B292C"/>
    <w:rsid w:val="DF7D5C28"/>
    <w:rsid w:val="DF9306EA"/>
    <w:rsid w:val="DF9F8F71"/>
    <w:rsid w:val="DFB76FD6"/>
    <w:rsid w:val="DFBDAE31"/>
    <w:rsid w:val="DFC79989"/>
    <w:rsid w:val="DFDF38C9"/>
    <w:rsid w:val="DFE173E3"/>
    <w:rsid w:val="DFE72EC7"/>
    <w:rsid w:val="DFF314E0"/>
    <w:rsid w:val="E689B88E"/>
    <w:rsid w:val="E76EB745"/>
    <w:rsid w:val="E7BD7FF8"/>
    <w:rsid w:val="E7BDC28B"/>
    <w:rsid w:val="EBB7E43F"/>
    <w:rsid w:val="EBEFA8F6"/>
    <w:rsid w:val="EBF18936"/>
    <w:rsid w:val="EDB7EBA6"/>
    <w:rsid w:val="EDEB265D"/>
    <w:rsid w:val="EDF2F84C"/>
    <w:rsid w:val="EDFFB118"/>
    <w:rsid w:val="EED43AF3"/>
    <w:rsid w:val="EEEE23EF"/>
    <w:rsid w:val="EF376C07"/>
    <w:rsid w:val="EF5C104D"/>
    <w:rsid w:val="EF6C0F7E"/>
    <w:rsid w:val="EFBE3536"/>
    <w:rsid w:val="EFBF9714"/>
    <w:rsid w:val="EFFFE183"/>
    <w:rsid w:val="F347FC10"/>
    <w:rsid w:val="F3ADFACA"/>
    <w:rsid w:val="F3FBF3A0"/>
    <w:rsid w:val="F4B49787"/>
    <w:rsid w:val="F55F1B3B"/>
    <w:rsid w:val="F56FCB97"/>
    <w:rsid w:val="F5B73878"/>
    <w:rsid w:val="F5CF8B9D"/>
    <w:rsid w:val="F5E6DB98"/>
    <w:rsid w:val="F5F5A803"/>
    <w:rsid w:val="F63D357C"/>
    <w:rsid w:val="F6D51849"/>
    <w:rsid w:val="F6DF417E"/>
    <w:rsid w:val="F6F548A8"/>
    <w:rsid w:val="F6FA757A"/>
    <w:rsid w:val="F6FE2DDD"/>
    <w:rsid w:val="F72D11EB"/>
    <w:rsid w:val="F7763685"/>
    <w:rsid w:val="F776500A"/>
    <w:rsid w:val="F79EA947"/>
    <w:rsid w:val="F7BE21FF"/>
    <w:rsid w:val="F7BF2AD2"/>
    <w:rsid w:val="F7BF551F"/>
    <w:rsid w:val="F7BFFC27"/>
    <w:rsid w:val="F7CB6EF0"/>
    <w:rsid w:val="F7D76F38"/>
    <w:rsid w:val="F7F15569"/>
    <w:rsid w:val="F7F3F7D7"/>
    <w:rsid w:val="F7F61311"/>
    <w:rsid w:val="F7F71E57"/>
    <w:rsid w:val="F7FE30C9"/>
    <w:rsid w:val="F7FFED58"/>
    <w:rsid w:val="F83F300C"/>
    <w:rsid w:val="FA4D0140"/>
    <w:rsid w:val="FAF747AE"/>
    <w:rsid w:val="FB7BE2D0"/>
    <w:rsid w:val="FB91753A"/>
    <w:rsid w:val="FBCF8F84"/>
    <w:rsid w:val="FBE8F7BB"/>
    <w:rsid w:val="FBEF61EA"/>
    <w:rsid w:val="FBEF7FF2"/>
    <w:rsid w:val="FBF3FCE9"/>
    <w:rsid w:val="FBF85B96"/>
    <w:rsid w:val="FBFB87E3"/>
    <w:rsid w:val="FBFD178F"/>
    <w:rsid w:val="FBFFF873"/>
    <w:rsid w:val="FC7DE244"/>
    <w:rsid w:val="FCBE3D79"/>
    <w:rsid w:val="FD7B804C"/>
    <w:rsid w:val="FD7E528A"/>
    <w:rsid w:val="FDDF3643"/>
    <w:rsid w:val="FDEF1D37"/>
    <w:rsid w:val="FDEF8B59"/>
    <w:rsid w:val="FDF71E84"/>
    <w:rsid w:val="FDF7C2B7"/>
    <w:rsid w:val="FDF7C9A9"/>
    <w:rsid w:val="FDFBAAA9"/>
    <w:rsid w:val="FDFD4EA0"/>
    <w:rsid w:val="FDFFDEAC"/>
    <w:rsid w:val="FE5D1742"/>
    <w:rsid w:val="FE7D04AB"/>
    <w:rsid w:val="FEBF6858"/>
    <w:rsid w:val="FEBFFF83"/>
    <w:rsid w:val="FEFEC435"/>
    <w:rsid w:val="FEFEE80E"/>
    <w:rsid w:val="FEFFC065"/>
    <w:rsid w:val="FF4F8270"/>
    <w:rsid w:val="FF6D1473"/>
    <w:rsid w:val="FF741CA3"/>
    <w:rsid w:val="FF7E1F8C"/>
    <w:rsid w:val="FFBEEC44"/>
    <w:rsid w:val="FFBFD50D"/>
    <w:rsid w:val="FFC74B90"/>
    <w:rsid w:val="FFCF9246"/>
    <w:rsid w:val="FFDFFC5B"/>
    <w:rsid w:val="FFEFD951"/>
    <w:rsid w:val="FFF559E5"/>
    <w:rsid w:val="FFF9D5BF"/>
    <w:rsid w:val="FFF9E837"/>
    <w:rsid w:val="FFFB6F87"/>
    <w:rsid w:val="FFFFA0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24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link w:val="25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20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8">
    <w:name w:val="Body Text"/>
    <w:basedOn w:val="1"/>
    <w:qFormat/>
    <w:uiPriority w:val="0"/>
    <w:pPr>
      <w:spacing w:before="30" w:beforeLines="30"/>
    </w:pPr>
    <w:rPr>
      <w:rFonts w:ascii="仿宋_GB2312" w:eastAsia="仿宋_GB2312"/>
      <w:kern w:val="0"/>
      <w:sz w:val="24"/>
      <w:szCs w:val="20"/>
    </w:rPr>
  </w:style>
  <w:style w:type="paragraph" w:styleId="9">
    <w:name w:val="toc 3"/>
    <w:basedOn w:val="1"/>
    <w:next w:val="1"/>
    <w:qFormat/>
    <w:uiPriority w:val="0"/>
    <w:pPr>
      <w:tabs>
        <w:tab w:val="right" w:leader="dot" w:pos="8296"/>
      </w:tabs>
      <w:ind w:left="400" w:leftChars="400"/>
    </w:pPr>
  </w:style>
  <w:style w:type="paragraph" w:styleId="10">
    <w:name w:val="Plain Text"/>
    <w:basedOn w:val="1"/>
    <w:next w:val="11"/>
    <w:qFormat/>
    <w:uiPriority w:val="0"/>
    <w:pPr>
      <w:widowControl w:val="0"/>
      <w:jc w:val="both"/>
    </w:pPr>
    <w:rPr>
      <w:rFonts w:ascii="宋体" w:eastAsia="宋体" w:cs="Courier New"/>
      <w:kern w:val="2"/>
      <w:sz w:val="32"/>
      <w:szCs w:val="21"/>
      <w:lang w:val="en-US" w:eastAsia="zh-CN" w:bidi="ar-SA"/>
    </w:rPr>
  </w:style>
  <w:style w:type="paragraph" w:customStyle="1" w:styleId="11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paragraph" w:styleId="12">
    <w:name w:val="Balloon Text"/>
    <w:basedOn w:val="1"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20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20"/>
    </w:rPr>
  </w:style>
  <w:style w:type="paragraph" w:styleId="15">
    <w:name w:val="toc 1"/>
    <w:basedOn w:val="1"/>
    <w:next w:val="1"/>
    <w:qFormat/>
    <w:uiPriority w:val="0"/>
    <w:pPr>
      <w:tabs>
        <w:tab w:val="right" w:leader="dot" w:pos="8296"/>
      </w:tabs>
      <w:spacing w:before="93"/>
      <w:jc w:val="center"/>
    </w:pPr>
    <w:rPr>
      <w:rFonts w:ascii="仿宋" w:eastAsia="仿宋"/>
      <w:sz w:val="28"/>
      <w:szCs w:val="28"/>
    </w:rPr>
  </w:style>
  <w:style w:type="paragraph" w:styleId="1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17">
    <w:name w:val="toc 2"/>
    <w:basedOn w:val="1"/>
    <w:next w:val="1"/>
    <w:qFormat/>
    <w:uiPriority w:val="0"/>
    <w:pPr>
      <w:tabs>
        <w:tab w:val="right" w:leader="dot" w:pos="8296"/>
      </w:tabs>
      <w:ind w:left="200" w:leftChars="200"/>
    </w:pPr>
  </w:style>
  <w:style w:type="paragraph" w:styleId="1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21">
    <w:name w:val="Strong"/>
    <w:basedOn w:val="20"/>
    <w:qFormat/>
    <w:uiPriority w:val="0"/>
    <w:rPr>
      <w:rFonts w:cs="Times New Roman"/>
      <w:b/>
    </w:rPr>
  </w:style>
  <w:style w:type="character" w:styleId="22">
    <w:name w:val="Hyperlink"/>
    <w:basedOn w:val="20"/>
    <w:qFormat/>
    <w:uiPriority w:val="0"/>
    <w:rPr>
      <w:rFonts w:cs="Times New Roman"/>
      <w:color w:val="0000FF"/>
      <w:u w:val="single"/>
    </w:rPr>
  </w:style>
  <w:style w:type="paragraph" w:customStyle="1" w:styleId="23">
    <w:name w:val="文档正文"/>
    <w:basedOn w:val="1"/>
    <w:qFormat/>
    <w:uiPriority w:val="99"/>
    <w:pPr>
      <w:adjustRightInd w:val="0"/>
      <w:spacing w:line="480" w:lineRule="atLeast"/>
      <w:textAlignment w:val="baseline"/>
    </w:pPr>
    <w:rPr>
      <w:rFonts w:ascii="Arial" w:hAnsi="Arial" w:cs="Arial"/>
      <w:kern w:val="0"/>
    </w:rPr>
  </w:style>
  <w:style w:type="character" w:customStyle="1" w:styleId="24">
    <w:name w:val="heading 1 Char"/>
    <w:basedOn w:val="20"/>
    <w:link w:val="5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5">
    <w:name w:val="heading 2 Char"/>
    <w:basedOn w:val="20"/>
    <w:link w:val="6"/>
    <w:qFormat/>
    <w:uiPriority w:val="0"/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kern w:val="0"/>
      <w:sz w:val="24"/>
      <w:szCs w:val="24"/>
      <w:lang w:val="en-US" w:eastAsia="zh-CN" w:bidi="ar-SA"/>
    </w:rPr>
  </w:style>
  <w:style w:type="paragraph" w:styleId="27">
    <w:name w:val="List Paragraph"/>
    <w:basedOn w:val="1"/>
    <w:qFormat/>
    <w:uiPriority w:val="0"/>
    <w:pPr>
      <w:ind w:firstLine="200" w:firstLineChars="200"/>
    </w:pPr>
  </w:style>
  <w:style w:type="paragraph" w:customStyle="1" w:styleId="28">
    <w:name w:val="TOC 标题1"/>
    <w:basedOn w:val="5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9">
    <w:name w:val="TOC Heading"/>
    <w:basedOn w:val="5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0">
    <w:name w:val="font01"/>
    <w:basedOn w:val="20"/>
    <w:qFormat/>
    <w:uiPriority w:val="0"/>
    <w:rPr>
      <w:rFonts w:ascii="方正小标宋_GBK" w:hAnsi="方正小标宋_GBK" w:eastAsia="方正小标宋_GBK" w:cs="方正小标宋_GBK"/>
      <w:b/>
      <w:bCs/>
      <w:color w:val="000000"/>
      <w:sz w:val="30"/>
      <w:szCs w:val="30"/>
      <w:u w:val="none"/>
    </w:rPr>
  </w:style>
  <w:style w:type="character" w:customStyle="1" w:styleId="31">
    <w:name w:val="font11"/>
    <w:basedOn w:val="20"/>
    <w:qFormat/>
    <w:uiPriority w:val="0"/>
    <w:rPr>
      <w:rFonts w:ascii="方正小标宋_GBK" w:hAnsi="方正小标宋_GBK" w:eastAsia="方正小标宋_GBK" w:cs="方正小标宋_GBK"/>
      <w:b/>
      <w:bCs/>
      <w:color w:val="000000"/>
      <w:sz w:val="30"/>
      <w:szCs w:val="30"/>
      <w:u w:val="none"/>
    </w:rPr>
  </w:style>
  <w:style w:type="character" w:customStyle="1" w:styleId="32">
    <w:name w:val="font8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3">
    <w:name w:val="font9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4">
    <w:name w:val="font4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5">
    <w:name w:val="font51"/>
    <w:basedOn w:val="20"/>
    <w:qFormat/>
    <w:uiPriority w:val="0"/>
    <w:rPr>
      <w:rFonts w:ascii="方正公文仿宋" w:hAnsi="方正公文仿宋" w:eastAsia="方正公文仿宋" w:cs="方正公文仿宋"/>
      <w:color w:val="000000"/>
      <w:sz w:val="18"/>
      <w:szCs w:val="18"/>
      <w:u w:val="none"/>
    </w:rPr>
  </w:style>
  <w:style w:type="character" w:customStyle="1" w:styleId="36">
    <w:name w:val="font2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37">
    <w:name w:val="font61"/>
    <w:basedOn w:val="20"/>
    <w:qFormat/>
    <w:uiPriority w:val="0"/>
    <w:rPr>
      <w:rFonts w:ascii="方正小标宋_GBK" w:hAnsi="方正小标宋_GBK" w:eastAsia="方正小标宋_GBK" w:cs="方正小标宋_GBK"/>
      <w:b/>
      <w:bCs/>
      <w:color w:val="000000"/>
      <w:sz w:val="30"/>
      <w:szCs w:val="30"/>
      <w:u w:val="none"/>
    </w:rPr>
  </w:style>
  <w:style w:type="character" w:customStyle="1" w:styleId="38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3.xml"/><Relationship Id="rId8" Type="http://schemas.openxmlformats.org/officeDocument/2006/relationships/chart" Target="charts/chart2.xml"/><Relationship Id="rId7" Type="http://schemas.openxmlformats.org/officeDocument/2006/relationships/chart" Target="charts/chart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chart" Target="charts/chart8.xml"/><Relationship Id="rId21" Type="http://schemas.openxmlformats.org/officeDocument/2006/relationships/chart" Target="charts/chart7.xml"/><Relationship Id="rId20" Type="http://schemas.openxmlformats.org/officeDocument/2006/relationships/chart" Target="charts/chart6.xml"/><Relationship Id="rId2" Type="http://schemas.openxmlformats.org/officeDocument/2006/relationships/settings" Target="settings.xml"/><Relationship Id="rId19" Type="http://schemas.openxmlformats.org/officeDocument/2006/relationships/chart" Target="charts/chart5.xml"/><Relationship Id="rId18" Type="http://schemas.openxmlformats.org/officeDocument/2006/relationships/chart" Target="charts/chart4.xml"/><Relationship Id="rId17" Type="http://schemas.openxmlformats.org/officeDocument/2006/relationships/oleObject" Target="embeddings/oleObject7.bin"/><Relationship Id="rId16" Type="http://schemas.openxmlformats.org/officeDocument/2006/relationships/oleObject" Target="embeddings/oleObject6.bin"/><Relationship Id="rId15" Type="http://schemas.openxmlformats.org/officeDocument/2006/relationships/oleObject" Target="embeddings/oleObject5.bin"/><Relationship Id="rId14" Type="http://schemas.openxmlformats.org/officeDocument/2006/relationships/oleObject" Target="embeddings/oleObject4.bin"/><Relationship Id="rId13" Type="http://schemas.openxmlformats.org/officeDocument/2006/relationships/oleObject" Target="embeddings/oleObject3.bin"/><Relationship Id="rId12" Type="http://schemas.openxmlformats.org/officeDocument/2006/relationships/oleObject" Target="embeddings/oleObject2.bin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6.xlsx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8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61612"/>
          <c:y val="0.15328467"/>
          <c:w val="0.70616114"/>
          <c:h val="0.525547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工作表465537!$A$2</c:f>
              <c:strCache>
                <c:ptCount val="1"/>
                <c:pt idx="0">
                  <c:v>金额(万元)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delete val="1"/>
            </c:dLbl>
            <c:dLbl>
              <c:idx val="1"/>
              <c:delete val="1"/>
            </c:dLbl>
            <c:numFmt formatCode="#,##0.00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工作表465537!$B$1:$C$1</c:f>
              <c:strCache>
                <c:ptCount val="2"/>
                <c:pt idx="0">
                  <c:v>2025年收支总额</c:v>
                </c:pt>
                <c:pt idx="1">
                  <c:v>2024年收支总额</c:v>
                </c:pt>
              </c:strCache>
            </c:strRef>
          </c:cat>
          <c:val>
            <c:numRef>
              <c:f>工作表465537!$B$2:$C$2</c:f>
              <c:numCache>
                <c:formatCode>#,##0.00</c:formatCode>
                <c:ptCount val="2"/>
                <c:pt idx="0">
                  <c:v>3491.89</c:v>
                </c:pt>
                <c:pt idx="1">
                  <c:v>2552.66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594331"/>
              <c:y val="0.22077933"/>
            </c:manualLayout>
          </c:layout>
          <c:overlay val="0"/>
          <c:spPr>
            <a:noFill/>
            <a:ln>
              <a:noFill/>
            </a:ln>
          </c:spPr>
        </c:title>
        <c:numFmt formatCode="#,##0.00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3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573467"/>
          <c:y val="0.3357662"/>
          <c:w val="0.094786614"/>
          <c:h val="0.12408742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depthPercent val="100"/>
      <c:rAngAx val="0"/>
      <c:hPercent val="100"/>
      <c:perspective val="0"/>
    </c:view3D>
    <c:floor>
      <c:thickness val="0"/>
      <c:spPr>
        <a:ln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0026990497"/>
          <c:y val="0.41349956"/>
          <c:w val="0.6386871"/>
          <c:h val="0.48234645"/>
        </c:manualLayout>
      </c:layout>
      <c:pie3DChart>
        <c:varyColors val="1"/>
        <c:ser>
          <c:idx val="0"/>
          <c:order val="0"/>
          <c:tx>
            <c:strRef>
              <c:f>工作表465538!$A$2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dLbl>
              <c:idx val="0"/>
              <c:delete val="1"/>
            </c:dLbl>
            <c:dLbl>
              <c:idx val="1"/>
              <c:delete val="1"/>
            </c:dLbl>
            <c:numFmt formatCode="0%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工作表465538!$B$1:$C$1</c:f>
              <c:strCache>
                <c:ptCount val="2"/>
                <c:pt idx="0">
                  <c:v>财政拨款收入</c:v>
                </c:pt>
                <c:pt idx="1">
                  <c:v>其他收入</c:v>
                </c:pt>
              </c:strCache>
            </c:strRef>
          </c:cat>
          <c:val>
            <c:numRef>
              <c:f>工作表465538!$B$2:$C$2</c:f>
              <c:numCache>
                <c:formatCode>0.00%</c:formatCode>
                <c:ptCount val="2"/>
                <c:pt idx="0">
                  <c:v>0.9954</c:v>
                </c:pt>
                <c:pt idx="1" c:formatCode="0%">
                  <c:v>0.0045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</c:pie3D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670126"/>
          <c:y val="0.5463132"/>
          <c:w val="0.29484022"/>
          <c:h val="0.20560771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depthPercent val="100"/>
      <c:rAngAx val="0"/>
      <c:hPercent val="100"/>
      <c:perspective val="0"/>
    </c:view3D>
    <c:floor>
      <c:thickness val="0"/>
      <c:spPr>
        <a:ln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08043711"/>
          <c:y val="0.45794392"/>
          <c:w val="0.50193185"/>
          <c:h val="0.38166764"/>
        </c:manualLayout>
      </c:layout>
      <c:pie3DChart>
        <c:varyColors val="1"/>
        <c:ser>
          <c:idx val="0"/>
          <c:order val="0"/>
          <c:tx>
            <c:strRef>
              <c:f>工作表465539!$A$2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numFmt formatCode="0.00%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3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工作表465539!$B$1:$C$1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工作表465539!$B$2:$C$2</c:f>
              <c:numCache>
                <c:formatCode>0.00%</c:formatCode>
                <c:ptCount val="2"/>
                <c:pt idx="0">
                  <c:v>0.3746</c:v>
                </c:pt>
                <c:pt idx="1">
                  <c:v>0.63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</c:pie3D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224711"/>
          <c:y val="0.497939"/>
          <c:w val="0.29484022"/>
          <c:h val="0.20560771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693877"/>
          <c:y val="0.13725491"/>
          <c:w val="0.74489796"/>
          <c:h val="0.57516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工作表465540!$A$2</c:f>
              <c:strCache>
                <c:ptCount val="1"/>
                <c:pt idx="0">
                  <c:v>金额(万元)</c:v>
                </c:pt>
              </c:strCache>
            </c:strRef>
          </c:tx>
          <c:invertIfNegative val="0"/>
          <c:dLbls>
            <c:delete val="1"/>
          </c:dLbls>
          <c:cat>
            <c:strRef>
              <c:f>工作表465540!$B$1:$C$1</c:f>
              <c:strCache>
                <c:ptCount val="2"/>
                <c:pt idx="0">
                  <c:v>2025年财政拨款收支</c:v>
                </c:pt>
                <c:pt idx="1">
                  <c:v>2024年财政拨款收支</c:v>
                </c:pt>
              </c:strCache>
            </c:strRef>
          </c:cat>
          <c:val>
            <c:numRef>
              <c:f>工作表465540!$B$2:$C$2</c:f>
              <c:numCache>
                <c:formatCode>General</c:formatCode>
                <c:ptCount val="2"/>
                <c:pt idx="0">
                  <c:v>3491.89</c:v>
                </c:pt>
                <c:pt idx="1" c:formatCode="#,##0.00">
                  <c:v>2552.66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2449017"/>
              <c:y val="0.24852055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40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9102041"/>
          <c:y val="0.3594768"/>
          <c:w val="0.08163268"/>
          <c:h val="0.11111111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73913"/>
          <c:y val="0.090361446"/>
          <c:w val="0.70869565"/>
          <c:h val="0.602409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工作表465541!$A$2</c:f>
              <c:strCache>
                <c:ptCount val="1"/>
                <c:pt idx="0">
                  <c:v>金额(万元)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delete val="1"/>
            </c:dLbl>
            <c:dLbl>
              <c:idx val="1"/>
              <c:delete val="1"/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5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工作表465541!$B$1:$C$1</c:f>
              <c:strCache>
                <c:ptCount val="2"/>
                <c:pt idx="0">
                  <c:v>2025年财政拨款支出</c:v>
                </c:pt>
                <c:pt idx="1">
                  <c:v>2024年财政拨款支出</c:v>
                </c:pt>
              </c:strCache>
            </c:strRef>
          </c:cat>
          <c:val>
            <c:numRef>
              <c:f>工作表465541!$B$2:$C$2</c:f>
              <c:numCache>
                <c:formatCode>General</c:formatCode>
                <c:ptCount val="2"/>
                <c:pt idx="0">
                  <c:v>3491.89</c:v>
                </c:pt>
                <c:pt idx="1" c:formatCode="#,##0.00">
                  <c:v>2552.66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5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5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3912981"/>
              <c:y val="0.24175835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5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5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56522"/>
          <c:y val="0.36144555"/>
          <c:w val="0.09565217"/>
          <c:h val="0.10843359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5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5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436699"/>
          <c:y val="0.055670105"/>
          <c:w val="0.44482654"/>
          <c:h val="0.7617191"/>
        </c:manualLayout>
      </c:layout>
      <c:pieChart>
        <c:varyColors val="1"/>
        <c:ser>
          <c:idx val="0"/>
          <c:order val="0"/>
          <c:tx>
            <c:strRef>
              <c:f>工作表465542!$A$2</c:f>
              <c:strCache>
                <c:ptCount val="1"/>
                <c:pt idx="0">
                  <c:v>比例</c:v>
                </c:pt>
              </c:strCache>
            </c:strRef>
          </c:tx>
          <c:spPr/>
          <c:explosion val="0"/>
          <c:dPt>
            <c:idx val="0"/>
            <c:bubble3D val="0"/>
            <c:spPr>
              <a:pattFill prst="ltUpDiag">
                <a:fgClr>
                  <a:schemeClr val="accent1">
                    <a:shade val="76667"/>
                  </a:schemeClr>
                </a:fgClr>
                <a:bgClr>
                  <a:schemeClr val="accent1">
                    <a:shade val="76667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1">
                    <a:shade val="76667"/>
                  </a:schemeClr>
                </a:innerShdw>
              </a:effectLst>
            </c:spPr>
          </c:dPt>
          <c:dPt>
            <c:idx val="1"/>
            <c:bubble3D val="0"/>
            <c:spPr>
              <a:pattFill prst="ltUpDiag">
                <a:fgClr>
                  <a:schemeClr val="accent2">
                    <a:shade val="76667"/>
                  </a:schemeClr>
                </a:fgClr>
                <a:bgClr>
                  <a:schemeClr val="accent2">
                    <a:shade val="76667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2">
                    <a:shade val="76667"/>
                  </a:schemeClr>
                </a:innerShdw>
              </a:effectLst>
            </c:spPr>
          </c:dPt>
          <c:dPt>
            <c:idx val="2"/>
            <c:bubble3D val="0"/>
            <c:spPr>
              <a:pattFill prst="ltUpDiag">
                <a:fgClr>
                  <a:schemeClr val="accent3">
                    <a:shade val="76667"/>
                  </a:schemeClr>
                </a:fgClr>
                <a:bgClr>
                  <a:schemeClr val="accent3">
                    <a:shade val="76667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3">
                    <a:shade val="76667"/>
                  </a:schemeClr>
                </a:innerShdw>
              </a:effectLst>
            </c:spPr>
          </c:dPt>
          <c:dPt>
            <c:idx val="3"/>
            <c:bubble3D val="0"/>
            <c:spPr>
              <a:pattFill prst="ltUpDiag">
                <a:fgClr>
                  <a:schemeClr val="accent4">
                    <a:shade val="76667"/>
                  </a:schemeClr>
                </a:fgClr>
                <a:bgClr>
                  <a:schemeClr val="accent4">
                    <a:shade val="76667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4">
                    <a:shade val="76667"/>
                  </a:schemeClr>
                </a:innerShdw>
              </a:effectLst>
            </c:spPr>
          </c:dPt>
          <c:dPt>
            <c:idx val="4"/>
            <c:bubble3D val="0"/>
            <c:spPr>
              <a:pattFill prst="ltUpDiag">
                <a:fgClr>
                  <a:schemeClr val="accent5">
                    <a:shade val="76667"/>
                  </a:schemeClr>
                </a:fgClr>
                <a:bgClr>
                  <a:schemeClr val="accent5">
                    <a:shade val="76667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5">
                    <a:shade val="76667"/>
                  </a:schemeClr>
                </a:innerShdw>
              </a:effectLst>
            </c:spPr>
          </c:dPt>
          <c:dPt>
            <c:idx val="5"/>
            <c:bubble3D val="0"/>
            <c:spPr>
              <a:pattFill prst="ltUpDiag">
                <a:fgClr>
                  <a:schemeClr val="accent6">
                    <a:shade val="76667"/>
                  </a:schemeClr>
                </a:fgClr>
                <a:bgClr>
                  <a:schemeClr val="accent6">
                    <a:shade val="76667"/>
                    <a:lumMod val="20000"/>
                    <a:lumOff val="80000"/>
                  </a:schemeClr>
                </a:bgClr>
              </a:pattFill>
              <a:ln w="19050">
                <a:solidFill>
                  <a:schemeClr val="lt1"/>
                </a:solidFill>
              </a:ln>
              <a:effectLst>
                <a:innerShdw blurRad="114300">
                  <a:schemeClr val="accent6">
                    <a:shade val="76667"/>
                  </a:schemeClr>
                </a:innerShdw>
              </a:effectLst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工作表465542!$B$1:$G$1</c:f>
              <c:strCache>
                <c:ptCount val="6"/>
                <c:pt idx="0">
                  <c:v>公共安全支出</c:v>
                </c:pt>
                <c:pt idx="1">
                  <c:v>教育支出</c:v>
                </c:pt>
                <c:pt idx="2">
                  <c:v>社会保障和就业支出</c:v>
                </c:pt>
                <c:pt idx="3">
                  <c:v>卫生健康支出</c:v>
                </c:pt>
                <c:pt idx="4">
                  <c:v>住房保障支出</c:v>
                </c:pt>
                <c:pt idx="5">
                  <c:v>文化旅游体育与传媒</c:v>
                </c:pt>
              </c:strCache>
            </c:strRef>
          </c:cat>
          <c:val>
            <c:numRef>
              <c:f>工作表465542!$B$2:$G$2</c:f>
              <c:numCache>
                <c:formatCode>0.00%</c:formatCode>
                <c:ptCount val="6"/>
                <c:pt idx="0">
                  <c:v>0.9199</c:v>
                </c:pt>
                <c:pt idx="1">
                  <c:v>0</c:v>
                </c:pt>
                <c:pt idx="2">
                  <c:v>0.0435</c:v>
                </c:pt>
                <c:pt idx="3">
                  <c:v>0.0163</c:v>
                </c:pt>
                <c:pt idx="4">
                  <c:v>0.0249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520501"/>
          <c:y val="0.3996646"/>
          <c:w val="0.37179455"/>
          <c:h val="0.594657"/>
        </c:manualLayout>
      </c:layout>
      <c:pieChart>
        <c:varyColors val="1"/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0973203"/>
          <c:y val="0.50911844"/>
          <c:w val="0.10563356"/>
          <c:h val="0.442858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2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9520501"/>
          <c:y val="0.3996646"/>
          <c:w val="0.37179455"/>
          <c:h val="0.594657"/>
        </c:manualLayout>
      </c:layout>
      <c:pieChart>
        <c:varyColors val="1"/>
        <c:ser>
          <c:idx val="0"/>
          <c:order val="0"/>
          <c:tx>
            <c:strRef>
              <c:f>工作表465543!$A$2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3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工作表465543!$B$1:$C$1</c:f>
              <c:strCache>
                <c:ptCount val="2"/>
                <c:pt idx="0">
                  <c:v>公务用车购置及运行维护费</c:v>
                </c:pt>
                <c:pt idx="1">
                  <c:v>公务接待费</c:v>
                </c:pt>
              </c:strCache>
            </c:strRef>
          </c:cat>
          <c:val>
            <c:numRef>
              <c:f>工作表465543!$B$2:$C$2</c:f>
              <c:numCache>
                <c:formatCode>0.00%</c:formatCode>
                <c:ptCount val="2"/>
                <c:pt idx="0">
                  <c:v>0.9939</c:v>
                </c:pt>
                <c:pt idx="1">
                  <c:v>0.0061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0973203"/>
          <c:y val="0.50911844"/>
          <c:w val="0.10563356"/>
          <c:h val="0.442858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2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3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acrossLinear" id="2">
  <a:schemeClr val="accent1"/>
  <a:schemeClr val="accent2"/>
  <a:schemeClr val="accent3"/>
  <a:schemeClr val="accent4"/>
  <a:schemeClr val="accent5"/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5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 w="19050">
        <a:solidFill>
          <a:schemeClr val="lt1"/>
        </a:solidFill>
      </a:ln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四川省财政厅</Company>
  <Pages>28</Pages>
  <Words>9104</Words>
  <Characters>10022</Characters>
  <Lines>683</Lines>
  <Paragraphs>271</Paragraphs>
  <TotalTime>3</TotalTime>
  <ScaleCrop>false</ScaleCrop>
  <LinksUpToDate>false</LinksUpToDate>
  <CharactersWithSpaces>10516</CharactersWithSpaces>
  <Application>WPS Office_11.8.2.1117_F1E327BC-269C-435d-A152-05C5408002CA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2021-10-11T21:42:00Z</dcterms:created>
  <dc:creator>曹颖</dc:creator>
  <cp:lastModifiedBy>user</cp:lastModifiedBy>
  <cp:lastPrinted>2026-09-17T14:49:55Z</cp:lastPrinted>
  <dcterms:modified xsi:type="dcterms:W3CDTF">2026-09-17T14:52:28Z</dcterms:modified>
  <dc:title>四川省***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2052-11.8.2.1117</vt:lpwstr>
  </property>
  <property fmtid="{D5CDD505-2E9C-101B-9397-08002B2CF9AE}" pid="3" name="ICV">
    <vt:lpwstr>A2BE43F87C43550DB457AB6A9169FC66</vt:lpwstr>
  </property>
</Properties>
</file>