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eastAsia" w:ascii="方正公文小标宋" w:hAnsi="方正公文小标宋" w:eastAsia="方正公文小标宋" w:cs="方正公文小标宋"/>
          <w:snapToGrid/>
          <w:color w:val="auto"/>
          <w:spacing w:val="0"/>
          <w:w w:val="100"/>
          <w:position w:val="0"/>
          <w:sz w:val="72"/>
          <w:szCs w:val="72"/>
          <w:u w:val="none" w:color="auto"/>
          <w:vertAlign w:val="baseline"/>
        </w:rPr>
      </w:pPr>
      <w:bookmarkStart w:id="0" w:name="_Toc15396597"/>
      <w:bookmarkStart w:id="1" w:name="_Toc15396475"/>
      <w:bookmarkStart w:id="2" w:name="_Toc15377425"/>
      <w:bookmarkStart w:id="3" w:name="_Toc15377193"/>
      <w:bookmarkStart w:id="4" w:name="_Toc15378441"/>
      <w:bookmarkStart w:id="5" w:name="_Toc15306267"/>
      <w:r>
        <w:rPr>
          <w:rFonts w:hint="eastAsia" w:ascii="方正公文小标宋" w:hAnsi="方正公文小标宋" w:eastAsia="方正公文小标宋" w:cs="方正公文小标宋"/>
          <w:snapToGrid/>
          <w:color w:val="auto"/>
          <w:spacing w:val="0"/>
          <w:w w:val="100"/>
          <w:position w:val="0"/>
          <w:sz w:val="72"/>
          <w:szCs w:val="72"/>
          <w:u w:val="none" w:color="auto"/>
          <w:vertAlign w:val="baseline"/>
        </w:rPr>
        <w:t>202</w:t>
      </w:r>
      <w:r>
        <w:rPr>
          <w:rFonts w:hint="default" w:ascii="方正公文小标宋" w:hAnsi="方正公文小标宋" w:eastAsia="方正公文小标宋" w:cs="方正公文小标宋"/>
          <w:snapToGrid/>
          <w:color w:val="auto"/>
          <w:spacing w:val="0"/>
          <w:w w:val="100"/>
          <w:position w:val="0"/>
          <w:sz w:val="72"/>
          <w:szCs w:val="72"/>
          <w:u w:val="none" w:color="auto"/>
          <w:vertAlign w:val="baseline"/>
          <w:lang w:val="en-US"/>
        </w:rPr>
        <w:t>5</w:t>
      </w:r>
      <w:r>
        <w:rPr>
          <w:rFonts w:hint="eastAsia" w:ascii="方正公文小标宋" w:hAnsi="方正公文小标宋" w:eastAsia="方正公文小标宋" w:cs="方正公文小标宋"/>
          <w:snapToGrid/>
          <w:color w:val="auto"/>
          <w:spacing w:val="0"/>
          <w:w w:val="100"/>
          <w:position w:val="0"/>
          <w:sz w:val="72"/>
          <w:szCs w:val="72"/>
          <w:u w:val="none" w:color="auto"/>
          <w:vertAlign w:val="baseline"/>
        </w:rPr>
        <w:t>年度</w:t>
      </w:r>
      <w:bookmarkEnd w:id="0"/>
      <w:bookmarkEnd w:id="1"/>
      <w:bookmarkEnd w:id="2"/>
      <w:bookmarkEnd w:id="3"/>
      <w:bookmarkEnd w:id="4"/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eastAsia" w:ascii="Times New Roman" w:hAnsi="Times New Roman" w:eastAsia="宋体" w:cs="Times New Roman"/>
          <w:snapToGrid/>
          <w:color w:val="auto"/>
          <w:spacing w:val="0"/>
          <w:w w:val="100"/>
          <w:position w:val="0"/>
          <w:sz w:val="42"/>
          <w:szCs w:val="42"/>
          <w:u w:val="none" w:color="auto"/>
          <w:vertAlign w:val="baseline"/>
          <w:lang w:eastAsia="zh-CN"/>
        </w:rPr>
      </w:pPr>
      <w:bookmarkStart w:id="6" w:name="_Toc15377194"/>
      <w:bookmarkStart w:id="7" w:name="_Toc15377426"/>
      <w:bookmarkStart w:id="8" w:name="_Toc15396598"/>
      <w:bookmarkStart w:id="9" w:name="_Toc15378442"/>
      <w:bookmarkStart w:id="10" w:name="_Toc15396476"/>
      <w:r>
        <w:rPr>
          <w:rFonts w:hint="eastAsia" w:ascii="方正公文小标宋" w:hAnsi="方正公文小标宋" w:eastAsia="方正公文小标宋" w:cs="方正公文小标宋"/>
          <w:snapToGrid/>
          <w:color w:val="auto"/>
          <w:spacing w:val="0"/>
          <w:w w:val="100"/>
          <w:position w:val="0"/>
          <w:sz w:val="72"/>
          <w:szCs w:val="72"/>
          <w:u w:val="none" w:color="auto"/>
          <w:vertAlign w:val="baseline"/>
        </w:rPr>
        <w:t>阿坝州</w:t>
      </w:r>
      <w:bookmarkEnd w:id="5"/>
      <w:bookmarkStart w:id="11" w:name="_Toc15306268"/>
      <w:r>
        <w:rPr>
          <w:rFonts w:hint="eastAsia" w:ascii="方正公文小标宋" w:hAnsi="方正公文小标宋" w:eastAsia="方正公文小标宋" w:cs="方正公文小标宋"/>
          <w:snapToGrid/>
          <w:color w:val="auto"/>
          <w:spacing w:val="0"/>
          <w:w w:val="100"/>
          <w:position w:val="0"/>
          <w:sz w:val="72"/>
          <w:szCs w:val="72"/>
          <w:u w:val="none" w:color="auto"/>
          <w:vertAlign w:val="baseline"/>
        </w:rPr>
        <w:t>法学会</w:t>
      </w:r>
      <w:r>
        <w:rPr>
          <w:rFonts w:hint="eastAsia" w:ascii="方正公文小标宋" w:hAnsi="方正公文小标宋" w:eastAsia="方正公文小标宋" w:cs="方正公文小标宋"/>
          <w:snapToGrid/>
          <w:color w:val="auto"/>
          <w:spacing w:val="0"/>
          <w:w w:val="100"/>
          <w:position w:val="0"/>
          <w:sz w:val="72"/>
          <w:szCs w:val="72"/>
          <w:u w:val="none" w:color="auto"/>
          <w:vertAlign w:val="baseline"/>
          <w:lang w:eastAsia="zh-CN"/>
        </w:rPr>
        <w:t>单位</w:t>
      </w:r>
      <w:r>
        <w:rPr>
          <w:rFonts w:hint="eastAsia" w:ascii="方正公文小标宋" w:hAnsi="方正公文小标宋" w:eastAsia="方正公文小标宋" w:cs="方正公文小标宋"/>
          <w:snapToGrid/>
          <w:color w:val="auto"/>
          <w:spacing w:val="0"/>
          <w:w w:val="100"/>
          <w:position w:val="0"/>
          <w:sz w:val="72"/>
          <w:szCs w:val="72"/>
          <w:u w:val="none" w:color="auto"/>
          <w:vertAlign w:val="baseline"/>
        </w:rPr>
        <w:t>决算</w:t>
      </w:r>
      <w:bookmarkEnd w:id="6"/>
      <w:bookmarkEnd w:id="7"/>
      <w:bookmarkEnd w:id="8"/>
      <w:bookmarkEnd w:id="9"/>
      <w:bookmarkEnd w:id="10"/>
      <w:bookmarkEnd w:id="11"/>
      <w:r>
        <w:rPr>
          <w:rFonts w:hint="eastAsia" w:ascii="方正公文小标宋" w:hAnsi="方正公文小标宋" w:eastAsia="方正公文小标宋" w:cs="方正公文小标宋"/>
          <w:snapToGrid/>
          <w:color w:val="auto"/>
          <w:spacing w:val="0"/>
          <w:w w:val="100"/>
          <w:position w:val="0"/>
          <w:sz w:val="72"/>
          <w:szCs w:val="72"/>
          <w:u w:val="none" w:color="auto"/>
          <w:vertAlign w:val="baseline"/>
          <w:lang w:eastAsia="zh-CN"/>
        </w:rPr>
        <w:t>公开</w:t>
      </w:r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default" w:ascii="Times New Roman" w:hAnsi="Times New Roman" w:cs="Times New Roman"/>
          <w:snapToGrid/>
          <w:color w:val="auto"/>
          <w:spacing w:val="0"/>
          <w:w w:val="100"/>
          <w:position w:val="0"/>
          <w:sz w:val="42"/>
          <w:szCs w:val="42"/>
          <w:u w:val="none" w:color="auto"/>
          <w:vertAlign w:val="baseline"/>
        </w:rPr>
      </w:pPr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default" w:ascii="Times New Roman" w:hAnsi="Times New Roman" w:cs="Times New Roman"/>
          <w:snapToGrid/>
          <w:color w:val="auto"/>
          <w:spacing w:val="0"/>
          <w:w w:val="100"/>
          <w:position w:val="0"/>
          <w:sz w:val="42"/>
          <w:szCs w:val="42"/>
          <w:u w:val="none" w:color="auto"/>
          <w:vertAlign w:val="baseline"/>
        </w:rPr>
      </w:pPr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default" w:ascii="Times New Roman" w:hAnsi="Times New Roman" w:cs="Times New Roman"/>
          <w:snapToGrid/>
          <w:color w:val="auto"/>
          <w:spacing w:val="0"/>
          <w:w w:val="100"/>
          <w:position w:val="0"/>
          <w:sz w:val="42"/>
          <w:szCs w:val="42"/>
          <w:u w:val="none" w:color="auto"/>
          <w:vertAlign w:val="baseline"/>
        </w:rPr>
      </w:pPr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default" w:ascii="Times New Roman" w:hAnsi="Times New Roman" w:cs="Times New Roman"/>
          <w:snapToGrid/>
          <w:color w:val="auto"/>
          <w:spacing w:val="0"/>
          <w:w w:val="100"/>
          <w:position w:val="0"/>
          <w:sz w:val="42"/>
          <w:szCs w:val="42"/>
          <w:u w:val="none" w:color="auto"/>
          <w:vertAlign w:val="baseline"/>
        </w:rPr>
      </w:pPr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default" w:ascii="Times New Roman" w:hAnsi="Times New Roman" w:cs="Times New Roman"/>
          <w:snapToGrid/>
          <w:color w:val="auto"/>
          <w:spacing w:val="0"/>
          <w:w w:val="100"/>
          <w:position w:val="0"/>
          <w:sz w:val="24"/>
          <w:szCs w:val="24"/>
          <w:u w:val="none" w:color="auto"/>
          <w:vertAlign w:val="baseline"/>
        </w:rPr>
      </w:pPr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default" w:ascii="Times New Roman" w:hAnsi="Times New Roman" w:cs="Times New Roman"/>
          <w:snapToGrid/>
          <w:color w:val="auto"/>
          <w:spacing w:val="0"/>
          <w:w w:val="100"/>
          <w:position w:val="0"/>
          <w:sz w:val="24"/>
          <w:szCs w:val="24"/>
          <w:u w:val="none" w:color="auto"/>
          <w:vertAlign w:val="baseline"/>
        </w:rPr>
      </w:pPr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default" w:ascii="Times New Roman" w:hAnsi="Times New Roman" w:cs="Times New Roman"/>
          <w:snapToGrid/>
          <w:color w:val="auto"/>
          <w:spacing w:val="0"/>
          <w:w w:val="100"/>
          <w:position w:val="0"/>
          <w:sz w:val="24"/>
          <w:szCs w:val="24"/>
          <w:u w:val="none" w:color="auto"/>
          <w:vertAlign w:val="baseline"/>
        </w:rPr>
      </w:pPr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default" w:ascii="Times New Roman" w:hAnsi="Times New Roman" w:cs="Times New Roman"/>
          <w:snapToGrid/>
          <w:color w:val="auto"/>
          <w:spacing w:val="0"/>
          <w:w w:val="100"/>
          <w:position w:val="0"/>
          <w:sz w:val="24"/>
          <w:szCs w:val="24"/>
          <w:u w:val="none" w:color="auto"/>
          <w:vertAlign w:val="baseline"/>
        </w:rPr>
      </w:pPr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default" w:ascii="Times New Roman" w:hAnsi="Times New Roman" w:cs="Times New Roman"/>
          <w:snapToGrid/>
          <w:color w:val="auto"/>
          <w:spacing w:val="0"/>
          <w:w w:val="100"/>
          <w:position w:val="0"/>
          <w:sz w:val="24"/>
          <w:szCs w:val="24"/>
          <w:u w:val="none" w:color="auto"/>
          <w:vertAlign w:val="baseline"/>
        </w:rPr>
      </w:pPr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default" w:ascii="Times New Roman" w:hAnsi="Times New Roman" w:cs="Times New Roman"/>
          <w:snapToGrid/>
          <w:color w:val="auto"/>
          <w:spacing w:val="0"/>
          <w:w w:val="100"/>
          <w:position w:val="0"/>
          <w:sz w:val="24"/>
          <w:szCs w:val="24"/>
          <w:u w:val="none" w:color="auto"/>
          <w:vertAlign w:val="baseline"/>
        </w:rPr>
      </w:pPr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default" w:ascii="Times New Roman" w:hAnsi="Times New Roman" w:cs="Times New Roman"/>
          <w:snapToGrid/>
          <w:color w:val="auto"/>
          <w:spacing w:val="0"/>
          <w:w w:val="100"/>
          <w:position w:val="0"/>
          <w:sz w:val="24"/>
          <w:szCs w:val="24"/>
          <w:u w:val="none" w:color="auto"/>
          <w:vertAlign w:val="baseline"/>
        </w:rPr>
      </w:pPr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default" w:ascii="Times New Roman" w:hAnsi="Times New Roman" w:cs="Times New Roman"/>
          <w:snapToGrid/>
          <w:color w:val="auto"/>
          <w:spacing w:val="0"/>
          <w:w w:val="100"/>
          <w:position w:val="0"/>
          <w:sz w:val="24"/>
          <w:szCs w:val="24"/>
          <w:u w:val="none" w:color="auto"/>
          <w:vertAlign w:val="baseline"/>
        </w:rPr>
      </w:pPr>
    </w:p>
    <w:p>
      <w:pPr>
        <w:pStyle w:val="16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left="0" w:right="0" w:firstLine="0"/>
        <w:jc w:val="center"/>
        <w:textAlignment w:val="auto"/>
        <w:outlineLvl w:val="9"/>
        <w:rPr>
          <w:rFonts w:hint="eastAsia" w:ascii="仿宋_GB2312" w:hAnsi="仿宋_GB2312" w:eastAsia="仿宋_GB2312" w:cs="仿宋_GB2312"/>
          <w:snapToGrid/>
          <w:color w:val="auto"/>
          <w:spacing w:val="0"/>
          <w:w w:val="100"/>
          <w:position w:val="0"/>
          <w:sz w:val="36"/>
          <w:szCs w:val="36"/>
          <w:u w:val="none" w:color="auto"/>
          <w:vertAlign w:val="baseline"/>
        </w:rPr>
      </w:pPr>
      <w:r>
        <w:rPr>
          <w:rFonts w:hint="eastAsia" w:ascii="仿宋_GB2312" w:hAnsi="仿宋_GB2312" w:eastAsia="仿宋_GB2312" w:cs="仿宋_GB2312"/>
          <w:snapToGrid/>
          <w:color w:val="auto"/>
          <w:spacing w:val="0"/>
          <w:w w:val="100"/>
          <w:position w:val="0"/>
          <w:sz w:val="36"/>
          <w:szCs w:val="36"/>
          <w:u w:val="none" w:color="auto"/>
          <w:vertAlign w:val="baseline"/>
        </w:rPr>
        <w:t>已经保密审查、内容审定，同意对外公开</w:t>
      </w:r>
    </w:p>
    <w:p>
      <w:pPr>
        <w:widowControl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bookmarkStart w:id="12" w:name="_Toc15377196"/>
      <w:bookmarkStart w:id="13" w:name="_Toc15396599"/>
    </w:p>
    <w:p>
      <w:pPr>
        <w:widowControl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widowControl/>
        <w:jc w:val="center"/>
        <w:rPr>
          <w:rFonts w:hint="eastAsia" w:ascii="黑体" w:hAnsi="黑体" w:eastAsia="黑体" w:cs="黑体"/>
          <w:sz w:val="48"/>
          <w:szCs w:val="48"/>
        </w:rPr>
      </w:pPr>
      <w:r>
        <w:rPr>
          <w:rFonts w:hint="eastAsia" w:ascii="黑体" w:hAnsi="黑体" w:eastAsia="黑体" w:cs="黑体"/>
          <w:sz w:val="48"/>
          <w:szCs w:val="48"/>
        </w:rPr>
        <w:t>目录</w:t>
      </w:r>
    </w:p>
    <w:p>
      <w:pPr>
        <w:widowControl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公开时间：202</w:t>
      </w:r>
      <w:r>
        <w:rPr>
          <w:rFonts w:hint="eastAsia" w:asci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年9月</w:t>
      </w:r>
      <w:r>
        <w:rPr>
          <w:rFonts w:hint="eastAsia" w:ascii="Times New Roman" w:eastAsia="宋体" w:cs="Times New Roman"/>
          <w:sz w:val="24"/>
          <w:szCs w:val="24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sz w:val="24"/>
          <w:szCs w:val="24"/>
        </w:rPr>
        <w:t>日</w:t>
      </w: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pStyle w:val="12"/>
        <w:adjustRightInd w:val="0"/>
        <w:snapToGrid w:val="0"/>
        <w:spacing w:before="0" w:line="440" w:lineRule="exact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第一部分 单位概况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4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一、主要职责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4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二、机构设置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</w:p>
    <w:p>
      <w:pPr>
        <w:pStyle w:val="12"/>
        <w:adjustRightInd w:val="0"/>
        <w:snapToGrid w:val="0"/>
        <w:spacing w:before="0" w:line="440" w:lineRule="exac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第二部分 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sz w:val="24"/>
          <w:szCs w:val="24"/>
        </w:rPr>
        <w:t>年度单位决算情况说明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一、收入支出决算总体情况说明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二、收入决算情况说明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三、支出决算情况说明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6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四、财政拨款收入支出决算总体情况说明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五、一般公共预算财政拨款支出决算情况说明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六、一般公共预算财政拨款基本支出决算情况说明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七、财政拨款“三公”经费支出决算情况说明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八、政府性基金预算支出决算情况说明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九、国有资本经营预算支出决算情况说明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default" w:ascii="宋体" w:hAnsi="宋体" w:cs="宋体"/>
          <w:sz w:val="24"/>
          <w:szCs w:val="24"/>
          <w:lang w:val="en-US" w:eastAsia="zh-CN"/>
        </w:rPr>
        <w:t>1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十、其他重要事项的情况说明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default" w:ascii="宋体" w:hAnsi="宋体" w:cs="宋体"/>
          <w:sz w:val="24"/>
          <w:szCs w:val="24"/>
          <w:lang w:val="en-US" w:eastAsia="zh-CN"/>
        </w:rPr>
        <w:t>1</w:t>
      </w:r>
    </w:p>
    <w:p>
      <w:pPr>
        <w:pStyle w:val="12"/>
        <w:adjustRightInd w:val="0"/>
        <w:snapToGrid w:val="0"/>
        <w:spacing w:before="0"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第三部分 名词解释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2</w:t>
      </w:r>
    </w:p>
    <w:p>
      <w:pPr>
        <w:pStyle w:val="12"/>
        <w:adjustRightInd w:val="0"/>
        <w:snapToGrid w:val="0"/>
        <w:spacing w:before="0" w:line="440" w:lineRule="exact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第四部分 附件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4</w:t>
      </w:r>
    </w:p>
    <w:p>
      <w:pPr>
        <w:pStyle w:val="12"/>
        <w:adjustRightInd w:val="0"/>
        <w:snapToGrid w:val="0"/>
        <w:spacing w:before="0"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第五部分 附表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一、收入支出决算总表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二、收入决算表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三、支出决算表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四、财政拨款收入支出决算总表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五、财政拨款支出决算明细表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六、一般公共预算财政拨款支出决算表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25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七、一般公共预算财政拨款支出决算明细表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25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八、一般公共预算财政拨款基本支出决算明细表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25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九、一般公共预算财政拨款项目支出决算表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25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十、政府性基金预算财政拨款收入支出决算表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25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十一、国有资本经营预算财政拨款收入支出决算表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25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十二、国有资本经营预算财政拨款支出决算表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25</w:t>
      </w:r>
    </w:p>
    <w:p>
      <w:pPr>
        <w:pStyle w:val="15"/>
        <w:adjustRightInd w:val="0"/>
        <w:snapToGrid w:val="0"/>
        <w:spacing w:line="440" w:lineRule="exact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十三、财政拨款“三公”经费支出决算表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default" w:ascii="宋体" w:hAnsi="宋体" w:cs="宋体"/>
          <w:sz w:val="24"/>
          <w:szCs w:val="24"/>
          <w:lang w:val="en-US" w:eastAsia="zh-CN"/>
        </w:rPr>
        <w:t>25</w:t>
      </w: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Fonts w:hint="default" w:ascii="Times New Roman" w:hAnsi="Times New Roman" w:eastAsia="宋体" w:cs="Times New Roman"/>
          <w:b/>
          <w:bCs/>
          <w:caps/>
          <w:smallCaps w:val="0"/>
          <w:color w:val="000000"/>
          <w:sz w:val="24"/>
          <w:szCs w:val="24"/>
        </w:rPr>
      </w:pPr>
    </w:p>
    <w:p>
      <w:pPr>
        <w:widowControl/>
        <w:jc w:val="center"/>
        <w:rPr>
          <w:rStyle w:val="21"/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widowControl/>
        <w:jc w:val="center"/>
        <w:rPr>
          <w:rStyle w:val="21"/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widowControl/>
        <w:jc w:val="center"/>
        <w:rPr>
          <w:rStyle w:val="21"/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widowControl/>
        <w:jc w:val="center"/>
        <w:rPr>
          <w:rStyle w:val="21"/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atLeast"/>
        <w:ind w:firstLine="883" w:firstLineChars="200"/>
        <w:jc w:val="center"/>
        <w:rPr>
          <w:rStyle w:val="21"/>
          <w:rFonts w:hint="eastAsia" w:ascii="黑体" w:hAnsi="黑体" w:eastAsia="黑体" w:cs="黑体"/>
          <w:b/>
          <w:bCs/>
          <w:color w:val="000000"/>
          <w:sz w:val="52"/>
          <w:szCs w:val="52"/>
        </w:rPr>
      </w:pPr>
      <w:r>
        <w:rPr>
          <w:rStyle w:val="21"/>
          <w:rFonts w:hint="eastAsia" w:ascii="黑体" w:hAnsi="黑体" w:eastAsia="黑体" w:cs="黑体"/>
          <w:b/>
          <w:bCs/>
          <w:color w:val="000000"/>
          <w:sz w:val="44"/>
          <w:szCs w:val="44"/>
        </w:rPr>
        <w:t>第一部分 单位概况</w:t>
      </w:r>
      <w:bookmarkEnd w:id="12"/>
      <w:bookmarkEnd w:id="13"/>
    </w:p>
    <w:p>
      <w:pPr>
        <w:widowControl/>
        <w:jc w:val="left"/>
        <w:rPr>
          <w:rFonts w:hint="eastAsia" w:ascii="黑体" w:hAnsi="黑体" w:eastAsia="黑体" w:cs="黑体"/>
          <w:color w:val="000000"/>
          <w:sz w:val="24"/>
          <w:szCs w:val="24"/>
        </w:rPr>
      </w:pP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6" w:lineRule="auto"/>
        <w:ind w:firstLine="640" w:firstLineChars="200"/>
        <w:textAlignment w:val="auto"/>
        <w:rPr>
          <w:rStyle w:val="22"/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</w:pPr>
      <w:bookmarkStart w:id="14" w:name="_Toc15396600"/>
      <w:bookmarkStart w:id="15" w:name="_Toc15377197"/>
      <w:r>
        <w:rPr>
          <w:rFonts w:hint="eastAsia" w:ascii="黑体" w:hAnsi="黑体" w:eastAsia="黑体" w:cs="黑体"/>
          <w:b w:val="0"/>
          <w:color w:val="000000"/>
          <w:sz w:val="32"/>
          <w:szCs w:val="32"/>
        </w:rPr>
        <w:t>一、</w:t>
      </w:r>
      <w:bookmarkEnd w:id="14"/>
      <w:bookmarkEnd w:id="15"/>
      <w:r>
        <w:rPr>
          <w:rFonts w:hint="eastAsia" w:ascii="黑体" w:hAnsi="黑体" w:eastAsia="黑体" w:cs="黑体"/>
          <w:b w:val="0"/>
          <w:color w:val="000000"/>
          <w:sz w:val="32"/>
          <w:szCs w:val="32"/>
          <w:lang w:eastAsia="zh-CN"/>
        </w:rPr>
        <w:t>主要职责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1.组织法学工作者、法律工作者学习和贯彻党的基本理论、基本路线、基本纲领、基本经验，提高政法素质和业务素质，坚持正确的政治方向；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2.引领、繁荣法学研究，推进法律理论创新、法律制度创新和法律文化创新，为社会主义民主法制建设提供理论支持；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3.参与政治协商、科学决策和民主监督，对社会主义民主法制建设中的重大理论问题和实践问题，进行学术研讨，提出对策和建议；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4.组织法学工作者、法律工作者深入实际进行调查研究，反映新情况，研究新问题，加强信息交流和传播；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5.参与地方立法总体规划的研究和法律、法规的起草、修改、咨询与论证工作；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6.组织评选和表彰本州法学届、优秀法学成果的活动，营造尊重人才、鼓励创新的良好环境；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7.参与本地法制宣传，主管主办本会法制、法学刊物，编辑出版《阿坝政法》和资料；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8.发挥人才、智力优势，开展形式多样的法律服务；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9.指导、协调本州团体会员的工作；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10.履行本州法学研究和法学交流社团的职责，做好监督和管理工作；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11.反映本州广大会员和法学界、法律界和意见与要求，维护会员的合法利益。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Style w:val="22"/>
          <w:rFonts w:hint="eastAsia" w:ascii="黑体" w:hAnsi="黑体" w:eastAsia="黑体" w:cs="黑体"/>
          <w:b w:val="0"/>
          <w:bCs w:val="0"/>
          <w:color w:val="000000"/>
          <w:sz w:val="36"/>
          <w:szCs w:val="36"/>
        </w:rPr>
      </w:pPr>
      <w:bookmarkStart w:id="16" w:name="_Toc15377200"/>
      <w:bookmarkStart w:id="17" w:name="_Toc15396601"/>
      <w:r>
        <w:rPr>
          <w:rStyle w:val="22"/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二、机构设置</w:t>
      </w:r>
      <w:bookmarkEnd w:id="16"/>
      <w:bookmarkEnd w:id="17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级预算单位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阿坝州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社会治安综合治理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、州法学会、政法宣传信息服务中心共用一个基金号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。内设办公室、研究室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3个科室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。事业编制数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人，实有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right="440"/>
        <w:jc w:val="right"/>
        <w:textAlignment w:val="auto"/>
        <w:rPr>
          <w:rFonts w:hint="default" w:ascii="Times New Roman" w:hAnsi="Times New Roman" w:eastAsia="宋体" w:cs="Times New Roman"/>
          <w:b w:val="0"/>
          <w:color w:val="000000"/>
          <w:sz w:val="48"/>
          <w:szCs w:val="48"/>
        </w:rPr>
      </w:pPr>
      <w:bookmarkStart w:id="18" w:name="_Toc15377204"/>
      <w:bookmarkStart w:id="19" w:name="_Toc15396602"/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right="440"/>
        <w:jc w:val="right"/>
        <w:textAlignment w:val="auto"/>
        <w:rPr>
          <w:rStyle w:val="21"/>
          <w:rFonts w:hint="eastAsia" w:ascii="黑体" w:hAnsi="黑体" w:eastAsia="黑体" w:cs="黑体"/>
          <w:b w:val="0"/>
          <w:bCs w:val="0"/>
          <w:color w:val="000000"/>
          <w:sz w:val="44"/>
          <w:szCs w:val="44"/>
        </w:rPr>
      </w:pPr>
      <w:r>
        <w:rPr>
          <w:rFonts w:hint="eastAsia" w:ascii="黑体" w:hAnsi="黑体" w:eastAsia="黑体" w:cs="黑体"/>
          <w:b w:val="0"/>
          <w:color w:val="000000"/>
          <w:sz w:val="44"/>
          <w:szCs w:val="44"/>
        </w:rPr>
        <w:t>第二部分</w:t>
      </w:r>
      <w:r>
        <w:rPr>
          <w:rFonts w:hint="eastAsia" w:ascii="黑体" w:hAnsi="黑体" w:eastAsia="黑体" w:cs="黑体"/>
          <w:color w:val="000000"/>
          <w:sz w:val="44"/>
          <w:szCs w:val="44"/>
        </w:rPr>
        <w:t xml:space="preserve"> </w:t>
      </w:r>
      <w:r>
        <w:rPr>
          <w:rStyle w:val="21"/>
          <w:rFonts w:hint="eastAsia" w:ascii="黑体" w:hAnsi="黑体" w:eastAsia="黑体" w:cs="黑体"/>
          <w:b w:val="0"/>
          <w:bCs w:val="0"/>
          <w:color w:val="000000"/>
          <w:sz w:val="44"/>
          <w:szCs w:val="44"/>
        </w:rPr>
        <w:t>202</w:t>
      </w:r>
      <w:r>
        <w:rPr>
          <w:rStyle w:val="21"/>
          <w:rFonts w:hint="eastAsia" w:ascii="黑体" w:hAnsi="黑体" w:eastAsia="黑体" w:cs="黑体"/>
          <w:b w:val="0"/>
          <w:bCs w:val="0"/>
          <w:color w:val="000000"/>
          <w:sz w:val="44"/>
          <w:szCs w:val="44"/>
          <w:lang w:val="en-US"/>
        </w:rPr>
        <w:t>5</w:t>
      </w:r>
      <w:r>
        <w:rPr>
          <w:rStyle w:val="21"/>
          <w:rFonts w:hint="eastAsia" w:ascii="黑体" w:hAnsi="黑体" w:eastAsia="黑体" w:cs="黑体"/>
          <w:b w:val="0"/>
          <w:bCs w:val="0"/>
          <w:color w:val="000000"/>
          <w:sz w:val="44"/>
          <w:szCs w:val="44"/>
        </w:rPr>
        <w:t>年度部门决算情况说</w:t>
      </w:r>
      <w:bookmarkEnd w:id="18"/>
      <w:bookmarkEnd w:id="19"/>
      <w:r>
        <w:rPr>
          <w:rStyle w:val="21"/>
          <w:rFonts w:hint="eastAsia" w:ascii="黑体" w:hAnsi="黑体" w:eastAsia="黑体" w:cs="黑体"/>
          <w:b w:val="0"/>
          <w:bCs w:val="0"/>
          <w:color w:val="000000"/>
          <w:sz w:val="44"/>
          <w:szCs w:val="44"/>
        </w:rPr>
        <w:t>明</w:t>
      </w: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bookmarkStart w:id="20" w:name="_Toc15377205"/>
      <w:bookmarkStart w:id="21" w:name="_Toc15396603"/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收</w:t>
      </w:r>
      <w:r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  <w:t>入支出决算总体情况说明</w:t>
      </w:r>
      <w:bookmarkEnd w:id="20"/>
      <w:bookmarkEnd w:id="21"/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年度收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、支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总计</w:t>
      </w:r>
      <w:r>
        <w:rPr>
          <w:rFonts w:hint="eastAsia" w:ascii="仿宋_GB2312" w:hAnsi="仿宋_GB2312" w:eastAsia="仿宋_GB2312" w:cs="仿宋_GB2312"/>
          <w:sz w:val="32"/>
          <w:szCs w:val="32"/>
        </w:rPr>
        <w:t>224.82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万元。与202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年相比，收、支总计各增加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/>
        </w:rPr>
        <w:t>41.22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万元，增长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/>
        </w:rPr>
        <w:t>22.45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%。主要变动原因是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人员经费和日常公用经费较上年有所增加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（图1：收、支决算总计变动情况图）（柱状图）</w:t>
      </w:r>
    </w:p>
    <w:p>
      <w:pPr>
        <w:spacing w:line="600" w:lineRule="atLeast"/>
        <w:ind w:firstLine="640" w:firstLineChars="200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  <w:drawing>
          <wp:anchor distT="328930" distB="370840" distL="388620" distR="319405" simplePos="0" relativeHeight="251659264" behindDoc="1" locked="0" layoutInCell="1" allowOverlap="1">
            <wp:simplePos x="0" y="0"/>
            <wp:positionH relativeFrom="column">
              <wp:posOffset>432435</wp:posOffset>
            </wp:positionH>
            <wp:positionV relativeFrom="paragraph">
              <wp:posOffset>233045</wp:posOffset>
            </wp:positionV>
            <wp:extent cx="4681220" cy="2393950"/>
            <wp:effectExtent l="0" t="0" r="0" b="0"/>
            <wp:wrapNone/>
            <wp:docPr id="1" name="对象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>
      <w:pPr>
        <w:spacing w:line="600" w:lineRule="exact"/>
        <w:ind w:firstLine="640" w:firstLineChars="200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</w:p>
    <w:p>
      <w:pPr>
        <w:tabs>
          <w:tab w:val="left" w:pos="7140"/>
        </w:tabs>
        <w:spacing w:line="600" w:lineRule="exact"/>
        <w:ind w:firstLine="640" w:firstLineChars="200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  <w:tab/>
      </w:r>
    </w:p>
    <w:p>
      <w:pPr>
        <w:tabs>
          <w:tab w:val="left" w:pos="2115"/>
        </w:tabs>
        <w:spacing w:line="600" w:lineRule="exact"/>
        <w:ind w:firstLine="640" w:firstLineChars="200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  <w:tab/>
      </w:r>
    </w:p>
    <w:p>
      <w:pPr>
        <w:spacing w:line="600" w:lineRule="exact"/>
        <w:ind w:firstLine="640" w:firstLineChars="200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2"/>
          <w:rFonts w:hint="eastAsia" w:asciiTheme="minorEastAsia" w:hAnsiTheme="minorEastAsia" w:eastAsiaTheme="minorEastAsia" w:cstheme="minorEastAsia"/>
          <w:b w:val="0"/>
          <w:color w:val="000000"/>
          <w:sz w:val="32"/>
          <w:szCs w:val="32"/>
        </w:rPr>
      </w:pPr>
      <w:bookmarkStart w:id="22" w:name="_Toc15396604"/>
      <w:bookmarkStart w:id="23" w:name="_Toc15377206"/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收</w:t>
      </w:r>
      <w:r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  <w:t>入决算情况说明</w:t>
      </w:r>
      <w:bookmarkEnd w:id="22"/>
      <w:bookmarkEnd w:id="23"/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年度收入合计</w:t>
      </w:r>
      <w:r>
        <w:rPr>
          <w:rFonts w:hint="eastAsia" w:ascii="仿宋_GB2312" w:hAnsi="仿宋_GB2312" w:eastAsia="仿宋_GB2312" w:cs="仿宋_GB2312"/>
          <w:sz w:val="32"/>
          <w:szCs w:val="32"/>
        </w:rPr>
        <w:t>224.82万元，其中：一般公共预算财政拨款收入224.82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%；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府性基金预算财政拨款收入0万元，占0%；国有资本经营预算财政拨款收入0万元，占0%；上级补助收入0万元，占0%；事业收入0万元，占0%；经营收入0万元，占0%；附属单位上缴收入0万元，占0%；其他收入0万元，占0%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（图2：收入决算结构图）（饼状图）</w:t>
      </w:r>
    </w:p>
    <w:p>
      <w:pPr>
        <w:pStyle w:val="5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13"/>
        <w:rPr>
          <w:rFonts w:hint="default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322580" distB="542925" distL="1388110" distR="306070" simplePos="0" relativeHeight="251659264" behindDoc="0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348615</wp:posOffset>
            </wp:positionV>
            <wp:extent cx="5191125" cy="2343150"/>
            <wp:effectExtent l="0" t="0" r="0" b="0"/>
            <wp:wrapNone/>
            <wp:docPr id="2" name="对象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2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</w:pPr>
      <w:bookmarkStart w:id="24" w:name="_Toc15396605"/>
      <w:bookmarkStart w:id="25" w:name="_Toc15377207"/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支</w:t>
      </w:r>
      <w:r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  <w:t>出决算情况说明</w:t>
      </w:r>
      <w:bookmarkEnd w:id="24"/>
      <w:bookmarkEnd w:id="25"/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年度支出合计</w:t>
      </w:r>
      <w:r>
        <w:rPr>
          <w:rFonts w:hint="eastAsia" w:ascii="仿宋_GB2312" w:hAnsi="仿宋_GB2312" w:eastAsia="仿宋_GB2312" w:cs="仿宋_GB2312"/>
          <w:sz w:val="32"/>
          <w:szCs w:val="32"/>
        </w:rPr>
        <w:t>224.82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万元，其中：基本支出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224.82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万元，占</w:t>
      </w:r>
      <w:r>
        <w:rPr>
          <w:rFonts w:hint="eastAsia" w:ascii="仿宋_GB2312" w:hAnsi="仿宋_GB2312" w:eastAsia="仿宋_GB2312" w:cs="仿宋_GB2312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%；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项目支出0.00万元，占 0.00%；上缴上级支出0.00万元，占 0.00%；经营支出0.00万元，占 0.00%；对附属单位补助支出0.00万元，占 0.00%。</w:t>
      </w:r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（图3：支出决算结构图）（饼状图）</w:t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322580" distB="542925" distL="1510030" distR="263525" simplePos="0" relativeHeight="251659264" behindDoc="0" locked="0" layoutInCell="1" allowOverlap="1">
            <wp:simplePos x="0" y="0"/>
            <wp:positionH relativeFrom="column">
              <wp:posOffset>347980</wp:posOffset>
            </wp:positionH>
            <wp:positionV relativeFrom="paragraph">
              <wp:posOffset>12065</wp:posOffset>
            </wp:positionV>
            <wp:extent cx="4953000" cy="1600200"/>
            <wp:effectExtent l="0" t="0" r="0" b="0"/>
            <wp:wrapNone/>
            <wp:docPr id="3" name="对象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outlineLvl w:val="1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bookmarkStart w:id="26" w:name="_Toc15377208"/>
      <w:bookmarkStart w:id="27" w:name="_Toc15396606"/>
    </w:p>
    <w:p>
      <w:pPr>
        <w:spacing w:line="600" w:lineRule="exact"/>
        <w:ind w:firstLine="480" w:firstLineChars="200"/>
        <w:outlineLvl w:val="1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outlineLvl w:val="1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2"/>
          <w:rFonts w:hint="default" w:ascii="Times New Roman" w:hAnsi="Times New Roman" w:eastAsia="宋体" w:cs="Times New Roman"/>
          <w:b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四、财</w:t>
      </w:r>
      <w:r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  <w:t>政拨款收入支出决算总体情况说明</w:t>
      </w:r>
      <w:bookmarkEnd w:id="26"/>
      <w:bookmarkEnd w:id="27"/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default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年度财政拨款收入、支出总计均为</w:t>
      </w:r>
      <w:r>
        <w:rPr>
          <w:rFonts w:hint="eastAsia" w:ascii="仿宋_GB2312" w:hAnsi="仿宋_GB2312" w:eastAsia="仿宋_GB2312" w:cs="仿宋_GB2312"/>
          <w:sz w:val="32"/>
          <w:szCs w:val="32"/>
        </w:rPr>
        <w:t>224.82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与20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年相比，财政拨款收、支总计各增加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/>
        </w:rPr>
        <w:t>41.22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万元，增长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/>
        </w:rPr>
        <w:t>22.45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%。主要变动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原因是人员经费和日常公用经费较上年有所增加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（图4：财政拨款收、支决算总计变动情况）（柱状图）</w:t>
      </w:r>
    </w:p>
    <w:p>
      <w:pPr>
        <w:spacing w:line="600" w:lineRule="exact"/>
        <w:ind w:firstLine="64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  <w:drawing>
          <wp:anchor distT="328930" distB="370840" distL="388620" distR="319405" simplePos="0" relativeHeight="251661312" behindDoc="1" locked="0" layoutInCell="1" allowOverlap="1">
            <wp:simplePos x="0" y="0"/>
            <wp:positionH relativeFrom="column">
              <wp:posOffset>642620</wp:posOffset>
            </wp:positionH>
            <wp:positionV relativeFrom="paragraph">
              <wp:posOffset>92710</wp:posOffset>
            </wp:positionV>
            <wp:extent cx="4022725" cy="2057400"/>
            <wp:effectExtent l="0" t="0" r="0" b="0"/>
            <wp:wrapNone/>
            <wp:docPr id="11" name="对象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640"/>
        <w:rPr>
          <w:rFonts w:hint="default" w:ascii="Times New Roman" w:hAnsi="Times New Roman" w:eastAsia="宋体" w:cs="Times New Roman"/>
          <w:b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outlineLvl w:val="1"/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</w:pPr>
      <w:bookmarkStart w:id="28" w:name="_Toc15377209"/>
      <w:bookmarkStart w:id="29" w:name="_Toc15396607"/>
      <w:r>
        <w:rPr>
          <w:rFonts w:hint="eastAsia" w:ascii="黑体" w:hAnsi="黑体" w:eastAsia="黑体" w:cs="黑体"/>
          <w:color w:val="000000"/>
          <w:sz w:val="32"/>
          <w:szCs w:val="32"/>
        </w:rPr>
        <w:t>五、</w:t>
      </w: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一</w:t>
      </w:r>
      <w:r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  <w:t>般公共预算财政拨款支出决算情况说明</w:t>
      </w:r>
      <w:bookmarkEnd w:id="28"/>
      <w:bookmarkEnd w:id="29"/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line="600" w:lineRule="exac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bookmarkStart w:id="30" w:name="_Toc15377210"/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（一）一般公共预算财政拨款支出决算总体情况</w:t>
      </w:r>
      <w:bookmarkEnd w:id="30"/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年度一般公共预算财政拨款支出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224.82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万元，占本年支出合计的</w:t>
      </w:r>
      <w:r>
        <w:rPr>
          <w:rFonts w:hint="eastAsia" w:ascii="仿宋_GB2312" w:hAnsi="仿宋_GB2312" w:eastAsia="仿宋_GB2312" w:cs="仿宋_GB2312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%。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与20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年相比，一般公共预算财政拨款增加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/>
        </w:rPr>
        <w:t>41.22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增长</w:t>
      </w:r>
      <w:r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/>
        </w:rPr>
        <w:t>22.45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%。主要变动原因是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人员经费和日常公用经费较上年有所增加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  <w:drawing>
          <wp:anchor distT="328930" distB="370840" distL="388620" distR="319405" simplePos="0" relativeHeight="251660288" behindDoc="1" locked="0" layoutInCell="1" allowOverlap="1">
            <wp:simplePos x="0" y="0"/>
            <wp:positionH relativeFrom="column">
              <wp:posOffset>1018540</wp:posOffset>
            </wp:positionH>
            <wp:positionV relativeFrom="paragraph">
              <wp:posOffset>551180</wp:posOffset>
            </wp:positionV>
            <wp:extent cx="3755390" cy="1920240"/>
            <wp:effectExtent l="0" t="0" r="0" b="0"/>
            <wp:wrapNone/>
            <wp:docPr id="10" name="对象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（图5：一般公共预算财政拨款支出决算变动情况）（柱状图）</w:t>
      </w:r>
    </w:p>
    <w:p>
      <w:pPr>
        <w:spacing w:line="600" w:lineRule="atLeas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328930" distB="370840" distL="388620" distR="320040" simplePos="0" relativeHeight="251659264" behindDoc="1" locked="0" layoutInCell="1" allowOverlap="1">
            <wp:simplePos x="0" y="0"/>
            <wp:positionH relativeFrom="column">
              <wp:posOffset>523240</wp:posOffset>
            </wp:positionH>
            <wp:positionV relativeFrom="paragraph">
              <wp:posOffset>364490</wp:posOffset>
            </wp:positionV>
            <wp:extent cx="4395470" cy="951230"/>
            <wp:effectExtent l="0" t="0" r="0" b="0"/>
            <wp:wrapNone/>
            <wp:docPr id="5" name="对象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line="600" w:lineRule="exac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bookmarkStart w:id="31" w:name="_Toc15377211"/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（二）一般公共预算财政拨款支出决算结构情况</w:t>
      </w:r>
      <w:bookmarkEnd w:id="31"/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年度一般公共预算财政拨款支出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万元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，主要用于以下方面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公共安全支出为155.57万元，占比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69.2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%；社会保障和就业支出为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22.83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12.29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%；卫生健康支出为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10.61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5.48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%；住房保障支出为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29.29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万元，占比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13.03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%。</w:t>
      </w:r>
    </w:p>
    <w:p>
      <w:pPr>
        <w:spacing w:line="600" w:lineRule="exact"/>
        <w:ind w:firstLine="640" w:firstLineChars="200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（图6：一般公共预算财政拨款支出决算结构）（饼状图）</w:t>
      </w:r>
    </w:p>
    <w:p>
      <w:pPr>
        <w:spacing w:line="600" w:lineRule="exact"/>
        <w:ind w:firstLine="640" w:firstLineChars="200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drawing>
          <wp:anchor distT="347345" distB="457200" distL="369570" distR="208915" simplePos="0" relativeHeight="251659264" behindDoc="0" locked="0" layoutInCell="1" allowOverlap="1">
            <wp:simplePos x="0" y="0"/>
            <wp:positionH relativeFrom="column">
              <wp:posOffset>276860</wp:posOffset>
            </wp:positionH>
            <wp:positionV relativeFrom="paragraph">
              <wp:posOffset>32385</wp:posOffset>
            </wp:positionV>
            <wp:extent cx="5055235" cy="2273300"/>
            <wp:effectExtent l="0" t="0" r="0" b="0"/>
            <wp:wrapNone/>
            <wp:docPr id="6" name="对象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60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line="600" w:lineRule="exac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bookmarkStart w:id="32" w:name="_Toc15377212"/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（三）一般公共预算财政拨款支出决算具体情况</w:t>
      </w:r>
      <w:bookmarkEnd w:id="32"/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年一般公共预算支出决算数为</w:t>
      </w:r>
      <w:r>
        <w:rPr>
          <w:rFonts w:hint="eastAsia" w:ascii="仿宋_GB2312" w:hAnsi="仿宋_GB2312" w:eastAsia="仿宋_GB2312" w:cs="仿宋_GB2312"/>
          <w:sz w:val="32"/>
          <w:szCs w:val="32"/>
        </w:rPr>
        <w:t>224.82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万元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，完成预算100.00%。其中：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33" w:name="_Toc15377214"/>
      <w:bookmarkStart w:id="34" w:name="_Toc15396608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（1）公共安全支出2040250：202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年决算数为155.57万元，决算数等于预算数。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（2）社会保障和就业2080505：202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年决算数为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18.42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（3）社会保障和就业2080506：202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年决算数为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9.21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（4）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卫生健康支出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2101102：20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年决算数为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12.32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）住房保障2210201：202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年决算数为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29.29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万元，完成预算100%，决算数等于预算数。</w:t>
      </w:r>
    </w:p>
    <w:p>
      <w:pPr>
        <w:keepNext w:val="0"/>
        <w:keepLines w:val="0"/>
        <w:pageBreakBefore w:val="0"/>
        <w:widowControl w:val="0"/>
        <w:tabs>
          <w:tab w:val="righ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2"/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六</w:t>
      </w:r>
      <w:r>
        <w:rPr>
          <w:rFonts w:hint="eastAsia" w:ascii="黑体" w:hAnsi="黑体" w:eastAsia="黑体" w:cs="黑体"/>
          <w:b/>
          <w:color w:val="000000"/>
          <w:sz w:val="32"/>
          <w:szCs w:val="32"/>
        </w:rPr>
        <w:t>、一</w:t>
      </w:r>
      <w:r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  <w:t>般公共预算财政拨款基本支出决算情况说明</w:t>
      </w:r>
      <w:bookmarkEnd w:id="33"/>
      <w:bookmarkEnd w:id="34"/>
      <w:r>
        <w:rPr>
          <w:rStyle w:val="22"/>
          <w:rFonts w:hint="default" w:ascii="Times New Roman" w:hAnsi="Times New Roman" w:eastAsia="宋体" w:cs="Times New Roman"/>
          <w:b w:val="0"/>
          <w:color w:val="000000"/>
          <w:sz w:val="24"/>
          <w:szCs w:val="24"/>
        </w:rPr>
        <w:tab/>
      </w:r>
    </w:p>
    <w:p>
      <w:pPr>
        <w:spacing w:line="600" w:lineRule="exact"/>
        <w:ind w:firstLine="640"/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35" w:name="_Toc15377215"/>
      <w:bookmarkStart w:id="36" w:name="_Toc15396609"/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5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年度一般公共预算财政拨款基本支出224.82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元，其中：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人员经费</w:t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208.11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万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元，主要包括：基本工资、津贴补贴、奖金、伙食补助费、绩效工资、机关事业单位基本养老保险缴费、职业年金缴费、其他社会保障缴费、其他工资福利支出、离休费、退休费、抚恤金、生活补助、医疗费补助、奖励金、住房公积金、其他对个人和家庭的补助支出等。</w:t>
      </w:r>
      <w:r>
        <w:rPr>
          <w:rFonts w:hint="eastAsia" w:ascii="Times New Roman" w:hAnsi="Times New Roman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br w:type="textWrapping"/>
      </w:r>
      <w:r>
        <w:rPr>
          <w:rFonts w:hint="eastAsia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  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公用经费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16.71</w:t>
      </w:r>
      <w:r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万</w:t>
      </w:r>
      <w:r>
        <w:rPr>
          <w:rFonts w:hint="eastAsia" w:ascii="Times New Roman" w:hAnsi="Times New Roman" w:eastAsia="仿宋_GB2312" w:cs="仿宋_GB2312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元，主要包括：办公费、印刷费、咨询费、手续费、水费、电费、邮电费、取暖费、物业管理费、差旅费、因公出国（境）费用、维修（护）费、租赁费、会议费、培训费、公务接待费、劳务费、委托业务费、工会经费、福利费、公务用车运行维护费、其他交通费、税金及附加费用、其他商品和服务支出、办公设备购置、专用设备购置、信息网络及软件购置更新、其他资本性支出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七、</w:t>
      </w:r>
      <w:r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  <w:t>财政拨款</w:t>
      </w:r>
      <w:r>
        <w:rPr>
          <w:rStyle w:val="22"/>
          <w:rFonts w:hint="eastAsia" w:ascii="黑体" w:hAnsi="黑体" w:eastAsia="黑体" w:cs="黑体"/>
          <w:color w:val="000000"/>
          <w:sz w:val="32"/>
          <w:szCs w:val="32"/>
        </w:rPr>
        <w:t>“</w:t>
      </w:r>
      <w:r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  <w:t>三公”经费支出决算情况说明</w:t>
      </w:r>
      <w:bookmarkEnd w:id="35"/>
      <w:bookmarkEnd w:id="36"/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37" w:name="_Toc15377218"/>
      <w:bookmarkStart w:id="38" w:name="_Toc1539661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年无“三公”经费财政拨款支出。主要原因是无因公出国（境）费；州法学会无公务用车，公务用车由州委政法委提供；无公务接待。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2"/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八、</w:t>
      </w:r>
      <w:r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  <w:t>政府性基金预算支出决算情况说明</w:t>
      </w:r>
      <w:bookmarkEnd w:id="37"/>
      <w:bookmarkEnd w:id="38"/>
    </w:p>
    <w:p>
      <w:pPr>
        <w:spacing w:line="600" w:lineRule="atLeast"/>
        <w:ind w:firstLine="640" w:firstLineChars="200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年政府性基金预算拨款支出0.00万元。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outlineLvl w:val="1"/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</w:pPr>
      <w:bookmarkStart w:id="39" w:name="_Toc15377219"/>
      <w:bookmarkStart w:id="40" w:name="_Toc15396611"/>
      <w:r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  <w:t>九、国有资本经营预算支出决算情况说明</w:t>
      </w:r>
      <w:bookmarkEnd w:id="39"/>
      <w:bookmarkEnd w:id="40"/>
    </w:p>
    <w:p>
      <w:pPr>
        <w:spacing w:line="600" w:lineRule="atLeast"/>
        <w:ind w:firstLine="640" w:firstLineChars="200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年国有资本经营预算拨款支出0.00万元。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outlineLvl w:val="1"/>
        <w:rPr>
          <w:rStyle w:val="22"/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  <w:bookmarkStart w:id="41" w:name="_Toc15396612"/>
      <w:bookmarkStart w:id="42" w:name="_Toc15377221"/>
      <w:r>
        <w:rPr>
          <w:rFonts w:hint="eastAsia" w:ascii="黑体" w:hAnsi="黑体" w:eastAsia="黑体" w:cs="黑体"/>
          <w:color w:val="000000"/>
          <w:sz w:val="32"/>
          <w:szCs w:val="32"/>
        </w:rPr>
        <w:t>十</w:t>
      </w:r>
      <w:r>
        <w:rPr>
          <w:rStyle w:val="22"/>
          <w:rFonts w:hint="eastAsia" w:ascii="黑体" w:hAnsi="黑体" w:eastAsia="黑体" w:cs="黑体"/>
          <w:color w:val="000000"/>
          <w:sz w:val="32"/>
          <w:szCs w:val="32"/>
        </w:rPr>
        <w:t>、</w:t>
      </w:r>
      <w:r>
        <w:rPr>
          <w:rStyle w:val="22"/>
          <w:rFonts w:hint="eastAsia" w:ascii="黑体" w:hAnsi="黑体" w:eastAsia="黑体" w:cs="黑体"/>
          <w:b w:val="0"/>
          <w:color w:val="000000"/>
          <w:sz w:val="32"/>
          <w:szCs w:val="32"/>
        </w:rPr>
        <w:t>其他重要事项的情况说明</w:t>
      </w:r>
      <w:bookmarkEnd w:id="41"/>
      <w:bookmarkEnd w:id="42"/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line="600" w:lineRule="exac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bookmarkStart w:id="43" w:name="_Toc15377222"/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（一）机关运行经费支出情况</w:t>
      </w:r>
      <w:bookmarkEnd w:id="43"/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年，四川省阿坝州法学会机关运行经费支出0.00万元，比202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年增加0.00万元，增长0.00%。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本单位为事业单位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，未使用机关运行经费相关科目，机关运行经费安排为零。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line="600" w:lineRule="exac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bookmarkStart w:id="44" w:name="_Toc15377223"/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（二）政府采购支出情况</w:t>
      </w:r>
      <w:bookmarkEnd w:id="44"/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45" w:name="_Toc15377224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政府采购支出。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line="600" w:lineRule="exac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（三）国有资产占有使用情况</w:t>
      </w:r>
      <w:bookmarkEnd w:id="45"/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截至202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年12月31日，无公务用车。无单价50万元以上通用设备和单价100万元以上专用设备。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line="600" w:lineRule="exact"/>
        <w:ind w:firstLine="640" w:firstLineChars="200"/>
        <w:textAlignment w:val="auto"/>
        <w:outlineLvl w:val="2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（四）预算绩效管理情况。</w:t>
      </w:r>
    </w:p>
    <w:p>
      <w:pPr>
        <w:spacing w:line="60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根据预算绩效管理要求，本单位在202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年度预算编制阶段，组织对经费支出开展了预算事前绩效评估，并编制了绩效目标，预算执行过程中开展绩效监控，年终执行完毕后，对支出开展了绩效目标完成情况梳理填报。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hAnsi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hAnsi="仿宋_GB2312" w:cs="仿宋_GB2312"/>
          <w:sz w:val="32"/>
          <w:szCs w:val="32"/>
          <w:lang w:eastAsia="zh-CN"/>
        </w:rPr>
        <w:t>本单位按要求对</w:t>
      </w:r>
      <w:r>
        <w:rPr>
          <w:rFonts w:hint="eastAsia" w:hAnsi="仿宋_GB2312" w:cs="仿宋_GB2312"/>
          <w:sz w:val="32"/>
          <w:szCs w:val="32"/>
          <w:lang w:val="en-US" w:eastAsia="zh-CN"/>
        </w:rPr>
        <w:t>2025年整体支出开展绩效自评，形成州法学会2025年单位绩效自评报告，</w:t>
      </w:r>
      <w:r>
        <w:rPr>
          <w:rFonts w:hint="eastAsia" w:hAnsi="仿宋_GB2312" w:cs="仿宋_GB2312"/>
          <w:color w:val="auto"/>
          <w:sz w:val="32"/>
          <w:szCs w:val="32"/>
          <w:highlight w:val="none"/>
          <w:lang w:val="en-US" w:eastAsia="zh-CN"/>
        </w:rPr>
        <w:t>自评得分为98.5分。2025年州法学会贯彻落实深入实施预算绩效管理的决策部署，强化组织领导，明确责任主体，完善制度建设，加强事前、事中、事后全过程管理，切实提高财政资金使用效率。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hAnsi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hAnsi="仿宋_GB2312" w:cs="仿宋_GB2312"/>
          <w:color w:val="auto"/>
          <w:sz w:val="32"/>
          <w:szCs w:val="32"/>
          <w:highlight w:val="none"/>
          <w:lang w:val="en-US" w:eastAsia="zh-CN"/>
        </w:rPr>
        <w:t>2025年度州法学会不涉及特定目标类部门预算项目绩效目标自评。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0"/>
        <w:rPr>
          <w:rStyle w:val="19"/>
          <w:rFonts w:hint="default" w:ascii="Times New Roman" w:hAnsi="Times New Roman" w:cs="Times New Roman"/>
          <w:sz w:val="48"/>
          <w:szCs w:val="48"/>
        </w:rPr>
      </w:pPr>
      <w:bookmarkStart w:id="46" w:name="_Toc15396614"/>
      <w:bookmarkStart w:id="47" w:name="_Toc15377226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0"/>
        <w:rPr>
          <w:rStyle w:val="21"/>
          <w:rFonts w:hint="default" w:ascii="Times New Roman" w:hAnsi="Times New Roman" w:eastAsia="宋体" w:cs="Times New Roman"/>
          <w:b w:val="0"/>
          <w:color w:val="000000"/>
          <w:sz w:val="48"/>
          <w:szCs w:val="48"/>
        </w:rPr>
      </w:pPr>
      <w:r>
        <w:rPr>
          <w:rStyle w:val="19"/>
          <w:rFonts w:hint="eastAsia" w:ascii="黑体" w:hAnsi="黑体" w:eastAsia="黑体" w:cs="黑体"/>
          <w:sz w:val="44"/>
          <w:szCs w:val="44"/>
        </w:rPr>
        <w:t>第三部分 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宋体" w:cs="Times New Roman"/>
          <w:b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1．财政拨款收入：指省级财政当年拨付的资金。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2．其他收入：指除上述“财政拨款收入”、“事业收入”、“经营收入”等以外的收入。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3．公共安全支出（类）公安（款）行政运行（项）:指主要用于在职在编人员基本工资、津贴补贴，保障机关正常运转的日常公用支出。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．公共安全支出（类）公安（款）一般行政管理事务（项）:指主要用于有序开展反恐维稳、社会治安综合治理、司法体制和社会体制改革、依法治省、政法队伍建设、政法部门服务保障经济发展、信息化建设以及见义勇为等重点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5．社会保障和就业支出（类）行政事业单位离退休（款）未归口管理的行政单位离退休（项）:指主要用于离退休人员离退休费和津补贴。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6．社会保障和就业支出（类）行政事业单位离退休（款）机关事业单位基本养老保险缴费支出（项）:指主要用于离退休人员离退休费和津补贴。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7．社会保障和就业支出（类）其他社会保障和就业支出（款）其他社会保障和就业支出（项）:指其它用于社会保障和就业方面的支出。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8．医疗卫生与计划生育支出（类）医疗保障（款）行政单位医疗（项）：指财政部门集中安排的行政单位基本医疗保险缴费经费。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9．医疗卫生与计划生育支出（类）医疗保障（款）公务员医疗补助（项）:指财政部门集中安排的公务员医疗补助经费。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10．住房保障支出（类）住房改革支出（款）住房公积金（项）:指按照相关政策规定比例为个人缴纳的住房公积金。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11．住房保障支出（类）住房改革支出（款）购房补贴（项）:指按照相关政策规定，向符合条件的个人发放的用于购买住房的补贴。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12．年末结转和结余：指本年度或以前年度预算安排、因客观条件发生变化无法按原计划实施，需延迟到以后年度按有关规定继续使用的资金。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13．基本支出：是用于保障省委政法委机关、省法学会、省政法研究所正常运转的日常支出，包括基本工资、津贴补贴等人员经费以及办公费、印刷费、水电费等日常公用经费。  　　14．项目支出：是用于保障省委政法委机关、省法学会、省政法研究所，为完成特定的行政工作任务或事业发展目标，用于专项业务工作的经费支出。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15．“三公”经费：纳入省级财政预决算管理的“三公”经费，是指部门用财政拨款安排的因公出国（境）费、公务用车购置及运行费和公务接待费。其中，因公出国（境）费反映单位公务出国（境）的国际旅费、国外城市间交通费、住宿费、伙食费、培训费、公杂费等支出；公务用车购置及运行费反映单位公务用车车辆购置支出（含车辆购置税）及租用费、燃料费、维修费、过路过桥费、保险费、安全奖励费用等支出；公务接待费反映单位按规定开支的各类公务接待（含外宾接待）支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16．机关运行经费：为保障行政单位（含参照公务员法管理的事业单位）运行用于购买货物和服务的各项资金，包括办公及印刷费、邮电费、差旅费、会议费、福利费、日常维修费、专用材料及一般设备购置费、办公用房水电费、办公用房取暖费、办公用房物业管理费、公务用车运行维护费以及其他费用。</w:t>
      </w:r>
    </w:p>
    <w:p>
      <w:pPr>
        <w:spacing w:line="560" w:lineRule="exact"/>
        <w:ind w:firstLine="480" w:firstLineChars="20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bookmarkEnd w:id="46"/>
    <w:p>
      <w:pPr>
        <w:spacing w:line="600" w:lineRule="exact"/>
        <w:jc w:val="center"/>
        <w:outlineLvl w:val="0"/>
        <w:rPr>
          <w:rStyle w:val="21"/>
          <w:rFonts w:hint="eastAsia" w:ascii="黑体" w:hAnsi="黑体" w:eastAsia="黑体" w:cs="黑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第</w:t>
      </w:r>
      <w:r>
        <w:rPr>
          <w:rStyle w:val="21"/>
          <w:rFonts w:hint="eastAsia" w:ascii="黑体" w:hAnsi="黑体" w:eastAsia="黑体" w:cs="黑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四部分 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" w:eastAsia="zh-CN"/>
        </w:rPr>
        <w:t xml:space="preserve">阿坝州法学会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" w:eastAsia="zh-CN"/>
        </w:rPr>
        <w:t>关于202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b w:val="0"/>
          <w:bCs w:val="0"/>
          <w:color w:val="000000"/>
          <w:sz w:val="44"/>
          <w:szCs w:val="44"/>
          <w:lang w:val="en" w:eastAsia="zh-CN"/>
        </w:rPr>
        <w:t>年整体支出绩效评价报告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州财政局：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按照阿坝州财政局《关于开展202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年州级部门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预算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绩效自评工作的通知》（阿州财监绩〔202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〕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号）要求，我单位及时对202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年度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整体支出绩效情况开展自评，现将自评情况报告如下：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一、单位概况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 w:eastAsia="zh-CN" w:bidi="ar-SA"/>
        </w:rPr>
        <w:t>（一）机构组成。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州法学会属二级预算单位。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内设办公室、研究室。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州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政法宣传信息服务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中心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、州社会治安综合治理中心与州法学会共用一个基金号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 w:eastAsia="zh-CN" w:bidi="ar-SA"/>
        </w:rPr>
        <w:t>（二）机构职能。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州法学会职能简介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组织法学工作者、法律工作者学习和贯彻党的基本理论、基本路线、基本纲领、基本经验，提高政法素质和业务素质，坚持正确的政治方向；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引领、繁荣法学研究，推进法律理论创新、法律制度创新和法律文化创新，为社会主义民主法制建设提供理论支持；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参与政治协商、科学决策和民主监督，对社会主义民主法制建设中的重大理论问题和实践问题，进行学术研讨，提出对策和建议；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组织法学工作者、法律工作者深入实际进行调查研究，反映新情况，研究新问题，加强信息交流和传播；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参与地方立法总体规划的研究和法律、法规的起草、修改、咨询与论证工作；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组织评选和表彰本州法学届优秀法学成果的活动，营造尊重人才、鼓励创新的良好环境；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7）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参与本地法制宣传，主管主办本会法制、法学刊物，编辑出版《阿坝政法》和资料；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发挥人才、智力优势，开展形式多样的法律服务；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指导、协调本州团体会员的工作；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履行本州法学研究和法学交流社团的职责，做好监督和管理工作；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反映本州广大会员和法学界、法律界和意见与要求，维护会员的合法利益。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（三）人员概况。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州法学会事业编制4名，在职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名；州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政法宣传信息服务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中心事业编制5名，在职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；州社会治安综合治理中心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事业编制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名，在职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二、单位资金收支情况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（一）收入情况</w:t>
      </w:r>
      <w:r>
        <w:rPr>
          <w:rFonts w:hint="eastAsia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年年初预算收入为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150.2万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元，决算报表收入为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224.82万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元。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（二）支出情况</w:t>
      </w:r>
      <w:r>
        <w:rPr>
          <w:rFonts w:hint="eastAsia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年年初预算支出为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150.2万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元，决算报表支出为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224.82万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元，其中：公共安全支出为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155.57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万元，占比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69.2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%；社会保障和就业支出为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27.64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万元，占比12.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%；卫生健康支出为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12.32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万元，占比5.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48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%；住房保障支出为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29.29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万元，占比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13.03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%。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480" w:firstLineChars="15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（三）结余分配和结转结余情况。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三、单位预算绩效分析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（一）单位预算总体绩效分析</w:t>
      </w:r>
      <w:r>
        <w:rPr>
          <w:rFonts w:hint="eastAsia" w:eastAsia="方正公文楷体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。</w:t>
      </w: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（65分）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1.履职效能（15分）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（一）强化政治引领，坚定法治方向。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  <w:lang w:bidi="ar-SA"/>
        </w:rPr>
        <w:t>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州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各级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法学会始终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把政治建设摆在首位，通过理论学习中心组学习、专题研讨班、“三会一课”等形式，深入学习贯彻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党的二十大和二十届历次全会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习近平法治思想、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总体国家安全观和习近平总书记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对阿坝的重要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指示批示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中国法学会九代会及省法学会第八届理事会第二次会议精神，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切实把党的绝对领导落实到工作各方面全过程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持续引导广大法学法律工作者深刻领悟“两个确立”的决定性意义，增强“四个意识”、坚定“四个自信”、做到“两个维护”。全州各级法学会组织法学法律工作者开展学习220余场次，参与人数达46300余人次。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9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（二）深耕法学研究，赋能法治建设。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  <w:lang w:val="en-US" w:eastAsia="zh-CN" w:bidi="ar-SA"/>
        </w:rPr>
        <w:t>全州各级法学会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</w:rPr>
        <w:t>坚持问题导向、目标导向、结果导向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  <w:lang w:bidi="ar-SA"/>
        </w:rPr>
        <w:t>充分发挥法治智库作用，精准聚焦，精准发力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  <w:lang w:eastAsia="zh-CN" w:bidi="ar-SA"/>
        </w:rPr>
        <w:t>。</w:t>
      </w:r>
      <w:r>
        <w:rPr>
          <w:rFonts w:hint="default" w:ascii="Times New Roman" w:hAnsi="Times New Roman" w:eastAsia="方正仿宋_GBK" w:cs="Times New Roman"/>
          <w:b/>
          <w:bCs/>
          <w:snapToGrid w:val="0"/>
          <w:color w:val="auto"/>
          <w:sz w:val="32"/>
          <w:szCs w:val="32"/>
          <w:lang w:val="en-US" w:eastAsia="zh-CN" w:bidi="ar-SA"/>
        </w:rPr>
        <w:t>一是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  <w:lang w:bidi="ar-SA"/>
        </w:rPr>
        <w:t>积极发挥法学会研究平台作用，围绕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</w:rPr>
        <w:t>省委、州委提出的重大法治战略、重大立法事项、重大改革举措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  <w:lang w:bidi="ar-SA"/>
        </w:rPr>
        <w:t>全州公开征集中国法学会2025年度部级法学研究课题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  <w:lang w:eastAsia="zh-CN" w:bidi="ar-SA"/>
        </w:rPr>
        <w:t>、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  <w:lang w:val="en-US" w:eastAsia="zh-CN" w:bidi="ar-SA"/>
        </w:rPr>
        <w:t>2025年度“法治四川”专项课题、法治实践创新专项课题及“人大理论与实践研究”专项课题选题建议60余条，报送20余条。</w:t>
      </w:r>
      <w:r>
        <w:rPr>
          <w:rFonts w:hint="default" w:ascii="Times New Roman" w:hAnsi="Times New Roman" w:eastAsia="方正仿宋_GBK" w:cs="Times New Roman"/>
          <w:b/>
          <w:bCs/>
          <w:snapToGrid w:val="0"/>
          <w:color w:val="auto"/>
          <w:sz w:val="32"/>
          <w:szCs w:val="32"/>
        </w:rPr>
        <w:t>二是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  <w:lang w:bidi="ar-SA"/>
        </w:rPr>
        <w:t>聚焦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  <w:lang w:val="en-US" w:eastAsia="zh-CN" w:bidi="ar-SA"/>
        </w:rPr>
        <w:t>法学研究，组织开展第五届“苏区法制研究论坛”、第二十届西部法治论坛、第十一届“治蜀兴川”法治论坛论文征集，截至目前，</w:t>
      </w:r>
      <w:r>
        <w:rPr>
          <w:rFonts w:hint="default" w:ascii="Times New Roman" w:hAnsi="Times New Roman" w:eastAsia="方正仿宋_GBK" w:cs="Times New Roman"/>
          <w:snapToGrid w:val="0"/>
          <w:color w:val="auto"/>
          <w:kern w:val="2"/>
          <w:sz w:val="32"/>
          <w:szCs w:val="32"/>
          <w:lang w:val="en-US" w:eastAsia="zh-CN" w:bidi="ar-SA"/>
        </w:rPr>
        <w:t>共征集论文50余篇，进一步提升了阿坝州法学研究的成果和水平。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9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spacing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（三）优化法律服务，助力社会治理。一是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全州各级法学会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充分认识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到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法学会基层服务站点和法学专家咨询工作的重要意义，着力在建好服务站点、用足专家资源、提升服务质效上下功夫，以正在开展的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县、乡两级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社会治安综合治理中心规范化建设为契机，加快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eastAsia="zh-CN"/>
        </w:rPr>
        <w:t>推进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法学会基层服务站点入驻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val="en-US" w:eastAsia="zh-CN"/>
        </w:rPr>
        <w:t>同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</w:rPr>
        <w:t>级综治中心的进度，进一步实现法治服务与基层治理同频共振</w:t>
      </w:r>
      <w:r>
        <w:rPr>
          <w:rFonts w:hint="default" w:ascii="Times New Roman" w:hAnsi="Times New Roman" w:eastAsia="方正仿宋_GBK" w:cs="Times New Roman"/>
          <w:b w:val="0"/>
          <w:bCs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全州13个县级法学会基层服务站点均以轮驻方式入驻县级综治中心，174个乡镇法学会基层服务站点入驻乡级综治中心，村级站点则依托村委会设立。全州共开展矛盾纠纷排查化解360余件，各类法治宣讲活动170余场次，发放宣传资料27000余份，受众3.3万余人，接受法律咨询800余人。</w:t>
      </w:r>
      <w:r>
        <w:rPr>
          <w:rFonts w:hint="default" w:ascii="Times New Roman" w:hAnsi="Times New Roman" w:eastAsia="方正仿宋_GBK" w:cs="Times New Roman"/>
          <w:b/>
          <w:bCs/>
          <w:snapToGrid w:val="0"/>
          <w:color w:val="auto"/>
          <w:sz w:val="32"/>
          <w:szCs w:val="32"/>
          <w:lang w:bidi="ar-SA"/>
        </w:rPr>
        <w:t>二是</w:t>
      </w:r>
      <w:r>
        <w:rPr>
          <w:rFonts w:hint="default" w:ascii="Times New Roman" w:hAnsi="Times New Roman" w:eastAsia="方正仿宋_GBK" w:cs="Times New Roman"/>
          <w:snapToGrid w:val="0"/>
          <w:color w:val="auto"/>
          <w:sz w:val="32"/>
          <w:szCs w:val="32"/>
          <w:lang w:bidi="ar-SA"/>
        </w:rPr>
        <w:t>把</w:t>
      </w:r>
      <w:r>
        <w:rPr>
          <w:rFonts w:hint="default" w:ascii="Times New Roman" w:hAnsi="Times New Roman" w:eastAsia="方正仿宋_GBK" w:cs="Times New Roman"/>
          <w:b w:val="0"/>
          <w:snapToGrid w:val="0"/>
          <w:color w:val="auto"/>
          <w:sz w:val="32"/>
          <w:szCs w:val="32"/>
          <w:lang w:bidi="ar-SA"/>
        </w:rPr>
        <w:t>首席法律咨询专家制度建设作为赓续精神血脉、保障州之大事、凝聚人心民意的重要举措。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围绕党委、政府重大公共决策、重大法律风险防控、重大矛盾纠纷调处、重大信访积案化解建言献策，开展法律咨询和法律服务，搭建起联系服务基层群众的法治桥梁，切实提升了依法决策、依法行政水平。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sz w:val="32"/>
          <w:szCs w:val="32"/>
          <w:lang w:bidi="ar-SA"/>
        </w:rPr>
        <w:t>全州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sz w:val="32"/>
          <w:szCs w:val="32"/>
          <w:lang w:val="en-US" w:eastAsia="zh-CN" w:bidi="ar-SA"/>
        </w:rPr>
        <w:t>共开展法律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sz w:val="32"/>
          <w:szCs w:val="32"/>
          <w:lang w:bidi="ar-SA"/>
        </w:rPr>
        <w:t>咨询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sz w:val="32"/>
          <w:szCs w:val="32"/>
          <w:lang w:val="en-US" w:eastAsia="zh-CN" w:bidi="ar-SA"/>
        </w:rPr>
        <w:t>2100余人次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sz w:val="32"/>
          <w:szCs w:val="32"/>
          <w:lang w:bidi="ar-SA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参与矛盾纠纷化解860余次，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参与重大决策咨询60余件、重大社会稳定风险评估30余件，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参与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sz w:val="32"/>
          <w:szCs w:val="32"/>
          <w:lang w:val="en-US" w:eastAsia="zh-CN" w:bidi="ar-SA"/>
        </w:rPr>
        <w:t>化解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sz w:val="32"/>
          <w:szCs w:val="32"/>
          <w:lang w:bidi="ar-SA"/>
        </w:rPr>
        <w:t>信访积案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sz w:val="32"/>
          <w:szCs w:val="32"/>
          <w:lang w:val="en-US" w:eastAsia="zh-CN" w:bidi="ar-SA"/>
        </w:rPr>
        <w:t>20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sz w:val="32"/>
          <w:szCs w:val="32"/>
          <w:lang w:bidi="ar-SA"/>
        </w:rPr>
        <w:t>件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sz w:val="32"/>
          <w:szCs w:val="32"/>
          <w:lang w:eastAsia="zh-CN" w:bidi="ar-SA"/>
        </w:rPr>
        <w:t>，</w:t>
      </w:r>
      <w:r>
        <w:rPr>
          <w:rFonts w:hint="default" w:ascii="Times New Roman" w:hAnsi="Times New Roman" w:eastAsia="方正仿宋_GBK" w:cs="Times New Roman"/>
          <w:snapToGrid w:val="0"/>
          <w:color w:val="auto"/>
          <w:spacing w:val="0"/>
          <w:sz w:val="32"/>
          <w:szCs w:val="32"/>
          <w:lang w:val="en-US" w:eastAsia="zh-CN" w:bidi="ar-SA"/>
        </w:rPr>
        <w:t>化解诉讼、执行积案10件。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9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（四）创新法治宣传，推动全民守法。全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州法学会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聚焦全州农牧民群众、中小学生、城镇居民等，依托“微网实格”基层治理体系，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积极探索普法工作新路径，以群众喜闻乐见的方式开展法治宣传教育，深入普及法律政策知识，切实推动法治成为社会共识和行为准则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。一是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创新“非遗+普法”形式，打造民俗普法品牌。“康城普法之歌”将《民法典》融入民歌传唱；“嘉绒唐卡释法”创作法治唐卡巡回展出；“尕兰藏戏说法”改编藏戏融入基层纠纷内容，在民俗活动上演出；“茶山姆法治文化馆”实现法治与文化融合；三句半、小品等法治文艺作品在乡村巡演中深受群众欢迎，让法律知识在潜移默化中融入群众日常生活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二是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以“网格+法治”模式深化基层治理效能。依托“微网实格”基层治理，积极推动县乡两级187个法学会基层服务站点入驻各级综治中心，组织青年志愿者、法学专家、律师等专业力量下沉网格，将法律咨询、矛盾调解、法律指引等服务下沉至网格单元。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三是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拓展“互联网+普法”传播矩阵，构建全媒体普法格局。各地法学会结合区域特色和受众特点，充分利用微信公众号、抖音、快手等新媒体平台，精心策划制作了一批兼具法律专业性与内容趣味性的普法作品。联合本土网红制作推出</w:t>
      </w:r>
      <w:r>
        <w:rPr>
          <w:rFonts w:hint="default" w:ascii="Times New Roman" w:hAnsi="Times New Roman" w:eastAsia="方正仿宋_GBK" w:cs="Times New Roman"/>
          <w:b w:val="0"/>
          <w:bCs w:val="0"/>
          <w:kern w:val="2"/>
          <w:sz w:val="32"/>
          <w:szCs w:val="32"/>
          <w:lang w:val="en-US" w:eastAsia="zh-CN" w:bidi="ar-SA"/>
        </w:rPr>
        <w:t>“法治护航网络路·齐心共育石榴花”系列短视频；拍摄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《草原上的调解》等基层纠纷主题微电影；制作《防范校园欺凌》《网络安全》《劳动者的呐喊》《守好你的“码”》等动漫微视频；编排三句半《法润九寨谱新篇》文艺作品等，通过短视频、动漫、图文解读等多种形式在新媒体平台广泛传播，有效打破了地域和时间的限制，让法治声音传遍阿坝的每个角落，实现了普法宣传从“一时一地”到“随时随地”的延伸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截至目前，组织会员和法学法律工作者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深入乡镇、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val="en-US" w:eastAsia="zh-CN"/>
        </w:rPr>
        <w:t>景区</w:t>
      </w:r>
      <w:r>
        <w:rPr>
          <w:rFonts w:hint="default" w:ascii="Times New Roman" w:hAnsi="Times New Roman" w:eastAsia="仿宋" w:cs="Times New Roman"/>
          <w:color w:val="000000"/>
          <w:sz w:val="32"/>
          <w:szCs w:val="32"/>
          <w:lang w:eastAsia="zh-CN"/>
        </w:rPr>
        <w:t>、学校、企业等开展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各类法治宣讲活动1600余场次，发放宣传资料420000余份，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受益群众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55.2万余人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。通过融媒体平台、公众号、微信群等推送法治短视频、漫画、图文等1800余条，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累计播放量达40万+，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实现线上线下宣传全覆盖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，营造了浓厚的全民尊法学法守法用法氛围。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同时，阿坝州法学会、马尔康市、小金县和若尔盖县同步中国法学会开展“2025年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青年普法志愿者法治文化基层行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”活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动启动仪式。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bottom w:val="single" w:color="FFFFFF" w:sz="4" w:space="29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（五）夯实基层组织，凝聚法学力量。全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州法学会严格遵循《中国法学会章程》等规定，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坚持重心下移、力量下沉，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强化法学会组织建设，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注重吸收基层法律实务工作者、青年法学人才、新兴领域专家、基层调解员、网格员等人员，优化会员队伍结构。截至目前，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全州会员1723人，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新增会员153人，退会9人。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自评得分：1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 w:eastAsia="zh-CN"/>
        </w:rPr>
        <w:t>2.预算管理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zh-CN" w:eastAsia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zh-CN" w:eastAsia="zh-CN"/>
        </w:rPr>
        <w:t>（25分）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（1）预算编制质量（8分）。严格按要求编制年初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预算，财政拨款预算偏离度为</w:t>
      </w:r>
      <w:r>
        <w:rPr>
          <w:rFonts w:hint="eastAsia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%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（人员经费增加，新增事业人员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14名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，资产配置预算偏离度为0（使用州委政法委资产，本单位属州委政法委代管，本单位无资产），政府采购预算偏离度为0（本年无资产采购）。自评得分：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7.5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（2）单位收入统筹（4分）。无自有收入、无财政核定的综合补助比例。自评得分：4分。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（3）支出执行进度（6分）。1至6月、1至10月预算执行支付进度分别为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19.8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%、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43.1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%,无支出预警金额，无支出违规金额。自评得分：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.5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（4）预算年终结余（2分）。预算注销金额和结转金额为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  <w:t>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元，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预算总金额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150.2万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元，整体预算结余率为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%。自评得分：2分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（5）严控一般性支出（5分）。严控“三公”经费、会议、培训、差旅、办节办展、办公设备购置、信息网络及软件购置更新、课题经费等。自评得分：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.5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3.财务管理（10分）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1）财务管理制度（4分）。根据本单位工作实际，在建立并实施内部监督和控制中，制定了内部财务管理制度。建立和完善各项制度的同时，相关人员在工作过程中严格遵守这些规章制度，有效地实施了内部监督和控制。自评得分：4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2）财务岗位设置（2分）。明确了记账人员和审批人员、经办人员的职责权限，使其相互分离、相互制约，以明确责任，防止舞弊，各项业务事项得以有序进行；明确了财务收支审批程序和审批人员的权限，规范了各项资金的使用，提高了资金使用效益。自评得分：2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（3）资金使用规范（4分）。明确了经费支出的范围和开支标准，采取各种有效措施控制经费开支，杜绝了浪费现象的发生。自评得分：4分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4.资产管理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（1）人均资产变化率（3分）。州法学会无资产，使用州委政法委的资产。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截至202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年12月31日，资产总额（账面净值，下同）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179.29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万元，较上年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减少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51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%。负债总额2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05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万元，较上年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增加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1.56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%。净资产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179.29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万元,较上年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增加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51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%。截至202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年12月31日，编制人数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59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人，较上年度增加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人，年末实有人数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人（其中事业人员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20）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，较上年度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eastAsia="zh-CN"/>
        </w:rPr>
        <w:t>增加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人。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（2）资产利用率（3分）。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办公家具超最低使用年限资产利用率为0；办公设备超最低使用年限资产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412.65万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元，办公设备的账面价值为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577.5万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元，办公设备超最低使用年限资产利用率为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52.70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</w:rPr>
        <w:t>%。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</w:rPr>
        <w:t>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（3）资产利用率（3分）。州委政法委202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年和202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年均无闲置资产。自评得分：3分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5.采购管理</w:t>
      </w:r>
    </w:p>
    <w:p>
      <w:pPr>
        <w:keepNext w:val="0"/>
        <w:keepLines w:val="0"/>
        <w:pageBreakBefore w:val="0"/>
        <w:pBdr>
          <w:bottom w:val="single" w:color="FFFFFF" w:sz="4" w:space="31"/>
        </w:pBdr>
        <w:tabs>
          <w:tab w:val="left" w:pos="1440"/>
        </w:tabs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（1）支持中小企业发展（3分）。采购中严格执行政府采购促进中小企业发展相关管理办法，202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年采购金额共计0元，其中涉及中小企业的</w:t>
      </w:r>
      <w:bookmarkStart w:id="62" w:name="_GoBack"/>
      <w:bookmarkEnd w:id="62"/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采购金额为0元。自评得分：3分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（2）采购执行率（3分）。202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年采购金额共计0元，当年政府采购总预算数0元，当年已完成采购项目节约金额为0元。自评得分：3分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(二)项目绩效</w:t>
      </w:r>
      <w:r>
        <w:rPr>
          <w:rFonts w:hint="eastAsia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。</w:t>
      </w: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（35分）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1.项目决策（12分）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（1）决策程序（4分）。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预算项目设立按规定履行评估论证、申报程序，无未履行事前评估程序的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预算项目。202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年无特定目标类预算项目。自评得分：4分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2）目标设置（4分）。预算项目绩效目标与计划期内的任务量、预算安排的资金量匹配较好，绩效目标设置科学合理、规范完整、量化细化、预算匹配。特定目标类项目目标设置都是经业务科室和财务部门共同合作完成，并经过相关专家指导，目标设置符合规定。自评得分：4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（3）项目入库（4分）。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预算项目能在规定时间完成项目入库。202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年无特定目标类预算项目。自评得分：4分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2.项目执行（12分）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（1）执行同向（4分）。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预算项目实际列支内容是与绩效目标设置方向相符，无实际列支内容与绩效目标设置方向不相符的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预算阶段项目。自评得分：4分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（2）项目调整（4分）。202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预算项目中无应采取未采取收回预算、调整目标等处置措施的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预算项目。自评得分：4分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（3）执行结果（4分）。202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年无特定目标类预算项目。自评得分：4分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3.目标实现（11分）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（1）目标完成（4分）。202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年无特定目标类预算项目。自评得分：4分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（2）目标偏离（4分）。202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年无特定目标类预算项目。自评得分：4分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（3）实现效果（3分）。202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年无特定目标类预算项目。自评得分：3分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（三）绩效结果应用</w:t>
      </w:r>
      <w:r>
        <w:rPr>
          <w:rFonts w:hint="eastAsia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1.内部应用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将内设机构绩效目标管理纳入内部考核体系；建立对内设机构预算绩效挂钩。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2.信息公开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 xml:space="preserve"> （1）预算公开。经保密审查，按要求在财政部门批复后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日内向社会公开本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预算（含所有财政资金安排的“三公”经费、机关运行经费的安排、使用情况等）在州政府门户网站上进行了公开。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（2）决算公开。经保密审查，按要求在财政部门批复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日内向社会公开本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决算（含所有财政资金安排的“三公”经费、机关运行经费的安排、使用情况等）在州政府门户网站上进行了公开。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3.整改反馈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阿坝州财政局《关于开展202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、202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年预决算公开情况专项检查情况的通报》，对公开不及时、公开内容不完整、细化程度不够、其它方面存在的问题进行了通报，均无我单位。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我单位无债务资金、无非税收入；编制政府采购实施计划与政府采购预算的一致；按规定完成资产清查任务，并及时上报行政事业单位资产报表；设立了完整的内控制度，未发生廉政或重大责任事故，并按要求上报了内控报表、分析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我单位202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年度整体支出绩效评价自评合格，并按规定将自评情况及时报送财政部门备案，对于自评过程中发现的不足及问题，我单位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积极整改，力求下一年度通过完善相关政策制度，建立更加切合实际的绩效评价体系。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黑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四、评价结论及建议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（一）评价结论。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通过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整体支出绩效评价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自评满分为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  <w:t>100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分，通过自评得分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/>
        </w:rPr>
        <w:t>9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8.5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分。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（二）存在问题。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一是预算编制准确度有待提高，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由于维稳工作的不确定性，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存在中期追加、期末追减情况；二是固定资产卡片有未及时更新情况，管理有待完善。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atLeast"/>
        <w:ind w:firstLine="640" w:firstLineChars="200"/>
        <w:jc w:val="both"/>
        <w:textAlignment w:val="auto"/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</w:pPr>
      <w:r>
        <w:rPr>
          <w:rFonts w:hint="default" w:ascii="Times New Roman" w:hAnsi="Times New Roman" w:eastAsia="方正公文楷体" w:cs="Times New Roman"/>
          <w:b w:val="0"/>
          <w:bCs w:val="0"/>
          <w:color w:val="000000"/>
          <w:kern w:val="0"/>
          <w:sz w:val="32"/>
          <w:szCs w:val="32"/>
          <w:shd w:val="clear" w:color="auto" w:fill="FFFFFF"/>
          <w:lang w:val="zh-CN"/>
        </w:rPr>
        <w:t>（三）改进建议。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一是加强每月预算执行监控，及时督促相关科室推进项目执行。二是通过近年预决算数据对比，科学编制预算，未雨绸缪尽量做好年度规划，降低经费追加减比例。三是进一步健全完善内部控制制度，加强资产管理，及时更新固定资产卡片，提高单位成本费用准确度，提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整体支出绩效评价。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 xml:space="preserve">                      </w:t>
      </w:r>
    </w:p>
    <w:bookmarkEnd w:id="47"/>
    <w:p>
      <w:pPr>
        <w:spacing w:line="600" w:lineRule="exact"/>
        <w:jc w:val="center"/>
        <w:outlineLvl w:val="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bookmarkStart w:id="48" w:name="_Toc15396618"/>
    </w:p>
    <w:bookmarkEnd w:id="48"/>
    <w:p>
      <w:pPr>
        <w:widowControl/>
        <w:jc w:val="center"/>
        <w:rPr>
          <w:rFonts w:hint="eastAsia" w:ascii="Times New Roman" w:hAnsi="Times New Roman" w:eastAsia="仿宋"/>
          <w:b w:val="0"/>
          <w:color w:val="auto"/>
          <w:highlight w:val="none"/>
        </w:rPr>
      </w:pPr>
      <w:r>
        <w:rPr>
          <w:rFonts w:hint="eastAsia" w:ascii="Times New Roman" w:hAnsi="Times New Roman" w:eastAsia="黑体"/>
          <w:color w:val="auto"/>
          <w:sz w:val="44"/>
          <w:szCs w:val="44"/>
          <w:highlight w:val="none"/>
        </w:rPr>
        <w:t>第</w:t>
      </w:r>
      <w:r>
        <w:rPr>
          <w:rStyle w:val="28"/>
          <w:rFonts w:hint="eastAsia" w:ascii="Times New Roman" w:hAnsi="Times New Roman" w:eastAsia="黑体"/>
          <w:b w:val="0"/>
          <w:color w:val="auto"/>
          <w:highlight w:val="none"/>
        </w:rPr>
        <w:t>五部分 附表</w:t>
      </w:r>
      <w:bookmarkStart w:id="49" w:name="_Toc15396619"/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一、收入支出决算总表</w:t>
      </w:r>
      <w:bookmarkEnd w:id="49"/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50" w:name="_Toc15396620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二、收入决算表</w:t>
      </w:r>
      <w:bookmarkEnd w:id="50"/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51" w:name="_Toc15396621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三、支出决算表</w:t>
      </w:r>
      <w:bookmarkEnd w:id="51"/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52" w:name="_Toc15396622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四、财政拨款收入支出决算总表</w:t>
      </w:r>
      <w:bookmarkEnd w:id="52"/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53" w:name="_Toc15396623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五、财政拨款支出决算明细表</w:t>
      </w:r>
      <w:bookmarkEnd w:id="53"/>
      <w:bookmarkStart w:id="54" w:name="_Toc15396624"/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六、一般公共预算财政拨款支出决算表</w:t>
      </w:r>
      <w:bookmarkEnd w:id="54"/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55" w:name="_Toc15396625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七、一般公共预算财政拨款支出决算明细表</w:t>
      </w:r>
      <w:bookmarkEnd w:id="55"/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56" w:name="_Toc15396626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八、一般公共预算财政拨款基本支出决算表</w:t>
      </w:r>
      <w:bookmarkEnd w:id="56"/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57" w:name="_Toc15396627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九、一般公共预算财政拨款项目支出决算表</w:t>
      </w:r>
      <w:bookmarkEnd w:id="57"/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58" w:name="_Toc15396628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十、</w:t>
      </w:r>
      <w:bookmarkEnd w:id="58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政府性基金预算财政拨款收入支出决算表</w:t>
      </w:r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59" w:name="_Toc15396629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十一、</w:t>
      </w:r>
      <w:bookmarkEnd w:id="59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国有资本经营预算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财政拨款收入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支出决算表</w:t>
      </w:r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</w:pPr>
      <w:bookmarkStart w:id="60" w:name="_Toc15396630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十二、</w:t>
      </w:r>
      <w:bookmarkEnd w:id="60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国有资本经营预算财政拨款支出决算表</w:t>
      </w:r>
    </w:p>
    <w:p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</w:pPr>
      <w:bookmarkStart w:id="61" w:name="_Toc15396631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</w:rPr>
        <w:t>十三、</w:t>
      </w:r>
      <w:bookmarkEnd w:id="61"/>
      <w:r>
        <w:rPr>
          <w:rFonts w:hint="eastAsia" w:ascii="Times New Roman" w:hAnsi="Times New Roman" w:eastAsia="仿宋_GB2312" w:cs="仿宋_GB2312"/>
          <w:color w:val="auto"/>
          <w:sz w:val="32"/>
          <w:szCs w:val="32"/>
          <w:highlight w:val="none"/>
          <w:lang w:eastAsia="zh-CN"/>
        </w:rPr>
        <w:t>财政拨款“三公”经费支出决算表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start="1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mbria">
    <w:altName w:val="DejaVu Sans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方正公文小标宋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ucida Sans">
    <w:altName w:val="仿宋"/>
    <w:panose1 w:val="00000000000000000000"/>
    <w:charset w:val="01"/>
    <w:family w:val="auto"/>
    <w:pitch w:val="default"/>
    <w:sig w:usb0="00000000" w:usb1="00000000" w:usb2="00000000" w:usb3="00000000" w:csb0="0000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公文黑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楷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23</w:t>
    </w:r>
    <w:r>
      <w:fldChar w:fldCharType="end"/>
    </w:r>
  </w:p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FD3896"/>
    <w:rsid w:val="165F539F"/>
    <w:rsid w:val="1B4D9CED"/>
    <w:rsid w:val="1CF55A83"/>
    <w:rsid w:val="211793E2"/>
    <w:rsid w:val="24B74F5C"/>
    <w:rsid w:val="27BE23CD"/>
    <w:rsid w:val="2B0F2B4B"/>
    <w:rsid w:val="2FBB83FF"/>
    <w:rsid w:val="2FFB78F1"/>
    <w:rsid w:val="37FB4BED"/>
    <w:rsid w:val="3B4D74C6"/>
    <w:rsid w:val="3C2D0331"/>
    <w:rsid w:val="3DAFA806"/>
    <w:rsid w:val="3DE57734"/>
    <w:rsid w:val="3EDD9DF4"/>
    <w:rsid w:val="3F5FDC92"/>
    <w:rsid w:val="3F7908D7"/>
    <w:rsid w:val="3FA4900C"/>
    <w:rsid w:val="3FDA79EE"/>
    <w:rsid w:val="3FFBE249"/>
    <w:rsid w:val="437D54BA"/>
    <w:rsid w:val="457D2734"/>
    <w:rsid w:val="45FFB132"/>
    <w:rsid w:val="4A5F02C8"/>
    <w:rsid w:val="4DFA719C"/>
    <w:rsid w:val="4F7F4B5B"/>
    <w:rsid w:val="4FDFD029"/>
    <w:rsid w:val="527F78A8"/>
    <w:rsid w:val="53CD00C7"/>
    <w:rsid w:val="5BAD4821"/>
    <w:rsid w:val="5BAEABDC"/>
    <w:rsid w:val="5BDF4050"/>
    <w:rsid w:val="5BFF8F48"/>
    <w:rsid w:val="5CEDE495"/>
    <w:rsid w:val="5D3B103D"/>
    <w:rsid w:val="5D3DC0BB"/>
    <w:rsid w:val="5D735715"/>
    <w:rsid w:val="5DDBFC62"/>
    <w:rsid w:val="5E136363"/>
    <w:rsid w:val="5E288724"/>
    <w:rsid w:val="5EEF2601"/>
    <w:rsid w:val="5F1B8A7F"/>
    <w:rsid w:val="5F6EA6A2"/>
    <w:rsid w:val="5F9D7B79"/>
    <w:rsid w:val="5FF72927"/>
    <w:rsid w:val="5FFB5B5F"/>
    <w:rsid w:val="5FFFD718"/>
    <w:rsid w:val="61F9BE81"/>
    <w:rsid w:val="639F3B60"/>
    <w:rsid w:val="66FA16CC"/>
    <w:rsid w:val="67FAECA9"/>
    <w:rsid w:val="67FF0A66"/>
    <w:rsid w:val="6A29AB6B"/>
    <w:rsid w:val="6AEB269E"/>
    <w:rsid w:val="6B3D90E7"/>
    <w:rsid w:val="6B7F7E9C"/>
    <w:rsid w:val="6DBD86A0"/>
    <w:rsid w:val="6DE67944"/>
    <w:rsid w:val="6DF5B758"/>
    <w:rsid w:val="6F6E3B5F"/>
    <w:rsid w:val="6FCB1A33"/>
    <w:rsid w:val="6FDBEB90"/>
    <w:rsid w:val="733D9602"/>
    <w:rsid w:val="73D69AAF"/>
    <w:rsid w:val="73DF7479"/>
    <w:rsid w:val="73EFF3D9"/>
    <w:rsid w:val="74BFFEC5"/>
    <w:rsid w:val="75FFAF8B"/>
    <w:rsid w:val="77342843"/>
    <w:rsid w:val="77AEBE5F"/>
    <w:rsid w:val="77CE373B"/>
    <w:rsid w:val="77D60B72"/>
    <w:rsid w:val="77DBBB50"/>
    <w:rsid w:val="79525843"/>
    <w:rsid w:val="797D0225"/>
    <w:rsid w:val="7B7DDBE6"/>
    <w:rsid w:val="7CF7100E"/>
    <w:rsid w:val="7CF869CA"/>
    <w:rsid w:val="7D69D0AE"/>
    <w:rsid w:val="7DFB4FAD"/>
    <w:rsid w:val="7DFB6ED5"/>
    <w:rsid w:val="7DFF570B"/>
    <w:rsid w:val="7E6F63B2"/>
    <w:rsid w:val="7E7F11D6"/>
    <w:rsid w:val="7EBB24E3"/>
    <w:rsid w:val="7EBB402D"/>
    <w:rsid w:val="7EE20300"/>
    <w:rsid w:val="7EED9202"/>
    <w:rsid w:val="7EFF7F93"/>
    <w:rsid w:val="7F1FA0D7"/>
    <w:rsid w:val="7F7A91E0"/>
    <w:rsid w:val="7F7F43A1"/>
    <w:rsid w:val="7FBF894F"/>
    <w:rsid w:val="7FCBD980"/>
    <w:rsid w:val="7FE9C0A6"/>
    <w:rsid w:val="7FF5AD36"/>
    <w:rsid w:val="7FF99F6A"/>
    <w:rsid w:val="7FFDBCAD"/>
    <w:rsid w:val="7FFF3129"/>
    <w:rsid w:val="7FFF8641"/>
    <w:rsid w:val="7FFFC46F"/>
    <w:rsid w:val="8BF17328"/>
    <w:rsid w:val="95E7B3F6"/>
    <w:rsid w:val="9EFFA6BB"/>
    <w:rsid w:val="9FE9E240"/>
    <w:rsid w:val="9FFF7B54"/>
    <w:rsid w:val="A7DD98E6"/>
    <w:rsid w:val="ABF926EE"/>
    <w:rsid w:val="B57DEE77"/>
    <w:rsid w:val="B777DD1E"/>
    <w:rsid w:val="BBBD62D5"/>
    <w:rsid w:val="BBDFC127"/>
    <w:rsid w:val="BBFF6CEF"/>
    <w:rsid w:val="BC7FE745"/>
    <w:rsid w:val="BE7F7B3F"/>
    <w:rsid w:val="BEFF68C5"/>
    <w:rsid w:val="BF396DA7"/>
    <w:rsid w:val="BFA4AA84"/>
    <w:rsid w:val="BFDF4F16"/>
    <w:rsid w:val="BFEFE163"/>
    <w:rsid w:val="C37E17E7"/>
    <w:rsid w:val="C7AF3958"/>
    <w:rsid w:val="C8FBF9B2"/>
    <w:rsid w:val="CBBF72DE"/>
    <w:rsid w:val="CF2D8DD9"/>
    <w:rsid w:val="D5F7365B"/>
    <w:rsid w:val="D67A47EE"/>
    <w:rsid w:val="D77590CF"/>
    <w:rsid w:val="D973C69E"/>
    <w:rsid w:val="DB93406E"/>
    <w:rsid w:val="DBBF7273"/>
    <w:rsid w:val="DBFB585D"/>
    <w:rsid w:val="DDF708F5"/>
    <w:rsid w:val="DE77851A"/>
    <w:rsid w:val="DEBAFF52"/>
    <w:rsid w:val="DED54566"/>
    <w:rsid w:val="DF5EE5EF"/>
    <w:rsid w:val="DF77AEC2"/>
    <w:rsid w:val="DFB9465A"/>
    <w:rsid w:val="DFFF210D"/>
    <w:rsid w:val="E377EF94"/>
    <w:rsid w:val="E3FE6A60"/>
    <w:rsid w:val="E4FEA400"/>
    <w:rsid w:val="E5FF9CE7"/>
    <w:rsid w:val="E67920C2"/>
    <w:rsid w:val="E6FFAE1B"/>
    <w:rsid w:val="E73FD91D"/>
    <w:rsid w:val="EDEF2621"/>
    <w:rsid w:val="EE5D4C46"/>
    <w:rsid w:val="EF13CB21"/>
    <w:rsid w:val="EF7F0D39"/>
    <w:rsid w:val="EFBBB16B"/>
    <w:rsid w:val="EFDE9EE6"/>
    <w:rsid w:val="EFFC3B64"/>
    <w:rsid w:val="F1FDF8B4"/>
    <w:rsid w:val="F2320079"/>
    <w:rsid w:val="F3DC2D92"/>
    <w:rsid w:val="F43FD444"/>
    <w:rsid w:val="F6DFF2CC"/>
    <w:rsid w:val="F6FD1BF9"/>
    <w:rsid w:val="F7D30366"/>
    <w:rsid w:val="F7F5B597"/>
    <w:rsid w:val="F7F7582F"/>
    <w:rsid w:val="F7FF4B31"/>
    <w:rsid w:val="FAF7186B"/>
    <w:rsid w:val="FAFFB0B7"/>
    <w:rsid w:val="FB5D2DAC"/>
    <w:rsid w:val="FB5F99E2"/>
    <w:rsid w:val="FB7F8FF0"/>
    <w:rsid w:val="FBAAAB4A"/>
    <w:rsid w:val="FBDF54E1"/>
    <w:rsid w:val="FBF3FD20"/>
    <w:rsid w:val="FBF451AD"/>
    <w:rsid w:val="FBFDEBA7"/>
    <w:rsid w:val="FCCABC9D"/>
    <w:rsid w:val="FCDF43E6"/>
    <w:rsid w:val="FDFBBDC6"/>
    <w:rsid w:val="FDFE6329"/>
    <w:rsid w:val="FE9D0AB5"/>
    <w:rsid w:val="FE9F85A3"/>
    <w:rsid w:val="FEEDADD1"/>
    <w:rsid w:val="FEFB097A"/>
    <w:rsid w:val="FF2F4F89"/>
    <w:rsid w:val="FF53FFF4"/>
    <w:rsid w:val="FF5FE868"/>
    <w:rsid w:val="FF7F585D"/>
    <w:rsid w:val="FF8FC6B7"/>
    <w:rsid w:val="FFB6948A"/>
    <w:rsid w:val="FFBE77C4"/>
    <w:rsid w:val="FFDBB507"/>
    <w:rsid w:val="FFDFE305"/>
    <w:rsid w:val="FFEC1E1D"/>
    <w:rsid w:val="FFED408D"/>
    <w:rsid w:val="FFFE9BAE"/>
    <w:rsid w:val="FFFF3A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link w:val="22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8">
    <w:name w:val="Default Paragraph Font"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before="30" w:beforeLines="30"/>
    </w:pPr>
    <w:rPr>
      <w:rFonts w:ascii="仿宋_GB2312" w:eastAsia="仿宋_GB2312"/>
      <w:kern w:val="0"/>
      <w:sz w:val="24"/>
      <w:szCs w:val="20"/>
    </w:rPr>
  </w:style>
  <w:style w:type="paragraph" w:styleId="6">
    <w:name w:val="Body Text Indent"/>
    <w:basedOn w:val="1"/>
    <w:next w:val="7"/>
    <w:qFormat/>
    <w:uiPriority w:val="99"/>
    <w:pPr>
      <w:widowControl/>
      <w:spacing w:line="540" w:lineRule="exact"/>
      <w:ind w:firstLine="200" w:firstLineChars="200"/>
      <w:textAlignment w:val="baseline"/>
    </w:pPr>
    <w:rPr>
      <w:rFonts w:eastAsia="仿宋_GB2312"/>
      <w:color w:val="000000"/>
      <w:kern w:val="0"/>
      <w:sz w:val="32"/>
      <w:szCs w:val="32"/>
    </w:rPr>
  </w:style>
  <w:style w:type="paragraph" w:styleId="7">
    <w:name w:val="Body Text First Indent 2"/>
    <w:basedOn w:val="6"/>
    <w:qFormat/>
    <w:uiPriority w:val="99"/>
    <w:rPr>
      <w:rFonts w:eastAsia="宋体"/>
    </w:rPr>
  </w:style>
  <w:style w:type="paragraph" w:styleId="8">
    <w:name w:val="toc 3"/>
    <w:basedOn w:val="1"/>
    <w:next w:val="1"/>
    <w:qFormat/>
    <w:uiPriority w:val="0"/>
    <w:pPr>
      <w:tabs>
        <w:tab w:val="right" w:leader="dot" w:pos="8296"/>
      </w:tabs>
      <w:ind w:left="400" w:leftChars="400"/>
    </w:pPr>
  </w:style>
  <w:style w:type="paragraph" w:styleId="9">
    <w:name w:val="Balloon Text"/>
    <w:basedOn w:val="1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20"/>
    </w:rPr>
  </w:style>
  <w:style w:type="paragraph" w:styleId="12">
    <w:name w:val="toc 1"/>
    <w:basedOn w:val="1"/>
    <w:next w:val="1"/>
    <w:qFormat/>
    <w:uiPriority w:val="0"/>
    <w:pPr>
      <w:tabs>
        <w:tab w:val="right" w:leader="dot" w:pos="8296"/>
      </w:tabs>
      <w:spacing w:before="93"/>
      <w:jc w:val="center"/>
    </w:pPr>
    <w:rPr>
      <w:rFonts w:ascii="仿宋" w:eastAsia="仿宋"/>
      <w:sz w:val="28"/>
      <w:szCs w:val="28"/>
    </w:rPr>
  </w:style>
  <w:style w:type="paragraph" w:styleId="1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libri Light" w:hAnsi="Calibri Light"/>
      <w:b/>
      <w:bCs/>
      <w:kern w:val="28"/>
      <w:sz w:val="32"/>
      <w:szCs w:val="32"/>
    </w:rPr>
  </w:style>
  <w:style w:type="paragraph" w:styleId="14">
    <w:name w:val="footnote text"/>
    <w:basedOn w:val="1"/>
    <w:next w:val="7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15">
    <w:name w:val="toc 2"/>
    <w:basedOn w:val="1"/>
    <w:next w:val="1"/>
    <w:qFormat/>
    <w:uiPriority w:val="0"/>
    <w:pPr>
      <w:tabs>
        <w:tab w:val="right" w:leader="dot" w:pos="8296"/>
      </w:tabs>
      <w:ind w:left="200" w:leftChars="200"/>
    </w:pPr>
  </w:style>
  <w:style w:type="paragraph" w:styleId="1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19">
    <w:name w:val="Strong"/>
    <w:basedOn w:val="18"/>
    <w:qFormat/>
    <w:uiPriority w:val="0"/>
    <w:rPr>
      <w:b/>
      <w:bCs/>
    </w:rPr>
  </w:style>
  <w:style w:type="character" w:styleId="20">
    <w:name w:val="Hyperlink"/>
    <w:basedOn w:val="18"/>
    <w:qFormat/>
    <w:uiPriority w:val="0"/>
    <w:rPr>
      <w:rFonts w:cs="Times New Roman"/>
      <w:color w:val="0000FF"/>
      <w:u w:val="single"/>
    </w:rPr>
  </w:style>
  <w:style w:type="character" w:customStyle="1" w:styleId="21">
    <w:name w:val="heading 1 Char"/>
    <w:basedOn w:val="18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22">
    <w:name w:val="heading 2 Char"/>
    <w:basedOn w:val="18"/>
    <w:link w:val="3"/>
    <w:qFormat/>
    <w:uiPriority w:val="0"/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styleId="24">
    <w:name w:val="List Paragraph"/>
    <w:basedOn w:val="1"/>
    <w:qFormat/>
    <w:uiPriority w:val="0"/>
    <w:pPr>
      <w:ind w:firstLine="200" w:firstLineChars="200"/>
    </w:pPr>
  </w:style>
  <w:style w:type="paragraph" w:customStyle="1" w:styleId="25">
    <w:name w:val="TOC 标题1"/>
    <w:basedOn w:val="2"/>
    <w:next w:val="1"/>
    <w:qFormat/>
    <w:uiPriority w:val="0"/>
    <w:pPr>
      <w:keepNext/>
      <w:keepLines/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26">
    <w:name w:val="TOC Heading"/>
    <w:basedOn w:val="2"/>
    <w:next w:val="1"/>
    <w:qFormat/>
    <w:uiPriority w:val="0"/>
    <w:pPr>
      <w:keepNext/>
      <w:keepLines/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27">
    <w:name w:val="Char Char Char Char Char Char Char Char Char Char Char Char Char Char Char Char"/>
    <w:basedOn w:val="1"/>
    <w:qFormat/>
    <w:uiPriority w:val="0"/>
    <w:pPr>
      <w:tabs>
        <w:tab w:val="left" w:pos="360"/>
      </w:tabs>
    </w:pPr>
    <w:rPr>
      <w:sz w:val="24"/>
    </w:rPr>
  </w:style>
  <w:style w:type="character" w:customStyle="1" w:styleId="28">
    <w:name w:val="标题 1 Char"/>
    <w:basedOn w:val="18"/>
    <w:link w:val="2"/>
    <w:qFormat/>
    <w:uiPriority w:val="9"/>
    <w:rPr>
      <w:rFonts w:ascii="Times New Roman" w:hAnsi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4.xml"/><Relationship Id="rId8" Type="http://schemas.openxmlformats.org/officeDocument/2006/relationships/chart" Target="charts/chart3.xml"/><Relationship Id="rId7" Type="http://schemas.openxmlformats.org/officeDocument/2006/relationships/chart" Target="charts/chart2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hart" Target="charts/chart7.xml"/><Relationship Id="rId11" Type="http://schemas.openxmlformats.org/officeDocument/2006/relationships/chart" Target="charts/chart6.xml"/><Relationship Id="rId10" Type="http://schemas.openxmlformats.org/officeDocument/2006/relationships/chart" Target="charts/chart5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5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81132"/>
          <c:y val="0.14492753"/>
          <c:w val="0.7051887"/>
          <c:h val="0.53623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工作表465537!$A$2</c:f>
              <c:strCache>
                <c:ptCount val="1"/>
                <c:pt idx="0">
                  <c:v>金额(万元)</c:v>
                </c:pt>
              </c:strCache>
            </c:strRef>
          </c:tx>
          <c:spPr>
            <a:solidFill>
              <a:srgbClr val="4F81BD"/>
            </a:solidFill>
          </c:spPr>
          <c:invertIfNegative val="0"/>
          <c:dLbls>
            <c:dLbl>
              <c:idx val="0"/>
              <c:delete val="1"/>
            </c:dLbl>
            <c:dLbl>
              <c:idx val="1"/>
              <c:delete val="1"/>
            </c:dLbl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4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工作表465537!$B$1:$C$1</c:f>
              <c:strCache>
                <c:ptCount val="2"/>
                <c:pt idx="0">
                  <c:v>2025年收支总额</c:v>
                </c:pt>
                <c:pt idx="1">
                  <c:v>2024年收支总额</c:v>
                </c:pt>
              </c:strCache>
            </c:strRef>
          </c:cat>
          <c:val>
            <c:numRef>
              <c:f>工作表465537!$B$2:$C$2</c:f>
              <c:numCache>
                <c:formatCode>General</c:formatCode>
                <c:ptCount val="2"/>
                <c:pt idx="0">
                  <c:v>224.82</c:v>
                </c:pt>
                <c:pt idx="1">
                  <c:v>183.6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0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4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rgbClr val="000000"/>
              </a:solidFill>
              <a:prstDash val="solid"/>
              <a:round/>
            </a:ln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>
                  <a:defRPr lang="zh-CN" sz="4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  <a:r>
                  <a:rPr lang="zh-CN"/>
                  <a:t>单位：万元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025943354"/>
              <c:y val="0.22077908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4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0"/>
        <c:crossesAt val="1"/>
        <c:crossBetween val="between"/>
      </c:valAx>
      <c:dTable>
        <c:showHorzBorder val="1"/>
        <c:showVertBorder val="1"/>
        <c:showOutline val="1"/>
        <c:showKeys val="1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4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</c:dTable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962264"/>
          <c:y val="0.34057993"/>
          <c:w val="0.094339676"/>
          <c:h val="0.12318877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40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45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460733"/>
          <c:y val="0.23626374"/>
          <c:w val="0.2565445"/>
          <c:h val="0.53846157"/>
        </c:manualLayout>
      </c:layout>
      <c:pieChart>
        <c:varyColors val="1"/>
        <c:ser>
          <c:idx val="0"/>
          <c:order val="0"/>
          <c:tx>
            <c:strRef>
              <c:f>工作表465538!$A$2</c:f>
              <c:strCache>
                <c:ptCount val="1"/>
                <c:pt idx="0">
                  <c:v>比例</c:v>
                </c:pt>
              </c:strCache>
            </c:strRef>
          </c:tx>
          <c:spPr>
            <a:solidFill>
              <a:srgbClr val="4F81BD"/>
            </a:solidFill>
          </c:spPr>
          <c:explosion val="0"/>
          <c:dPt>
            <c:idx val="0"/>
            <c:bubble3D val="0"/>
            <c:spPr>
              <a:solidFill>
                <a:srgbClr val="4F81BD"/>
              </a:solidFill>
            </c:spPr>
          </c:dPt>
          <c:dPt>
            <c:idx val="1"/>
            <c:bubble3D val="0"/>
            <c:spPr>
              <a:solidFill>
                <a:srgbClr val="C0504D"/>
              </a:solidFill>
            </c:spPr>
          </c:dPt>
          <c:dLbls>
            <c:numFmt formatCode="0%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40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工作表465538!$B$1:$C$1</c:f>
              <c:strCache>
                <c:ptCount val="2"/>
                <c:pt idx="0">
                  <c:v>一般公共预算财政拨款收入</c:v>
                </c:pt>
                <c:pt idx="1">
                  <c:v>其他收入</c:v>
                </c:pt>
              </c:strCache>
            </c:strRef>
          </c:cat>
          <c:val>
            <c:numRef>
              <c:f>工作表465538!$B$2:$C$2</c:f>
              <c:numCache>
                <c:formatCode>0%</c:formatCode>
                <c:ptCount val="2"/>
                <c:pt idx="0">
                  <c:v>1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82636"/>
          <c:y val="0.21689136"/>
          <c:w val="0.23418334"/>
          <c:h val="0.5878251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3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4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623258"/>
          <c:y val="0"/>
          <c:w val="0.3364892"/>
          <c:h val="1"/>
        </c:manualLayout>
      </c:layout>
      <c:pieChart>
        <c:varyColors val="1"/>
        <c:ser>
          <c:idx val="0"/>
          <c:order val="0"/>
          <c:tx>
            <c:strRef>
              <c:f>工作表465539!$A$2</c:f>
              <c:strCache>
                <c:ptCount val="1"/>
                <c:pt idx="0">
                  <c:v>比例</c:v>
                </c:pt>
              </c:strCache>
            </c:strRef>
          </c:tx>
          <c:spPr>
            <a:solidFill>
              <a:srgbClr val="4F81BD"/>
            </a:solidFill>
          </c:spPr>
          <c:explosion val="0"/>
          <c:dPt>
            <c:idx val="0"/>
            <c:bubble3D val="0"/>
            <c:spPr>
              <a:solidFill>
                <a:srgbClr val="4F81BD"/>
              </a:solidFill>
            </c:spPr>
          </c:dPt>
          <c:dPt>
            <c:idx val="1"/>
            <c:bubble3D val="0"/>
            <c:spPr>
              <a:solidFill>
                <a:srgbClr val="C0504D"/>
              </a:solidFill>
            </c:spPr>
          </c:dPt>
          <c:dLbls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40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工作表465539!$B$1:$C$1</c:f>
              <c:strCache>
                <c:ptCount val="2"/>
                <c:pt idx="0">
                  <c:v>基本支出</c:v>
                </c:pt>
                <c:pt idx="1">
                  <c:v>项目支出</c:v>
                </c:pt>
              </c:strCache>
            </c:strRef>
          </c:cat>
          <c:val>
            <c:numRef>
              <c:f>工作表465539!$B$2:$C$2</c:f>
              <c:numCache>
                <c:formatCode>0%</c:formatCode>
                <c:ptCount val="2"/>
                <c:pt idx="0">
                  <c:v>1</c:v>
                </c:pt>
                <c:pt idx="1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5510803"/>
          <c:y val="0.38278404"/>
          <c:w val="0.17801048"/>
          <c:h val="0.1923077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35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4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81132"/>
          <c:y val="0.14492753"/>
          <c:w val="0.7051887"/>
          <c:h val="0.53623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工作表465537!$A$2</c:f>
              <c:strCache>
                <c:ptCount val="1"/>
                <c:pt idx="0">
                  <c:v>金额(万元)</c:v>
                </c:pt>
              </c:strCache>
            </c:strRef>
          </c:tx>
          <c:spPr>
            <a:solidFill>
              <a:srgbClr val="4F81BD"/>
            </a:solidFill>
          </c:spPr>
          <c:invertIfNegative val="0"/>
          <c:dLbls>
            <c:dLbl>
              <c:idx val="0"/>
              <c:delete val="1"/>
            </c:dLbl>
            <c:dLbl>
              <c:idx val="1"/>
              <c:delete val="1"/>
            </c:dLbl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4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工作表465537!$B$1:$C$1</c:f>
              <c:strCache>
                <c:ptCount val="2"/>
                <c:pt idx="0">
                  <c:v>2025年收支总额</c:v>
                </c:pt>
                <c:pt idx="1">
                  <c:v>2024年收支总额</c:v>
                </c:pt>
              </c:strCache>
            </c:strRef>
          </c:cat>
          <c:val>
            <c:numRef>
              <c:f>工作表465537!$B$2:$C$2</c:f>
              <c:numCache>
                <c:formatCode>General</c:formatCode>
                <c:ptCount val="2"/>
                <c:pt idx="0">
                  <c:v>224.82</c:v>
                </c:pt>
                <c:pt idx="1">
                  <c:v>183.6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0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4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rgbClr val="000000"/>
              </a:solidFill>
              <a:prstDash val="solid"/>
              <a:round/>
            </a:ln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>
                  <a:defRPr lang="zh-CN" sz="4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  <a:r>
                  <a:rPr lang="zh-CN"/>
                  <a:t>单位：万元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025943354"/>
              <c:y val="0.22077908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4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0"/>
        <c:crossesAt val="1"/>
        <c:crossBetween val="between"/>
      </c:valAx>
      <c:dTable>
        <c:showHorzBorder val="1"/>
        <c:showVertBorder val="1"/>
        <c:showOutline val="1"/>
        <c:showKeys val="1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4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</c:dTable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962264"/>
          <c:y val="0.34057993"/>
          <c:w val="0.094339676"/>
          <c:h val="0.12318877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40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45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81132"/>
          <c:y val="0.14492753"/>
          <c:w val="0.7051887"/>
          <c:h val="0.53623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工作表465537!$A$2</c:f>
              <c:strCache>
                <c:ptCount val="1"/>
                <c:pt idx="0">
                  <c:v>金额(万元)</c:v>
                </c:pt>
              </c:strCache>
            </c:strRef>
          </c:tx>
          <c:spPr>
            <a:solidFill>
              <a:srgbClr val="4F81BD"/>
            </a:solidFill>
          </c:spPr>
          <c:invertIfNegative val="0"/>
          <c:dLbls>
            <c:dLbl>
              <c:idx val="0"/>
              <c:delete val="1"/>
            </c:dLbl>
            <c:dLbl>
              <c:idx val="1"/>
              <c:delete val="1"/>
            </c:dLbl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4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outEnd"/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工作表465537!$B$1:$C$1</c:f>
              <c:strCache>
                <c:ptCount val="2"/>
                <c:pt idx="0">
                  <c:v>2025年收支总额</c:v>
                </c:pt>
                <c:pt idx="1">
                  <c:v>2024年收支总额</c:v>
                </c:pt>
              </c:strCache>
            </c:strRef>
          </c:cat>
          <c:val>
            <c:numRef>
              <c:f>工作表465537!$B$2:$C$2</c:f>
              <c:numCache>
                <c:formatCode>General</c:formatCode>
                <c:ptCount val="2"/>
                <c:pt idx="0">
                  <c:v>224.82</c:v>
                </c:pt>
                <c:pt idx="1">
                  <c:v>183.6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0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4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rgbClr val="000000"/>
              </a:solidFill>
              <a:prstDash val="solid"/>
              <a:round/>
            </a:ln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>
                  <a:defRPr lang="zh-CN" sz="4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  <a:r>
                  <a:rPr lang="zh-CN"/>
                  <a:t>单位：万元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025943354"/>
              <c:y val="0.22077908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4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0"/>
        <c:crossesAt val="1"/>
        <c:crossBetween val="between"/>
      </c:valAx>
      <c:dTable>
        <c:showHorzBorder val="1"/>
        <c:showVertBorder val="1"/>
        <c:showOutline val="1"/>
        <c:showKeys val="1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4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</c:dTable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962264"/>
          <c:y val="0.34057993"/>
          <c:w val="0.094339676"/>
          <c:h val="0.12318877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40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45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81132"/>
          <c:y val="0.14492753"/>
          <c:w val="0.7051887"/>
          <c:h val="0.5362319"/>
        </c:manualLayout>
      </c:layout>
      <c:barChart>
        <c:barDir val="col"/>
        <c:grouping val="clustered"/>
        <c:varyColors val="0"/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0"/>
        <c:axId val="1"/>
      </c:barChart>
      <c:catAx>
        <c:axId val="0"/>
        <c:scaling>
          <c:orientation val="minMax"/>
        </c:scaling>
        <c:delete val="0"/>
        <c:axPos val="b"/>
        <c:numFmt formatCode="General" sourceLinked="0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4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rgbClr val="000000"/>
              </a:solidFill>
              <a:prstDash val="solid"/>
              <a:round/>
            </a:ln>
          </c:spPr>
        </c:majorGridlines>
        <c:title>
          <c:tx>
            <c:rich>
              <a:bodyPr rot="-5400000" spcFirstLastPara="0" vertOverflow="ellipsis" vert="horz" wrap="square" anchor="ctr" anchorCtr="1"/>
              <a:lstStyle/>
              <a:p>
                <a:pPr>
                  <a:defRPr lang="zh-CN" sz="45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  <a:r>
                  <a:rPr lang="zh-CN"/>
                  <a:t>单位：万元</a:t>
                </a:r>
                <a:endParaRPr lang="zh-CN"/>
              </a:p>
            </c:rich>
          </c:tx>
          <c:layout>
            <c:manualLayout>
              <c:xMode val="edge"/>
              <c:yMode val="edge"/>
              <c:x val="0.025943354"/>
              <c:y val="0.22077908"/>
            </c:manualLayout>
          </c:layout>
          <c:overlay val="0"/>
          <c:spPr>
            <a:noFill/>
            <a:ln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t" anchorCtr="0"/>
          <a:lstStyle/>
          <a:p>
            <a:pPr>
              <a:defRPr lang="zh-CN" sz="4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  <c:crossAx val="0"/>
        <c:crossesAt val="1"/>
        <c:crossBetween val="between"/>
      </c:valAx>
      <c:dTable>
        <c:showHorzBorder val="1"/>
        <c:showVertBorder val="1"/>
        <c:showOutline val="1"/>
        <c:showKeys val="1"/>
        <c:spPr>
          <a:ln w="6350" cap="flat" cmpd="sng" algn="ctr">
            <a:solidFill>
              <a:srgbClr val="000000"/>
            </a:solidFill>
            <a:prstDash val="solid"/>
            <a:round/>
          </a:ln>
        </c:spPr>
        <c:txPr>
          <a:bodyPr rot="0" spcFirstLastPara="0" vertOverflow="ellipsis" vert="horz" wrap="square" anchor="ctr" anchorCtr="1"/>
          <a:lstStyle/>
          <a:p>
            <a:pPr>
              <a:defRPr lang="zh-CN" sz="450" b="0" i="0" u="none" strike="noStrike" kern="1200" baseline="0">
                <a:solidFill>
                  <a:srgbClr val="000000"/>
                </a:solidFill>
                <a:latin typeface="宋体" panose="02010600030101010101" charset="-122"/>
                <a:ea typeface="宋体" panose="02010600030101010101" charset="-122"/>
                <a:cs typeface="Lucida Sans"/>
              </a:defRPr>
            </a:pPr>
          </a:p>
        </c:txPr>
      </c:dTable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962264"/>
          <c:y val="0.34057993"/>
          <c:w val="0.094339676"/>
          <c:h val="0.12318877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40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gap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45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5208821"/>
          <c:y val="0.09226603"/>
          <c:w val="0.53351486"/>
          <c:h val="0.8616768"/>
        </c:manualLayout>
      </c:layout>
      <c:pieChart>
        <c:varyColors val="1"/>
        <c:ser>
          <c:idx val="0"/>
          <c:order val="0"/>
          <c:tx>
            <c:strRef>
              <c:f>工作表465542!$A$2</c:f>
              <c:strCache>
                <c:ptCount val="1"/>
                <c:pt idx="0">
                  <c:v>比例</c:v>
                </c:pt>
              </c:strCache>
            </c:strRef>
          </c:tx>
          <c:spPr>
            <a:solidFill>
              <a:srgbClr val="4F81BD"/>
            </a:solidFill>
          </c:spPr>
          <c:explosion val="0"/>
          <c:dPt>
            <c:idx val="0"/>
            <c:bubble3D val="0"/>
            <c:spPr>
              <a:solidFill>
                <a:srgbClr val="4F81BD"/>
              </a:solidFill>
            </c:spPr>
          </c:dPt>
          <c:dPt>
            <c:idx val="1"/>
            <c:bubble3D val="0"/>
            <c:spPr>
              <a:solidFill>
                <a:srgbClr val="C0504D"/>
              </a:solidFill>
            </c:spPr>
          </c:dPt>
          <c:dPt>
            <c:idx val="2"/>
            <c:bubble3D val="0"/>
            <c:spPr>
              <a:solidFill>
                <a:srgbClr val="9BBB59"/>
              </a:solidFill>
            </c:spPr>
          </c:dPt>
          <c:dPt>
            <c:idx val="3"/>
            <c:bubble3D val="0"/>
            <c:spPr>
              <a:solidFill>
                <a:srgbClr val="8064A2"/>
              </a:solidFill>
            </c:spPr>
          </c:dPt>
          <c:dLbls>
            <c:numFmt formatCode="General" sourceLinked="1"/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400" b="0" i="0" u="none" strike="noStrike" kern="1200" baseline="0">
                    <a:solidFill>
                      <a:srgbClr val="000000"/>
                    </a:solidFill>
                    <a:latin typeface="宋体" panose="02010600030101010101" charset="-122"/>
                    <a:ea typeface="宋体" panose="02010600030101010101" charset="-122"/>
                    <a:cs typeface="Lucida San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工作表465542!$B$1:$E$1</c:f>
              <c:strCache>
                <c:ptCount val="4"/>
                <c:pt idx="0">
                  <c:v>公共安全支出</c:v>
                </c:pt>
                <c:pt idx="1">
                  <c:v>社会保障和就业支出</c:v>
                </c:pt>
                <c:pt idx="2">
                  <c:v>卫生健康支出</c:v>
                </c:pt>
                <c:pt idx="3">
                  <c:v>住房保障支出</c:v>
                </c:pt>
              </c:strCache>
            </c:strRef>
          </c:cat>
          <c:val>
            <c:numRef>
              <c:f>工作表465542!$B$2:$E$2</c:f>
              <c:numCache>
                <c:formatCode>0.00%</c:formatCode>
                <c:ptCount val="4"/>
                <c:pt idx="0">
                  <c:v>0.692</c:v>
                </c:pt>
                <c:pt idx="1">
                  <c:v>0.1229</c:v>
                </c:pt>
                <c:pt idx="2">
                  <c:v>0.0548</c:v>
                </c:pt>
                <c:pt idx="3">
                  <c:v>0.1303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solidFill>
          <a:srgbClr val="C0C0C0"/>
        </a:solidFill>
        <a:ln w="635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65591395"/>
          <c:y val="0.15384616"/>
          <c:w val="0.24875218"/>
          <c:h val="0.6868132"/>
        </c:manualLayout>
      </c:layout>
      <c:overlay val="0"/>
      <c:spPr>
        <a:noFill/>
        <a:ln w="6350">
          <a:solidFill>
            <a:srgbClr val="000000"/>
          </a:solidFill>
          <a:prstDash val="solid"/>
        </a:ln>
      </c:spPr>
      <c:txPr>
        <a:bodyPr rot="0" spcFirstLastPara="0" vertOverflow="ellipsis" vert="horz" wrap="square" anchor="ctr" anchorCtr="1"/>
        <a:lstStyle/>
        <a:p>
          <a:pPr>
            <a:defRPr lang="zh-CN" sz="400" b="0" i="0" u="none" strike="noStrike" kern="1200" baseline="0">
              <a:solidFill>
                <a:srgbClr val="000000"/>
              </a:solidFill>
              <a:latin typeface="宋体" panose="02010600030101010101" charset="-122"/>
              <a:ea typeface="宋体" panose="02010600030101010101" charset="-122"/>
              <a:cs typeface="Lucida Sans"/>
            </a:defRPr>
          </a:pPr>
        </a:p>
      </c:txPr>
    </c:legend>
    <c:plotVisOnly val="1"/>
    <c:dispBlanksAs val="zero"/>
    <c:showDLblsOverMax val="0"/>
  </c:chart>
  <c:spPr>
    <a:noFill/>
    <a:ln w="9525" cap="flat" cmpd="sng" algn="ctr">
      <a:noFill/>
      <a:prstDash val="solid"/>
      <a:round/>
    </a:ln>
  </c:spPr>
  <c:txPr>
    <a:bodyPr/>
    <a:lstStyle/>
    <a:p>
      <a:pPr>
        <a:defRPr lang="zh-CN" sz="400" b="0" i="0" u="none" strike="noStrike" baseline="0">
          <a:solidFill>
            <a:srgbClr val="000000"/>
          </a:solidFill>
          <a:latin typeface="宋体" panose="02010600030101010101" charset="-122"/>
          <a:ea typeface="宋体" panose="02010600030101010101" charset="-122"/>
          <a:cs typeface="Lucida Sans"/>
        </a:defRPr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四川省财政厅</Company>
  <Pages>22</Pages>
  <Words>8216</Words>
  <Characters>8873</Characters>
  <Lines>507</Lines>
  <Paragraphs>195</Paragraphs>
  <TotalTime>2</TotalTime>
  <ScaleCrop>false</ScaleCrop>
  <LinksUpToDate>false</LinksUpToDate>
  <CharactersWithSpaces>8961</CharactersWithSpaces>
  <Application>WPS Office_11.8.2.1117_F1E327BC-269C-435d-A152-05C5408002CA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2021-10-08T06:04:00Z</dcterms:created>
  <dc:creator>曹颖</dc:creator>
  <cp:lastModifiedBy>user</cp:lastModifiedBy>
  <cp:lastPrinted>2023-10-03T20:32:00Z</cp:lastPrinted>
  <dcterms:modified xsi:type="dcterms:W3CDTF">2026-09-09T09:54:15Z</dcterms:modified>
  <dc:title>四川省***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2052-11.8.2.1117</vt:lpwstr>
  </property>
  <property fmtid="{D5CDD505-2E9C-101B-9397-08002B2CF9AE}" pid="3" name="ICV">
    <vt:lpwstr>174E928A8F74E63E53A7A06A98EE3DFC</vt:lpwstr>
  </property>
</Properties>
</file>