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bidi w:val="0"/>
        <w:spacing w:line="600" w:lineRule="exact"/>
        <w:jc w:val="center"/>
        <w:textAlignment w:val="auto"/>
        <w:outlineLvl w:val="0"/>
        <w:rPr>
          <w:rFonts w:hint="default" w:ascii="Times New Roman" w:hAnsi="Times New Roman" w:eastAsia="方正小标宋简体" w:cs="Times New Roman"/>
          <w:sz w:val="72"/>
          <w:szCs w:val="72"/>
        </w:rPr>
      </w:pPr>
      <w:bookmarkStart w:id="0" w:name="_Toc15306267"/>
    </w:p>
    <w:p>
      <w:pPr>
        <w:pStyle w:val="2"/>
        <w:pageBreakBefore w:val="0"/>
        <w:kinsoku/>
        <w:overflowPunct/>
        <w:topLinePunct w:val="0"/>
        <w:bidi w:val="0"/>
        <w:textAlignment w:val="auto"/>
        <w:rPr>
          <w:rFonts w:hint="default" w:ascii="Times New Roman" w:hAnsi="Times New Roman" w:cs="Times New Roman"/>
        </w:rPr>
      </w:pPr>
    </w:p>
    <w:p>
      <w:pPr>
        <w:pageBreakBefore w:val="0"/>
        <w:kinsoku/>
        <w:overflowPunct/>
        <w:topLinePunct w:val="0"/>
        <w:bidi w:val="0"/>
        <w:spacing w:line="600" w:lineRule="exact"/>
        <w:jc w:val="center"/>
        <w:textAlignment w:val="auto"/>
        <w:outlineLvl w:val="0"/>
        <w:rPr>
          <w:rFonts w:hint="default" w:ascii="Times New Roman" w:hAnsi="Times New Roman" w:eastAsia="方正小标宋简体" w:cs="Times New Roman"/>
          <w:sz w:val="72"/>
          <w:szCs w:val="72"/>
        </w:rPr>
      </w:pPr>
    </w:p>
    <w:p>
      <w:pPr>
        <w:pageBreakBefore w:val="0"/>
        <w:kinsoku/>
        <w:overflowPunct/>
        <w:topLinePunct w:val="0"/>
        <w:bidi w:val="0"/>
        <w:spacing w:line="600" w:lineRule="exact"/>
        <w:jc w:val="center"/>
        <w:textAlignment w:val="auto"/>
        <w:outlineLvl w:val="0"/>
        <w:rPr>
          <w:rFonts w:hint="default" w:ascii="Times New Roman" w:hAnsi="Times New Roman" w:eastAsia="方正小标宋简体" w:cs="Times New Roman"/>
          <w:sz w:val="72"/>
          <w:szCs w:val="72"/>
        </w:rPr>
      </w:pPr>
    </w:p>
    <w:p>
      <w:pPr>
        <w:pageBreakBefore w:val="0"/>
        <w:kinsoku/>
        <w:overflowPunct/>
        <w:topLinePunct w:val="0"/>
        <w:bidi w:val="0"/>
        <w:adjustRightInd w:val="0"/>
        <w:snapToGrid w:val="0"/>
        <w:spacing w:line="360" w:lineRule="auto"/>
        <w:jc w:val="center"/>
        <w:textAlignment w:val="auto"/>
        <w:outlineLvl w:val="0"/>
        <w:rPr>
          <w:rFonts w:hint="default" w:ascii="Times New Roman" w:hAnsi="Times New Roman" w:eastAsia="方正小标宋简体" w:cs="Times New Roman"/>
          <w:sz w:val="72"/>
          <w:szCs w:val="72"/>
        </w:rPr>
      </w:pPr>
      <w:bookmarkStart w:id="1" w:name="_Toc15396597"/>
      <w:bookmarkStart w:id="2" w:name="_Toc15377193"/>
      <w:bookmarkStart w:id="3" w:name="_Toc15396475"/>
      <w:bookmarkStart w:id="4" w:name="_Toc15378441"/>
      <w:bookmarkStart w:id="5" w:name="_Toc15377425"/>
      <w:r>
        <w:rPr>
          <w:rFonts w:hint="default" w:ascii="Times New Roman" w:hAnsi="Times New Roman" w:eastAsia="方正小标宋简体" w:cs="Times New Roman"/>
          <w:sz w:val="72"/>
          <w:szCs w:val="72"/>
        </w:rPr>
        <w:t>2021年度</w:t>
      </w:r>
      <w:bookmarkEnd w:id="0"/>
      <w:bookmarkEnd w:id="1"/>
      <w:bookmarkEnd w:id="2"/>
      <w:bookmarkEnd w:id="3"/>
      <w:bookmarkEnd w:id="4"/>
      <w:bookmarkEnd w:id="5"/>
      <w:bookmarkStart w:id="6" w:name="_Toc15378442"/>
      <w:bookmarkStart w:id="7" w:name="_Toc15396598"/>
      <w:bookmarkStart w:id="8" w:name="_Toc15306268"/>
      <w:bookmarkStart w:id="9" w:name="_Toc15396476"/>
      <w:bookmarkStart w:id="10" w:name="_Toc15377194"/>
      <w:bookmarkStart w:id="11" w:name="_Toc15377426"/>
    </w:p>
    <w:p>
      <w:pPr>
        <w:pageBreakBefore w:val="0"/>
        <w:kinsoku/>
        <w:overflowPunct/>
        <w:topLinePunct w:val="0"/>
        <w:bidi w:val="0"/>
        <w:adjustRightInd w:val="0"/>
        <w:snapToGrid w:val="0"/>
        <w:spacing w:line="360" w:lineRule="auto"/>
        <w:jc w:val="center"/>
        <w:textAlignment w:val="auto"/>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lang w:val="en-US" w:eastAsia="zh-CN"/>
        </w:rPr>
        <w:t>中共阿坝州直属机关工作委员会单位</w:t>
      </w:r>
      <w:r>
        <w:rPr>
          <w:rFonts w:hint="default" w:ascii="Times New Roman" w:hAnsi="Times New Roman" w:eastAsia="方正小标宋简体" w:cs="Times New Roman"/>
          <w:sz w:val="72"/>
          <w:szCs w:val="72"/>
        </w:rPr>
        <w:t>决算</w:t>
      </w:r>
      <w:bookmarkEnd w:id="6"/>
      <w:bookmarkEnd w:id="7"/>
      <w:bookmarkEnd w:id="8"/>
      <w:bookmarkEnd w:id="9"/>
      <w:bookmarkEnd w:id="10"/>
      <w:bookmarkEnd w:id="11"/>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textAlignment w:val="auto"/>
        <w:rPr>
          <w:rFonts w:hint="default" w:ascii="Times New Roman" w:hAnsi="Times New Roman" w:cs="Times New Roman"/>
        </w:rPr>
      </w:pPr>
      <w:bookmarkStart w:id="67" w:name="_GoBack"/>
      <w:bookmarkEnd w:id="67"/>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textAlignment w:val="auto"/>
        <w:rPr>
          <w:rFonts w:hint="default" w:ascii="Times New Roman" w:hAnsi="Times New Roman" w:cs="Times New Roman"/>
        </w:rPr>
      </w:pPr>
    </w:p>
    <w:p>
      <w:pPr>
        <w:pStyle w:val="6"/>
        <w:pageBreakBefore w:val="0"/>
        <w:kinsoku/>
        <w:overflowPunct/>
        <w:topLinePunct w:val="0"/>
        <w:bidi w:val="0"/>
        <w:spacing w:before="0" w:beforeLines="0"/>
        <w:jc w:val="center"/>
        <w:textAlignment w:val="auto"/>
        <w:rPr>
          <w:rFonts w:hint="default" w:ascii="Times New Roman" w:hAnsi="Times New Roman" w:cs="Times New Roman"/>
        </w:rPr>
      </w:pPr>
      <w:bookmarkStart w:id="12" w:name="_Hlk113547609"/>
      <w:r>
        <w:rPr>
          <w:rFonts w:hint="default" w:ascii="Times New Roman" w:hAnsi="Times New Roman" w:cs="Times New Roman"/>
          <w:sz w:val="32"/>
          <w:szCs w:val="32"/>
        </w:rPr>
        <w:t>已经保密审查、内容审定，同意对外公开</w:t>
      </w:r>
      <w:bookmarkEnd w:id="12"/>
    </w:p>
    <w:p>
      <w:pPr>
        <w:pageBreakBefore w:val="0"/>
        <w:widowControl/>
        <w:kinsoku/>
        <w:overflowPunct/>
        <w:topLinePunct w:val="0"/>
        <w:bidi w:val="0"/>
        <w:jc w:val="center"/>
        <w:textAlignment w:val="auto"/>
        <w:rPr>
          <w:rFonts w:hint="default" w:ascii="Times New Roman" w:hAnsi="Times New Roman" w:eastAsia="黑体" w:cs="Times New Roman"/>
          <w:sz w:val="48"/>
          <w:szCs w:val="48"/>
        </w:rPr>
      </w:pPr>
      <w:r>
        <w:rPr>
          <w:rFonts w:hint="default" w:ascii="Times New Roman" w:hAnsi="Times New Roman" w:eastAsia="方正小标宋简体" w:cs="Times New Roman"/>
          <w:sz w:val="36"/>
          <w:szCs w:val="36"/>
        </w:rPr>
        <w:br w:type="page"/>
      </w:r>
      <w:r>
        <w:rPr>
          <w:rFonts w:hint="default" w:ascii="Times New Roman" w:hAnsi="Times New Roman" w:eastAsia="黑体" w:cs="Times New Roman"/>
          <w:sz w:val="48"/>
          <w:szCs w:val="48"/>
        </w:rPr>
        <w:t>目录</w:t>
      </w:r>
    </w:p>
    <w:p>
      <w:pPr>
        <w:pageBreakBefore w:val="0"/>
        <w:widowControl/>
        <w:kinsoku/>
        <w:overflowPunct/>
        <w:topLinePunct w:val="0"/>
        <w:bidi w:val="0"/>
        <w:jc w:val="center"/>
        <w:textAlignment w:val="auto"/>
        <w:rPr>
          <w:rFonts w:hint="default" w:ascii="Times New Roman" w:hAnsi="Times New Roman" w:eastAsia="黑体" w:cs="Times New Roman"/>
          <w:sz w:val="28"/>
          <w:szCs w:val="28"/>
        </w:rPr>
      </w:pPr>
    </w:p>
    <w:p>
      <w:pPr>
        <w:pStyle w:val="13"/>
        <w:pageBreakBefore w:val="0"/>
        <w:kinsoku/>
        <w:overflowPunct/>
        <w:topLinePunct w:val="0"/>
        <w:bidi w:val="0"/>
        <w:spacing w:before="0"/>
        <w:textAlignment w:val="auto"/>
        <w:rPr>
          <w:rFonts w:hint="default" w:ascii="Times New Roman" w:hAnsi="Times New Roman" w:cs="Times New Roman"/>
        </w:rPr>
      </w:pPr>
      <w:r>
        <w:rPr>
          <w:rFonts w:hint="default" w:ascii="Times New Roman" w:hAnsi="Times New Roman" w:cs="Times New Roman"/>
        </w:rPr>
        <w:t>公开时间：2022年9月9日</w:t>
      </w:r>
    </w:p>
    <w:p>
      <w:pPr>
        <w:pageBreakBefore w:val="0"/>
        <w:kinsoku/>
        <w:overflowPunct/>
        <w:topLinePunct w:val="0"/>
        <w:bidi w:val="0"/>
        <w:textAlignment w:val="auto"/>
        <w:rPr>
          <w:rFonts w:hint="default" w:ascii="Times New Roman" w:hAnsi="Times New Roman" w:cs="Times New Roman"/>
        </w:rPr>
      </w:pPr>
    </w:p>
    <w:p>
      <w:pPr>
        <w:pStyle w:val="13"/>
        <w:pageBreakBefore w:val="0"/>
        <w:kinsoku/>
        <w:overflowPunct/>
        <w:topLinePunct w:val="0"/>
        <w:bidi w:val="0"/>
        <w:adjustRightInd w:val="0"/>
        <w:snapToGrid w:val="0"/>
        <w:spacing w:before="0" w:line="440" w:lineRule="exact"/>
        <w:jc w:val="left"/>
        <w:textAlignment w:val="auto"/>
        <w:rPr>
          <w:rFonts w:hint="default" w:ascii="Times New Roman" w:hAnsi="Times New Roman" w:cs="Times New Roman"/>
          <w:sz w:val="24"/>
          <w:szCs w:val="24"/>
        </w:rPr>
      </w:pPr>
      <w:r>
        <w:rPr>
          <w:rFonts w:hint="default" w:ascii="Times New Roman" w:hAnsi="Times New Roman" w:cs="Times New Roman"/>
          <w:sz w:val="24"/>
        </w:rPr>
        <w:t>第一部分 单位概况</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一、职能简介</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二、2021年重点工作完成情况</w:t>
      </w:r>
    </w:p>
    <w:p>
      <w:pPr>
        <w:pStyle w:val="13"/>
        <w:pageBreakBefore w:val="0"/>
        <w:kinsoku/>
        <w:overflowPunct/>
        <w:topLinePunct w:val="0"/>
        <w:bidi w:val="0"/>
        <w:adjustRightInd w:val="0"/>
        <w:snapToGrid w:val="0"/>
        <w:spacing w:before="0" w:line="440" w:lineRule="exact"/>
        <w:jc w:val="left"/>
        <w:textAlignment w:val="auto"/>
        <w:rPr>
          <w:rFonts w:hint="default" w:ascii="Times New Roman" w:hAnsi="Times New Roman" w:cs="Times New Roman"/>
          <w:sz w:val="24"/>
          <w:szCs w:val="24"/>
        </w:rPr>
      </w:pPr>
      <w:r>
        <w:rPr>
          <w:rFonts w:hint="default" w:ascii="Times New Roman" w:hAnsi="Times New Roman" w:cs="Times New Roman"/>
          <w:sz w:val="24"/>
        </w:rPr>
        <w:t>第二部分 2021年度单位决算情况说明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一、收入支出决算总体情况说明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二、收入决算情况说明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三、支出决算情况说明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四、财政拨款收入支出决算总体情况说明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五、一般公共预算财政拨款支出决算情况说明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六、一般公共预算财政拨款基本支出决算情况说明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七、“三公”经费财政拨款支出决算情况说明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eastAsia="仿宋" w:cs="Times New Roman"/>
          <w:sz w:val="24"/>
        </w:rPr>
      </w:pPr>
      <w:r>
        <w:rPr>
          <w:rFonts w:hint="default" w:ascii="Times New Roman" w:hAnsi="Times New Roman" w:cs="Times New Roman"/>
          <w:sz w:val="24"/>
        </w:rPr>
        <w:t>八、政府性基金预算支出决算情况说明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九、国有资本经营预算支出决算情况说明</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十、其他重要事项的情况说明</w:t>
      </w:r>
    </w:p>
    <w:p>
      <w:pPr>
        <w:pStyle w:val="13"/>
        <w:pageBreakBefore w:val="0"/>
        <w:kinsoku/>
        <w:overflowPunct/>
        <w:topLinePunct w:val="0"/>
        <w:bidi w:val="0"/>
        <w:adjustRightInd w:val="0"/>
        <w:snapToGrid w:val="0"/>
        <w:spacing w:before="0" w:line="440" w:lineRule="exact"/>
        <w:jc w:val="left"/>
        <w:textAlignment w:val="auto"/>
        <w:rPr>
          <w:rFonts w:hint="default" w:ascii="Times New Roman" w:hAnsi="Times New Roman" w:cs="Times New Roman"/>
          <w:sz w:val="24"/>
          <w:szCs w:val="24"/>
        </w:rPr>
      </w:pPr>
      <w:r>
        <w:rPr>
          <w:rFonts w:hint="default" w:ascii="Times New Roman" w:hAnsi="Times New Roman" w:cs="Times New Roman"/>
          <w:sz w:val="24"/>
        </w:rPr>
        <w:t>第三部分 名词解释</w:t>
      </w:r>
    </w:p>
    <w:p>
      <w:pPr>
        <w:pStyle w:val="13"/>
        <w:pageBreakBefore w:val="0"/>
        <w:kinsoku/>
        <w:overflowPunct/>
        <w:topLinePunct w:val="0"/>
        <w:bidi w:val="0"/>
        <w:adjustRightInd w:val="0"/>
        <w:snapToGrid w:val="0"/>
        <w:spacing w:before="0" w:line="440" w:lineRule="exact"/>
        <w:jc w:val="left"/>
        <w:textAlignment w:val="auto"/>
        <w:rPr>
          <w:rFonts w:hint="default" w:ascii="Times New Roman" w:hAnsi="Times New Roman" w:cs="Times New Roman"/>
          <w:sz w:val="24"/>
          <w:szCs w:val="24"/>
        </w:rPr>
      </w:pPr>
      <w:r>
        <w:rPr>
          <w:rFonts w:hint="default" w:ascii="Times New Roman" w:hAnsi="Times New Roman" w:cs="Times New Roman"/>
          <w:sz w:val="24"/>
        </w:rPr>
        <w:t>第四部分 附件</w:t>
      </w:r>
    </w:p>
    <w:p>
      <w:pPr>
        <w:pStyle w:val="13"/>
        <w:pageBreakBefore w:val="0"/>
        <w:kinsoku/>
        <w:overflowPunct/>
        <w:topLinePunct w:val="0"/>
        <w:bidi w:val="0"/>
        <w:adjustRightInd w:val="0"/>
        <w:snapToGrid w:val="0"/>
        <w:spacing w:before="0" w:line="440" w:lineRule="exact"/>
        <w:jc w:val="left"/>
        <w:textAlignment w:val="auto"/>
        <w:rPr>
          <w:rFonts w:hint="default" w:ascii="Times New Roman" w:hAnsi="Times New Roman" w:cs="Times New Roman"/>
          <w:sz w:val="24"/>
          <w:szCs w:val="24"/>
        </w:rPr>
      </w:pPr>
      <w:r>
        <w:rPr>
          <w:rFonts w:hint="default" w:ascii="Times New Roman" w:hAnsi="Times New Roman" w:cs="Times New Roman"/>
          <w:sz w:val="24"/>
        </w:rPr>
        <w:t>第五部分 附表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一、收入支出决算总表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二、收入决算表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三、支出决算表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四、财政拨款收入支出决算总表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五、财政拨款支出决算明细表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六、一般公共预算财政拨款支出决算表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七、一般公共预算财政拨款支出决算明细表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八、一般公共预算财政拨款基本支出决算表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九、一般公共预算财政拨款项目支出决算表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十、一般公共预算财政拨款“三公”经费支出决算表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十一、政府性基金预算财政拨款收入支出决算表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十二、政府性基金预算财政拨款“三公”经费支出决算表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十三、国有资本经营预算财政拨款收入支出决算表</w:t>
      </w:r>
    </w:p>
    <w:p>
      <w:pPr>
        <w:pStyle w:val="15"/>
        <w:pageBreakBefore w:val="0"/>
        <w:kinsoku/>
        <w:overflowPunct/>
        <w:topLinePunct w:val="0"/>
        <w:bidi w:val="0"/>
        <w:adjustRightInd w:val="0"/>
        <w:snapToGrid w:val="0"/>
        <w:spacing w:line="440" w:lineRule="exact"/>
        <w:ind w:left="420"/>
        <w:jc w:val="left"/>
        <w:textAlignment w:val="auto"/>
        <w:rPr>
          <w:rFonts w:hint="default" w:ascii="Times New Roman" w:hAnsi="Times New Roman" w:cs="Times New Roman"/>
          <w:sz w:val="24"/>
        </w:rPr>
      </w:pPr>
      <w:r>
        <w:rPr>
          <w:rFonts w:hint="default" w:ascii="Times New Roman" w:hAnsi="Times New Roman" w:cs="Times New Roman"/>
          <w:sz w:val="24"/>
        </w:rPr>
        <w:t>十四、国有资本经营预算财政拨款支出决算表</w:t>
      </w:r>
    </w:p>
    <w:p>
      <w:pPr>
        <w:pageBreakBefore w:val="0"/>
        <w:widowControl/>
        <w:kinsoku/>
        <w:overflowPunct/>
        <w:topLinePunct w:val="0"/>
        <w:bidi w:val="0"/>
        <w:adjustRightInd w:val="0"/>
        <w:snapToGrid w:val="0"/>
        <w:spacing w:line="440" w:lineRule="exact"/>
        <w:ind w:firstLine="1320" w:firstLineChars="550"/>
        <w:jc w:val="left"/>
        <w:textAlignment w:val="auto"/>
        <w:rPr>
          <w:rFonts w:hint="default" w:ascii="Times New Roman" w:hAnsi="Times New Roman" w:eastAsia="仿宋" w:cs="Times New Roman"/>
          <w:sz w:val="24"/>
        </w:rPr>
      </w:pPr>
      <w:r>
        <w:rPr>
          <w:rFonts w:hint="default" w:ascii="Times New Roman" w:hAnsi="Times New Roman" w:eastAsia="仿宋" w:cs="Times New Roman"/>
          <w:sz w:val="24"/>
        </w:rPr>
        <w:t>(注：请单位根据实际注明页码)</w:t>
      </w:r>
    </w:p>
    <w:p>
      <w:pPr>
        <w:pageBreakBefore w:val="0"/>
        <w:widowControl/>
        <w:kinsoku/>
        <w:overflowPunct/>
        <w:topLinePunct w:val="0"/>
        <w:bidi w:val="0"/>
        <w:spacing w:line="440" w:lineRule="exact"/>
        <w:jc w:val="left"/>
        <w:textAlignment w:val="auto"/>
        <w:rPr>
          <w:rFonts w:hint="default" w:ascii="Times New Roman" w:hAnsi="Times New Roman" w:eastAsia="仿宋" w:cs="Times New Roman"/>
          <w:bCs/>
          <w:kern w:val="44"/>
          <w:sz w:val="24"/>
        </w:rPr>
      </w:pPr>
      <w:bookmarkStart w:id="13" w:name="_Toc15396599"/>
      <w:bookmarkStart w:id="14" w:name="_Toc15377196"/>
      <w:r>
        <w:rPr>
          <w:rFonts w:hint="default" w:ascii="Times New Roman" w:hAnsi="Times New Roman" w:eastAsia="仿宋" w:cs="Times New Roman"/>
          <w:b/>
          <w:sz w:val="24"/>
        </w:rPr>
        <w:br w:type="page"/>
      </w:r>
    </w:p>
    <w:p>
      <w:pPr>
        <w:pStyle w:val="3"/>
        <w:pageBreakBefore w:val="0"/>
        <w:kinsoku/>
        <w:overflowPunct/>
        <w:topLinePunct w:val="0"/>
        <w:bidi w:val="0"/>
        <w:spacing w:before="0" w:after="0"/>
        <w:jc w:val="center"/>
        <w:textAlignment w:val="auto"/>
        <w:rPr>
          <w:rStyle w:val="21"/>
          <w:rFonts w:hint="default" w:ascii="Times New Roman" w:hAnsi="Times New Roman" w:eastAsia="黑体" w:cs="Times New Roman"/>
          <w:b/>
          <w:bCs w:val="0"/>
        </w:rPr>
      </w:pPr>
      <w:r>
        <w:rPr>
          <w:rFonts w:hint="default" w:ascii="Times New Roman" w:hAnsi="Times New Roman" w:eastAsia="黑体" w:cs="Times New Roman"/>
          <w:b w:val="0"/>
        </w:rPr>
        <w:t>第一部分 单位</w:t>
      </w:r>
      <w:r>
        <w:rPr>
          <w:rStyle w:val="21"/>
          <w:rFonts w:hint="default" w:ascii="Times New Roman" w:hAnsi="Times New Roman" w:eastAsia="黑体" w:cs="Times New Roman"/>
          <w:b w:val="0"/>
          <w:bCs w:val="0"/>
        </w:rPr>
        <w:t>概况</w:t>
      </w:r>
      <w:bookmarkEnd w:id="13"/>
      <w:bookmarkEnd w:id="14"/>
    </w:p>
    <w:p>
      <w:pPr>
        <w:pageBreakBefore w:val="0"/>
        <w:widowControl/>
        <w:kinsoku/>
        <w:wordWrap/>
        <w:overflowPunct/>
        <w:topLinePunct w:val="0"/>
        <w:autoSpaceDE/>
        <w:autoSpaceDN/>
        <w:bidi w:val="0"/>
        <w:adjustRightInd/>
        <w:snapToGrid/>
        <w:spacing w:line="15" w:lineRule="auto"/>
        <w:jc w:val="left"/>
        <w:textAlignment w:val="auto"/>
        <w:rPr>
          <w:rFonts w:hint="default" w:ascii="Times New Roman" w:hAnsi="Times New Roman" w:eastAsia="黑体" w:cs="Times New Roman"/>
          <w:sz w:val="32"/>
          <w:szCs w:val="32"/>
        </w:rPr>
      </w:pPr>
    </w:p>
    <w:p>
      <w:pPr>
        <w:pStyle w:val="4"/>
        <w:pageBreakBefore w:val="0"/>
        <w:widowControl w:val="0"/>
        <w:numPr>
          <w:ilvl w:val="0"/>
          <w:numId w:val="0"/>
        </w:numPr>
        <w:kinsoku/>
        <w:wordWrap/>
        <w:overflowPunct/>
        <w:topLinePunct w:val="0"/>
        <w:autoSpaceDE/>
        <w:autoSpaceDN/>
        <w:bidi w:val="0"/>
        <w:adjustRightInd/>
        <w:snapToGrid/>
        <w:spacing w:before="0" w:after="0" w:line="240" w:lineRule="auto"/>
        <w:ind w:firstLine="640" w:firstLineChars="200"/>
        <w:textAlignment w:val="auto"/>
        <w:rPr>
          <w:rStyle w:val="22"/>
          <w:rFonts w:hint="default" w:ascii="Times New Roman" w:hAnsi="Times New Roman" w:eastAsia="黑体" w:cs="Times New Roman"/>
          <w:b w:val="0"/>
          <w:bCs w:val="0"/>
        </w:rPr>
      </w:pPr>
      <w:bookmarkStart w:id="15" w:name="_Toc15377197"/>
      <w:bookmarkStart w:id="16" w:name="_Toc15396600"/>
      <w:r>
        <w:rPr>
          <w:rStyle w:val="22"/>
          <w:rFonts w:hint="default" w:ascii="Times New Roman" w:hAnsi="Times New Roman" w:eastAsia="黑体" w:cs="Times New Roman"/>
          <w:b w:val="0"/>
          <w:bCs w:val="0"/>
          <w:lang w:val="en-US"/>
        </w:rPr>
        <w:t>一、</w:t>
      </w:r>
      <w:r>
        <w:rPr>
          <w:rStyle w:val="22"/>
          <w:rFonts w:hint="default" w:ascii="Times New Roman" w:hAnsi="Times New Roman" w:eastAsia="黑体" w:cs="Times New Roman"/>
          <w:b w:val="0"/>
          <w:bCs w:val="0"/>
        </w:rPr>
        <w:t>职能简介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rPr>
        <w:t>统一组织、规划、部署州直机关党的工作。提出加强和改进机关党的建设的意见和建议，研究制定工作规划，并抓好组织实施。指导州直机关党的政治建设、思想建设、组织建设、作风建设、纪律建设，把制度建设贯穿其中，深入推进反腐败斗争。指导州直部门各级党组织和广大党员学习马列主义、毛泽东思想、邓小平理论、“三个代表”重要思想、科学发展观、习近平新时代中国特色社会主义思想。对州直部门各级党组织党员领导干部落实党建责任制、遵守政治纪律和政治规矩的情况进行监督检查，并向州委报告。指导州直机关各党组织实施对党员特别是党员领导干部的监督和管理，及时向州委反映各部门领导班子、领导干部的情况。配合州级有关部门抓好领导班子思想政治建设，参与对领导干部民主生活会和各党委党组中心组学习的督促检查和指导。按权限审批州直机关基层党组织的建立和领导班子的人选组成。指导各级党组织加强基层组织建设，做好党员发展、教育和管理等工作。领导州直机关党的纪律检查工作，按权限和程序审议、查办党员违纪违法案件。指导州直机关党组织抓好党员和干部的学习，组织实施机关党员、入党积极分子、党务干部、驻村干部和全州工委系统的教育培训。指导州直机关青年、妇女、统战等群团组织的工作。指导州直机关各部门加强思想政治工作和精神文明建设。完成州委交办的其他任务。</w:t>
      </w:r>
    </w:p>
    <w:p>
      <w:pPr>
        <w:pStyle w:val="4"/>
        <w:pageBreakBefore w:val="0"/>
        <w:kinsoku/>
        <w:overflowPunct/>
        <w:topLinePunct w:val="0"/>
        <w:bidi w:val="0"/>
        <w:spacing w:before="0" w:after="0"/>
        <w:ind w:firstLine="640" w:firstLineChars="200"/>
        <w:textAlignment w:val="auto"/>
        <w:rPr>
          <w:rFonts w:hint="default" w:ascii="Times New Roman" w:hAnsi="Times New Roman" w:eastAsia="黑体" w:cs="Times New Roman"/>
          <w:b w:val="0"/>
        </w:rPr>
      </w:pPr>
      <w:r>
        <w:rPr>
          <w:rFonts w:hint="default" w:ascii="Times New Roman" w:hAnsi="Times New Roman" w:eastAsia="黑体" w:cs="Times New Roman"/>
          <w:b w:val="0"/>
        </w:rPr>
        <w:t>二、2021年重点工作</w:t>
      </w:r>
      <w:bookmarkEnd w:id="15"/>
      <w:bookmarkEnd w:id="16"/>
      <w:r>
        <w:rPr>
          <w:rFonts w:hint="default" w:ascii="Times New Roman" w:hAnsi="Times New Roman" w:eastAsia="黑体" w:cs="Times New Roman"/>
          <w:b w:val="0"/>
        </w:rPr>
        <w:t>完成情况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lang w:val="en-US" w:eastAsia="zh-CN"/>
          <w14:textFill>
            <w14:solidFill>
              <w14:schemeClr w14:val="tx1"/>
            </w14:solidFill>
          </w14:textFill>
        </w:rPr>
        <w:t>一</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持续用力推进政治建设。</w:t>
      </w:r>
      <w:r>
        <w:rPr>
          <w:rFonts w:hint="default" w:ascii="Times New Roman" w:hAnsi="Times New Roman" w:eastAsia="楷体_GB2312" w:cs="Times New Roman"/>
          <w:b/>
          <w:color w:val="000000" w:themeColor="text1"/>
          <w:sz w:val="32"/>
          <w:szCs w:val="32"/>
          <w:u w:val="none"/>
          <w14:textFill>
            <w14:solidFill>
              <w14:schemeClr w14:val="tx1"/>
            </w14:solidFill>
          </w14:textFill>
        </w:rPr>
        <w:t>一是带头践行“两个维护”。</w:t>
      </w:r>
      <w:r>
        <w:rPr>
          <w:rFonts w:hint="default" w:ascii="Times New Roman" w:hAnsi="Times New Roman" w:eastAsia="仿宋_GB2312" w:cs="Times New Roman"/>
          <w:color w:val="000000" w:themeColor="text1"/>
          <w:sz w:val="32"/>
          <w:szCs w:val="32"/>
          <w:u w:val="none"/>
          <w14:textFill>
            <w14:solidFill>
              <w14:schemeClr w14:val="tx1"/>
            </w14:solidFill>
          </w14:textFill>
        </w:rPr>
        <w:t>督促州直各部门</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把</w:t>
      </w:r>
      <w:r>
        <w:rPr>
          <w:rFonts w:hint="default" w:ascii="Times New Roman" w:hAnsi="Times New Roman" w:eastAsia="仿宋_GB2312" w:cs="Times New Roman"/>
          <w:color w:val="000000" w:themeColor="text1"/>
          <w:sz w:val="32"/>
          <w:szCs w:val="32"/>
          <w:u w:val="none"/>
          <w14:textFill>
            <w14:solidFill>
              <w14:schemeClr w14:val="tx1"/>
            </w14:solidFill>
          </w14:textFill>
        </w:rPr>
        <w:t>学习贯彻习近平新时代中国特色社会主义思想、习近平总书记最新重要讲话和指示批示精神作为部门党组（党委）理论学习中心组“第一议题”，</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不断提高政治判断力、政治领悟力、政治执行力，</w:t>
      </w:r>
      <w:r>
        <w:rPr>
          <w:rFonts w:hint="default" w:ascii="Times New Roman" w:hAnsi="Times New Roman" w:eastAsia="仿宋_GB2312" w:cs="Times New Roman"/>
          <w:color w:val="000000" w:themeColor="text1"/>
          <w:sz w:val="32"/>
          <w:szCs w:val="32"/>
          <w:u w:val="none"/>
          <w14:textFill>
            <w14:solidFill>
              <w14:schemeClr w14:val="tx1"/>
            </w14:solidFill>
          </w14:textFill>
        </w:rPr>
        <w:t>有力推动我州疫情防控和经济社会发展、森林草原防灭火等重大部署落地落实</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指导</w:t>
      </w:r>
      <w:r>
        <w:rPr>
          <w:rFonts w:hint="default" w:ascii="Times New Roman" w:hAnsi="Times New Roman" w:eastAsia="仿宋_GB2312" w:cs="Times New Roman"/>
          <w:color w:val="000000" w:themeColor="text1"/>
          <w:sz w:val="32"/>
          <w:szCs w:val="32"/>
          <w:u w:val="none"/>
          <w14:textFill>
            <w14:solidFill>
              <w14:schemeClr w14:val="tx1"/>
            </w14:solidFill>
          </w14:textFill>
        </w:rPr>
        <w:t>州直</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各</w:t>
      </w:r>
      <w:r>
        <w:rPr>
          <w:rFonts w:hint="default" w:ascii="Times New Roman" w:hAnsi="Times New Roman" w:eastAsia="仿宋_GB2312" w:cs="Times New Roman"/>
          <w:color w:val="000000" w:themeColor="text1"/>
          <w:sz w:val="32"/>
          <w:szCs w:val="32"/>
          <w:u w:val="none"/>
          <w14:textFill>
            <w14:solidFill>
              <w14:schemeClr w14:val="tx1"/>
            </w14:solidFill>
          </w14:textFill>
        </w:rPr>
        <w:t>部门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运用红色教育基地开展党性现场教育300余次，促进党员干部</w:t>
      </w:r>
      <w:r>
        <w:rPr>
          <w:rFonts w:hint="default" w:ascii="Times New Roman" w:hAnsi="Times New Roman" w:eastAsia="仿宋_GB2312" w:cs="Times New Roman"/>
          <w:color w:val="000000" w:themeColor="text1"/>
          <w:sz w:val="32"/>
          <w:szCs w:val="32"/>
          <w:u w:val="none"/>
          <w14:textFill>
            <w14:solidFill>
              <w14:schemeClr w14:val="tx1"/>
            </w14:solidFill>
          </w14:textFill>
        </w:rPr>
        <w:t>传承红色基因，强化党性锻炼。</w:t>
      </w:r>
      <w:r>
        <w:rPr>
          <w:rFonts w:hint="default" w:ascii="Times New Roman" w:hAnsi="Times New Roman" w:eastAsia="仿宋_GB2312" w:cs="Times New Roman"/>
          <w:b w:val="0"/>
          <w:bCs w:val="0"/>
          <w:sz w:val="32"/>
          <w:szCs w:val="32"/>
          <w:u w:val="none"/>
        </w:rPr>
        <w:t>组织</w:t>
      </w:r>
      <w:r>
        <w:rPr>
          <w:rFonts w:hint="default" w:ascii="Times New Roman" w:hAnsi="Times New Roman" w:eastAsia="仿宋_GB2312" w:cs="Times New Roman"/>
          <w:b w:val="0"/>
          <w:bCs w:val="0"/>
          <w:sz w:val="32"/>
          <w:szCs w:val="32"/>
          <w:u w:val="none"/>
          <w:lang w:val="en-US" w:eastAsia="zh-CN"/>
        </w:rPr>
        <w:t>开展</w:t>
      </w:r>
      <w:r>
        <w:rPr>
          <w:rFonts w:hint="default" w:ascii="Times New Roman" w:hAnsi="Times New Roman" w:eastAsia="仿宋_GB2312" w:cs="Times New Roman"/>
          <w:sz w:val="32"/>
          <w:szCs w:val="32"/>
          <w:u w:val="none"/>
        </w:rPr>
        <w:t>习近平总书记“七一”重要讲话、党史学习教育专题宣讲</w:t>
      </w:r>
      <w:r>
        <w:rPr>
          <w:rFonts w:hint="default" w:ascii="Times New Roman" w:hAnsi="Times New Roman" w:eastAsia="仿宋_GB2312" w:cs="Times New Roman"/>
          <w:sz w:val="32"/>
          <w:szCs w:val="32"/>
          <w:u w:val="none"/>
          <w:lang w:val="en-US" w:eastAsia="zh-CN"/>
        </w:rPr>
        <w:t>等</w:t>
      </w:r>
      <w:r>
        <w:rPr>
          <w:rFonts w:hint="default" w:ascii="Times New Roman" w:hAnsi="Times New Roman" w:eastAsia="仿宋_GB2312" w:cs="Times New Roman"/>
          <w:sz w:val="32"/>
          <w:szCs w:val="32"/>
          <w:u w:val="none"/>
        </w:rPr>
        <w:t>５场次。</w:t>
      </w:r>
      <w:r>
        <w:rPr>
          <w:rFonts w:hint="default" w:ascii="Times New Roman" w:hAnsi="Times New Roman" w:eastAsia="楷体_GB2312" w:cs="Times New Roman"/>
          <w:b/>
          <w:color w:val="000000" w:themeColor="text1"/>
          <w:sz w:val="32"/>
          <w:szCs w:val="32"/>
          <w:u w:val="none"/>
          <w14:textFill>
            <w14:solidFill>
              <w14:schemeClr w14:val="tx1"/>
            </w14:solidFill>
          </w14:textFill>
        </w:rPr>
        <w:t>二是严守政治纪律规矩。</w:t>
      </w:r>
      <w:r>
        <w:rPr>
          <w:rFonts w:hint="default" w:ascii="Times New Roman" w:hAnsi="Times New Roman" w:eastAsia="仿宋_GB2312" w:cs="Times New Roman"/>
          <w:color w:val="000000" w:themeColor="text1"/>
          <w:sz w:val="32"/>
          <w:szCs w:val="32"/>
          <w:u w:val="none"/>
          <w14:textFill>
            <w14:solidFill>
              <w14:schemeClr w14:val="tx1"/>
            </w14:solidFill>
          </w14:textFill>
        </w:rPr>
        <w:t>督促州直部门党组织常态开展政治纪律和政治规矩学习，引导党员干部严格遵守党章党规。</w:t>
      </w:r>
      <w:r>
        <w:rPr>
          <w:rFonts w:hint="default" w:ascii="Times New Roman" w:hAnsi="Times New Roman" w:eastAsia="仿宋_GB2312" w:cs="Times New Roman"/>
          <w:color w:val="000000"/>
          <w:sz w:val="32"/>
          <w:szCs w:val="32"/>
          <w:u w:val="none"/>
        </w:rPr>
        <w:t>制定</w:t>
      </w:r>
      <w:r>
        <w:rPr>
          <w:rFonts w:hint="default" w:ascii="Times New Roman" w:hAnsi="Times New Roman" w:eastAsia="仿宋_GB2312" w:cs="Times New Roman"/>
          <w:b w:val="0"/>
          <w:bCs w:val="0"/>
          <w:color w:val="000000"/>
          <w:sz w:val="32"/>
          <w:szCs w:val="32"/>
          <w:u w:val="none"/>
          <w:lang w:val="en-US" w:eastAsia="zh-CN"/>
        </w:rPr>
        <w:t>《州直机关“四好一强”领导班子</w:t>
      </w:r>
      <w:r>
        <w:rPr>
          <w:rFonts w:hint="default" w:ascii="Times New Roman" w:hAnsi="Times New Roman" w:eastAsia="仿宋_GB2312" w:cs="Times New Roman"/>
          <w:b w:val="0"/>
          <w:bCs w:val="0"/>
          <w:color w:val="000000"/>
          <w:sz w:val="32"/>
          <w:szCs w:val="32"/>
          <w:u w:val="none"/>
          <w:lang w:eastAsia="zh-CN"/>
        </w:rPr>
        <w:t>建设</w:t>
      </w:r>
      <w:r>
        <w:rPr>
          <w:rFonts w:hint="default" w:ascii="Times New Roman" w:hAnsi="Times New Roman" w:eastAsia="仿宋_GB2312" w:cs="Times New Roman"/>
          <w:b w:val="0"/>
          <w:bCs w:val="0"/>
          <w:color w:val="000000"/>
          <w:sz w:val="32"/>
          <w:szCs w:val="32"/>
          <w:u w:val="none"/>
          <w:lang w:val="en-US" w:eastAsia="zh-CN"/>
        </w:rPr>
        <w:t>实施</w:t>
      </w:r>
      <w:r>
        <w:rPr>
          <w:rFonts w:hint="default" w:ascii="Times New Roman" w:hAnsi="Times New Roman" w:eastAsia="仿宋_GB2312" w:cs="Times New Roman"/>
          <w:b w:val="0"/>
          <w:bCs w:val="0"/>
          <w:color w:val="000000"/>
          <w:sz w:val="32"/>
          <w:szCs w:val="32"/>
          <w:u w:val="none"/>
          <w:lang w:eastAsia="zh-CN"/>
        </w:rPr>
        <w:t>方案</w:t>
      </w:r>
      <w:r>
        <w:rPr>
          <w:rFonts w:hint="default" w:ascii="Times New Roman" w:hAnsi="Times New Roman" w:eastAsia="仿宋_GB2312" w:cs="Times New Roman"/>
          <w:b w:val="0"/>
          <w:bCs w:val="0"/>
          <w:color w:val="000000"/>
          <w:sz w:val="32"/>
          <w:szCs w:val="32"/>
          <w:u w:val="none"/>
          <w:lang w:val="en-US" w:eastAsia="zh-CN"/>
        </w:rPr>
        <w:t>》</w:t>
      </w:r>
      <w:r>
        <w:rPr>
          <w:rFonts w:hint="default" w:ascii="Times New Roman" w:hAnsi="Times New Roman" w:eastAsia="仿宋_GB2312" w:cs="Times New Roman"/>
          <w:b w:val="0"/>
          <w:bCs w:val="0"/>
          <w:color w:val="000000"/>
          <w:sz w:val="32"/>
          <w:szCs w:val="32"/>
          <w:u w:val="none"/>
          <w:lang w:eastAsia="zh-CN"/>
        </w:rPr>
        <w:t>，致力把部门</w:t>
      </w:r>
      <w:r>
        <w:rPr>
          <w:rFonts w:hint="default" w:ascii="Times New Roman" w:hAnsi="Times New Roman" w:eastAsia="仿宋_GB2312" w:cs="Times New Roman"/>
          <w:b w:val="0"/>
          <w:bCs w:val="0"/>
          <w:color w:val="000000"/>
          <w:sz w:val="32"/>
          <w:szCs w:val="32"/>
          <w:u w:val="none"/>
          <w:lang w:val="en-US" w:eastAsia="zh-CN"/>
        </w:rPr>
        <w:t>领导班子</w:t>
      </w:r>
      <w:r>
        <w:rPr>
          <w:rFonts w:hint="default" w:ascii="Times New Roman" w:hAnsi="Times New Roman" w:eastAsia="仿宋_GB2312" w:cs="Times New Roman"/>
          <w:b w:val="0"/>
          <w:bCs w:val="0"/>
          <w:color w:val="000000"/>
          <w:sz w:val="32"/>
          <w:szCs w:val="32"/>
          <w:u w:val="none"/>
          <w:lang w:eastAsia="zh-CN"/>
        </w:rPr>
        <w:t>建成政治坚定好、学习创新好、勤政为民好、清正廉洁好、执政本领强的</w:t>
      </w:r>
      <w:r>
        <w:rPr>
          <w:rFonts w:hint="default" w:ascii="Times New Roman" w:hAnsi="Times New Roman" w:eastAsia="仿宋_GB2312" w:cs="Times New Roman"/>
          <w:b w:val="0"/>
          <w:bCs w:val="0"/>
          <w:color w:val="000000"/>
          <w:sz w:val="32"/>
          <w:szCs w:val="32"/>
          <w:u w:val="none"/>
        </w:rPr>
        <w:t>坚强领导集体</w:t>
      </w:r>
      <w:r>
        <w:rPr>
          <w:rFonts w:hint="default" w:ascii="Times New Roman" w:hAnsi="Times New Roman" w:eastAsia="仿宋_GB2312" w:cs="Times New Roman"/>
          <w:color w:val="000000" w:themeColor="text1"/>
          <w:sz w:val="32"/>
          <w:szCs w:val="32"/>
          <w:u w:val="none"/>
          <w14:textFill>
            <w14:solidFill>
              <w14:schemeClr w14:val="tx1"/>
            </w14:solidFill>
          </w14:textFill>
        </w:rPr>
        <w:t>。</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三是严肃党内政治生活。</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全面</w:t>
      </w:r>
      <w:r>
        <w:rPr>
          <w:rFonts w:hint="default" w:ascii="Times New Roman" w:hAnsi="Times New Roman" w:eastAsia="仿宋_GB2312" w:cs="Times New Roman"/>
          <w:color w:val="000000" w:themeColor="text1"/>
          <w:sz w:val="32"/>
          <w:szCs w:val="32"/>
          <w:u w:val="none"/>
          <w14:textFill>
            <w14:solidFill>
              <w14:schemeClr w14:val="tx1"/>
            </w14:solidFill>
          </w14:textFill>
        </w:rPr>
        <w:t>推行党员领导干部参加双重组织生活情况在本部门公示通报和向州直机关工委报告审查机制，</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促进</w:t>
      </w:r>
      <w:r>
        <w:rPr>
          <w:rFonts w:hint="default" w:ascii="Times New Roman" w:hAnsi="Times New Roman" w:eastAsia="仿宋_GB2312" w:cs="Times New Roman"/>
          <w:color w:val="000000" w:themeColor="text1"/>
          <w:sz w:val="32"/>
          <w:szCs w:val="32"/>
          <w:u w:val="none"/>
          <w14:textFill>
            <w14:solidFill>
              <w14:schemeClr w14:val="tx1"/>
            </w14:solidFill>
          </w14:textFill>
        </w:rPr>
        <w:t>党员领导干部落实双重组织生活制度</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sz w:val="32"/>
          <w:szCs w:val="32"/>
          <w:u w:val="none"/>
          <w:lang w:val="en-US" w:eastAsia="zh-CN"/>
        </w:rPr>
        <w:t>推动党内政治生活严实开展</w:t>
      </w:r>
      <w:r>
        <w:rPr>
          <w:rFonts w:hint="default" w:ascii="Times New Roman" w:hAnsi="Times New Roman" w:eastAsia="仿宋_GB2312" w:cs="Times New Roman"/>
          <w:sz w:val="32"/>
          <w:szCs w:val="32"/>
          <w:u w:val="none"/>
        </w:rPr>
        <w:t>。</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lang w:val="en-US" w:eastAsia="zh-CN"/>
          <w14:textFill>
            <w14:solidFill>
              <w14:schemeClr w14:val="tx1"/>
            </w14:solidFill>
          </w14:textFill>
        </w:rPr>
        <w:t>二</w:t>
      </w: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14:textFill>
            <w14:solidFill>
              <w14:schemeClr w14:val="tx1"/>
            </w14:solidFill>
          </w14:textFill>
        </w:rPr>
        <w:t>扎实推动庆祝建党100周年纪念活动和党史学习教育。</w:t>
      </w:r>
      <w:r>
        <w:rPr>
          <w:rFonts w:hint="default" w:ascii="Times New Roman" w:hAnsi="Times New Roman" w:eastAsia="仿宋_GB2312" w:cs="Times New Roman"/>
          <w:bCs/>
          <w:color w:val="000000" w:themeColor="text1"/>
          <w:sz w:val="32"/>
          <w:szCs w:val="32"/>
          <w:u w:val="none"/>
          <w14:textFill>
            <w14:solidFill>
              <w14:schemeClr w14:val="tx1"/>
            </w14:solidFill>
          </w14:textFill>
        </w:rPr>
        <w:t>制定《全州机关开展党史学习教育的指导方案》，聚焦6项重点工作，</w:t>
      </w:r>
      <w:r>
        <w:rPr>
          <w:rFonts w:hint="default" w:ascii="Times New Roman" w:hAnsi="Times New Roman" w:eastAsia="仿宋_GB2312" w:cs="Times New Roman"/>
          <w:color w:val="000000" w:themeColor="text1"/>
          <w:sz w:val="32"/>
          <w:szCs w:val="32"/>
          <w:u w:val="none"/>
          <w14:textFill>
            <w14:solidFill>
              <w14:schemeClr w14:val="tx1"/>
            </w14:solidFill>
          </w14:textFill>
        </w:rPr>
        <w:t>全覆盖开展督导工作，督促州直部门完善实施方案、制定任务清单、细化工作举措，确保党史学习教育规定动作落地落实。</w:t>
      </w:r>
      <w:r>
        <w:rPr>
          <w:rFonts w:hint="default" w:ascii="Times New Roman" w:hAnsi="Times New Roman" w:eastAsia="仿宋_GB2312" w:cs="Times New Roman"/>
          <w:color w:val="000000" w:themeColor="text1"/>
          <w:sz w:val="32"/>
          <w:szCs w:val="32"/>
          <w14:textFill>
            <w14:solidFill>
              <w14:schemeClr w14:val="tx1"/>
            </w14:solidFill>
          </w14:textFill>
        </w:rPr>
        <w:t>在全州机关开展“讴歌百年辉煌、奋进崭新征程”征文活动，征集作品217篇，组织专家评选获奖作品66篇。积极筹备、成功举办州直机关“学党史、颂党恩、永远跟党走”演讲比赛，通过各共建组初赛，12名优秀选手脱颖而出，决赛现场200余名观众热情互动，1.83万名观众通过网络直播观看比赛，引导党员干部讲好党史故事、接续砥砺奋进。在《阿坝日报》开辟专栏，连载刊登</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23篇</w:t>
      </w:r>
      <w:r>
        <w:rPr>
          <w:rFonts w:hint="default" w:ascii="Times New Roman" w:hAnsi="Times New Roman" w:eastAsia="仿宋_GB2312" w:cs="Times New Roman"/>
          <w:color w:val="000000" w:themeColor="text1"/>
          <w:sz w:val="32"/>
          <w:szCs w:val="32"/>
          <w14:textFill>
            <w14:solidFill>
              <w14:schemeClr w14:val="tx1"/>
            </w14:solidFill>
          </w14:textFill>
        </w:rPr>
        <w:t>优秀征文作品和演讲稿，大力营造见贤思齐、比学赶超的浓厚氛围。精心组织、圆满举办州直机关“颂歌献给党”歌咏比赛，1300余名现场观众、2.7万名网络观众同步观看比赛实况，网络抖音平台超过55万名观众转发点赞，激励党员干部唱响主旋律、凝聚正能量。</w:t>
      </w:r>
      <w:r>
        <w:rPr>
          <w:rFonts w:hint="default" w:ascii="Times New Roman" w:hAnsi="Times New Roman" w:eastAsia="仿宋_GB2312" w:cs="Times New Roman"/>
          <w:color w:val="000000" w:themeColor="text1"/>
          <w:sz w:val="32"/>
          <w:szCs w:val="32"/>
          <w:u w:val="none"/>
          <w14:textFill>
            <w14:solidFill>
              <w14:schemeClr w14:val="tx1"/>
            </w14:solidFill>
          </w14:textFill>
        </w:rPr>
        <w:t>督促各部门将</w:t>
      </w:r>
      <w:r>
        <w:rPr>
          <w:rFonts w:hint="default" w:ascii="Times New Roman" w:hAnsi="Times New Roman" w:eastAsia="仿宋_GB2312" w:cs="Times New Roman"/>
          <w:sz w:val="32"/>
          <w:szCs w:val="32"/>
          <w:u w:val="none"/>
        </w:rPr>
        <w:t>习近平总书记“七一”重要讲话</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百年党史4个时期专题列入理论学习中心组必学内容，</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认真学习领会习近平总书记重要讲话精神，</w:t>
      </w:r>
      <w:r>
        <w:rPr>
          <w:rFonts w:hint="default" w:ascii="Times New Roman" w:hAnsi="Times New Roman" w:eastAsia="仿宋_GB2312" w:cs="Times New Roman"/>
          <w:bCs/>
          <w:color w:val="000000" w:themeColor="text1"/>
          <w:sz w:val="32"/>
          <w:szCs w:val="32"/>
          <w:u w:val="none"/>
          <w14:textFill>
            <w14:solidFill>
              <w14:schemeClr w14:val="tx1"/>
            </w14:solidFill>
          </w14:textFill>
        </w:rPr>
        <w:t>巩固提升学习成果</w:t>
      </w:r>
      <w:r>
        <w:rPr>
          <w:rFonts w:hint="default" w:ascii="Times New Roman" w:hAnsi="Times New Roman" w:eastAsia="仿宋_GB2312" w:cs="Times New Roman"/>
          <w:color w:val="000000" w:themeColor="text1"/>
          <w:sz w:val="32"/>
          <w:szCs w:val="32"/>
          <w:u w:val="none"/>
          <w14:textFill>
            <w14:solidFill>
              <w14:schemeClr w14:val="tx1"/>
            </w14:solidFill>
          </w14:textFill>
        </w:rPr>
        <w:t>。组织2980</w:t>
      </w:r>
      <w:r>
        <w:rPr>
          <w:rFonts w:hint="default" w:ascii="Times New Roman" w:hAnsi="Times New Roman" w:eastAsia="仿宋_GB2312" w:cs="Times New Roman"/>
          <w:bCs/>
          <w:color w:val="000000" w:themeColor="text1"/>
          <w:sz w:val="32"/>
          <w:szCs w:val="32"/>
          <w:u w:val="none"/>
          <w14:textFill>
            <w14:solidFill>
              <w14:schemeClr w14:val="tx1"/>
            </w14:solidFill>
          </w14:textFill>
        </w:rPr>
        <w:t>名</w:t>
      </w:r>
      <w:r>
        <w:rPr>
          <w:rFonts w:hint="default" w:ascii="Times New Roman" w:hAnsi="Times New Roman" w:eastAsia="仿宋_GB2312" w:cs="Times New Roman"/>
          <w:color w:val="000000" w:themeColor="text1"/>
          <w:sz w:val="32"/>
          <w:szCs w:val="32"/>
          <w:u w:val="none"/>
          <w14:textFill>
            <w14:solidFill>
              <w14:schemeClr w14:val="tx1"/>
            </w14:solidFill>
          </w14:textFill>
        </w:rPr>
        <w:t>党员干部参与党史知识线上答题活动，</w:t>
      </w:r>
      <w:r>
        <w:rPr>
          <w:rFonts w:hint="default" w:ascii="Times New Roman" w:hAnsi="Times New Roman" w:eastAsia="仿宋_GB2312" w:cs="Times New Roman"/>
          <w:bCs/>
          <w:color w:val="000000" w:themeColor="text1"/>
          <w:sz w:val="32"/>
          <w:szCs w:val="32"/>
          <w:u w:val="none"/>
          <w14:textFill>
            <w14:solidFill>
              <w14:schemeClr w14:val="tx1"/>
            </w14:solidFill>
          </w14:textFill>
        </w:rPr>
        <w:t>各部门自主开展宣讲142场，</w:t>
      </w:r>
      <w:r>
        <w:rPr>
          <w:rFonts w:hint="default" w:ascii="Times New Roman" w:hAnsi="Times New Roman" w:eastAsia="仿宋_GB2312" w:cs="Times New Roman"/>
          <w:color w:val="000000" w:themeColor="text1"/>
          <w:sz w:val="32"/>
          <w:szCs w:val="32"/>
          <w:u w:val="none"/>
          <w14:textFill>
            <w14:solidFill>
              <w14:schemeClr w14:val="tx1"/>
            </w14:solidFill>
          </w14:textFill>
        </w:rPr>
        <w:t>引导党员干部先学一步、学深一层。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深化“我为群众办实事”实践活动，</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扎实开展</w:t>
      </w:r>
      <w:r>
        <w:rPr>
          <w:rFonts w:hint="default" w:ascii="Times New Roman" w:hAnsi="Times New Roman" w:eastAsia="仿宋_GB2312" w:cs="Times New Roman"/>
          <w:bCs/>
          <w:color w:val="000000" w:themeColor="text1"/>
          <w:sz w:val="32"/>
          <w:szCs w:val="32"/>
          <w:u w:val="none"/>
          <w14:textFill>
            <w14:solidFill>
              <w14:schemeClr w14:val="tx1"/>
            </w14:solidFill>
          </w14:textFill>
        </w:rPr>
        <w:t>创建“党员先锋示范岗”为民服务工作，推动党员干部“亮身份、树形象、显作用”，评选“党员先锋示范岗”574个。</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制定《州直机关党组织和党员到社区开展“双报到”活动工作方案》，推动各级党组织</w:t>
      </w:r>
      <w:r>
        <w:rPr>
          <w:rFonts w:hint="default" w:ascii="Times New Roman" w:hAnsi="Times New Roman" w:eastAsia="仿宋_GB2312" w:cs="Times New Roman"/>
          <w:sz w:val="32"/>
          <w:szCs w:val="32"/>
          <w:u w:val="none"/>
        </w:rPr>
        <w:t>开展志愿服务228次，收集社情民意379条，办实事413件。</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bCs/>
          <w:color w:val="000000" w:themeColor="text1"/>
          <w:sz w:val="32"/>
          <w:szCs w:val="32"/>
          <w:u w:val="none"/>
          <w14:textFill>
            <w14:solidFill>
              <w14:schemeClr w14:val="tx1"/>
            </w14:solidFill>
          </w14:textFill>
        </w:rPr>
      </w:pP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lang w:val="en-US" w:eastAsia="zh-CN"/>
          <w14:textFill>
            <w14:solidFill>
              <w14:schemeClr w14:val="tx1"/>
            </w14:solidFill>
          </w14:textFill>
        </w:rPr>
        <w:t>三</w:t>
      </w: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14:textFill>
            <w14:solidFill>
              <w14:schemeClr w14:val="tx1"/>
            </w14:solidFill>
          </w14:textFill>
        </w:rPr>
        <w:t>坚持不懈深化理论武装。</w:t>
      </w:r>
      <w:r>
        <w:rPr>
          <w:rFonts w:hint="default" w:ascii="Times New Roman" w:hAnsi="Times New Roman" w:eastAsia="楷体_GB2312" w:cs="Times New Roman"/>
          <w:b/>
          <w:color w:val="000000" w:themeColor="text1"/>
          <w:sz w:val="32"/>
          <w:szCs w:val="32"/>
          <w:u w:val="none"/>
          <w14:textFill>
            <w14:solidFill>
              <w14:schemeClr w14:val="tx1"/>
            </w14:solidFill>
          </w14:textFill>
        </w:rPr>
        <w:t>一是深入学习贯彻党的创新理论。</w:t>
      </w:r>
      <w:r>
        <w:rPr>
          <w:rFonts w:hint="default" w:ascii="Times New Roman" w:hAnsi="Times New Roman" w:eastAsia="仿宋_GB2312" w:cs="Times New Roman"/>
          <w:bCs/>
          <w:color w:val="000000" w:themeColor="text1"/>
          <w:sz w:val="32"/>
          <w:szCs w:val="32"/>
          <w:u w:val="none"/>
          <w14:textFill>
            <w14:solidFill>
              <w14:schemeClr w14:val="tx1"/>
            </w14:solidFill>
          </w14:textFill>
        </w:rPr>
        <w:t>督促州直</w:t>
      </w:r>
      <w:r>
        <w:rPr>
          <w:rFonts w:hint="default" w:ascii="Times New Roman" w:hAnsi="Times New Roman" w:eastAsia="仿宋_GB2312" w:cs="Times New Roman"/>
          <w:color w:val="000000" w:themeColor="text1"/>
          <w:sz w:val="32"/>
          <w:szCs w:val="32"/>
          <w:u w:val="none"/>
          <w14:textFill>
            <w14:solidFill>
              <w14:schemeClr w14:val="tx1"/>
            </w14:solidFill>
          </w14:textFill>
        </w:rPr>
        <w:t>部门召开理论学习中心组会议，深入领会《习近平谈治国理政》第三卷等精神要义，</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指导</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机关青年理论学习小组开展专题学习400余次，扎实开展“三级书记讲党课”</w:t>
      </w:r>
      <w:r>
        <w:rPr>
          <w:rFonts w:hint="default" w:ascii="Times New Roman" w:hAnsi="Times New Roman" w:eastAsia="仿宋_GB2312" w:cs="Times New Roman"/>
          <w:sz w:val="32"/>
          <w:szCs w:val="32"/>
          <w:u w:val="none"/>
        </w:rPr>
        <w:t>460</w:t>
      </w:r>
      <w:r>
        <w:rPr>
          <w:rFonts w:hint="default" w:ascii="Times New Roman" w:hAnsi="Times New Roman" w:eastAsia="仿宋_GB2312" w:cs="Times New Roman"/>
          <w:sz w:val="32"/>
          <w:szCs w:val="32"/>
          <w:u w:val="none"/>
          <w:lang w:val="en-US" w:eastAsia="zh-CN"/>
        </w:rPr>
        <w:t>余</w:t>
      </w:r>
      <w:r>
        <w:rPr>
          <w:rFonts w:hint="default" w:ascii="Times New Roman" w:hAnsi="Times New Roman" w:eastAsia="仿宋_GB2312" w:cs="Times New Roman"/>
          <w:sz w:val="32"/>
          <w:szCs w:val="32"/>
          <w:u w:val="none"/>
        </w:rPr>
        <w:t>次</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推动党的创新理论入脑入心。</w:t>
      </w:r>
      <w:r>
        <w:rPr>
          <w:rFonts w:hint="default" w:ascii="Times New Roman" w:hAnsi="Times New Roman" w:eastAsia="仿宋_GB2312" w:cs="Times New Roman"/>
          <w:bCs/>
          <w:color w:val="000000" w:themeColor="text1"/>
          <w:sz w:val="32"/>
          <w:szCs w:val="32"/>
          <w:u w:val="none"/>
          <w14:textFill>
            <w14:solidFill>
              <w14:schemeClr w14:val="tx1"/>
            </w14:solidFill>
          </w14:textFill>
        </w:rPr>
        <w:t>举办州直机关学习贯彻州委十一届十次全会精神专题宣讲2场</w:t>
      </w:r>
      <w:r>
        <w:rPr>
          <w:rFonts w:hint="default" w:ascii="Times New Roman" w:hAnsi="Times New Roman" w:eastAsia="楷体_GB2312" w:cs="Times New Roman"/>
          <w:b w:val="0"/>
          <w:bCs/>
          <w:color w:val="000000" w:themeColor="text1"/>
          <w:sz w:val="32"/>
          <w:szCs w:val="32"/>
          <w:u w:val="none"/>
          <w14:textFill>
            <w14:solidFill>
              <w14:schemeClr w14:val="tx1"/>
            </w14:solidFill>
          </w14:textFill>
        </w:rPr>
        <w:t>，</w:t>
      </w:r>
      <w:r>
        <w:rPr>
          <w:rFonts w:hint="default" w:ascii="Times New Roman" w:hAnsi="Times New Roman" w:eastAsia="仿宋_GB2312" w:cs="Times New Roman"/>
          <w:bCs/>
          <w:color w:val="000000" w:themeColor="text1"/>
          <w:sz w:val="32"/>
          <w:szCs w:val="32"/>
          <w:u w:val="none"/>
          <w14:textFill>
            <w14:solidFill>
              <w14:schemeClr w14:val="tx1"/>
            </w14:solidFill>
          </w14:textFill>
        </w:rPr>
        <w:t>推动党的创新理论学习走深走实。</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督促</w:t>
      </w:r>
      <w:r>
        <w:rPr>
          <w:rFonts w:hint="default" w:ascii="Times New Roman" w:hAnsi="Times New Roman" w:eastAsia="仿宋_GB2312" w:cs="Times New Roman"/>
          <w:bCs/>
          <w:color w:val="000000" w:themeColor="text1"/>
          <w:sz w:val="32"/>
          <w:szCs w:val="32"/>
          <w:u w:val="none"/>
          <w14:textFill>
            <w14:solidFill>
              <w14:schemeClr w14:val="tx1"/>
            </w14:solidFill>
          </w14:textFill>
        </w:rPr>
        <w:t>州直</w:t>
      </w:r>
      <w:r>
        <w:rPr>
          <w:rFonts w:hint="default" w:ascii="Times New Roman" w:hAnsi="Times New Roman" w:eastAsia="仿宋_GB2312" w:cs="Times New Roman"/>
          <w:color w:val="000000" w:themeColor="text1"/>
          <w:sz w:val="32"/>
          <w:szCs w:val="32"/>
          <w:u w:val="none"/>
          <w14:textFill>
            <w14:solidFill>
              <w14:schemeClr w14:val="tx1"/>
            </w14:solidFill>
          </w14:textFill>
        </w:rPr>
        <w:t>部门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党支部开展集中学习1700余次，引导党员干部深入学习习近平新时代中国特色社会主义思想，</w:t>
      </w:r>
      <w:r>
        <w:rPr>
          <w:rFonts w:hint="default" w:ascii="Times New Roman" w:hAnsi="Times New Roman" w:eastAsia="仿宋_GB2312" w:cs="Times New Roman"/>
          <w:bCs/>
          <w:color w:val="000000" w:themeColor="text1"/>
          <w:sz w:val="32"/>
          <w:szCs w:val="32"/>
          <w:u w:val="none"/>
          <w14:textFill>
            <w14:solidFill>
              <w14:schemeClr w14:val="tx1"/>
            </w14:solidFill>
          </w14:textFill>
        </w:rPr>
        <w:t>做到常学常新、常悟常得。</w:t>
      </w:r>
      <w:r>
        <w:rPr>
          <w:rFonts w:hint="default" w:ascii="Times New Roman" w:hAnsi="Times New Roman" w:eastAsia="楷体_GB2312" w:cs="Times New Roman"/>
          <w:b/>
          <w:color w:val="000000" w:themeColor="text1"/>
          <w:sz w:val="32"/>
          <w:szCs w:val="32"/>
          <w:u w:val="none"/>
          <w14:textFill>
            <w14:solidFill>
              <w14:schemeClr w14:val="tx1"/>
            </w14:solidFill>
          </w14:textFill>
        </w:rPr>
        <w:t>二是全面提升意识形态工作水平。</w:t>
      </w:r>
      <w:r>
        <w:rPr>
          <w:rFonts w:hint="default" w:ascii="Times New Roman" w:hAnsi="Times New Roman" w:eastAsia="仿宋_GB2312" w:cs="Times New Roman"/>
          <w:color w:val="000000" w:themeColor="text1"/>
          <w:sz w:val="32"/>
          <w:szCs w:val="32"/>
          <w:u w:val="none"/>
          <w14:textFill>
            <w14:solidFill>
              <w14:schemeClr w14:val="tx1"/>
            </w14:solidFill>
          </w14:textFill>
        </w:rPr>
        <w:t>坚持把意识形态工作纳入机关党建整体部署，严格落实部门党组（党委）意识形态工作责任制，</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在党务干部培训中，专题讲授意识形态工作课程，努力提高党务干部抓意识形态工作的能力。</w:t>
      </w:r>
      <w:r>
        <w:rPr>
          <w:rFonts w:hint="default" w:ascii="Times New Roman" w:hAnsi="Times New Roman" w:eastAsia="仿宋_GB2312" w:cs="Times New Roman"/>
          <w:color w:val="000000" w:themeColor="text1"/>
          <w:kern w:val="56"/>
          <w:sz w:val="32"/>
          <w:szCs w:val="32"/>
          <w:u w:val="none"/>
          <w14:textFill>
            <w14:solidFill>
              <w14:schemeClr w14:val="tx1"/>
            </w14:solidFill>
          </w14:textFill>
        </w:rPr>
        <w:t>组织州直机关54名</w:t>
      </w:r>
      <w:r>
        <w:rPr>
          <w:rFonts w:hint="default" w:ascii="Times New Roman" w:hAnsi="Times New Roman" w:eastAsia="仿宋_GB2312" w:cs="Times New Roman"/>
          <w:color w:val="000000" w:themeColor="text1"/>
          <w:kern w:val="0"/>
          <w:sz w:val="32"/>
          <w:szCs w:val="32"/>
          <w:u w:val="none"/>
          <w14:textFill>
            <w14:solidFill>
              <w14:schemeClr w14:val="tx1"/>
            </w14:solidFill>
          </w14:textFill>
        </w:rPr>
        <w:t>团员青年</w:t>
      </w:r>
      <w:r>
        <w:rPr>
          <w:rFonts w:hint="default" w:ascii="Times New Roman" w:hAnsi="Times New Roman" w:eastAsia="仿宋_GB2312" w:cs="Times New Roman"/>
          <w:color w:val="000000" w:themeColor="text1"/>
          <w:kern w:val="56"/>
          <w:sz w:val="32"/>
          <w:szCs w:val="32"/>
          <w:u w:val="none"/>
          <w14:textFill>
            <w14:solidFill>
              <w14:schemeClr w14:val="tx1"/>
            </w14:solidFill>
          </w14:textFill>
        </w:rPr>
        <w:t>开展</w:t>
      </w:r>
      <w:r>
        <w:rPr>
          <w:rFonts w:hint="default" w:ascii="Times New Roman" w:hAnsi="Times New Roman" w:eastAsia="仿宋_GB2312" w:cs="Times New Roman"/>
          <w:color w:val="000000" w:themeColor="text1"/>
          <w:sz w:val="32"/>
          <w:szCs w:val="32"/>
          <w:u w:val="none"/>
          <w14:textFill>
            <w14:solidFill>
              <w14:schemeClr w14:val="tx1"/>
            </w14:solidFill>
          </w14:textFill>
        </w:rPr>
        <w:t>“寻访红色足迹·弘扬长征精神”主题教育活动，激励团员青年立足岗位、干事创业。</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举办“和谐家庭建设”专题讲座，280余名州直机关妇委会主任、妇代小组组长聆听讲座。</w:t>
      </w:r>
      <w:r>
        <w:rPr>
          <w:rFonts w:hint="default" w:ascii="Times New Roman" w:hAnsi="Times New Roman" w:eastAsia="仿宋_GB2312" w:cs="Times New Roman"/>
          <w:sz w:val="32"/>
          <w:szCs w:val="32"/>
          <w:u w:val="none"/>
        </w:rPr>
        <w:t>围绕“立足岗位强本领、稳州兴州作贡献”主题，举办阿坝州第</w:t>
      </w:r>
      <w:r>
        <w:rPr>
          <w:rFonts w:hint="default" w:ascii="Times New Roman" w:hAnsi="Times New Roman" w:eastAsia="仿宋_GB2312" w:cs="Times New Roman"/>
          <w:sz w:val="32"/>
          <w:szCs w:val="32"/>
          <w:u w:val="none"/>
          <w:lang w:val="en-US" w:eastAsia="zh-CN"/>
        </w:rPr>
        <w:t>二</w:t>
      </w:r>
      <w:r>
        <w:rPr>
          <w:rFonts w:hint="default" w:ascii="Times New Roman" w:hAnsi="Times New Roman" w:eastAsia="仿宋_GB2312" w:cs="Times New Roman"/>
          <w:sz w:val="32"/>
          <w:szCs w:val="32"/>
          <w:u w:val="none"/>
        </w:rPr>
        <w:t>届机关公文写作培训暨技能大赛，州县</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市</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机关1</w:t>
      </w:r>
      <w:r>
        <w:rPr>
          <w:rFonts w:hint="default" w:ascii="Times New Roman" w:hAnsi="Times New Roman" w:eastAsia="仿宋_GB2312" w:cs="Times New Roman"/>
          <w:sz w:val="32"/>
          <w:szCs w:val="32"/>
          <w:u w:val="none"/>
          <w:lang w:val="en-US" w:eastAsia="zh-CN"/>
        </w:rPr>
        <w:t>41</w:t>
      </w:r>
      <w:r>
        <w:rPr>
          <w:rFonts w:hint="default" w:ascii="Times New Roman" w:hAnsi="Times New Roman" w:eastAsia="仿宋_GB2312" w:cs="Times New Roman"/>
          <w:sz w:val="32"/>
          <w:szCs w:val="32"/>
          <w:u w:val="none"/>
        </w:rPr>
        <w:t>名年轻干部参加培训和比赛活动。</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三是加大党建工作宣传力度。</w:t>
      </w:r>
      <w:r>
        <w:rPr>
          <w:rFonts w:hint="default" w:ascii="Times New Roman" w:hAnsi="Times New Roman" w:eastAsia="仿宋_GB2312" w:cs="Times New Roman"/>
          <w:bCs/>
          <w:color w:val="000000" w:themeColor="text1"/>
          <w:sz w:val="32"/>
          <w:szCs w:val="32"/>
          <w:u w:val="none"/>
          <w14:textFill>
            <w14:solidFill>
              <w14:schemeClr w14:val="tx1"/>
            </w14:solidFill>
          </w14:textFill>
        </w:rPr>
        <w:t>编发州直各部门工作信息</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104</w:t>
      </w:r>
      <w:r>
        <w:rPr>
          <w:rFonts w:hint="default" w:ascii="Times New Roman" w:hAnsi="Times New Roman" w:eastAsia="仿宋_GB2312" w:cs="Times New Roman"/>
          <w:bCs/>
          <w:color w:val="000000" w:themeColor="text1"/>
          <w:sz w:val="32"/>
          <w:szCs w:val="32"/>
          <w:u w:val="none"/>
          <w14:textFill>
            <w14:solidFill>
              <w14:schemeClr w14:val="tx1"/>
            </w14:solidFill>
          </w14:textFill>
        </w:rPr>
        <w:t>期</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630</w:t>
      </w:r>
      <w:r>
        <w:rPr>
          <w:rFonts w:hint="default" w:ascii="Times New Roman" w:hAnsi="Times New Roman" w:eastAsia="仿宋_GB2312" w:cs="Times New Roman"/>
          <w:bCs/>
          <w:color w:val="000000" w:themeColor="text1"/>
          <w:sz w:val="32"/>
          <w:szCs w:val="32"/>
          <w:u w:val="none"/>
          <w14:textFill>
            <w14:solidFill>
              <w14:schemeClr w14:val="tx1"/>
            </w14:solidFill>
          </w14:textFill>
        </w:rPr>
        <w:t>篇，积极宣传</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各部门推动党建与业务融合并进等重点工作的经验做法</w:t>
      </w:r>
      <w:r>
        <w:rPr>
          <w:rFonts w:hint="default" w:ascii="Times New Roman" w:hAnsi="Times New Roman" w:eastAsia="仿宋_GB2312" w:cs="Times New Roman"/>
          <w:bCs/>
          <w:color w:val="000000" w:themeColor="text1"/>
          <w:sz w:val="32"/>
          <w:szCs w:val="32"/>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lang w:val="en-US" w:eastAsia="zh-CN"/>
          <w14:textFill>
            <w14:solidFill>
              <w14:schemeClr w14:val="tx1"/>
            </w14:solidFill>
          </w14:textFill>
        </w:rPr>
        <w:t>四</w:t>
      </w: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14:textFill>
            <w14:solidFill>
              <w14:schemeClr w14:val="tx1"/>
            </w14:solidFill>
          </w14:textFill>
        </w:rPr>
        <w:t>对标短板夯实基层基础。</w:t>
      </w:r>
      <w:r>
        <w:rPr>
          <w:rFonts w:hint="default" w:ascii="Times New Roman" w:hAnsi="Times New Roman" w:eastAsia="楷体_GB2312" w:cs="Times New Roman"/>
          <w:b/>
          <w:color w:val="000000" w:themeColor="text1"/>
          <w:sz w:val="32"/>
          <w:szCs w:val="32"/>
          <w:u w:val="none"/>
          <w14:textFill>
            <w14:solidFill>
              <w14:schemeClr w14:val="tx1"/>
            </w14:solidFill>
          </w14:textFill>
        </w:rPr>
        <w:t>一是</w:t>
      </w:r>
      <w:r>
        <w:rPr>
          <w:rFonts w:hint="default" w:ascii="Times New Roman" w:hAnsi="Times New Roman" w:eastAsia="楷体_GB2312" w:cs="Times New Roman"/>
          <w:b/>
          <w:color w:val="000000" w:themeColor="text1"/>
          <w:sz w:val="32"/>
          <w:szCs w:val="32"/>
          <w:u w:val="none"/>
          <w:lang w:val="en-US" w:eastAsia="zh-CN"/>
          <w14:textFill>
            <w14:solidFill>
              <w14:schemeClr w14:val="tx1"/>
            </w14:solidFill>
          </w14:textFill>
        </w:rPr>
        <w:t>从严落实机关</w:t>
      </w:r>
      <w:r>
        <w:rPr>
          <w:rFonts w:hint="default" w:ascii="Times New Roman" w:hAnsi="Times New Roman" w:eastAsia="楷体_GB2312" w:cs="Times New Roman"/>
          <w:b/>
          <w:color w:val="000000" w:themeColor="text1"/>
          <w:sz w:val="32"/>
          <w:szCs w:val="32"/>
          <w:u w:val="none"/>
          <w14:textFill>
            <w14:solidFill>
              <w14:schemeClr w14:val="tx1"/>
            </w14:solidFill>
          </w14:textFill>
        </w:rPr>
        <w:t>党建责任</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深化落实“四分”工作机制，全覆盖开展季度机关党建督导</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3轮</w:t>
      </w:r>
      <w:r>
        <w:rPr>
          <w:rFonts w:hint="default" w:ascii="Times New Roman" w:hAnsi="Times New Roman" w:eastAsia="仿宋_GB2312" w:cs="Times New Roman"/>
          <w:color w:val="000000" w:themeColor="text1"/>
          <w:sz w:val="32"/>
          <w:szCs w:val="32"/>
          <w:u w:val="none"/>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及时发现问题，督促纠正整改</w:t>
      </w:r>
      <w:r>
        <w:rPr>
          <w:rFonts w:hint="default" w:ascii="Times New Roman" w:hAnsi="Times New Roman" w:eastAsia="仿宋_GB2312" w:cs="Times New Roman"/>
          <w:color w:val="000000" w:themeColor="text1"/>
          <w:sz w:val="32"/>
          <w:szCs w:val="32"/>
          <w:u w:val="none"/>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以“找差距、补短板”为主题，召开</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州直部门（单位）</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机关党委书记座谈会，</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坚持以问题整改为突破口，全面提升机关党建的质量和水平</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w:t>
      </w:r>
      <w:r>
        <w:rPr>
          <w:rFonts w:hint="default" w:ascii="Times New Roman" w:hAnsi="Times New Roman" w:eastAsia="楷体_GB2312" w:cs="Times New Roman"/>
          <w:b/>
          <w:bCs/>
          <w:color w:val="000000" w:themeColor="text1"/>
          <w:sz w:val="32"/>
          <w:szCs w:val="32"/>
          <w:u w:val="none"/>
          <w:shd w:val="clear" w:color="auto" w:fill="FFFFFF"/>
          <w14:textFill>
            <w14:solidFill>
              <w14:schemeClr w14:val="tx1"/>
            </w14:solidFill>
          </w14:textFill>
        </w:rPr>
        <w:t>二是</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建强基层党组织班子队伍</w:t>
      </w:r>
      <w:r>
        <w:rPr>
          <w:rFonts w:hint="default" w:ascii="Times New Roman" w:hAnsi="Times New Roman" w:eastAsia="仿宋_GB2312" w:cs="Times New Roman"/>
          <w:color w:val="000000" w:themeColor="text1"/>
          <w:sz w:val="32"/>
          <w:szCs w:val="32"/>
          <w:u w:val="none"/>
          <w14:textFill>
            <w14:solidFill>
              <w14:schemeClr w14:val="tx1"/>
            </w14:solidFill>
          </w14:textFill>
        </w:rPr>
        <w:t>。坚持“抓两头带中间”，</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持续抓好</w:t>
      </w:r>
      <w:r>
        <w:rPr>
          <w:rFonts w:hint="default" w:ascii="Times New Roman" w:hAnsi="Times New Roman" w:eastAsia="仿宋" w:cs="Times New Roman"/>
          <w:bCs/>
          <w:color w:val="000000" w:themeColor="text1"/>
          <w:sz w:val="32"/>
          <w:szCs w:val="32"/>
          <w:u w:val="none"/>
          <w14:textFill>
            <w14:solidFill>
              <w14:schemeClr w14:val="tx1"/>
            </w14:solidFill>
          </w14:textFill>
        </w:rPr>
        <w:t>“五好党支部”创建，</w:t>
      </w:r>
      <w:r>
        <w:rPr>
          <w:rFonts w:hint="default" w:ascii="Times New Roman" w:hAnsi="Times New Roman" w:eastAsia="仿宋" w:cs="Times New Roman"/>
          <w:bCs/>
          <w:color w:val="000000" w:themeColor="text1"/>
          <w:sz w:val="32"/>
          <w:szCs w:val="32"/>
          <w:u w:val="none"/>
          <w:lang w:val="en-US" w:eastAsia="zh-CN"/>
          <w14:textFill>
            <w14:solidFill>
              <w14:schemeClr w14:val="tx1"/>
            </w14:solidFill>
          </w14:textFill>
        </w:rPr>
        <w:t>集中整治</w:t>
      </w:r>
      <w:r>
        <w:rPr>
          <w:rFonts w:hint="default" w:ascii="Times New Roman" w:hAnsi="Times New Roman" w:eastAsia="仿宋_GB2312" w:cs="Times New Roman"/>
          <w:color w:val="000000" w:themeColor="text1"/>
          <w:sz w:val="32"/>
          <w:szCs w:val="32"/>
          <w:u w:val="none"/>
          <w14:textFill>
            <w14:solidFill>
              <w14:schemeClr w14:val="tx1"/>
            </w14:solidFill>
          </w14:textFill>
        </w:rPr>
        <w:t>软弱涣散基层党组织</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22个</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推动落实组织生活考核评比、成果展示、定期交流制度，州级各部门申报组织生活典型案例</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212</w:t>
      </w:r>
      <w:r>
        <w:rPr>
          <w:rFonts w:hint="default" w:ascii="Times New Roman" w:hAnsi="Times New Roman" w:eastAsia="仿宋_GB2312" w:cs="Times New Roman"/>
          <w:color w:val="000000" w:themeColor="text1"/>
          <w:sz w:val="32"/>
          <w:szCs w:val="32"/>
          <w:u w:val="none"/>
          <w14:textFill>
            <w14:solidFill>
              <w14:schemeClr w14:val="tx1"/>
            </w14:solidFill>
          </w14:textFill>
        </w:rPr>
        <w:t>项</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扎实抓好发展党员工作，接收预备党员</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14:textFill>
            <w14:solidFill>
              <w14:schemeClr w14:val="tx1"/>
            </w14:solidFill>
          </w14:textFill>
        </w:rPr>
        <w:t>2名，预备党员转正</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101</w:t>
      </w:r>
      <w:r>
        <w:rPr>
          <w:rFonts w:hint="default" w:ascii="Times New Roman" w:hAnsi="Times New Roman" w:eastAsia="仿宋_GB2312" w:cs="Times New Roman"/>
          <w:color w:val="000000" w:themeColor="text1"/>
          <w:sz w:val="32"/>
          <w:szCs w:val="32"/>
          <w:u w:val="none"/>
          <w14:textFill>
            <w14:solidFill>
              <w14:schemeClr w14:val="tx1"/>
            </w14:solidFill>
          </w14:textFill>
        </w:rPr>
        <w:t>名。</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举办州直机关新任党务干部政治与业务能力提升培训班，助力126名新党务干部准确把握机关党建工作重点。</w:t>
      </w:r>
      <w:r>
        <w:rPr>
          <w:rFonts w:hint="default" w:ascii="Times New Roman" w:hAnsi="Times New Roman" w:eastAsia="仿宋_GB2312" w:cs="Times New Roman"/>
          <w:color w:val="000000" w:themeColor="text1"/>
          <w:sz w:val="32"/>
          <w:szCs w:val="32"/>
          <w:u w:val="none"/>
          <w14:textFill>
            <w14:solidFill>
              <w14:schemeClr w14:val="tx1"/>
            </w14:solidFill>
          </w14:textFill>
        </w:rPr>
        <w:t>举办入党积极分子培训班，对145名入党积极分子进行党的创新理论、党章党史等培训教育</w:t>
      </w:r>
      <w:r>
        <w:rPr>
          <w:rFonts w:hint="default" w:ascii="Times New Roman" w:hAnsi="Times New Roman" w:eastAsia="楷体_GB2312" w:cs="Times New Roman"/>
          <w:b/>
          <w:bCs/>
          <w:color w:val="000000" w:themeColor="text1"/>
          <w:sz w:val="32"/>
          <w:szCs w:val="32"/>
          <w:u w:val="none"/>
          <w14:textFill>
            <w14:solidFill>
              <w14:schemeClr w14:val="tx1"/>
            </w14:solidFill>
          </w14:textFill>
        </w:rPr>
        <w:t>。三是</w:t>
      </w:r>
      <w:r>
        <w:rPr>
          <w:rFonts w:hint="default" w:ascii="Times New Roman" w:hAnsi="Times New Roman" w:eastAsia="楷体_GB2312" w:cs="Times New Roman"/>
          <w:b/>
          <w:bCs/>
          <w:color w:val="000000" w:themeColor="text1"/>
          <w:sz w:val="32"/>
          <w:szCs w:val="32"/>
          <w:u w:val="none"/>
          <w:shd w:val="clear" w:color="auto" w:fill="FFFFFF"/>
          <w14:textFill>
            <w14:solidFill>
              <w14:schemeClr w14:val="tx1"/>
            </w14:solidFill>
          </w14:textFill>
        </w:rPr>
        <w:t>切实加强党员教育管理</w:t>
      </w:r>
      <w:r>
        <w:rPr>
          <w:rFonts w:hint="default" w:ascii="Times New Roman" w:hAnsi="Times New Roman" w:eastAsia="方正楷体_GBK" w:cs="Times New Roman"/>
          <w:b/>
          <w:bCs/>
          <w:color w:val="000000" w:themeColor="text1"/>
          <w:sz w:val="32"/>
          <w:szCs w:val="32"/>
          <w:u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走</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访慰问13名建国前入党老党员、117名生活困难党员、39名获得省级上荣誉功勋表彰人员、7户因公殉职家庭，发放慰问金18.24万元；</w:t>
      </w:r>
      <w:r>
        <w:rPr>
          <w:rFonts w:hint="default" w:ascii="Times New Roman" w:hAnsi="Times New Roman" w:eastAsia="仿宋_GB2312" w:cs="Times New Roman"/>
          <w:color w:val="000000" w:themeColor="text1"/>
          <w:sz w:val="32"/>
          <w:szCs w:val="32"/>
          <w:u w:val="none"/>
          <w14:textFill>
            <w14:solidFill>
              <w14:schemeClr w14:val="tx1"/>
            </w14:solidFill>
          </w14:textFill>
        </w:rPr>
        <w:t>帮扶8名生活困难党员，发放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党内</w:t>
      </w:r>
      <w:r>
        <w:rPr>
          <w:rFonts w:hint="default" w:ascii="Times New Roman" w:hAnsi="Times New Roman" w:eastAsia="仿宋_GB2312" w:cs="Times New Roman"/>
          <w:color w:val="000000" w:themeColor="text1"/>
          <w:sz w:val="32"/>
          <w:szCs w:val="32"/>
          <w:u w:val="none"/>
          <w14:textFill>
            <w14:solidFill>
              <w14:schemeClr w14:val="tx1"/>
            </w14:solidFill>
          </w14:textFill>
        </w:rPr>
        <w:t>帮扶资金5.88万元</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通报表扬1236名年度民主评议为优秀等次的机关党员、“两优一先”对象150个，</w:t>
      </w:r>
      <w:r>
        <w:rPr>
          <w:rFonts w:hint="default" w:ascii="Times New Roman" w:hAnsi="Times New Roman" w:eastAsia="仿宋_GB2312" w:cs="Times New Roman"/>
          <w:bCs/>
          <w:color w:val="000000" w:themeColor="text1"/>
          <w:sz w:val="32"/>
          <w:szCs w:val="32"/>
          <w:u w:val="none"/>
          <w14:textFill>
            <w14:solidFill>
              <w14:schemeClr w14:val="tx1"/>
            </w14:solidFill>
          </w14:textFill>
        </w:rPr>
        <w:t>发放“光荣在党50周年”荣誉勋章36</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sz w:val="32"/>
          <w:szCs w:val="32"/>
          <w:u w:val="none"/>
          <w14:textFill>
            <w14:solidFill>
              <w14:schemeClr w14:val="tx1"/>
            </w14:solidFill>
          </w14:textFill>
        </w:rPr>
        <w:t>枚</w:t>
      </w:r>
      <w:r>
        <w:rPr>
          <w:rFonts w:hint="default" w:ascii="Times New Roman" w:hAnsi="Times New Roman" w:eastAsia="仿宋_GB2312" w:cs="Times New Roman"/>
          <w:bCs/>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各级党组织和广大党员干部创先争优的氛围日益浓厚。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制定《组建州直机关党员突击队、党员服务队实施方案》，指导</w:t>
      </w:r>
      <w:r>
        <w:rPr>
          <w:rFonts w:hint="default" w:ascii="Times New Roman" w:hAnsi="Times New Roman" w:eastAsia="仿宋_GB2312" w:cs="Times New Roman"/>
          <w:sz w:val="32"/>
          <w:szCs w:val="32"/>
          <w:u w:val="none"/>
        </w:rPr>
        <w:t>州直机关</w:t>
      </w:r>
      <w:r>
        <w:rPr>
          <w:rFonts w:hint="default" w:ascii="Times New Roman" w:hAnsi="Times New Roman" w:eastAsia="仿宋_GB2312" w:cs="Times New Roman"/>
          <w:sz w:val="32"/>
          <w:szCs w:val="32"/>
          <w:u w:val="none"/>
          <w:lang w:val="en-US" w:eastAsia="zh-CN"/>
        </w:rPr>
        <w:t>各级党组织</w:t>
      </w:r>
      <w:r>
        <w:rPr>
          <w:rFonts w:hint="default" w:ascii="Times New Roman" w:hAnsi="Times New Roman" w:eastAsia="仿宋_GB2312" w:cs="Times New Roman"/>
          <w:sz w:val="32"/>
          <w:szCs w:val="32"/>
          <w:u w:val="none"/>
        </w:rPr>
        <w:t>组建128支党员突击队、党员服务队，</w:t>
      </w:r>
      <w:r>
        <w:rPr>
          <w:rFonts w:hint="default" w:ascii="Times New Roman" w:hAnsi="Times New Roman" w:eastAsia="仿宋_GB2312" w:cs="Times New Roman"/>
          <w:sz w:val="32"/>
          <w:szCs w:val="32"/>
          <w:u w:val="none"/>
          <w:lang w:val="en-US" w:eastAsia="zh-CN"/>
        </w:rPr>
        <w:t>2200</w:t>
      </w:r>
      <w:r>
        <w:rPr>
          <w:rFonts w:hint="default" w:ascii="Times New Roman" w:hAnsi="Times New Roman" w:eastAsia="仿宋_GB2312" w:cs="Times New Roman"/>
          <w:sz w:val="32"/>
          <w:szCs w:val="32"/>
          <w:u w:val="none"/>
        </w:rPr>
        <w:t>余名党员战斗在疫情防控、防灾减灾和抢险救灾等工作一线</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val="en-US" w:eastAsia="zh-CN"/>
        </w:rPr>
        <w:t>充分发挥党组织的战斗堡垒和党员干部的先锋模范作用</w:t>
      </w:r>
      <w:r>
        <w:rPr>
          <w:rFonts w:hint="default" w:ascii="Times New Roman" w:hAnsi="Times New Roman" w:eastAsia="仿宋_GB2312" w:cs="Times New Roman"/>
          <w:sz w:val="32"/>
          <w:szCs w:val="32"/>
          <w:u w:val="none"/>
        </w:rPr>
        <w:t>。</w:t>
      </w:r>
      <w:r>
        <w:rPr>
          <w:rFonts w:hint="default" w:ascii="Times New Roman" w:hAnsi="Times New Roman" w:eastAsia="楷体_GB2312" w:cs="Times New Roman"/>
          <w:b/>
          <w:bCs/>
          <w:color w:val="000000" w:themeColor="text1"/>
          <w:sz w:val="32"/>
          <w:szCs w:val="32"/>
          <w:u w:val="none"/>
          <w:shd w:val="clear" w:color="auto" w:fill="FFFFFF"/>
          <w14:textFill>
            <w14:solidFill>
              <w14:schemeClr w14:val="tx1"/>
            </w14:solidFill>
          </w14:textFill>
        </w:rPr>
        <w:t>四是扎实开展群团和驻村帮扶工作</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。坚持党建带群建，新</w:t>
      </w:r>
      <w:r>
        <w:rPr>
          <w:rFonts w:hint="default" w:ascii="Times New Roman" w:hAnsi="Times New Roman" w:eastAsia="仿宋_GB2312" w:cs="Times New Roman"/>
          <w:color w:val="000000" w:themeColor="text1"/>
          <w:sz w:val="32"/>
          <w:szCs w:val="32"/>
          <w:u w:val="none"/>
          <w14:textFill>
            <w14:solidFill>
              <w14:schemeClr w14:val="tx1"/>
            </w14:solidFill>
          </w14:textFill>
        </w:rPr>
        <w:t>成立群团组织</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14:textFill>
            <w14:solidFill>
              <w14:schemeClr w14:val="tx1"/>
            </w14:solidFill>
          </w14:textFill>
        </w:rPr>
        <w:t>个，指导</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14:textFill>
            <w14:solidFill>
              <w14:schemeClr w14:val="tx1"/>
            </w14:solidFill>
          </w14:textFill>
        </w:rPr>
        <w:t>个机关妇女组织</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和5个团组织</w:t>
      </w:r>
      <w:r>
        <w:rPr>
          <w:rFonts w:hint="default" w:ascii="Times New Roman" w:hAnsi="Times New Roman" w:eastAsia="仿宋_GB2312" w:cs="Times New Roman"/>
          <w:color w:val="000000" w:themeColor="text1"/>
          <w:sz w:val="32"/>
          <w:szCs w:val="32"/>
          <w:u w:val="none"/>
          <w14:textFill>
            <w14:solidFill>
              <w14:schemeClr w14:val="tx1"/>
            </w14:solidFill>
          </w14:textFill>
        </w:rPr>
        <w:t>完成换届选举，不断增强群团组织的凝聚力战斗力。推荐评选全省脱贫攻坚先进集体33个、优秀驻村工作队员41名、全州优秀共青团员2名、优秀共青团干部1名、五四红旗团组织2个、先进工作者12名。有序推动全州驻村帮扶力量轮换工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对221名州派驻村干部开展全覆盖教育培训，</w:t>
      </w:r>
      <w:r>
        <w:rPr>
          <w:rFonts w:hint="default" w:ascii="Times New Roman" w:hAnsi="Times New Roman" w:eastAsia="仿宋_GB2312" w:cs="Times New Roman"/>
          <w:sz w:val="32"/>
          <w:szCs w:val="32"/>
          <w:u w:val="none"/>
        </w:rPr>
        <w:t>切实提升履职本领。</w:t>
      </w:r>
      <w:r>
        <w:rPr>
          <w:rFonts w:hint="default" w:ascii="Times New Roman" w:hAnsi="Times New Roman" w:eastAsia="仿宋_GB2312" w:cs="Times New Roman"/>
          <w:color w:val="000000" w:themeColor="text1"/>
          <w:sz w:val="32"/>
          <w:szCs w:val="32"/>
          <w:u w:val="none"/>
          <w14:textFill>
            <w14:solidFill>
              <w14:schemeClr w14:val="tx1"/>
            </w14:solidFill>
          </w14:textFill>
        </w:rPr>
        <w:t>集中管理马尔康地区的112个州级部门（单位）</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3068</w:t>
      </w:r>
      <w:r>
        <w:rPr>
          <w:rFonts w:hint="default" w:ascii="Times New Roman" w:hAnsi="Times New Roman" w:eastAsia="仿宋_GB2312" w:cs="Times New Roman"/>
          <w:color w:val="000000" w:themeColor="text1"/>
          <w:sz w:val="32"/>
          <w:szCs w:val="32"/>
          <w:u w:val="none"/>
          <w14:textFill>
            <w14:solidFill>
              <w14:schemeClr w14:val="tx1"/>
            </w14:solidFill>
          </w14:textFill>
        </w:rPr>
        <w:t>本因私出国（境）证件。</w:t>
      </w:r>
    </w:p>
    <w:p>
      <w:pPr>
        <w:keepNext w:val="0"/>
        <w:keepLines w:val="0"/>
        <w:pageBreakBefore w:val="0"/>
        <w:widowControl w:val="0"/>
        <w:pBdr>
          <w:bottom w:val="single" w:color="FFFFFF" w:sz="4" w:space="31"/>
        </w:pBdr>
        <w:shd w:val="clear" w:color="auto" w:fill="FFFFFF"/>
        <w:tabs>
          <w:tab w:val="left" w:pos="1440"/>
        </w:tabs>
        <w:kinsoku/>
        <w:wordWrap/>
        <w:overflowPunct/>
        <w:topLinePunct w:val="0"/>
        <w:autoSpaceDE/>
        <w:autoSpaceDN/>
        <w:bidi w:val="0"/>
        <w:adjustRightInd/>
        <w:snapToGrid w:val="0"/>
        <w:spacing w:line="576" w:lineRule="exact"/>
        <w:ind w:firstLine="640" w:firstLineChars="200"/>
        <w:textAlignment w:val="auto"/>
        <w:rPr>
          <w:rFonts w:hint="default" w:ascii="Times New Roman" w:hAnsi="Times New Roman" w:eastAsia="仿宋_GB2312" w:cs="Times New Roman"/>
          <w:color w:val="000000"/>
          <w:sz w:val="32"/>
          <w:szCs w:val="32"/>
          <w:u w:val="none"/>
          <w:lang w:eastAsia="zh-CN" w:bidi="ar-SA"/>
        </w:rPr>
      </w:pP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lang w:val="en-US" w:eastAsia="zh-CN"/>
          <w14:textFill>
            <w14:solidFill>
              <w14:schemeClr w14:val="tx1"/>
            </w14:solidFill>
          </w14:textFill>
        </w:rPr>
        <w:t>五</w:t>
      </w:r>
      <w:r>
        <w:rPr>
          <w:rFonts w:hint="default" w:ascii="Times New Roman" w:hAnsi="Times New Roman" w:eastAsia="黑体" w:cs="Times New Roman"/>
          <w:bCs/>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bCs/>
          <w:color w:val="000000" w:themeColor="text1"/>
          <w:sz w:val="32"/>
          <w:szCs w:val="32"/>
          <w:u w:val="none"/>
          <w14:textFill>
            <w14:solidFill>
              <w14:schemeClr w14:val="tx1"/>
            </w14:solidFill>
          </w14:textFill>
        </w:rPr>
        <w:t>持之以恒强化正风肃纪。</w:t>
      </w:r>
      <w:r>
        <w:rPr>
          <w:rFonts w:hint="default" w:ascii="Times New Roman" w:hAnsi="Times New Roman" w:eastAsia="楷体_GB2312" w:cs="Times New Roman"/>
          <w:b/>
          <w:color w:val="000000"/>
          <w:sz w:val="32"/>
          <w:szCs w:val="32"/>
          <w:u w:val="none"/>
          <w:lang w:bidi="ar-SA"/>
        </w:rPr>
        <w:t>一是强化政治监督</w:t>
      </w:r>
      <w:r>
        <w:rPr>
          <w:rFonts w:hint="default" w:ascii="Times New Roman" w:hAnsi="Times New Roman" w:eastAsia="黑体" w:cs="Times New Roman"/>
          <w:color w:val="000000"/>
          <w:sz w:val="32"/>
          <w:szCs w:val="32"/>
          <w:u w:val="none"/>
          <w:lang w:bidi="ar-SA"/>
        </w:rPr>
        <w:t>。</w:t>
      </w:r>
      <w:r>
        <w:rPr>
          <w:rFonts w:hint="default" w:ascii="Times New Roman" w:hAnsi="Times New Roman" w:eastAsia="仿宋_GB2312" w:cs="Times New Roman"/>
          <w:color w:val="000000"/>
          <w:sz w:val="32"/>
          <w:szCs w:val="32"/>
          <w:u w:val="none"/>
          <w:lang w:eastAsia="zh-CN" w:bidi="ar-SA"/>
        </w:rPr>
        <w:t>认真落实反分维稳“修枝断根正形”工作部署，督促机关党组织和党员干部对党忠诚，做到“两个维护”。</w:t>
      </w:r>
      <w:r>
        <w:rPr>
          <w:rFonts w:hint="default" w:ascii="Times New Roman" w:hAnsi="Times New Roman" w:eastAsia="仿宋_GB2312" w:cs="Times New Roman"/>
          <w:color w:val="000000"/>
          <w:sz w:val="32"/>
          <w:szCs w:val="32"/>
          <w:u w:val="none"/>
          <w:lang w:bidi="ar-SA"/>
        </w:rPr>
        <w:t>加强“一把手”和领导班子监督，督促</w:t>
      </w:r>
      <w:r>
        <w:rPr>
          <w:rFonts w:hint="default" w:ascii="Times New Roman" w:hAnsi="Times New Roman" w:eastAsia="仿宋_GB2312" w:cs="Times New Roman"/>
          <w:color w:val="000000"/>
          <w:sz w:val="32"/>
          <w:szCs w:val="32"/>
          <w:u w:val="none"/>
          <w:lang w:eastAsia="zh-CN" w:bidi="ar-SA"/>
        </w:rPr>
        <w:t>各部门党组（党委）</w:t>
      </w:r>
      <w:r>
        <w:rPr>
          <w:rFonts w:hint="default" w:ascii="Times New Roman" w:hAnsi="Times New Roman" w:eastAsia="仿宋_GB2312" w:cs="Times New Roman"/>
          <w:color w:val="000000"/>
          <w:sz w:val="32"/>
          <w:szCs w:val="32"/>
          <w:u w:val="none"/>
          <w:lang w:bidi="ar-SA"/>
        </w:rPr>
        <w:t>严格落实党风廉政建设责任制，每季度</w:t>
      </w:r>
      <w:r>
        <w:rPr>
          <w:rFonts w:hint="default" w:ascii="Times New Roman" w:hAnsi="Times New Roman" w:eastAsia="仿宋_GB2312" w:cs="Times New Roman"/>
          <w:color w:val="000000"/>
          <w:sz w:val="32"/>
          <w:szCs w:val="32"/>
          <w:u w:val="none"/>
          <w:lang w:eastAsia="zh-CN" w:bidi="ar-SA"/>
        </w:rPr>
        <w:t>督促检查州直</w:t>
      </w:r>
      <w:r>
        <w:rPr>
          <w:rFonts w:hint="default" w:ascii="Times New Roman" w:hAnsi="Times New Roman" w:eastAsia="仿宋_GB2312" w:cs="Times New Roman"/>
          <w:color w:val="000000"/>
          <w:sz w:val="32"/>
          <w:szCs w:val="32"/>
          <w:u w:val="none"/>
          <w:lang w:bidi="ar-SA"/>
        </w:rPr>
        <w:t>部门（单位）党风廉政建设</w:t>
      </w:r>
      <w:r>
        <w:rPr>
          <w:rFonts w:hint="default" w:ascii="Times New Roman" w:hAnsi="Times New Roman" w:eastAsia="仿宋_GB2312" w:cs="Times New Roman"/>
          <w:color w:val="000000"/>
          <w:sz w:val="32"/>
          <w:szCs w:val="32"/>
          <w:u w:val="none"/>
          <w:lang w:eastAsia="zh-CN" w:bidi="ar-SA"/>
        </w:rPr>
        <w:t>开展</w:t>
      </w:r>
      <w:r>
        <w:rPr>
          <w:rFonts w:hint="default" w:ascii="Times New Roman" w:hAnsi="Times New Roman" w:eastAsia="仿宋_GB2312" w:cs="Times New Roman"/>
          <w:color w:val="000000"/>
          <w:sz w:val="32"/>
          <w:szCs w:val="32"/>
          <w:u w:val="none"/>
          <w:lang w:bidi="ar-SA"/>
        </w:rPr>
        <w:t>情况。</w:t>
      </w:r>
      <w:r>
        <w:rPr>
          <w:rFonts w:hint="default" w:ascii="Times New Roman" w:hAnsi="Times New Roman" w:eastAsia="仿宋_GB2312" w:cs="Times New Roman"/>
          <w:color w:val="000000"/>
          <w:sz w:val="32"/>
          <w:szCs w:val="32"/>
          <w:u w:val="none"/>
          <w:lang w:val="en-US" w:eastAsia="zh-CN" w:bidi="ar-SA"/>
        </w:rPr>
        <w:t>认真开展“四为”作风体检诊治，不断强化机关工作作风</w:t>
      </w:r>
      <w:r>
        <w:rPr>
          <w:rFonts w:hint="default" w:ascii="Times New Roman" w:hAnsi="Times New Roman" w:eastAsia="楷体_GB2312" w:cs="Times New Roman"/>
          <w:b/>
          <w:color w:val="000000"/>
          <w:sz w:val="32"/>
          <w:szCs w:val="32"/>
          <w:u w:val="none"/>
          <w:lang w:bidi="ar-SA"/>
        </w:rPr>
        <w:t>，</w:t>
      </w:r>
      <w:r>
        <w:rPr>
          <w:rFonts w:hint="default" w:ascii="Times New Roman" w:hAnsi="Times New Roman" w:eastAsia="仿宋_GB2312" w:cs="Times New Roman"/>
          <w:color w:val="000000"/>
          <w:sz w:val="32"/>
          <w:szCs w:val="32"/>
          <w:u w:val="none"/>
          <w:lang w:bidi="ar-SA"/>
        </w:rPr>
        <w:t>确保中央、省委、州委重大决策部署落实落地</w:t>
      </w:r>
      <w:r>
        <w:rPr>
          <w:rFonts w:hint="default" w:ascii="Times New Roman" w:hAnsi="Times New Roman" w:eastAsia="仿宋_GB2312" w:cs="Times New Roman"/>
          <w:color w:val="000000"/>
          <w:sz w:val="32"/>
          <w:szCs w:val="32"/>
          <w:u w:val="none"/>
          <w:lang w:val="en-US" w:eastAsia="zh-CN" w:bidi="ar-SA"/>
        </w:rPr>
        <w:t>。</w:t>
      </w:r>
      <w:r>
        <w:rPr>
          <w:rFonts w:hint="default" w:ascii="Times New Roman" w:hAnsi="Times New Roman" w:eastAsia="楷体_GB2312" w:cs="Times New Roman"/>
          <w:b/>
          <w:bCs/>
          <w:color w:val="000000"/>
          <w:sz w:val="32"/>
          <w:szCs w:val="32"/>
          <w:u w:val="none"/>
          <w:lang w:bidi="ar-SA"/>
        </w:rPr>
        <w:t>二是做实日常监督。</w:t>
      </w:r>
      <w:r>
        <w:rPr>
          <w:rFonts w:hint="default" w:ascii="Times New Roman" w:hAnsi="Times New Roman" w:eastAsia="仿宋_GB2312" w:cs="Times New Roman"/>
          <w:color w:val="000000"/>
          <w:sz w:val="32"/>
          <w:szCs w:val="32"/>
          <w:u w:val="none"/>
          <w:lang w:bidi="ar-SA"/>
        </w:rPr>
        <w:t>深化“三察三治”监督工作，每季度开展机关党建工作督导，督促机关党组织落实党建主体责任，认真整改存在的问题。聚焦</w:t>
      </w:r>
      <w:r>
        <w:rPr>
          <w:rFonts w:hint="default" w:ascii="Times New Roman" w:hAnsi="Times New Roman" w:eastAsia="仿宋_GB2312" w:cs="Times New Roman"/>
          <w:color w:val="333333"/>
          <w:sz w:val="32"/>
          <w:szCs w:val="32"/>
          <w:u w:val="none"/>
          <w:shd w:val="clear" w:color="auto" w:fill="FFFFFF"/>
          <w:lang w:bidi="ar-SA"/>
        </w:rPr>
        <w:t>新时代涉藏工作、“三防一安全”“吃公函”“窗口腐败”等</w:t>
      </w:r>
      <w:r>
        <w:rPr>
          <w:rFonts w:hint="default" w:ascii="Times New Roman" w:hAnsi="Times New Roman" w:eastAsia="仿宋_GB2312" w:cs="Times New Roman"/>
          <w:color w:val="000000"/>
          <w:sz w:val="32"/>
          <w:szCs w:val="32"/>
          <w:u w:val="none"/>
          <w:lang w:bidi="ar-SA"/>
        </w:rPr>
        <w:t>开展</w:t>
      </w:r>
      <w:r>
        <w:rPr>
          <w:rFonts w:hint="default" w:ascii="Times New Roman" w:hAnsi="Times New Roman" w:eastAsia="仿宋_GB2312" w:cs="Times New Roman"/>
          <w:color w:val="000000"/>
          <w:sz w:val="32"/>
          <w:szCs w:val="32"/>
          <w:u w:val="none"/>
          <w:lang w:val="en-US" w:eastAsia="zh-CN" w:bidi="ar-SA"/>
        </w:rPr>
        <w:t>明查暗访和专项检查，深入</w:t>
      </w:r>
      <w:r>
        <w:rPr>
          <w:rFonts w:hint="default" w:ascii="Times New Roman" w:hAnsi="Times New Roman" w:eastAsia="仿宋_GB2312" w:cs="Times New Roman"/>
          <w:color w:val="000000"/>
          <w:sz w:val="32"/>
          <w:szCs w:val="32"/>
          <w:u w:val="none"/>
          <w:lang w:bidi="ar-SA"/>
        </w:rPr>
        <w:t>金川县</w:t>
      </w:r>
      <w:r>
        <w:rPr>
          <w:rFonts w:hint="default" w:ascii="Times New Roman" w:hAnsi="Times New Roman" w:eastAsia="仿宋_GB2312" w:cs="Times New Roman"/>
          <w:color w:val="000000"/>
          <w:sz w:val="32"/>
          <w:szCs w:val="32"/>
          <w:u w:val="none"/>
          <w:lang w:val="en-US" w:eastAsia="zh-CN" w:bidi="ar-SA"/>
        </w:rPr>
        <w:t>督导</w:t>
      </w:r>
      <w:r>
        <w:rPr>
          <w:rFonts w:hint="default" w:ascii="Times New Roman" w:hAnsi="Times New Roman" w:eastAsia="仿宋_GB2312" w:cs="Times New Roman"/>
          <w:color w:val="000000"/>
          <w:sz w:val="32"/>
          <w:szCs w:val="32"/>
          <w:u w:val="none"/>
          <w:lang w:bidi="ar-SA"/>
        </w:rPr>
        <w:t>森林草原防灭火2次</w:t>
      </w:r>
      <w:r>
        <w:rPr>
          <w:rFonts w:hint="default" w:ascii="Times New Roman" w:hAnsi="Times New Roman" w:eastAsia="仿宋_GB2312" w:cs="Times New Roman"/>
          <w:color w:val="000000"/>
          <w:sz w:val="32"/>
          <w:szCs w:val="32"/>
          <w:u w:val="none"/>
          <w:lang w:eastAsia="zh-CN" w:bidi="ar-SA"/>
        </w:rPr>
        <w:t>、八一电站生态环保督查</w:t>
      </w:r>
      <w:r>
        <w:rPr>
          <w:rFonts w:hint="default" w:ascii="Times New Roman" w:hAnsi="Times New Roman" w:eastAsia="仿宋_GB2312" w:cs="Times New Roman"/>
          <w:color w:val="000000"/>
          <w:sz w:val="32"/>
          <w:szCs w:val="32"/>
          <w:u w:val="none"/>
          <w:lang w:val="en-US" w:eastAsia="zh-CN" w:bidi="ar-SA"/>
        </w:rPr>
        <w:t>2次、联户联情群众工作2次，</w:t>
      </w:r>
      <w:r>
        <w:rPr>
          <w:rFonts w:hint="default" w:ascii="Times New Roman" w:hAnsi="Times New Roman" w:eastAsia="仿宋_GB2312" w:cs="Times New Roman"/>
          <w:color w:val="000000"/>
          <w:sz w:val="32"/>
          <w:szCs w:val="32"/>
          <w:u w:val="none"/>
          <w:lang w:bidi="ar-SA"/>
        </w:rPr>
        <w:t>参与省文旅大会筹备情况专项督查2次</w:t>
      </w:r>
      <w:r>
        <w:rPr>
          <w:rFonts w:hint="default" w:ascii="Times New Roman" w:hAnsi="Times New Roman" w:eastAsia="仿宋_GB2312" w:cs="Times New Roman"/>
          <w:color w:val="000000"/>
          <w:sz w:val="32"/>
          <w:szCs w:val="32"/>
          <w:u w:val="none"/>
          <w:lang w:eastAsia="zh-CN" w:bidi="ar-SA"/>
        </w:rPr>
        <w:t>。</w:t>
      </w:r>
      <w:r>
        <w:rPr>
          <w:rFonts w:hint="default" w:ascii="Times New Roman" w:hAnsi="Times New Roman" w:eastAsia="仿宋_GB2312" w:cs="Times New Roman"/>
          <w:color w:val="000000"/>
          <w:sz w:val="32"/>
          <w:szCs w:val="32"/>
          <w:u w:val="none"/>
          <w:shd w:val="clear" w:color="auto" w:fill="FFFFFF"/>
          <w:lang w:bidi="ar-SA"/>
        </w:rPr>
        <w:t>加强机关纪委建设，</w:t>
      </w:r>
      <w:r>
        <w:rPr>
          <w:rFonts w:hint="default" w:ascii="Times New Roman" w:hAnsi="Times New Roman" w:eastAsia="仿宋_GB2312" w:cs="Times New Roman"/>
          <w:color w:val="000000"/>
          <w:sz w:val="32"/>
          <w:szCs w:val="32"/>
          <w:u w:val="none"/>
          <w:shd w:val="clear" w:color="auto" w:fill="FFFFFF"/>
          <w:lang w:eastAsia="zh-CN" w:bidi="ar-SA"/>
        </w:rPr>
        <w:t>推动州直部门（单位）</w:t>
      </w:r>
      <w:r>
        <w:rPr>
          <w:rFonts w:hint="default" w:ascii="Times New Roman" w:hAnsi="Times New Roman" w:eastAsia="仿宋_GB2312" w:cs="Times New Roman"/>
          <w:color w:val="000000"/>
          <w:sz w:val="32"/>
          <w:szCs w:val="32"/>
          <w:u w:val="none"/>
          <w:shd w:val="clear" w:color="auto" w:fill="FFFFFF"/>
          <w:lang w:bidi="ar-SA"/>
        </w:rPr>
        <w:t>设立机关纪委</w:t>
      </w:r>
      <w:r>
        <w:rPr>
          <w:rFonts w:hint="default" w:ascii="Times New Roman" w:hAnsi="Times New Roman" w:eastAsia="仿宋_GB2312" w:cs="Times New Roman"/>
          <w:color w:val="000000"/>
          <w:sz w:val="32"/>
          <w:szCs w:val="32"/>
          <w:u w:val="none"/>
          <w:shd w:val="clear" w:color="auto" w:fill="FFFFFF"/>
          <w:lang w:val="en-US" w:eastAsia="zh-CN" w:bidi="ar-SA"/>
        </w:rPr>
        <w:t>16</w:t>
      </w:r>
      <w:r>
        <w:rPr>
          <w:rFonts w:hint="default" w:ascii="Times New Roman" w:hAnsi="Times New Roman" w:eastAsia="仿宋_GB2312" w:cs="Times New Roman"/>
          <w:color w:val="000000"/>
          <w:sz w:val="32"/>
          <w:szCs w:val="32"/>
          <w:u w:val="none"/>
          <w:shd w:val="clear" w:color="auto" w:fill="FFFFFF"/>
          <w:lang w:bidi="ar-SA"/>
        </w:rPr>
        <w:t>个</w:t>
      </w:r>
      <w:r>
        <w:rPr>
          <w:rFonts w:hint="default" w:ascii="Times New Roman" w:hAnsi="Times New Roman" w:eastAsia="仿宋_GB2312" w:cs="Times New Roman"/>
          <w:color w:val="000000"/>
          <w:sz w:val="32"/>
          <w:szCs w:val="32"/>
          <w:u w:val="none"/>
          <w:lang w:bidi="ar-SA"/>
        </w:rPr>
        <w:t>。</w:t>
      </w:r>
      <w:r>
        <w:rPr>
          <w:rFonts w:hint="default" w:ascii="Times New Roman" w:hAnsi="Times New Roman" w:eastAsia="楷体_GB2312" w:cs="Times New Roman"/>
          <w:b/>
          <w:bCs/>
          <w:color w:val="000000"/>
          <w:sz w:val="32"/>
          <w:szCs w:val="32"/>
          <w:u w:val="none"/>
          <w:lang w:bidi="ar-SA"/>
        </w:rPr>
        <w:t>三是抓实廉政教育。</w:t>
      </w:r>
      <w:r>
        <w:rPr>
          <w:rFonts w:hint="default" w:ascii="Times New Roman" w:hAnsi="Times New Roman" w:eastAsia="仿宋_GB2312" w:cs="Times New Roman"/>
          <w:color w:val="000000"/>
          <w:sz w:val="32"/>
          <w:szCs w:val="32"/>
          <w:u w:val="none"/>
          <w:lang w:bidi="ar-SA"/>
        </w:rPr>
        <w:t>督促州直部门扎实开展会前学纪学法，典型案例“</w:t>
      </w:r>
      <w:r>
        <w:rPr>
          <w:rFonts w:hint="default" w:ascii="Times New Roman" w:hAnsi="Times New Roman" w:eastAsia="仿宋_GB2312" w:cs="Times New Roman"/>
          <w:color w:val="000000"/>
          <w:sz w:val="32"/>
          <w:szCs w:val="32"/>
          <w:u w:val="none"/>
          <w:lang w:eastAsia="zh-CN" w:bidi="ar-SA"/>
        </w:rPr>
        <w:t>以案示警</w:t>
      </w:r>
      <w:r>
        <w:rPr>
          <w:rFonts w:hint="default" w:ascii="Times New Roman" w:hAnsi="Times New Roman" w:eastAsia="仿宋_GB2312" w:cs="Times New Roman"/>
          <w:color w:val="000000"/>
          <w:sz w:val="32"/>
          <w:szCs w:val="32"/>
          <w:u w:val="none"/>
          <w:lang w:bidi="ar-SA"/>
        </w:rPr>
        <w:t>”</w:t>
      </w:r>
      <w:r>
        <w:rPr>
          <w:rFonts w:hint="default" w:ascii="Times New Roman" w:hAnsi="Times New Roman" w:eastAsia="仿宋_GB2312" w:cs="Times New Roman"/>
          <w:color w:val="000000"/>
          <w:sz w:val="32"/>
          <w:szCs w:val="32"/>
          <w:u w:val="none"/>
          <w:lang w:eastAsia="zh-CN" w:bidi="ar-SA"/>
        </w:rPr>
        <w:t>“以案促改”</w:t>
      </w:r>
      <w:r>
        <w:rPr>
          <w:rFonts w:hint="default" w:ascii="Times New Roman" w:hAnsi="Times New Roman" w:eastAsia="仿宋_GB2312" w:cs="Times New Roman"/>
          <w:color w:val="000000"/>
          <w:sz w:val="32"/>
          <w:szCs w:val="32"/>
          <w:u w:val="none"/>
          <w:lang w:bidi="ar-SA"/>
        </w:rPr>
        <w:t>廉洁教育，筑牢拒腐防变的思想道德根基。紧盯节庆节点，发送廉洁提醒短信</w:t>
      </w:r>
      <w:r>
        <w:rPr>
          <w:rFonts w:hint="default" w:ascii="Times New Roman" w:hAnsi="Times New Roman" w:eastAsia="仿宋_GB2312" w:cs="Times New Roman"/>
          <w:color w:val="000000"/>
          <w:sz w:val="32"/>
          <w:szCs w:val="32"/>
          <w:u w:val="none"/>
          <w:lang w:eastAsia="zh-CN" w:bidi="ar-SA"/>
        </w:rPr>
        <w:t>。</w:t>
      </w:r>
      <w:r>
        <w:rPr>
          <w:rFonts w:hint="default" w:ascii="Times New Roman" w:hAnsi="Times New Roman" w:eastAsia="仿宋_GB2312" w:cs="Times New Roman"/>
          <w:kern w:val="2"/>
          <w:sz w:val="32"/>
          <w:szCs w:val="32"/>
          <w:u w:val="none"/>
          <w:lang w:val="en-US" w:eastAsia="zh-CN" w:bidi="ar-SA"/>
        </w:rPr>
        <w:t>开展“阳光阿坝·清廉万家”好风传家活动，发挥家庭在推动党风廉政建设中的特殊作用。</w:t>
      </w:r>
      <w:r>
        <w:rPr>
          <w:rFonts w:hint="default" w:ascii="Times New Roman" w:hAnsi="Times New Roman" w:eastAsia="楷体_GB2312" w:cs="Times New Roman"/>
          <w:b/>
          <w:bCs/>
          <w:color w:val="000000"/>
          <w:sz w:val="32"/>
          <w:szCs w:val="32"/>
          <w:u w:val="none"/>
          <w:shd w:val="clear" w:color="auto" w:fill="FFFFFF"/>
          <w:lang w:bidi="ar-SA"/>
        </w:rPr>
        <w:t>四是加强案件审理</w:t>
      </w:r>
      <w:r>
        <w:rPr>
          <w:rFonts w:hint="default" w:ascii="Times New Roman" w:hAnsi="Times New Roman" w:eastAsia="仿宋_GB2312" w:cs="Times New Roman"/>
          <w:color w:val="000000"/>
          <w:sz w:val="32"/>
          <w:szCs w:val="32"/>
          <w:u w:val="none"/>
          <w:shd w:val="clear" w:color="auto" w:fill="FFFFFF"/>
          <w:lang w:bidi="ar-SA"/>
        </w:rPr>
        <w:t>。</w:t>
      </w:r>
      <w:r>
        <w:rPr>
          <w:rFonts w:hint="default" w:ascii="Times New Roman" w:hAnsi="Times New Roman" w:eastAsia="仿宋_GB2312" w:cs="Times New Roman"/>
          <w:color w:val="000000"/>
          <w:sz w:val="32"/>
          <w:szCs w:val="32"/>
          <w:u w:val="none"/>
          <w:lang w:bidi="ar-SA"/>
        </w:rPr>
        <w:t>审理案件</w:t>
      </w:r>
      <w:r>
        <w:rPr>
          <w:rFonts w:hint="default" w:ascii="Times New Roman" w:hAnsi="Times New Roman" w:eastAsia="仿宋_GB2312" w:cs="Times New Roman"/>
          <w:color w:val="000000"/>
          <w:sz w:val="32"/>
          <w:szCs w:val="32"/>
          <w:u w:val="none"/>
          <w:lang w:val="en-US" w:eastAsia="zh-CN" w:bidi="ar-SA"/>
        </w:rPr>
        <w:t>27</w:t>
      </w:r>
      <w:r>
        <w:rPr>
          <w:rFonts w:hint="default" w:ascii="Times New Roman" w:hAnsi="Times New Roman" w:eastAsia="仿宋_GB2312" w:cs="Times New Roman"/>
          <w:color w:val="000000"/>
          <w:sz w:val="32"/>
          <w:szCs w:val="32"/>
          <w:u w:val="none"/>
          <w:lang w:eastAsia="zh-CN" w:bidi="ar-SA"/>
        </w:rPr>
        <w:t>件，</w:t>
      </w:r>
      <w:r>
        <w:rPr>
          <w:rFonts w:hint="default" w:ascii="Times New Roman" w:hAnsi="Times New Roman" w:eastAsia="仿宋_GB2312" w:cs="Times New Roman"/>
          <w:color w:val="000000"/>
          <w:sz w:val="32"/>
          <w:szCs w:val="32"/>
          <w:u w:val="none"/>
          <w:lang w:bidi="ar-SA"/>
        </w:rPr>
        <w:t>承办信访</w:t>
      </w:r>
      <w:r>
        <w:rPr>
          <w:rFonts w:hint="default" w:ascii="Times New Roman" w:hAnsi="Times New Roman" w:eastAsia="仿宋_GB2312" w:cs="Times New Roman"/>
          <w:color w:val="000000"/>
          <w:sz w:val="32"/>
          <w:szCs w:val="32"/>
          <w:u w:val="none"/>
          <w:lang w:val="en-US" w:eastAsia="zh-CN" w:bidi="ar-SA"/>
        </w:rPr>
        <w:t>件</w:t>
      </w:r>
      <w:r>
        <w:rPr>
          <w:rFonts w:hint="default" w:ascii="Times New Roman" w:hAnsi="Times New Roman" w:eastAsia="仿宋_GB2312" w:cs="Times New Roman"/>
          <w:color w:val="000000"/>
          <w:sz w:val="32"/>
          <w:szCs w:val="32"/>
          <w:u w:val="none"/>
          <w:lang w:bidi="ar-SA"/>
        </w:rPr>
        <w:t>1件，</w:t>
      </w:r>
      <w:r>
        <w:rPr>
          <w:rFonts w:hint="default" w:ascii="Times New Roman" w:hAnsi="Times New Roman" w:eastAsia="仿宋_GB2312" w:cs="Times New Roman"/>
          <w:color w:val="000000"/>
          <w:sz w:val="32"/>
          <w:szCs w:val="32"/>
          <w:u w:val="none"/>
          <w:lang w:val="en-US" w:eastAsia="zh-CN" w:bidi="ar-SA"/>
        </w:rPr>
        <w:t>26人</w:t>
      </w:r>
      <w:r>
        <w:rPr>
          <w:rFonts w:hint="default" w:ascii="Times New Roman" w:hAnsi="Times New Roman" w:eastAsia="仿宋_GB2312" w:cs="Times New Roman"/>
          <w:color w:val="000000"/>
          <w:sz w:val="32"/>
          <w:szCs w:val="32"/>
          <w:u w:val="none"/>
          <w:lang w:eastAsia="zh-CN" w:bidi="ar-SA"/>
        </w:rPr>
        <w:t>受到</w:t>
      </w:r>
      <w:r>
        <w:rPr>
          <w:rFonts w:hint="default" w:ascii="Times New Roman" w:hAnsi="Times New Roman" w:eastAsia="仿宋_GB2312" w:cs="Times New Roman"/>
          <w:color w:val="000000"/>
          <w:sz w:val="32"/>
          <w:szCs w:val="32"/>
          <w:u w:val="none"/>
          <w:lang w:bidi="ar-SA"/>
        </w:rPr>
        <w:t>党</w:t>
      </w:r>
      <w:r>
        <w:rPr>
          <w:rFonts w:hint="default" w:ascii="Times New Roman" w:hAnsi="Times New Roman" w:eastAsia="仿宋_GB2312" w:cs="Times New Roman"/>
          <w:color w:val="000000"/>
          <w:sz w:val="32"/>
          <w:szCs w:val="32"/>
          <w:u w:val="none"/>
          <w:lang w:eastAsia="zh-CN" w:bidi="ar-SA"/>
        </w:rPr>
        <w:t>纪</w:t>
      </w:r>
      <w:r>
        <w:rPr>
          <w:rFonts w:hint="default" w:ascii="Times New Roman" w:hAnsi="Times New Roman" w:eastAsia="仿宋_GB2312" w:cs="Times New Roman"/>
          <w:color w:val="000000"/>
          <w:sz w:val="32"/>
          <w:szCs w:val="32"/>
          <w:u w:val="none"/>
          <w:lang w:bidi="ar-SA"/>
        </w:rPr>
        <w:t>政</w:t>
      </w:r>
      <w:r>
        <w:rPr>
          <w:rFonts w:hint="default" w:ascii="Times New Roman" w:hAnsi="Times New Roman" w:eastAsia="仿宋_GB2312" w:cs="Times New Roman"/>
          <w:color w:val="000000"/>
          <w:sz w:val="32"/>
          <w:szCs w:val="32"/>
          <w:u w:val="none"/>
          <w:lang w:eastAsia="zh-CN" w:bidi="ar-SA"/>
        </w:rPr>
        <w:t>务</w:t>
      </w:r>
      <w:r>
        <w:rPr>
          <w:rFonts w:hint="default" w:ascii="Times New Roman" w:hAnsi="Times New Roman" w:eastAsia="仿宋_GB2312" w:cs="Times New Roman"/>
          <w:color w:val="000000"/>
          <w:sz w:val="32"/>
          <w:szCs w:val="32"/>
          <w:u w:val="none"/>
          <w:lang w:bidi="ar-SA"/>
        </w:rPr>
        <w:t>处分。</w:t>
      </w:r>
      <w:r>
        <w:rPr>
          <w:rFonts w:hint="default" w:ascii="Times New Roman" w:hAnsi="Times New Roman" w:eastAsia="仿宋_GB2312" w:cs="Times New Roman"/>
          <w:color w:val="000000"/>
          <w:sz w:val="32"/>
          <w:szCs w:val="32"/>
          <w:u w:val="none"/>
          <w:lang w:eastAsia="zh-CN" w:bidi="ar-SA"/>
        </w:rPr>
        <w:t>督促</w:t>
      </w:r>
      <w:r>
        <w:rPr>
          <w:rFonts w:hint="default" w:ascii="Times New Roman" w:hAnsi="Times New Roman" w:eastAsia="仿宋_GB2312" w:cs="Times New Roman"/>
          <w:color w:val="000000"/>
          <w:sz w:val="32"/>
          <w:szCs w:val="32"/>
          <w:u w:val="none"/>
          <w:lang w:val="en-US" w:eastAsia="zh-CN" w:bidi="ar-SA"/>
        </w:rPr>
        <w:t>10个单位党组织开展“四个面对面”警示教育。常态</w:t>
      </w:r>
      <w:r>
        <w:rPr>
          <w:rFonts w:hint="default" w:ascii="Times New Roman" w:hAnsi="Times New Roman" w:eastAsia="仿宋_GB2312" w:cs="Times New Roman"/>
          <w:color w:val="000000"/>
          <w:sz w:val="32"/>
          <w:szCs w:val="32"/>
          <w:u w:val="none"/>
          <w:lang w:eastAsia="zh-CN" w:bidi="ar-SA"/>
        </w:rPr>
        <w:t>开展</w:t>
      </w:r>
      <w:r>
        <w:rPr>
          <w:rFonts w:hint="default" w:ascii="Times New Roman" w:hAnsi="Times New Roman" w:eastAsia="仿宋_GB2312" w:cs="Times New Roman"/>
          <w:color w:val="000000"/>
          <w:sz w:val="32"/>
          <w:szCs w:val="32"/>
          <w:u w:val="none"/>
          <w:lang w:bidi="ar-SA"/>
        </w:rPr>
        <w:t>党</w:t>
      </w:r>
      <w:r>
        <w:rPr>
          <w:rFonts w:hint="default" w:ascii="Times New Roman" w:hAnsi="Times New Roman" w:eastAsia="仿宋_GB2312" w:cs="Times New Roman"/>
          <w:color w:val="000000"/>
          <w:sz w:val="32"/>
          <w:szCs w:val="32"/>
          <w:u w:val="none"/>
          <w:lang w:eastAsia="zh-CN" w:bidi="ar-SA"/>
        </w:rPr>
        <w:t>纪政务处分执行情况监督检查和回访教育，</w:t>
      </w:r>
      <w:r>
        <w:rPr>
          <w:rFonts w:hint="default" w:ascii="Times New Roman" w:hAnsi="Times New Roman" w:eastAsia="仿宋_GB2312" w:cs="Times New Roman"/>
          <w:color w:val="000000"/>
          <w:sz w:val="32"/>
          <w:szCs w:val="32"/>
          <w:u w:val="none"/>
          <w:lang w:val="en-US" w:eastAsia="zh-CN" w:bidi="ar-SA"/>
        </w:rPr>
        <w:t>扎实</w:t>
      </w:r>
      <w:r>
        <w:rPr>
          <w:rFonts w:hint="default" w:ascii="Times New Roman" w:hAnsi="Times New Roman" w:eastAsia="仿宋_GB2312" w:cs="Times New Roman"/>
          <w:color w:val="000000"/>
          <w:sz w:val="32"/>
          <w:szCs w:val="32"/>
          <w:u w:val="none"/>
          <w:lang w:eastAsia="zh-CN" w:bidi="ar-SA"/>
        </w:rPr>
        <w:t>做好党纪政务处分后半篇文章。</w:t>
      </w:r>
    </w:p>
    <w:p>
      <w:pPr>
        <w:pageBreakBefore w:val="0"/>
        <w:widowControl/>
        <w:kinsoku/>
        <w:overflowPunct/>
        <w:topLinePunct w:val="0"/>
        <w:bidi w:val="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pPr>
        <w:pStyle w:val="3"/>
        <w:pageBreakBefore w:val="0"/>
        <w:kinsoku/>
        <w:overflowPunct/>
        <w:topLinePunct w:val="0"/>
        <w:bidi w:val="0"/>
        <w:spacing w:before="0" w:after="0"/>
        <w:ind w:right="440"/>
        <w:jc w:val="center"/>
        <w:textAlignment w:val="auto"/>
        <w:rPr>
          <w:rStyle w:val="21"/>
          <w:rFonts w:hint="default" w:ascii="Times New Roman" w:hAnsi="Times New Roman" w:eastAsia="黑体" w:cs="Times New Roman"/>
          <w:b w:val="0"/>
          <w:bCs/>
        </w:rPr>
      </w:pPr>
      <w:bookmarkStart w:id="17" w:name="_Toc15377204"/>
      <w:bookmarkStart w:id="18" w:name="_Toc15396602"/>
      <w:r>
        <w:rPr>
          <w:rFonts w:hint="default" w:ascii="Times New Roman" w:hAnsi="Times New Roman" w:eastAsia="黑体" w:cs="Times New Roman"/>
          <w:b w:val="0"/>
        </w:rPr>
        <w:t>第二部分 2021年度</w:t>
      </w:r>
      <w:r>
        <w:rPr>
          <w:rStyle w:val="21"/>
          <w:rFonts w:hint="default" w:ascii="Times New Roman" w:hAnsi="Times New Roman" w:eastAsia="黑体" w:cs="Times New Roman"/>
          <w:b w:val="0"/>
          <w:bCs/>
        </w:rPr>
        <w:t>单位决算情况说明</w:t>
      </w:r>
      <w:bookmarkEnd w:id="17"/>
      <w:bookmarkEnd w:id="18"/>
    </w:p>
    <w:p>
      <w:pPr>
        <w:pageBreakBefore w:val="0"/>
        <w:kinsoku/>
        <w:overflowPunct/>
        <w:topLinePunct w:val="0"/>
        <w:bidi w:val="0"/>
        <w:textAlignment w:val="auto"/>
        <w:rPr>
          <w:rFonts w:hint="default" w:ascii="Times New Roman" w:hAnsi="Times New Roman" w:cs="Times New Roman"/>
        </w:rPr>
      </w:pPr>
    </w:p>
    <w:p>
      <w:pPr>
        <w:pStyle w:val="27"/>
        <w:pageBreakBefore w:val="0"/>
        <w:numPr>
          <w:ilvl w:val="0"/>
          <w:numId w:val="1"/>
        </w:numPr>
        <w:kinsoku/>
        <w:overflowPunct/>
        <w:topLinePunct w:val="0"/>
        <w:bidi w:val="0"/>
        <w:spacing w:line="600" w:lineRule="exact"/>
        <w:ind w:firstLineChars="0"/>
        <w:textAlignment w:val="auto"/>
        <w:outlineLvl w:val="1"/>
        <w:rPr>
          <w:rStyle w:val="22"/>
          <w:rFonts w:hint="default" w:ascii="Times New Roman" w:hAnsi="Times New Roman" w:eastAsia="黑体" w:cs="Times New Roman"/>
          <w:b w:val="0"/>
        </w:rPr>
      </w:pPr>
      <w:bookmarkStart w:id="19" w:name="_Toc15396603"/>
      <w:bookmarkStart w:id="20" w:name="_Toc15377205"/>
      <w:r>
        <w:rPr>
          <w:rFonts w:hint="default" w:ascii="Times New Roman" w:hAnsi="Times New Roman" w:eastAsia="黑体" w:cs="Times New Roman"/>
          <w:sz w:val="32"/>
          <w:szCs w:val="32"/>
        </w:rPr>
        <w:t>收</w:t>
      </w:r>
      <w:r>
        <w:rPr>
          <w:rStyle w:val="22"/>
          <w:rFonts w:hint="default" w:ascii="Times New Roman" w:hAnsi="Times New Roman" w:eastAsia="黑体" w:cs="Times New Roman"/>
          <w:b w:val="0"/>
        </w:rPr>
        <w:t>入支出决算总体情况说明</w:t>
      </w:r>
      <w:bookmarkEnd w:id="19"/>
      <w:bookmarkEnd w:id="20"/>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2021年度收、支总计</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万元。与2020年相比，收、支总计各增加</w:t>
      </w:r>
      <w:r>
        <w:rPr>
          <w:rFonts w:hint="default" w:ascii="Times New Roman" w:hAnsi="Times New Roman" w:eastAsia="仿宋" w:cs="Times New Roman"/>
          <w:sz w:val="32"/>
          <w:szCs w:val="32"/>
          <w:lang w:val="en-US" w:eastAsia="zh-CN"/>
        </w:rPr>
        <w:t>10.24</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1.78</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val="en-US" w:eastAsia="zh-CN"/>
        </w:rPr>
        <w:t>人员工资、绩效等正常调整。</w:t>
      </w:r>
    </w:p>
    <w:p>
      <w:pPr>
        <w:pStyle w:val="14"/>
        <w:pageBreakBefore w:val="0"/>
        <w:kinsoku/>
        <w:overflowPunct/>
        <w:topLinePunct w:val="0"/>
        <w:bidi w:val="0"/>
        <w:textAlignment w:val="auto"/>
        <w:rPr>
          <w:rFonts w:hint="default" w:ascii="Times New Roman" w:hAnsi="Times New Roman" w:cs="Times New Roman"/>
          <w:lang w:val="en-US" w:eastAsia="zh-CN"/>
        </w:rPr>
      </w:pPr>
      <w:r>
        <w:rPr>
          <w:rFonts w:hint="default" w:ascii="Times New Roman" w:hAnsi="Times New Roman" w:eastAsia="仿宋" w:cs="Times New Roman"/>
          <w:sz w:val="32"/>
          <w:szCs w:val="32"/>
          <w:lang w:val="en-US" w:eastAsia="zh-CN"/>
        </w:rPr>
        <w:drawing>
          <wp:inline distT="0" distB="0" distL="114300" distR="114300">
            <wp:extent cx="5080000" cy="3249295"/>
            <wp:effectExtent l="4445" t="4445" r="20955" b="2286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27"/>
        <w:pageBreakBefore w:val="0"/>
        <w:numPr>
          <w:ilvl w:val="0"/>
          <w:numId w:val="1"/>
        </w:numPr>
        <w:kinsoku/>
        <w:overflowPunct/>
        <w:topLinePunct w:val="0"/>
        <w:bidi w:val="0"/>
        <w:spacing w:line="600" w:lineRule="exact"/>
        <w:ind w:firstLineChars="0"/>
        <w:textAlignment w:val="auto"/>
        <w:outlineLvl w:val="1"/>
        <w:rPr>
          <w:rStyle w:val="22"/>
          <w:rFonts w:hint="default" w:ascii="Times New Roman" w:hAnsi="Times New Roman" w:eastAsia="黑体" w:cs="Times New Roman"/>
          <w:b w:val="0"/>
        </w:rPr>
      </w:pPr>
      <w:bookmarkStart w:id="21" w:name="_Toc15396604"/>
      <w:bookmarkStart w:id="22" w:name="_Toc15377206"/>
      <w:r>
        <w:rPr>
          <w:rFonts w:hint="default" w:ascii="Times New Roman" w:hAnsi="Times New Roman" w:eastAsia="黑体" w:cs="Times New Roman"/>
          <w:sz w:val="32"/>
          <w:szCs w:val="32"/>
        </w:rPr>
        <w:t>收</w:t>
      </w:r>
      <w:r>
        <w:rPr>
          <w:rStyle w:val="22"/>
          <w:rFonts w:hint="default" w:ascii="Times New Roman" w:hAnsi="Times New Roman" w:eastAsia="黑体" w:cs="Times New Roman"/>
          <w:b w:val="0"/>
        </w:rPr>
        <w:t>入决算情况说明</w:t>
      </w:r>
      <w:bookmarkEnd w:id="21"/>
      <w:bookmarkEnd w:id="22"/>
    </w:p>
    <w:p>
      <w:pPr>
        <w:pageBreakBefore w:val="0"/>
        <w:kinsoku/>
        <w:overflowPunct/>
        <w:topLinePunct w:val="0"/>
        <w:bidi w:val="0"/>
        <w:spacing w:line="600" w:lineRule="exact"/>
        <w:ind w:firstLine="640" w:firstLineChars="200"/>
        <w:textAlignment w:val="auto"/>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2021年本年收入合计</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523.95</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89.73</w:t>
      </w:r>
      <w:r>
        <w:rPr>
          <w:rFonts w:hint="default" w:ascii="Times New Roman" w:hAnsi="Times New Roman" w:eastAsia="仿宋" w:cs="Times New Roman"/>
          <w:sz w:val="32"/>
          <w:szCs w:val="32"/>
        </w:rPr>
        <w:t>%；政府性基金预算财政拨款收入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万元；国有资本经营预算财政拨款收入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万元%；上级补助收入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万元；事业收入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万元；经营收入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万元；附属单位上缴收入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万元；其他收入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年初结转和结余59.98万元，占10.27%</w:t>
      </w:r>
      <w:r>
        <w:rPr>
          <w:rFonts w:hint="default" w:ascii="Times New Roman" w:hAnsi="Times New Roman" w:eastAsia="仿宋" w:cs="Times New Roman"/>
          <w:sz w:val="32"/>
          <w:szCs w:val="32"/>
        </w:rPr>
        <w:t>。</w:t>
      </w:r>
    </w:p>
    <w:p>
      <w:pPr>
        <w:pageBreakBefore w:val="0"/>
        <w:kinsoku/>
        <w:overflowPunct/>
        <w:topLinePunct w:val="0"/>
        <w:bidi w:val="0"/>
        <w:textAlignment w:val="auto"/>
        <w:rPr>
          <w:rFonts w:hint="default" w:ascii="Times New Roman" w:hAnsi="Times New Roman" w:eastAsia="仿宋" w:cs="Times New Roman"/>
          <w:lang w:eastAsia="zh-CN"/>
        </w:rPr>
      </w:pPr>
      <w:r>
        <w:rPr>
          <w:rFonts w:hint="default" w:ascii="Times New Roman" w:hAnsi="Times New Roman" w:eastAsia="仿宋" w:cs="Times New Roman"/>
          <w:lang w:eastAsia="zh-CN"/>
        </w:rPr>
        <w:drawing>
          <wp:inline distT="0" distB="0" distL="114300" distR="114300">
            <wp:extent cx="5080000" cy="3115310"/>
            <wp:effectExtent l="4445" t="4445" r="20955"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7"/>
        <w:pageBreakBefore w:val="0"/>
        <w:numPr>
          <w:ilvl w:val="0"/>
          <w:numId w:val="1"/>
        </w:numPr>
        <w:kinsoku/>
        <w:overflowPunct/>
        <w:topLinePunct w:val="0"/>
        <w:bidi w:val="0"/>
        <w:spacing w:line="600" w:lineRule="exact"/>
        <w:ind w:firstLineChars="0"/>
        <w:textAlignment w:val="auto"/>
        <w:outlineLvl w:val="1"/>
        <w:rPr>
          <w:rStyle w:val="22"/>
          <w:rFonts w:hint="default" w:ascii="Times New Roman" w:hAnsi="Times New Roman" w:eastAsia="黑体" w:cs="Times New Roman"/>
          <w:b w:val="0"/>
        </w:rPr>
      </w:pPr>
      <w:bookmarkStart w:id="23" w:name="_Toc15377207"/>
      <w:bookmarkStart w:id="24" w:name="_Toc15396605"/>
      <w:r>
        <w:rPr>
          <w:rFonts w:hint="default" w:ascii="Times New Roman" w:hAnsi="Times New Roman" w:eastAsia="黑体" w:cs="Times New Roman"/>
          <w:sz w:val="32"/>
          <w:szCs w:val="32"/>
        </w:rPr>
        <w:t>支</w:t>
      </w:r>
      <w:r>
        <w:rPr>
          <w:rStyle w:val="22"/>
          <w:rFonts w:hint="default" w:ascii="Times New Roman" w:hAnsi="Times New Roman" w:eastAsia="黑体" w:cs="Times New Roman"/>
          <w:b w:val="0"/>
        </w:rPr>
        <w:t>出决算情况说明</w:t>
      </w:r>
      <w:bookmarkEnd w:id="23"/>
      <w:bookmarkEnd w:id="24"/>
    </w:p>
    <w:p>
      <w:pPr>
        <w:pageBreakBefore w:val="0"/>
        <w:kinsoku/>
        <w:overflowPunct/>
        <w:topLinePunct w:val="0"/>
        <w:bidi w:val="0"/>
        <w:spacing w:line="600" w:lineRule="exact"/>
        <w:ind w:firstLine="640" w:firstLineChars="200"/>
        <w:textAlignment w:val="auto"/>
        <w:outlineLvl w:val="1"/>
        <w:rPr>
          <w:rFonts w:hint="default" w:ascii="Times New Roman" w:hAnsi="Times New Roman" w:eastAsia="仿宋" w:cs="Times New Roman"/>
          <w:sz w:val="32"/>
          <w:szCs w:val="32"/>
          <w:shd w:val="pct10" w:color="auto" w:fill="FFFFFF"/>
        </w:rPr>
      </w:pPr>
      <w:r>
        <w:rPr>
          <w:rFonts w:hint="default" w:ascii="Times New Roman" w:hAnsi="Times New Roman" w:eastAsia="仿宋" w:cs="Times New Roman"/>
          <w:sz w:val="32"/>
          <w:szCs w:val="32"/>
        </w:rPr>
        <w:t>2021年本年支出合计</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万元，其中：基本支出</w:t>
      </w:r>
      <w:r>
        <w:rPr>
          <w:rFonts w:hint="default" w:ascii="Times New Roman" w:hAnsi="Times New Roman" w:eastAsia="仿宋" w:cs="Times New Roman"/>
          <w:sz w:val="32"/>
          <w:szCs w:val="32"/>
          <w:lang w:val="en-US" w:eastAsia="zh-CN"/>
        </w:rPr>
        <w:t>530.38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90.83</w:t>
      </w:r>
      <w:r>
        <w:rPr>
          <w:rFonts w:hint="default" w:ascii="Times New Roman" w:hAnsi="Times New Roman" w:eastAsia="仿宋" w:cs="Times New Roman"/>
          <w:sz w:val="32"/>
          <w:szCs w:val="32"/>
        </w:rPr>
        <w:t>%；项目支出</w:t>
      </w:r>
      <w:r>
        <w:rPr>
          <w:rFonts w:hint="default" w:ascii="Times New Roman" w:hAnsi="Times New Roman" w:eastAsia="仿宋" w:cs="Times New Roman"/>
          <w:sz w:val="32"/>
          <w:szCs w:val="32"/>
          <w:lang w:val="en-US" w:eastAsia="zh-CN"/>
        </w:rPr>
        <w:t>53.54</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9.17</w:t>
      </w:r>
      <w:r>
        <w:rPr>
          <w:rFonts w:hint="default" w:ascii="Times New Roman" w:hAnsi="Times New Roman" w:eastAsia="仿宋" w:cs="Times New Roman"/>
          <w:sz w:val="32"/>
          <w:szCs w:val="32"/>
        </w:rPr>
        <w:t>%；上缴上级支出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万元；经营支出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万元；对附属单位补助支出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w:t>
      </w:r>
    </w:p>
    <w:p>
      <w:pPr>
        <w:pStyle w:val="14"/>
        <w:pageBreakBefore w:val="0"/>
        <w:kinsoku/>
        <w:overflowPunct/>
        <w:topLinePunct w:val="0"/>
        <w:bidi w:val="0"/>
        <w:textAlignment w:val="auto"/>
        <w:rPr>
          <w:rFonts w:hint="default" w:ascii="Times New Roman" w:hAnsi="Times New Roman" w:eastAsia="仿宋" w:cs="Times New Roman"/>
          <w:sz w:val="32"/>
          <w:szCs w:val="32"/>
          <w:shd w:val="pct10" w:color="auto" w:fill="FFFFFF"/>
          <w:lang w:eastAsia="zh-CN"/>
        </w:rPr>
      </w:pPr>
      <w:r>
        <w:rPr>
          <w:rFonts w:hint="default" w:ascii="Times New Roman" w:hAnsi="Times New Roman" w:eastAsia="仿宋" w:cs="Times New Roman"/>
          <w:sz w:val="32"/>
          <w:szCs w:val="32"/>
          <w:shd w:val="pct10" w:color="auto" w:fill="FFFFFF"/>
          <w:lang w:eastAsia="zh-CN"/>
        </w:rPr>
        <w:drawing>
          <wp:anchor distT="0" distB="0" distL="114300" distR="114300" simplePos="0" relativeHeight="251659264" behindDoc="0" locked="0" layoutInCell="1" allowOverlap="1">
            <wp:simplePos x="0" y="0"/>
            <wp:positionH relativeFrom="column">
              <wp:posOffset>109220</wp:posOffset>
            </wp:positionH>
            <wp:positionV relativeFrom="paragraph">
              <wp:posOffset>248285</wp:posOffset>
            </wp:positionV>
            <wp:extent cx="5080000" cy="3124835"/>
            <wp:effectExtent l="4445" t="4445" r="20955" b="1397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ageBreakBefore w:val="0"/>
        <w:kinsoku/>
        <w:overflowPunct/>
        <w:topLinePunct w:val="0"/>
        <w:bidi w:val="0"/>
        <w:spacing w:line="600" w:lineRule="exact"/>
        <w:ind w:firstLine="640" w:firstLineChars="200"/>
        <w:textAlignment w:val="auto"/>
        <w:outlineLvl w:val="1"/>
        <w:rPr>
          <w:rStyle w:val="22"/>
          <w:rFonts w:hint="default" w:ascii="Times New Roman" w:hAnsi="Times New Roman" w:eastAsia="黑体" w:cs="Times New Roman"/>
          <w:b w:val="0"/>
        </w:rPr>
      </w:pPr>
      <w:bookmarkStart w:id="25" w:name="_Toc15396606"/>
      <w:bookmarkStart w:id="26" w:name="_Toc15377208"/>
      <w:r>
        <w:rPr>
          <w:rFonts w:hint="default" w:ascii="Times New Roman" w:hAnsi="Times New Roman" w:eastAsia="黑体" w:cs="Times New Roman"/>
          <w:sz w:val="32"/>
          <w:szCs w:val="32"/>
        </w:rPr>
        <w:t>四、财</w:t>
      </w:r>
      <w:r>
        <w:rPr>
          <w:rStyle w:val="22"/>
          <w:rFonts w:hint="default" w:ascii="Times New Roman" w:hAnsi="Times New Roman" w:eastAsia="黑体" w:cs="Times New Roman"/>
          <w:b w:val="0"/>
        </w:rPr>
        <w:t>政拨款收入支出决算总体情况说明</w:t>
      </w:r>
      <w:bookmarkEnd w:id="25"/>
      <w:bookmarkEnd w:id="26"/>
    </w:p>
    <w:p>
      <w:pPr>
        <w:pageBreakBefore w:val="0"/>
        <w:kinsoku/>
        <w:overflowPunct/>
        <w:topLinePunct w:val="0"/>
        <w:bidi w:val="0"/>
        <w:spacing w:line="60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2021年财政拨款收、支总计</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万元。与2020年相比，财政拨款收、支总计各增加</w:t>
      </w:r>
      <w:r>
        <w:rPr>
          <w:rFonts w:hint="default" w:ascii="Times New Roman" w:hAnsi="Times New Roman" w:eastAsia="仿宋" w:cs="Times New Roman"/>
          <w:sz w:val="32"/>
          <w:szCs w:val="32"/>
          <w:lang w:val="en-US" w:eastAsia="zh-CN"/>
        </w:rPr>
        <w:t>10.24</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1.78</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val="en-US" w:eastAsia="zh-CN"/>
        </w:rPr>
        <w:t>人员工资、目标绩效的正常调整。</w:t>
      </w:r>
    </w:p>
    <w:p>
      <w:pPr>
        <w:pageBreakBefore w:val="0"/>
        <w:kinsoku/>
        <w:overflowPunct/>
        <w:topLinePunct w:val="0"/>
        <w:bidi w:val="0"/>
        <w:textAlignment w:val="auto"/>
        <w:rPr>
          <w:rFonts w:hint="default" w:ascii="Times New Roman" w:hAnsi="Times New Roman" w:eastAsia="仿宋" w:cs="Times New Roman"/>
          <w:b/>
          <w:sz w:val="32"/>
          <w:szCs w:val="32"/>
        </w:rPr>
      </w:pPr>
      <w:r>
        <w:rPr>
          <w:rFonts w:hint="default" w:ascii="Times New Roman" w:hAnsi="Times New Roman" w:eastAsia="仿宋" w:cs="Times New Roman"/>
          <w:lang w:eastAsia="zh-CN"/>
        </w:rPr>
        <w:drawing>
          <wp:inline distT="0" distB="0" distL="114300" distR="114300">
            <wp:extent cx="5080000" cy="3810000"/>
            <wp:effectExtent l="4445" t="4445" r="2095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ageBreakBefore w:val="0"/>
        <w:kinsoku/>
        <w:overflowPunct/>
        <w:topLinePunct w:val="0"/>
        <w:bidi w:val="0"/>
        <w:spacing w:line="600" w:lineRule="exact"/>
        <w:ind w:firstLine="640" w:firstLineChars="200"/>
        <w:textAlignment w:val="auto"/>
        <w:outlineLvl w:val="1"/>
        <w:rPr>
          <w:rStyle w:val="22"/>
          <w:rFonts w:hint="default" w:ascii="Times New Roman" w:hAnsi="Times New Roman" w:eastAsia="黑体" w:cs="Times New Roman"/>
          <w:b w:val="0"/>
        </w:rPr>
      </w:pPr>
      <w:bookmarkStart w:id="27" w:name="_Toc15377209"/>
      <w:bookmarkStart w:id="28"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2"/>
          <w:rFonts w:hint="default" w:ascii="Times New Roman" w:hAnsi="Times New Roman" w:eastAsia="黑体" w:cs="Times New Roman"/>
          <w:b w:val="0"/>
        </w:rPr>
        <w:t>般公共预算财政拨款支出决算情况说明</w:t>
      </w:r>
      <w:bookmarkEnd w:id="27"/>
      <w:bookmarkEnd w:id="28"/>
    </w:p>
    <w:p>
      <w:pPr>
        <w:pageBreakBefore w:val="0"/>
        <w:kinsoku/>
        <w:overflowPunct/>
        <w:topLinePunct w:val="0"/>
        <w:bidi w:val="0"/>
        <w:spacing w:line="600" w:lineRule="exact"/>
        <w:ind w:firstLine="643" w:firstLineChars="200"/>
        <w:textAlignment w:val="auto"/>
        <w:outlineLvl w:val="2"/>
        <w:rPr>
          <w:rFonts w:hint="default" w:ascii="Times New Roman" w:hAnsi="Times New Roman" w:eastAsia="仿宋" w:cs="Times New Roman"/>
          <w:b/>
          <w:sz w:val="32"/>
          <w:szCs w:val="32"/>
        </w:rPr>
      </w:pPr>
      <w:bookmarkStart w:id="29" w:name="_Toc15377210"/>
      <w:r>
        <w:rPr>
          <w:rFonts w:hint="default" w:ascii="Times New Roman" w:hAnsi="Times New Roman" w:eastAsia="仿宋" w:cs="Times New Roman"/>
          <w:b/>
          <w:sz w:val="32"/>
          <w:szCs w:val="32"/>
        </w:rPr>
        <w:t>（一）一般公共预算财政拨款支出决算总体情况</w:t>
      </w:r>
      <w:bookmarkEnd w:id="29"/>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2021年一般公共预算财政拨款支出</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万元，占本年支出合计的</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%。与2020年相比，一般公共预算财政拨款支出增加</w:t>
      </w:r>
      <w:r>
        <w:rPr>
          <w:rFonts w:hint="default" w:ascii="Times New Roman" w:hAnsi="Times New Roman" w:eastAsia="仿宋" w:cs="Times New Roman"/>
          <w:sz w:val="32"/>
          <w:szCs w:val="32"/>
          <w:lang w:val="en-US" w:eastAsia="zh-CN"/>
        </w:rPr>
        <w:t>70.36</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13.7</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val="en-US" w:eastAsia="zh-CN"/>
        </w:rPr>
        <w:t>人员工资、绩效等正常调整。</w:t>
      </w: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363220</wp:posOffset>
            </wp:positionH>
            <wp:positionV relativeFrom="paragraph">
              <wp:posOffset>-71755</wp:posOffset>
            </wp:positionV>
            <wp:extent cx="5080000" cy="3810000"/>
            <wp:effectExtent l="4445" t="4445" r="20955" b="1460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14"/>
        <w:pageBreakBefore w:val="0"/>
        <w:kinsoku/>
        <w:overflowPunct/>
        <w:topLinePunct w:val="0"/>
        <w:bidi w:val="0"/>
        <w:textAlignment w:val="auto"/>
        <w:rPr>
          <w:rFonts w:hint="default" w:ascii="Times New Roman" w:hAnsi="Times New Roman" w:eastAsia="仿宋" w:cs="Times New Roman"/>
          <w:sz w:val="32"/>
          <w:szCs w:val="32"/>
        </w:rPr>
      </w:pPr>
    </w:p>
    <w:p>
      <w:pPr>
        <w:pageBreakBefore w:val="0"/>
        <w:kinsoku/>
        <w:overflowPunct/>
        <w:topLinePunct w:val="0"/>
        <w:bidi w:val="0"/>
        <w:textAlignment w:val="auto"/>
        <w:rPr>
          <w:rFonts w:hint="default" w:ascii="Times New Roman" w:hAnsi="Times New Roman" w:eastAsia="仿宋" w:cs="Times New Roman"/>
          <w:sz w:val="32"/>
          <w:szCs w:val="32"/>
        </w:rPr>
      </w:pPr>
    </w:p>
    <w:p>
      <w:pPr>
        <w:pStyle w:val="14"/>
        <w:pageBreakBefore w:val="0"/>
        <w:kinsoku/>
        <w:overflowPunct/>
        <w:topLinePunct w:val="0"/>
        <w:bidi w:val="0"/>
        <w:textAlignment w:val="auto"/>
        <w:rPr>
          <w:rFonts w:hint="default" w:ascii="Times New Roman" w:hAnsi="Times New Roman" w:cs="Times New Roman"/>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lang w:eastAsia="zh-CN"/>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0" w:firstLineChars="200"/>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textAlignment w:val="auto"/>
        <w:rPr>
          <w:rFonts w:hint="default" w:ascii="Times New Roman" w:hAnsi="Times New Roman" w:eastAsia="仿宋" w:cs="Times New Roman"/>
          <w:sz w:val="32"/>
          <w:szCs w:val="32"/>
        </w:rPr>
      </w:pPr>
    </w:p>
    <w:p>
      <w:pPr>
        <w:pageBreakBefore w:val="0"/>
        <w:kinsoku/>
        <w:overflowPunct/>
        <w:topLinePunct w:val="0"/>
        <w:bidi w:val="0"/>
        <w:spacing w:line="600" w:lineRule="exact"/>
        <w:ind w:firstLine="643" w:firstLineChars="200"/>
        <w:textAlignment w:val="auto"/>
        <w:outlineLvl w:val="2"/>
        <w:rPr>
          <w:rFonts w:hint="default" w:ascii="Times New Roman" w:hAnsi="Times New Roman" w:eastAsia="仿宋" w:cs="Times New Roman"/>
          <w:b/>
          <w:sz w:val="32"/>
          <w:szCs w:val="32"/>
        </w:rPr>
      </w:pPr>
      <w:bookmarkStart w:id="30" w:name="_Toc15377211"/>
      <w:r>
        <w:rPr>
          <w:rFonts w:hint="default" w:ascii="Times New Roman" w:hAnsi="Times New Roman" w:eastAsia="仿宋" w:cs="Times New Roman"/>
          <w:b/>
          <w:sz w:val="32"/>
          <w:szCs w:val="32"/>
        </w:rPr>
        <w:t>（二）一般公共预算财政拨款支出决算结构情况</w:t>
      </w:r>
      <w:bookmarkEnd w:id="30"/>
    </w:p>
    <w:p>
      <w:pPr>
        <w:pageBreakBefore w:val="0"/>
        <w:kinsoku/>
        <w:overflowPunct/>
        <w:topLinePunct w:val="0"/>
        <w:bidi w:val="0"/>
        <w:spacing w:line="600" w:lineRule="exact"/>
        <w:ind w:firstLine="640"/>
        <w:textAlignment w:val="auto"/>
        <w:rPr>
          <w:rFonts w:hint="default" w:ascii="Times New Roman" w:hAnsi="Times New Roman" w:cs="Times New Roman"/>
        </w:rPr>
      </w:pPr>
      <w:r>
        <w:rPr>
          <w:rFonts w:hint="default" w:ascii="Times New Roman" w:hAnsi="Times New Roman" w:eastAsia="仿宋" w:cs="Times New Roman"/>
          <w:sz w:val="32"/>
          <w:szCs w:val="32"/>
          <w:lang w:eastAsia="zh-CN"/>
        </w:rPr>
        <w:drawing>
          <wp:anchor distT="0" distB="0" distL="114300" distR="114300" simplePos="0" relativeHeight="251661312" behindDoc="0" locked="0" layoutInCell="1" allowOverlap="1">
            <wp:simplePos x="0" y="0"/>
            <wp:positionH relativeFrom="column">
              <wp:posOffset>-33655</wp:posOffset>
            </wp:positionH>
            <wp:positionV relativeFrom="paragraph">
              <wp:posOffset>2018030</wp:posOffset>
            </wp:positionV>
            <wp:extent cx="5080000" cy="2905760"/>
            <wp:effectExtent l="4445" t="4445" r="20955" b="2349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仿宋" w:cs="Times New Roman"/>
          <w:sz w:val="32"/>
          <w:szCs w:val="32"/>
        </w:rPr>
        <w:t>2021年一般公共预算财政拨款支出</w:t>
      </w:r>
      <w:r>
        <w:rPr>
          <w:rFonts w:hint="default" w:ascii="Times New Roman" w:hAnsi="Times New Roman" w:eastAsia="仿宋" w:cs="Times New Roman"/>
          <w:sz w:val="32"/>
          <w:szCs w:val="32"/>
          <w:lang w:val="en-US" w:eastAsia="zh-CN"/>
        </w:rPr>
        <w:t>583.93</w:t>
      </w:r>
      <w:r>
        <w:rPr>
          <w:rFonts w:hint="default" w:ascii="Times New Roman" w:hAnsi="Times New Roman" w:eastAsia="仿宋" w:cs="Times New Roman"/>
          <w:sz w:val="32"/>
          <w:szCs w:val="32"/>
        </w:rPr>
        <w:t>万元，主要用于以下方面:</w:t>
      </w:r>
      <w:r>
        <w:rPr>
          <w:rFonts w:hint="default" w:ascii="Times New Roman" w:hAnsi="Times New Roman" w:eastAsia="仿宋" w:cs="Times New Roman"/>
          <w:b/>
          <w:sz w:val="32"/>
          <w:szCs w:val="32"/>
        </w:rPr>
        <w:t>一般公共服务（类）</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503.89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86.29</w:t>
      </w:r>
      <w:r>
        <w:rPr>
          <w:rFonts w:hint="default" w:ascii="Times New Roman" w:hAnsi="Times New Roman" w:eastAsia="仿宋" w:cs="Times New Roman"/>
          <w:sz w:val="32"/>
          <w:szCs w:val="32"/>
        </w:rPr>
        <w:t>%；</w:t>
      </w:r>
      <w:r>
        <w:rPr>
          <w:rFonts w:hint="default" w:ascii="Times New Roman" w:hAnsi="Times New Roman" w:eastAsia="仿宋" w:cs="Times New Roman"/>
          <w:b/>
          <w:sz w:val="32"/>
          <w:szCs w:val="32"/>
        </w:rPr>
        <w:t>社会保障和就业（类）</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37.09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6.36</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卫生健康支出</w:t>
      </w:r>
      <w:r>
        <w:rPr>
          <w:rFonts w:hint="default" w:ascii="Times New Roman" w:hAnsi="Times New Roman" w:eastAsia="仿宋" w:cs="Times New Roman"/>
          <w:b w:val="0"/>
          <w:bCs w:val="0"/>
          <w:sz w:val="32"/>
          <w:szCs w:val="32"/>
          <w:lang w:val="en-US" w:eastAsia="zh-CN"/>
        </w:rPr>
        <w:t>16.45</w:t>
      </w:r>
      <w:r>
        <w:rPr>
          <w:rFonts w:hint="default" w:ascii="Times New Roman" w:hAnsi="Times New Roman" w:eastAsia="仿宋" w:cs="Times New Roman"/>
          <w:b w:val="0"/>
          <w:bCs w:val="0"/>
          <w:sz w:val="32"/>
          <w:szCs w:val="32"/>
        </w:rPr>
        <w:t>万</w:t>
      </w:r>
      <w:r>
        <w:rPr>
          <w:rFonts w:hint="default" w:ascii="Times New Roman" w:hAnsi="Times New Roman" w:eastAsia="仿宋" w:cs="Times New Roman"/>
          <w:sz w:val="32"/>
          <w:szCs w:val="32"/>
        </w:rPr>
        <w:t>元，占</w:t>
      </w:r>
      <w:r>
        <w:rPr>
          <w:rFonts w:hint="default" w:ascii="Times New Roman" w:hAnsi="Times New Roman" w:eastAsia="仿宋" w:cs="Times New Roman"/>
          <w:sz w:val="32"/>
          <w:szCs w:val="32"/>
          <w:lang w:val="en-US" w:eastAsia="zh-CN"/>
        </w:rPr>
        <w:t>2.82</w:t>
      </w:r>
      <w:r>
        <w:rPr>
          <w:rFonts w:hint="default" w:ascii="Times New Roman" w:hAnsi="Times New Roman" w:eastAsia="仿宋" w:cs="Times New Roman"/>
          <w:sz w:val="32"/>
          <w:szCs w:val="32"/>
        </w:rPr>
        <w:t>%；</w:t>
      </w:r>
      <w:r>
        <w:rPr>
          <w:rFonts w:hint="default" w:ascii="Times New Roman" w:hAnsi="Times New Roman" w:eastAsia="仿宋" w:cs="Times New Roman"/>
          <w:b/>
          <w:sz w:val="32"/>
          <w:szCs w:val="32"/>
        </w:rPr>
        <w:t>住房保障</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val="en-US" w:eastAsia="zh-CN"/>
        </w:rPr>
        <w:t>26.48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4.53</w:t>
      </w:r>
      <w:r>
        <w:rPr>
          <w:rFonts w:hint="default" w:ascii="Times New Roman" w:hAnsi="Times New Roman" w:eastAsia="仿宋" w:cs="Times New Roman"/>
          <w:sz w:val="32"/>
          <w:szCs w:val="32"/>
        </w:rPr>
        <w:t>%。</w:t>
      </w:r>
    </w:p>
    <w:p>
      <w:pPr>
        <w:pageBreakBefore w:val="0"/>
        <w:kinsoku/>
        <w:overflowPunct/>
        <w:topLinePunct w:val="0"/>
        <w:bidi w:val="0"/>
        <w:spacing w:line="600" w:lineRule="exact"/>
        <w:ind w:firstLine="643" w:firstLineChars="200"/>
        <w:textAlignment w:val="auto"/>
        <w:outlineLvl w:val="2"/>
        <w:rPr>
          <w:rFonts w:hint="default" w:ascii="Times New Roman" w:hAnsi="Times New Roman" w:eastAsia="仿宋" w:cs="Times New Roman"/>
          <w:b/>
          <w:sz w:val="32"/>
          <w:szCs w:val="32"/>
        </w:rPr>
      </w:pPr>
      <w:bookmarkStart w:id="31" w:name="_Toc15377212"/>
      <w:r>
        <w:rPr>
          <w:rFonts w:hint="default" w:ascii="Times New Roman" w:hAnsi="Times New Roman" w:eastAsia="仿宋" w:cs="Times New Roman"/>
          <w:b/>
          <w:sz w:val="32"/>
          <w:szCs w:val="32"/>
        </w:rPr>
        <w:t>（三）一般公共预算财政拨款支出决算具体情况</w:t>
      </w:r>
      <w:bookmarkEnd w:id="31"/>
    </w:p>
    <w:p>
      <w:pPr>
        <w:pageBreakBefore w:val="0"/>
        <w:kinsoku/>
        <w:overflowPunct/>
        <w:topLinePunct w:val="0"/>
        <w:bidi w:val="0"/>
        <w:spacing w:line="600" w:lineRule="exact"/>
        <w:ind w:firstLine="643" w:firstLineChars="200"/>
        <w:textAlignment w:val="auto"/>
        <w:outlineLvl w:val="2"/>
        <w:rPr>
          <w:rFonts w:hint="default" w:ascii="Times New Roman" w:hAnsi="Times New Roman" w:eastAsia="仿宋" w:cs="Times New Roman"/>
          <w:sz w:val="32"/>
          <w:szCs w:val="32"/>
        </w:rPr>
      </w:pPr>
      <w:bookmarkStart w:id="32" w:name="_Toc15378460"/>
      <w:bookmarkStart w:id="33" w:name="_Toc15377444"/>
      <w:bookmarkStart w:id="34" w:name="_Toc15377213"/>
      <w:r>
        <w:rPr>
          <w:rFonts w:hint="default" w:ascii="Times New Roman" w:hAnsi="Times New Roman" w:eastAsia="仿宋" w:cs="Times New Roman"/>
          <w:b/>
          <w:sz w:val="32"/>
          <w:szCs w:val="32"/>
        </w:rPr>
        <w:t>2021年一般公共预算支出决算数为</w:t>
      </w:r>
      <w:r>
        <w:rPr>
          <w:rFonts w:hint="default" w:ascii="Times New Roman" w:hAnsi="Times New Roman" w:eastAsia="仿宋" w:cs="Times New Roman"/>
          <w:b/>
          <w:sz w:val="32"/>
          <w:szCs w:val="32"/>
          <w:lang w:val="en-US" w:eastAsia="zh-CN"/>
        </w:rPr>
        <w:t>583.93</w:t>
      </w:r>
      <w:r>
        <w:rPr>
          <w:rFonts w:hint="eastAsia" w:eastAsia="仿宋" w:cs="Times New Roman"/>
          <w:b/>
          <w:sz w:val="32"/>
          <w:szCs w:val="32"/>
          <w:lang w:val="en-US" w:eastAsia="zh-CN"/>
        </w:rPr>
        <w:t>万元</w:t>
      </w:r>
      <w:r>
        <w:rPr>
          <w:rFonts w:hint="default" w:ascii="Times New Roman" w:hAnsi="Times New Roman" w:eastAsia="仿宋" w:cs="Times New Roman"/>
          <w:sz w:val="32"/>
          <w:szCs w:val="32"/>
        </w:rPr>
        <w:t>，</w:t>
      </w:r>
      <w:r>
        <w:rPr>
          <w:rStyle w:val="19"/>
          <w:rFonts w:hint="default" w:ascii="Times New Roman" w:hAnsi="Times New Roman" w:eastAsia="仿宋" w:cs="Times New Roman"/>
          <w:bCs/>
          <w:sz w:val="32"/>
          <w:szCs w:val="32"/>
        </w:rPr>
        <w:t>完成预算</w:t>
      </w:r>
      <w:r>
        <w:rPr>
          <w:rStyle w:val="19"/>
          <w:rFonts w:hint="default" w:ascii="Times New Roman" w:hAnsi="Times New Roman" w:eastAsia="仿宋" w:cs="Times New Roman"/>
          <w:bCs/>
          <w:sz w:val="32"/>
          <w:szCs w:val="32"/>
          <w:lang w:val="en-US" w:eastAsia="zh-CN"/>
        </w:rPr>
        <w:t>100</w:t>
      </w:r>
      <w:r>
        <w:rPr>
          <w:rStyle w:val="19"/>
          <w:rFonts w:hint="default" w:ascii="Times New Roman" w:hAnsi="Times New Roman" w:eastAsia="仿宋" w:cs="Times New Roman"/>
          <w:bCs/>
          <w:sz w:val="32"/>
          <w:szCs w:val="32"/>
        </w:rPr>
        <w:t>%。其中：</w:t>
      </w:r>
      <w:bookmarkEnd w:id="32"/>
      <w:bookmarkEnd w:id="33"/>
      <w:bookmarkEnd w:id="34"/>
    </w:p>
    <w:p>
      <w:pPr>
        <w:pageBreakBefore w:val="0"/>
        <w:kinsoku/>
        <w:overflowPunct/>
        <w:topLinePunct w:val="0"/>
        <w:bidi w:val="0"/>
        <w:spacing w:line="600" w:lineRule="exact"/>
        <w:ind w:firstLine="643" w:firstLineChars="200"/>
        <w:textAlignment w:val="auto"/>
        <w:rPr>
          <w:rFonts w:hint="default" w:ascii="Times New Roman" w:hAnsi="Times New Roman" w:eastAsia="仿宋" w:cs="Times New Roman"/>
          <w:b/>
          <w:sz w:val="32"/>
          <w:szCs w:val="32"/>
        </w:rPr>
      </w:pPr>
      <w:r>
        <w:rPr>
          <w:rStyle w:val="19"/>
          <w:rFonts w:hint="default" w:ascii="Times New Roman" w:hAnsi="Times New Roman" w:eastAsia="仿宋" w:cs="Times New Roman"/>
          <w:bCs/>
          <w:sz w:val="32"/>
          <w:szCs w:val="32"/>
        </w:rPr>
        <w:t>1.一般公共服务</w:t>
      </w:r>
      <w:r>
        <w:rPr>
          <w:rStyle w:val="19"/>
          <w:rFonts w:hint="default" w:ascii="Times New Roman" w:hAnsi="Times New Roman" w:eastAsia="仿宋" w:cs="Times New Roman"/>
          <w:bCs/>
          <w:sz w:val="32"/>
          <w:szCs w:val="32"/>
          <w:lang w:val="en-US" w:eastAsia="zh-CN"/>
        </w:rPr>
        <w:t>党委办公厅（室）及相关机构事务行政运行</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2013101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450.35万</w:t>
      </w:r>
      <w:r>
        <w:rPr>
          <w:rStyle w:val="19"/>
          <w:rFonts w:hint="default" w:ascii="Times New Roman" w:hAnsi="Times New Roman" w:eastAsia="仿宋" w:cs="Times New Roman"/>
          <w:b w:val="0"/>
          <w:bCs/>
          <w:sz w:val="32"/>
          <w:szCs w:val="32"/>
        </w:rPr>
        <w:t>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r>
        <w:rPr>
          <w:rStyle w:val="19"/>
          <w:rFonts w:hint="default" w:ascii="Times New Roman" w:hAnsi="Times New Roman" w:eastAsia="仿宋" w:cs="Times New Roman"/>
          <w:b w:val="0"/>
          <w:bCs/>
          <w:sz w:val="32"/>
          <w:szCs w:val="32"/>
          <w:lang w:eastAsia="zh-CN"/>
        </w:rPr>
        <w:t>；</w:t>
      </w:r>
      <w:r>
        <w:rPr>
          <w:rStyle w:val="19"/>
          <w:rFonts w:hint="default" w:ascii="Times New Roman" w:hAnsi="Times New Roman" w:eastAsia="仿宋" w:cs="Times New Roman"/>
          <w:bCs/>
          <w:sz w:val="32"/>
          <w:szCs w:val="32"/>
        </w:rPr>
        <w:t>一般公共服务</w:t>
      </w:r>
      <w:r>
        <w:rPr>
          <w:rStyle w:val="19"/>
          <w:rFonts w:hint="default" w:ascii="Times New Roman" w:hAnsi="Times New Roman" w:eastAsia="仿宋" w:cs="Times New Roman"/>
          <w:bCs/>
          <w:sz w:val="32"/>
          <w:szCs w:val="32"/>
          <w:lang w:val="en-US" w:eastAsia="zh-CN"/>
        </w:rPr>
        <w:t>党委办公厅（室）及相关机构事务一般行政管理事务</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2013102</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万53.54万</w:t>
      </w:r>
      <w:r>
        <w:rPr>
          <w:rStyle w:val="19"/>
          <w:rFonts w:hint="default" w:ascii="Times New Roman" w:hAnsi="Times New Roman" w:eastAsia="仿宋" w:cs="Times New Roman"/>
          <w:b w:val="0"/>
          <w:bCs/>
          <w:sz w:val="32"/>
          <w:szCs w:val="32"/>
        </w:rPr>
        <w:t>元，完成预算</w:t>
      </w:r>
      <w:r>
        <w:rPr>
          <w:rStyle w:val="19"/>
          <w:rFonts w:hint="default" w:ascii="Times New Roman" w:hAnsi="Times New Roman" w:eastAsia="仿宋" w:cs="Times New Roman"/>
          <w:b w:val="0"/>
          <w:bCs/>
          <w:sz w:val="32"/>
          <w:szCs w:val="32"/>
          <w:lang w:val="en-US" w:eastAsia="zh-CN"/>
        </w:rPr>
        <w:t>74.75</w:t>
      </w:r>
      <w:r>
        <w:rPr>
          <w:rStyle w:val="19"/>
          <w:rFonts w:hint="default" w:ascii="Times New Roman" w:hAnsi="Times New Roman" w:eastAsia="仿宋" w:cs="Times New Roman"/>
          <w:b w:val="0"/>
          <w:bCs/>
          <w:sz w:val="32"/>
          <w:szCs w:val="32"/>
        </w:rPr>
        <w:t>%</w:t>
      </w:r>
      <w:r>
        <w:rPr>
          <w:rStyle w:val="19"/>
          <w:rFonts w:hint="default" w:ascii="Times New Roman" w:hAnsi="Times New Roman" w:eastAsia="仿宋" w:cs="Times New Roman"/>
          <w:b w:val="0"/>
          <w:bCs/>
          <w:sz w:val="32"/>
          <w:szCs w:val="32"/>
          <w:lang w:eastAsia="zh-CN"/>
        </w:rPr>
        <w:t>；</w:t>
      </w:r>
      <w:r>
        <w:rPr>
          <w:rStyle w:val="19"/>
          <w:rFonts w:hint="default" w:ascii="Times New Roman" w:hAnsi="Times New Roman" w:eastAsia="仿宋" w:cs="Times New Roman"/>
          <w:b w:val="0"/>
          <w:bCs/>
          <w:sz w:val="32"/>
          <w:szCs w:val="32"/>
        </w:rPr>
        <w:t>决算数预算数的主要原因是</w:t>
      </w:r>
      <w:r>
        <w:rPr>
          <w:rStyle w:val="19"/>
          <w:rFonts w:hint="default" w:ascii="Times New Roman" w:hAnsi="Times New Roman" w:eastAsia="仿宋" w:cs="Times New Roman"/>
          <w:b w:val="0"/>
          <w:bCs/>
          <w:sz w:val="32"/>
          <w:szCs w:val="32"/>
          <w:lang w:val="en-US" w:eastAsia="zh-CN"/>
        </w:rPr>
        <w:t>受疫情影响，党组织书记政治和业务能力提升培训班及党务干部政治和业务能力提升培训班未按照年初计划正常</w:t>
      </w:r>
      <w:r>
        <w:rPr>
          <w:rStyle w:val="19"/>
          <w:rFonts w:hint="eastAsia" w:eastAsia="仿宋" w:cs="Times New Roman"/>
          <w:b w:val="0"/>
          <w:bCs/>
          <w:sz w:val="32"/>
          <w:szCs w:val="32"/>
          <w:lang w:val="en-US" w:eastAsia="zh-CN"/>
        </w:rPr>
        <w:t>举办</w:t>
      </w:r>
      <w:r>
        <w:rPr>
          <w:rStyle w:val="19"/>
          <w:rFonts w:hint="default" w:ascii="Times New Roman" w:hAnsi="Times New Roman" w:eastAsia="仿宋" w:cs="Times New Roman"/>
          <w:b w:val="0"/>
          <w:bCs/>
          <w:sz w:val="32"/>
          <w:szCs w:val="32"/>
        </w:rPr>
        <w:t>。</w:t>
      </w:r>
    </w:p>
    <w:p>
      <w:pPr>
        <w:pageBreakBefore w:val="0"/>
        <w:kinsoku/>
        <w:overflowPunct/>
        <w:topLinePunct w:val="0"/>
        <w:bidi w:val="0"/>
        <w:spacing w:line="600" w:lineRule="exact"/>
        <w:ind w:firstLine="643" w:firstLineChars="200"/>
        <w:textAlignment w:val="auto"/>
        <w:rPr>
          <w:rFonts w:hint="default" w:ascii="Times New Roman" w:hAnsi="Times New Roman" w:eastAsia="仿宋" w:cs="Times New Roman"/>
          <w:b/>
          <w:sz w:val="32"/>
          <w:szCs w:val="32"/>
        </w:rPr>
      </w:pPr>
      <w:r>
        <w:rPr>
          <w:rStyle w:val="19"/>
          <w:rFonts w:hint="default" w:ascii="Times New Roman" w:hAnsi="Times New Roman" w:eastAsia="仿宋" w:cs="Times New Roman"/>
          <w:bCs/>
          <w:sz w:val="32"/>
          <w:szCs w:val="32"/>
        </w:rPr>
        <w:t>2.社会保障和就业</w:t>
      </w:r>
      <w:r>
        <w:rPr>
          <w:rStyle w:val="19"/>
          <w:rFonts w:hint="default" w:ascii="Times New Roman" w:hAnsi="Times New Roman" w:eastAsia="仿宋" w:cs="Times New Roman"/>
          <w:bCs/>
          <w:sz w:val="32"/>
          <w:szCs w:val="32"/>
          <w:lang w:val="en-US" w:eastAsia="zh-CN"/>
        </w:rPr>
        <w:t>机关事业单位基本养老保险</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2080505</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24.73</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r>
        <w:rPr>
          <w:rStyle w:val="19"/>
          <w:rFonts w:hint="default" w:ascii="Times New Roman" w:hAnsi="Times New Roman" w:eastAsia="仿宋" w:cs="Times New Roman"/>
          <w:b w:val="0"/>
          <w:bCs/>
          <w:sz w:val="32"/>
          <w:szCs w:val="32"/>
          <w:lang w:eastAsia="zh-CN"/>
        </w:rPr>
        <w:t>；</w:t>
      </w:r>
      <w:r>
        <w:rPr>
          <w:rStyle w:val="19"/>
          <w:rFonts w:hint="default" w:ascii="Times New Roman" w:hAnsi="Times New Roman" w:eastAsia="仿宋" w:cs="Times New Roman"/>
          <w:bCs/>
          <w:sz w:val="32"/>
          <w:szCs w:val="32"/>
        </w:rPr>
        <w:t>社会保障和就业</w:t>
      </w:r>
      <w:r>
        <w:rPr>
          <w:rStyle w:val="19"/>
          <w:rFonts w:hint="default" w:ascii="Times New Roman" w:hAnsi="Times New Roman" w:eastAsia="仿宋" w:cs="Times New Roman"/>
          <w:bCs/>
          <w:sz w:val="32"/>
          <w:szCs w:val="32"/>
          <w:lang w:val="en-US" w:eastAsia="zh-CN"/>
        </w:rPr>
        <w:t>机关事业单位职业年金缴费支出</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2080506</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Cs/>
          <w:sz w:val="32"/>
          <w:szCs w:val="32"/>
          <w:lang w:val="en-US" w:eastAsia="zh-CN"/>
        </w:rPr>
        <w:t>:</w:t>
      </w:r>
      <w:r>
        <w:rPr>
          <w:rStyle w:val="19"/>
          <w:rFonts w:hint="default" w:ascii="Times New Roman" w:hAnsi="Times New Roman" w:eastAsia="仿宋" w:cs="Times New Roman"/>
          <w:b w:val="0"/>
          <w:bCs/>
          <w:sz w:val="32"/>
          <w:szCs w:val="32"/>
        </w:rPr>
        <w:t>支出决算</w:t>
      </w:r>
      <w:r>
        <w:rPr>
          <w:rStyle w:val="19"/>
          <w:rFonts w:hint="default" w:ascii="Times New Roman" w:hAnsi="Times New Roman" w:eastAsia="仿宋" w:cs="Times New Roman"/>
          <w:b w:val="0"/>
          <w:bCs/>
          <w:sz w:val="32"/>
          <w:szCs w:val="32"/>
          <w:lang w:val="en-US" w:eastAsia="zh-CN"/>
        </w:rPr>
        <w:t>12.36</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p>
    <w:p>
      <w:pPr>
        <w:pageBreakBefore w:val="0"/>
        <w:kinsoku/>
        <w:overflowPunct/>
        <w:topLinePunct w:val="0"/>
        <w:bidi w:val="0"/>
        <w:spacing w:line="600" w:lineRule="exact"/>
        <w:ind w:firstLine="643" w:firstLineChars="200"/>
        <w:textAlignment w:val="auto"/>
        <w:rPr>
          <w:rFonts w:hint="default" w:ascii="Times New Roman" w:hAnsi="Times New Roman" w:eastAsia="仿宋" w:cs="Times New Roman"/>
          <w:b/>
          <w:sz w:val="32"/>
          <w:szCs w:val="32"/>
        </w:rPr>
      </w:pPr>
      <w:r>
        <w:rPr>
          <w:rStyle w:val="19"/>
          <w:rFonts w:hint="default" w:ascii="Times New Roman" w:hAnsi="Times New Roman" w:eastAsia="仿宋" w:cs="Times New Roman"/>
          <w:bCs/>
          <w:sz w:val="32"/>
          <w:szCs w:val="32"/>
          <w:lang w:val="en-US" w:eastAsia="zh-CN"/>
        </w:rPr>
        <w:t>3</w:t>
      </w:r>
      <w:r>
        <w:rPr>
          <w:rStyle w:val="19"/>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w:t>
      </w:r>
      <w:r>
        <w:rPr>
          <w:rFonts w:hint="default" w:ascii="Times New Roman" w:hAnsi="Times New Roman" w:eastAsia="仿宋" w:cs="Times New Roman"/>
          <w:b/>
          <w:bCs/>
          <w:sz w:val="32"/>
          <w:szCs w:val="32"/>
          <w:lang w:val="en-US" w:eastAsia="zh-CN"/>
        </w:rPr>
        <w:t>行政单位医疗（2101101）</w:t>
      </w:r>
      <w:r>
        <w:rPr>
          <w:rStyle w:val="19"/>
          <w:rFonts w:hint="default" w:ascii="Times New Roman" w:hAnsi="Times New Roman" w:eastAsia="仿宋" w:cs="Times New Roman"/>
          <w:bCs/>
          <w:sz w:val="32"/>
          <w:szCs w:val="32"/>
        </w:rPr>
        <w:t>:</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12.57</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r>
        <w:rPr>
          <w:rStyle w:val="19"/>
          <w:rFonts w:hint="default" w:ascii="Times New Roman" w:hAnsi="Times New Roman" w:eastAsia="仿宋" w:cs="Times New Roman"/>
          <w:b w:val="0"/>
          <w:bCs/>
          <w:sz w:val="32"/>
          <w:szCs w:val="32"/>
          <w:lang w:eastAsia="zh-CN"/>
        </w:rPr>
        <w:t>；</w:t>
      </w:r>
      <w:r>
        <w:rPr>
          <w:rFonts w:hint="default" w:ascii="Times New Roman" w:hAnsi="Times New Roman" w:eastAsia="仿宋" w:cs="Times New Roman"/>
          <w:b/>
          <w:bCs/>
          <w:sz w:val="32"/>
          <w:szCs w:val="32"/>
        </w:rPr>
        <w:t>卫生健康</w:t>
      </w:r>
      <w:r>
        <w:rPr>
          <w:rFonts w:hint="default" w:ascii="Times New Roman" w:hAnsi="Times New Roman" w:eastAsia="仿宋" w:cs="Times New Roman"/>
          <w:b/>
          <w:bCs/>
          <w:sz w:val="32"/>
          <w:szCs w:val="32"/>
          <w:lang w:val="en-US" w:eastAsia="zh-CN"/>
        </w:rPr>
        <w:t>公务员医疗补助（2101103）：</w:t>
      </w:r>
      <w:r>
        <w:rPr>
          <w:rStyle w:val="19"/>
          <w:rFonts w:hint="default" w:ascii="Times New Roman" w:hAnsi="Times New Roman" w:eastAsia="仿宋" w:cs="Times New Roman"/>
          <w:b w:val="0"/>
          <w:bCs/>
          <w:sz w:val="32"/>
          <w:szCs w:val="32"/>
        </w:rPr>
        <w:t>支出决算为</w:t>
      </w:r>
      <w:r>
        <w:rPr>
          <w:rStyle w:val="19"/>
          <w:rFonts w:hint="default" w:ascii="Times New Roman" w:hAnsi="Times New Roman" w:eastAsia="仿宋" w:cs="Times New Roman"/>
          <w:b w:val="0"/>
          <w:bCs/>
          <w:sz w:val="32"/>
          <w:szCs w:val="32"/>
          <w:lang w:val="en-US" w:eastAsia="zh-CN"/>
        </w:rPr>
        <w:t>3.88</w:t>
      </w:r>
      <w:r>
        <w:rPr>
          <w:rStyle w:val="19"/>
          <w:rFonts w:hint="default" w:ascii="Times New Roman" w:hAnsi="Times New Roman" w:eastAsia="仿宋" w:cs="Times New Roman"/>
          <w:b w:val="0"/>
          <w:bCs/>
          <w:sz w:val="32"/>
          <w:szCs w:val="32"/>
        </w:rPr>
        <w:t>万元，完成预算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p>
    <w:p>
      <w:pPr>
        <w:pageBreakBefore w:val="0"/>
        <w:kinsoku/>
        <w:overflowPunct/>
        <w:topLinePunct w:val="0"/>
        <w:bidi w:val="0"/>
        <w:spacing w:line="600" w:lineRule="exact"/>
        <w:ind w:firstLine="643" w:firstLineChars="200"/>
        <w:textAlignment w:val="auto"/>
        <w:rPr>
          <w:rFonts w:hint="default" w:ascii="Times New Roman" w:hAnsi="Times New Roman" w:eastAsia="仿宋" w:cs="Times New Roman"/>
          <w:b/>
          <w:sz w:val="32"/>
          <w:szCs w:val="32"/>
          <w:lang w:val="en-US" w:eastAsia="zh-CN"/>
        </w:rPr>
      </w:pPr>
      <w:r>
        <w:rPr>
          <w:rFonts w:hint="default" w:ascii="Times New Roman" w:hAnsi="Times New Roman" w:eastAsia="仿宋" w:cs="Times New Roman"/>
          <w:b/>
          <w:sz w:val="32"/>
          <w:szCs w:val="32"/>
          <w:lang w:val="en-US" w:eastAsia="zh-CN"/>
        </w:rPr>
        <w:t>4.住房保障支出住房公积金（2210201）：</w:t>
      </w:r>
      <w:r>
        <w:rPr>
          <w:rStyle w:val="19"/>
          <w:rFonts w:hint="default" w:ascii="Times New Roman" w:hAnsi="Times New Roman" w:eastAsia="仿宋" w:cs="Times New Roman"/>
          <w:b w:val="0"/>
          <w:bCs/>
          <w:sz w:val="32"/>
          <w:szCs w:val="32"/>
          <w:lang w:val="en-US" w:eastAsia="zh-CN"/>
        </w:rPr>
        <w:t>支出决算为25.48万元，完成预算100%；</w:t>
      </w:r>
      <w:r>
        <w:rPr>
          <w:rFonts w:hint="default" w:ascii="Times New Roman" w:hAnsi="Times New Roman" w:eastAsia="仿宋" w:cs="Times New Roman"/>
          <w:b/>
          <w:sz w:val="32"/>
          <w:szCs w:val="32"/>
          <w:lang w:val="en-US" w:eastAsia="zh-CN"/>
        </w:rPr>
        <w:t>住房保障支出购房补贴（2210203）</w:t>
      </w:r>
    </w:p>
    <w:p>
      <w:pPr>
        <w:pageBreakBefore w:val="0"/>
        <w:tabs>
          <w:tab w:val="right" w:pos="8306"/>
        </w:tabs>
        <w:kinsoku/>
        <w:overflowPunct/>
        <w:topLinePunct w:val="0"/>
        <w:bidi w:val="0"/>
        <w:spacing w:line="600" w:lineRule="exact"/>
        <w:textAlignment w:val="auto"/>
        <w:outlineLvl w:val="1"/>
        <w:rPr>
          <w:rStyle w:val="19"/>
          <w:rFonts w:hint="default" w:ascii="Times New Roman" w:hAnsi="Times New Roman" w:eastAsia="仿宋" w:cs="Times New Roman"/>
          <w:b w:val="0"/>
          <w:bCs/>
          <w:sz w:val="32"/>
          <w:szCs w:val="32"/>
          <w:lang w:val="en-US" w:eastAsia="zh-CN"/>
        </w:rPr>
      </w:pPr>
      <w:bookmarkStart w:id="35" w:name="_Toc15396608"/>
      <w:bookmarkStart w:id="36" w:name="_Toc15377214"/>
      <w:r>
        <w:rPr>
          <w:rFonts w:hint="default" w:ascii="Times New Roman" w:hAnsi="Times New Roman" w:eastAsia="黑体" w:cs="Times New Roman"/>
          <w:sz w:val="32"/>
          <w:szCs w:val="32"/>
          <w:lang w:eastAsia="zh-CN"/>
        </w:rPr>
        <w:t>：</w:t>
      </w:r>
      <w:r>
        <w:rPr>
          <w:rStyle w:val="19"/>
          <w:rFonts w:hint="default" w:ascii="Times New Roman" w:hAnsi="Times New Roman" w:eastAsia="仿宋" w:cs="Times New Roman"/>
          <w:b w:val="0"/>
          <w:bCs/>
          <w:sz w:val="32"/>
          <w:szCs w:val="32"/>
          <w:lang w:val="en-US" w:eastAsia="zh-CN"/>
        </w:rPr>
        <w:t>支出决算为1万元，完成预算100%。</w:t>
      </w:r>
    </w:p>
    <w:p>
      <w:pPr>
        <w:pageBreakBefore w:val="0"/>
        <w:tabs>
          <w:tab w:val="right" w:pos="8306"/>
        </w:tabs>
        <w:kinsoku/>
        <w:overflowPunct/>
        <w:topLinePunct w:val="0"/>
        <w:bidi w:val="0"/>
        <w:spacing w:line="600" w:lineRule="exact"/>
        <w:ind w:firstLine="640" w:firstLineChars="200"/>
        <w:textAlignment w:val="auto"/>
        <w:outlineLvl w:val="1"/>
        <w:rPr>
          <w:rStyle w:val="22"/>
          <w:rFonts w:hint="default" w:ascii="Times New Roman" w:hAnsi="Times New Roman" w:cs="Times New Roman"/>
        </w:rPr>
      </w:pPr>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2"/>
          <w:rFonts w:hint="default" w:ascii="Times New Roman" w:hAnsi="Times New Roman" w:eastAsia="黑体" w:cs="Times New Roman"/>
          <w:b w:val="0"/>
        </w:rPr>
        <w:t>般公共预算财政拨款基本支出决算情况说明</w:t>
      </w:r>
      <w:bookmarkEnd w:id="35"/>
      <w:bookmarkEnd w:id="36"/>
      <w:r>
        <w:rPr>
          <w:rStyle w:val="22"/>
          <w:rFonts w:hint="default" w:ascii="Times New Roman" w:hAnsi="Times New Roman" w:eastAsia="黑体" w:cs="Times New Roman"/>
          <w:b w:val="0"/>
        </w:rPr>
        <w:tab/>
      </w:r>
    </w:p>
    <w:p>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2021年一般公共预算财政拨款基本支出</w:t>
      </w:r>
      <w:r>
        <w:rPr>
          <w:rFonts w:hint="default" w:ascii="Times New Roman" w:hAnsi="Times New Roman" w:eastAsia="仿宋" w:cs="Times New Roman"/>
          <w:sz w:val="32"/>
          <w:szCs w:val="32"/>
          <w:lang w:val="en-US" w:eastAsia="zh-CN"/>
        </w:rPr>
        <w:t>530.38</w:t>
      </w:r>
      <w:r>
        <w:rPr>
          <w:rFonts w:hint="default" w:ascii="Times New Roman" w:hAnsi="Times New Roman" w:eastAsia="仿宋" w:cs="Times New Roman"/>
          <w:sz w:val="32"/>
          <w:szCs w:val="32"/>
        </w:rPr>
        <w:t>万元，其中</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人员经费</w:t>
      </w:r>
      <w:r>
        <w:rPr>
          <w:rFonts w:hint="default" w:ascii="Times New Roman" w:hAnsi="Times New Roman" w:eastAsia="仿宋" w:cs="Times New Roman"/>
          <w:sz w:val="32"/>
          <w:szCs w:val="32"/>
          <w:lang w:val="en-US" w:eastAsia="zh-CN"/>
        </w:rPr>
        <w:t>399.47</w:t>
      </w:r>
      <w:r>
        <w:rPr>
          <w:rFonts w:hint="default" w:ascii="Times New Roman" w:hAnsi="Times New Roman" w:eastAsia="仿宋" w:cs="Times New Roman"/>
          <w:sz w:val="32"/>
          <w:szCs w:val="32"/>
        </w:rPr>
        <w:t>万元，主要包括：基本工资、津贴补贴、奖金、伙食补助费、机关事业单位基本养老保险缴费、职业年金缴费、</w:t>
      </w:r>
      <w:r>
        <w:rPr>
          <w:rFonts w:hint="default" w:ascii="Times New Roman" w:hAnsi="Times New Roman" w:eastAsia="仿宋" w:cs="Times New Roman"/>
          <w:sz w:val="32"/>
          <w:szCs w:val="32"/>
          <w:lang w:val="en-US" w:eastAsia="zh-CN"/>
        </w:rPr>
        <w:t>公务员医疗补助缴费、</w:t>
      </w:r>
      <w:r>
        <w:rPr>
          <w:rFonts w:hint="default" w:ascii="Times New Roman" w:hAnsi="Times New Roman" w:eastAsia="仿宋" w:cs="Times New Roman"/>
          <w:sz w:val="32"/>
          <w:szCs w:val="32"/>
        </w:rPr>
        <w:t>其他社会保障缴费、其他工资福利支出、离休费、生活补助、住房公积金、其他对个人和家庭的补助支出等。</w:t>
      </w:r>
      <w:r>
        <w:rPr>
          <w:rFonts w:hint="default" w:ascii="Times New Roman" w:hAnsi="Times New Roman" w:eastAsia="仿宋" w:cs="Times New Roman"/>
          <w:sz w:val="32"/>
          <w:szCs w:val="32"/>
        </w:rPr>
        <w:br w:type="textWrapping"/>
      </w:r>
      <w:r>
        <w:rPr>
          <w:rFonts w:hint="default" w:ascii="Times New Roman" w:hAnsi="Times New Roman" w:eastAsia="仿宋" w:cs="Times New Roman"/>
          <w:sz w:val="32"/>
          <w:szCs w:val="32"/>
        </w:rPr>
        <w:t>　　公用经费</w:t>
      </w:r>
      <w:r>
        <w:rPr>
          <w:rFonts w:hint="default" w:ascii="Times New Roman" w:hAnsi="Times New Roman" w:eastAsia="仿宋" w:cs="Times New Roman"/>
          <w:sz w:val="32"/>
          <w:szCs w:val="32"/>
          <w:lang w:val="en-US" w:eastAsia="zh-CN"/>
        </w:rPr>
        <w:t>130.91</w:t>
      </w:r>
      <w:r>
        <w:rPr>
          <w:rFonts w:hint="default" w:ascii="Times New Roman" w:hAnsi="Times New Roman" w:eastAsia="仿宋" w:cs="Times New Roman"/>
          <w:sz w:val="32"/>
          <w:szCs w:val="32"/>
        </w:rPr>
        <w:t>万元，主要包括：办公费、印刷费、手续费、水费、电费、邮电费、差旅费、维修（护）费、租赁费、会议费、培训费、福利费、公务用车运行维护费、其他商品和服务支出等。</w:t>
      </w:r>
    </w:p>
    <w:p>
      <w:pPr>
        <w:pageBreakBefore w:val="0"/>
        <w:kinsoku/>
        <w:overflowPunct/>
        <w:topLinePunct w:val="0"/>
        <w:bidi w:val="0"/>
        <w:spacing w:line="600" w:lineRule="exact"/>
        <w:ind w:firstLine="640"/>
        <w:textAlignment w:val="auto"/>
        <w:outlineLvl w:val="1"/>
        <w:rPr>
          <w:rStyle w:val="22"/>
          <w:rFonts w:hint="default" w:ascii="Times New Roman" w:hAnsi="Times New Roman" w:eastAsia="黑体" w:cs="Times New Roman"/>
          <w:b w:val="0"/>
        </w:rPr>
      </w:pPr>
      <w:bookmarkStart w:id="37" w:name="_Toc15396609"/>
      <w:bookmarkStart w:id="38" w:name="_Toc15377215"/>
      <w:r>
        <w:rPr>
          <w:rFonts w:hint="default" w:ascii="Times New Roman" w:hAnsi="Times New Roman" w:eastAsia="黑体" w:cs="Times New Roman"/>
          <w:sz w:val="32"/>
          <w:szCs w:val="32"/>
        </w:rPr>
        <w:t>七、</w:t>
      </w:r>
      <w:r>
        <w:rPr>
          <w:rStyle w:val="22"/>
          <w:rFonts w:hint="default" w:ascii="Times New Roman" w:hAnsi="Times New Roman" w:eastAsia="黑体" w:cs="Times New Roman"/>
        </w:rPr>
        <w:t>“</w:t>
      </w:r>
      <w:r>
        <w:rPr>
          <w:rStyle w:val="22"/>
          <w:rFonts w:hint="default" w:ascii="Times New Roman" w:hAnsi="Times New Roman" w:eastAsia="黑体" w:cs="Times New Roman"/>
          <w:b w:val="0"/>
        </w:rPr>
        <w:t>三公”经费财政拨款支出决算情况说明</w:t>
      </w:r>
      <w:bookmarkEnd w:id="37"/>
      <w:bookmarkEnd w:id="38"/>
    </w:p>
    <w:p>
      <w:pPr>
        <w:pageBreakBefore w:val="0"/>
        <w:kinsoku/>
        <w:overflowPunct/>
        <w:topLinePunct w:val="0"/>
        <w:bidi w:val="0"/>
        <w:spacing w:line="600" w:lineRule="exact"/>
        <w:ind w:firstLine="640"/>
        <w:textAlignment w:val="auto"/>
        <w:outlineLvl w:val="2"/>
        <w:rPr>
          <w:rFonts w:hint="default" w:ascii="Times New Roman" w:hAnsi="Times New Roman" w:eastAsia="仿宋" w:cs="Times New Roman"/>
          <w:b/>
          <w:sz w:val="32"/>
          <w:szCs w:val="32"/>
        </w:rPr>
      </w:pPr>
      <w:bookmarkStart w:id="39" w:name="_Toc15377216"/>
      <w:r>
        <w:rPr>
          <w:rFonts w:hint="default" w:ascii="Times New Roman" w:hAnsi="Times New Roman" w:eastAsia="仿宋" w:cs="Times New Roman"/>
          <w:b/>
          <w:sz w:val="32"/>
          <w:szCs w:val="32"/>
        </w:rPr>
        <w:t>（一）“三公”经费财政拨款支出决算总体情况说明</w:t>
      </w:r>
      <w:bookmarkEnd w:id="39"/>
    </w:p>
    <w:p>
      <w:pPr>
        <w:pageBreakBefore w:val="0"/>
        <w:kinsoku/>
        <w:overflowPunct/>
        <w:topLinePunct w:val="0"/>
        <w:bidi w:val="0"/>
        <w:spacing w:line="60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2021年“三公”经费财政拨款支出决算为</w:t>
      </w:r>
      <w:r>
        <w:rPr>
          <w:rFonts w:hint="default" w:ascii="Times New Roman" w:hAnsi="Times New Roman" w:eastAsia="仿宋" w:cs="Times New Roman"/>
          <w:sz w:val="32"/>
          <w:szCs w:val="32"/>
          <w:lang w:val="en-US" w:eastAsia="zh-CN"/>
        </w:rPr>
        <w:t>76.66</w:t>
      </w:r>
      <w:r>
        <w:rPr>
          <w:rFonts w:hint="default" w:ascii="Times New Roman" w:hAnsi="Times New Roman" w:eastAsia="仿宋" w:cs="Times New Roman"/>
          <w:sz w:val="32"/>
          <w:szCs w:val="32"/>
        </w:rPr>
        <w:t>万元，完成预算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%，决算数</w:t>
      </w:r>
      <w:r>
        <w:rPr>
          <w:rFonts w:hint="default" w:ascii="Times New Roman" w:hAnsi="Times New Roman" w:eastAsia="仿宋" w:cs="Times New Roman"/>
          <w:sz w:val="32"/>
          <w:szCs w:val="32"/>
          <w:lang w:val="en-US" w:eastAsia="zh-CN"/>
        </w:rPr>
        <w:t>与</w:t>
      </w:r>
      <w:r>
        <w:rPr>
          <w:rFonts w:hint="default" w:ascii="Times New Roman" w:hAnsi="Times New Roman" w:eastAsia="仿宋" w:cs="Times New Roman"/>
          <w:sz w:val="32"/>
          <w:szCs w:val="32"/>
        </w:rPr>
        <w:t>预算数持平。</w:t>
      </w:r>
    </w:p>
    <w:p>
      <w:pPr>
        <w:pageBreakBefore w:val="0"/>
        <w:kinsoku/>
        <w:overflowPunct/>
        <w:topLinePunct w:val="0"/>
        <w:bidi w:val="0"/>
        <w:spacing w:line="600" w:lineRule="exact"/>
        <w:ind w:firstLine="640"/>
        <w:textAlignment w:val="auto"/>
        <w:outlineLvl w:val="2"/>
        <w:rPr>
          <w:rFonts w:hint="default" w:ascii="Times New Roman" w:hAnsi="Times New Roman" w:eastAsia="仿宋" w:cs="Times New Roman"/>
          <w:b/>
          <w:sz w:val="32"/>
          <w:szCs w:val="32"/>
        </w:rPr>
      </w:pPr>
      <w:bookmarkStart w:id="40" w:name="_Toc15377217"/>
      <w:r>
        <w:rPr>
          <w:rFonts w:hint="default" w:ascii="Times New Roman" w:hAnsi="Times New Roman" w:eastAsia="仿宋" w:cs="Times New Roman"/>
          <w:b/>
          <w:sz w:val="32"/>
          <w:szCs w:val="32"/>
        </w:rPr>
        <w:t>（二）“三公”经费财政拨款支出决算具体情况说明</w:t>
      </w:r>
      <w:bookmarkEnd w:id="40"/>
    </w:p>
    <w:p>
      <w:pPr>
        <w:pageBreakBefore w:val="0"/>
        <w:kinsoku/>
        <w:overflowPunct/>
        <w:topLinePunct w:val="0"/>
        <w:bidi w:val="0"/>
        <w:spacing w:line="600" w:lineRule="exact"/>
        <w:ind w:firstLine="640"/>
        <w:textAlignment w:val="auto"/>
        <w:rPr>
          <w:rFonts w:hint="default" w:ascii="Times New Roman" w:hAnsi="Times New Roman" w:cs="Times New Roman"/>
        </w:rPr>
      </w:pPr>
      <w:r>
        <w:rPr>
          <w:rFonts w:hint="default" w:ascii="Times New Roman" w:hAnsi="Times New Roman" w:eastAsia="仿宋" w:cs="Times New Roman"/>
          <w:sz w:val="32"/>
          <w:szCs w:val="32"/>
          <w:lang w:eastAsia="zh-CN"/>
        </w:rPr>
        <w:drawing>
          <wp:anchor distT="0" distB="0" distL="114300" distR="114300" simplePos="0" relativeHeight="251662336" behindDoc="0" locked="0" layoutInCell="1" allowOverlap="1">
            <wp:simplePos x="0" y="0"/>
            <wp:positionH relativeFrom="column">
              <wp:posOffset>213995</wp:posOffset>
            </wp:positionH>
            <wp:positionV relativeFrom="paragraph">
              <wp:posOffset>1684655</wp:posOffset>
            </wp:positionV>
            <wp:extent cx="5080000" cy="2782570"/>
            <wp:effectExtent l="4445" t="4445" r="20955" b="1333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 w:cs="Times New Roman"/>
          <w:sz w:val="32"/>
          <w:szCs w:val="32"/>
        </w:rPr>
        <w:t>2021年“三公”经费财政拨款支出决算中，因公出国（境）费支出决算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万元；公务用车购置及运行维护费支出决算</w:t>
      </w:r>
      <w:r>
        <w:rPr>
          <w:rFonts w:hint="default" w:ascii="Times New Roman" w:hAnsi="Times New Roman" w:eastAsia="仿宋" w:cs="Times New Roman"/>
          <w:sz w:val="32"/>
          <w:szCs w:val="32"/>
          <w:lang w:val="en-US" w:eastAsia="zh-CN"/>
        </w:rPr>
        <w:t>76.66</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%；公务接待费支出决算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万元。具体情况如下：</w:t>
      </w:r>
    </w:p>
    <w:p>
      <w:pPr>
        <w:pageBreakBefore w:val="0"/>
        <w:numPr>
          <w:ilvl w:val="0"/>
          <w:numId w:val="0"/>
        </w:numPr>
        <w:kinsoku/>
        <w:overflowPunct/>
        <w:topLinePunct w:val="0"/>
        <w:bidi w:val="0"/>
        <w:spacing w:line="60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sz w:val="32"/>
          <w:szCs w:val="32"/>
          <w:lang w:val="en-US" w:eastAsia="zh-CN"/>
        </w:rPr>
        <w:t>1.</w:t>
      </w:r>
      <w:r>
        <w:rPr>
          <w:rFonts w:hint="default" w:ascii="Times New Roman" w:hAnsi="Times New Roman" w:eastAsia="仿宋_GB2312" w:cs="Times New Roman"/>
          <w:b/>
          <w:sz w:val="32"/>
          <w:szCs w:val="32"/>
        </w:rPr>
        <w:t>因公出国（境）经费支出</w:t>
      </w:r>
      <w:r>
        <w:rPr>
          <w:rFonts w:hint="default" w:ascii="Times New Roman" w:hAnsi="Times New Roman" w:eastAsia="仿宋_GB2312" w:cs="Times New Roman"/>
          <w:b/>
          <w:sz w:val="32"/>
          <w:szCs w:val="32"/>
          <w:lang w:val="en-US" w:eastAsia="zh-CN"/>
        </w:rPr>
        <w:t>0</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p>
    <w:p>
      <w:pPr>
        <w:pageBreakBefore w:val="0"/>
        <w:numPr>
          <w:ilvl w:val="0"/>
          <w:numId w:val="0"/>
        </w:numPr>
        <w:kinsoku/>
        <w:overflowPunct/>
        <w:topLinePunct w:val="0"/>
        <w:bidi w:val="0"/>
        <w:spacing w:line="60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2.</w:t>
      </w:r>
      <w:r>
        <w:rPr>
          <w:rFonts w:hint="default" w:ascii="Times New Roman" w:hAnsi="Times New Roman" w:eastAsia="仿宋_GB2312" w:cs="Times New Roman"/>
          <w:b/>
          <w:sz w:val="32"/>
          <w:szCs w:val="32"/>
        </w:rPr>
        <w:t>公务用车购置及运行维护费支出</w:t>
      </w:r>
      <w:r>
        <w:rPr>
          <w:rFonts w:hint="default" w:ascii="Times New Roman" w:hAnsi="Times New Roman" w:eastAsia="仿宋_GB2312" w:cs="Times New Roman"/>
          <w:b/>
          <w:sz w:val="32"/>
          <w:szCs w:val="32"/>
          <w:lang w:val="en-US" w:eastAsia="zh-CN"/>
        </w:rPr>
        <w:t>76.66</w:t>
      </w:r>
      <w:r>
        <w:rPr>
          <w:rFonts w:hint="default" w:ascii="Times New Roman" w:hAnsi="Times New Roman" w:eastAsia="仿宋_GB2312" w:cs="Times New Roman"/>
          <w:sz w:val="32"/>
          <w:szCs w:val="32"/>
        </w:rPr>
        <w:t>万元,</w:t>
      </w:r>
      <w:r>
        <w:rPr>
          <w:rStyle w:val="19"/>
          <w:rFonts w:hint="default" w:ascii="Times New Roman" w:hAnsi="Times New Roman" w:eastAsia="仿宋" w:cs="Times New Roman"/>
          <w:b w:val="0"/>
          <w:bCs/>
          <w:sz w:val="32"/>
          <w:szCs w:val="32"/>
        </w:rPr>
        <w:t>完成预算</w:t>
      </w:r>
      <w:r>
        <w:rPr>
          <w:rStyle w:val="19"/>
          <w:rFonts w:hint="default" w:ascii="Times New Roman" w:hAnsi="Times New Roman" w:eastAsia="仿宋" w:cs="Times New Roman"/>
          <w:b w:val="0"/>
          <w:bCs/>
          <w:sz w:val="32"/>
          <w:szCs w:val="32"/>
          <w:lang w:val="en-US" w:eastAsia="zh-CN"/>
        </w:rPr>
        <w:t>100</w:t>
      </w:r>
      <w:r>
        <w:rPr>
          <w:rStyle w:val="19"/>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公务用车购置及运行维护费支出决算比2020年增加</w:t>
      </w:r>
      <w:r>
        <w:rPr>
          <w:rFonts w:hint="default" w:ascii="Times New Roman" w:hAnsi="Times New Roman" w:eastAsia="仿宋_GB2312" w:cs="Times New Roman"/>
          <w:sz w:val="32"/>
          <w:szCs w:val="32"/>
          <w:lang w:val="en-US" w:eastAsia="zh-CN"/>
        </w:rPr>
        <w:t>60.26</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367.4</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2021年使用年初结转资金更新一辆公务用车</w:t>
      </w:r>
      <w:r>
        <w:rPr>
          <w:rFonts w:hint="default" w:ascii="Times New Roman" w:hAnsi="Times New Roman" w:eastAsia="仿宋_GB2312" w:cs="Times New Roman"/>
          <w:sz w:val="32"/>
          <w:szCs w:val="32"/>
        </w:rPr>
        <w:t>。</w:t>
      </w:r>
    </w:p>
    <w:p>
      <w:pPr>
        <w:pageBreakBefore w:val="0"/>
        <w:kinsoku/>
        <w:overflowPunct/>
        <w:topLinePunct w:val="0"/>
        <w:bidi w:val="0"/>
        <w:spacing w:line="60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b/>
          <w:sz w:val="32"/>
          <w:szCs w:val="32"/>
          <w:lang w:val="en-US" w:eastAsia="zh-CN"/>
        </w:rPr>
        <w:t>59.98</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辆，其中：越野车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59.98</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保障我委日常工作的顺利开展</w:t>
      </w:r>
      <w:r>
        <w:rPr>
          <w:rFonts w:hint="default" w:ascii="Times New Roman" w:hAnsi="Times New Roman" w:eastAsia="仿宋_GB2312" w:cs="Times New Roman"/>
          <w:sz w:val="32"/>
          <w:szCs w:val="32"/>
        </w:rPr>
        <w:t>。截至2021年12月底，单位共有公务用车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val="en-US" w:eastAsia="zh-CN"/>
        </w:rPr>
        <w:t>均为</w:t>
      </w:r>
      <w:r>
        <w:rPr>
          <w:rFonts w:hint="default" w:ascii="Times New Roman" w:hAnsi="Times New Roman" w:eastAsia="仿宋_GB2312" w:cs="Times New Roman"/>
          <w:sz w:val="32"/>
          <w:szCs w:val="32"/>
        </w:rPr>
        <w:t>越野车。</w:t>
      </w:r>
    </w:p>
    <w:p>
      <w:pPr>
        <w:pageBreakBefore w:val="0"/>
        <w:kinsoku/>
        <w:overflowPunct/>
        <w:topLinePunct w:val="0"/>
        <w:bidi w:val="0"/>
        <w:spacing w:line="60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b/>
          <w:sz w:val="32"/>
          <w:szCs w:val="32"/>
          <w:lang w:val="en-US" w:eastAsia="zh-CN"/>
        </w:rPr>
        <w:t>16.68</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州直机关党建、定点帮扶</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指导、检查、考核所需的公务用车燃料费、维修费、过路过桥费、保险费等支出。</w:t>
      </w:r>
    </w:p>
    <w:p>
      <w:pPr>
        <w:pageBreakBefore w:val="0"/>
        <w:kinsoku/>
        <w:overflowPunct/>
        <w:topLinePunct w:val="0"/>
        <w:bidi w:val="0"/>
        <w:spacing w:line="600" w:lineRule="exact"/>
        <w:ind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sz w:val="32"/>
          <w:szCs w:val="32"/>
        </w:rPr>
        <w:t>3.公务接待费支出</w:t>
      </w:r>
      <w:r>
        <w:rPr>
          <w:rFonts w:hint="default" w:ascii="Times New Roman" w:hAnsi="Times New Roman" w:eastAsia="仿宋_GB2312" w:cs="Times New Roman"/>
          <w:b/>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p>
    <w:p>
      <w:pPr>
        <w:pageBreakBefore w:val="0"/>
        <w:kinsoku/>
        <w:overflowPunct/>
        <w:topLinePunct w:val="0"/>
        <w:bidi w:val="0"/>
        <w:spacing w:line="600" w:lineRule="exact"/>
        <w:ind w:firstLine="640"/>
        <w:textAlignment w:val="auto"/>
        <w:outlineLvl w:val="1"/>
        <w:rPr>
          <w:rStyle w:val="22"/>
          <w:rFonts w:hint="default" w:ascii="Times New Roman" w:hAnsi="Times New Roman" w:eastAsia="黑体" w:cs="Times New Roman"/>
        </w:rPr>
      </w:pPr>
      <w:bookmarkStart w:id="41" w:name="_Toc15377218"/>
      <w:bookmarkStart w:id="42" w:name="_Toc15396610"/>
      <w:r>
        <w:rPr>
          <w:rFonts w:hint="default" w:ascii="Times New Roman" w:hAnsi="Times New Roman" w:eastAsia="黑体" w:cs="Times New Roman"/>
          <w:sz w:val="32"/>
          <w:szCs w:val="32"/>
        </w:rPr>
        <w:t>八、</w:t>
      </w:r>
      <w:r>
        <w:rPr>
          <w:rStyle w:val="22"/>
          <w:rFonts w:hint="default" w:ascii="Times New Roman" w:hAnsi="Times New Roman" w:eastAsia="黑体" w:cs="Times New Roman"/>
          <w:b w:val="0"/>
        </w:rPr>
        <w:t>政府性基金预算支出决算情况说明</w:t>
      </w:r>
      <w:bookmarkEnd w:id="41"/>
      <w:bookmarkEnd w:id="42"/>
    </w:p>
    <w:p>
      <w:pPr>
        <w:pageBreakBefore w:val="0"/>
        <w:kinsoku/>
        <w:overflowPunct/>
        <w:topLinePunct w:val="0"/>
        <w:bidi w:val="0"/>
        <w:spacing w:line="60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pPr>
        <w:pageBreakBefore w:val="0"/>
        <w:numPr>
          <w:ilvl w:val="0"/>
          <w:numId w:val="2"/>
        </w:numPr>
        <w:kinsoku/>
        <w:overflowPunct/>
        <w:topLinePunct w:val="0"/>
        <w:bidi w:val="0"/>
        <w:spacing w:line="600" w:lineRule="exact"/>
        <w:ind w:firstLine="640"/>
        <w:textAlignment w:val="auto"/>
        <w:outlineLvl w:val="1"/>
        <w:rPr>
          <w:rStyle w:val="22"/>
          <w:rFonts w:hint="default" w:ascii="Times New Roman" w:hAnsi="Times New Roman" w:eastAsia="黑体" w:cs="Times New Roman"/>
          <w:b w:val="0"/>
        </w:rPr>
      </w:pPr>
      <w:bookmarkStart w:id="43" w:name="_Toc15377219"/>
      <w:bookmarkStart w:id="44" w:name="_Toc15396611"/>
      <w:r>
        <w:rPr>
          <w:rStyle w:val="22"/>
          <w:rFonts w:hint="default" w:ascii="Times New Roman" w:hAnsi="Times New Roman" w:eastAsia="黑体" w:cs="Times New Roman"/>
          <w:b w:val="0"/>
        </w:rPr>
        <w:t>国有资本经营预算支出决算情况说明</w:t>
      </w:r>
      <w:bookmarkEnd w:id="43"/>
      <w:bookmarkEnd w:id="44"/>
    </w:p>
    <w:p>
      <w:pPr>
        <w:pageBreakBefore w:val="0"/>
        <w:kinsoku/>
        <w:overflowPunct/>
        <w:topLinePunct w:val="0"/>
        <w:bidi w:val="0"/>
        <w:spacing w:line="600" w:lineRule="exact"/>
        <w:ind w:firstLine="640"/>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rPr>
        <w:t>2021年国有资本经营预算财政拨款支出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pPr>
        <w:pageBreakBefore w:val="0"/>
        <w:numPr>
          <w:ilvl w:val="0"/>
          <w:numId w:val="2"/>
        </w:numPr>
        <w:kinsoku/>
        <w:overflowPunct/>
        <w:topLinePunct w:val="0"/>
        <w:bidi w:val="0"/>
        <w:spacing w:line="600" w:lineRule="exact"/>
        <w:ind w:firstLine="640"/>
        <w:textAlignment w:val="auto"/>
        <w:outlineLvl w:val="1"/>
        <w:rPr>
          <w:rStyle w:val="22"/>
          <w:rFonts w:hint="default" w:ascii="Times New Roman" w:hAnsi="Times New Roman" w:eastAsia="黑体" w:cs="Times New Roman"/>
          <w:b w:val="0"/>
        </w:rPr>
      </w:pPr>
      <w:bookmarkStart w:id="45" w:name="_Toc15396612"/>
      <w:bookmarkStart w:id="46" w:name="_Toc15377221"/>
      <w:r>
        <w:rPr>
          <w:rStyle w:val="22"/>
          <w:rFonts w:hint="default" w:ascii="Times New Roman" w:hAnsi="Times New Roman" w:eastAsia="黑体" w:cs="Times New Roman"/>
          <w:b w:val="0"/>
        </w:rPr>
        <w:t>其他重要事项的情况说明</w:t>
      </w:r>
      <w:bookmarkEnd w:id="45"/>
      <w:bookmarkEnd w:id="46"/>
    </w:p>
    <w:p>
      <w:pPr>
        <w:pageBreakBefore w:val="0"/>
        <w:kinsoku/>
        <w:overflowPunct/>
        <w:topLinePunct w:val="0"/>
        <w:bidi w:val="0"/>
        <w:spacing w:line="600" w:lineRule="exact"/>
        <w:ind w:firstLine="643" w:firstLineChars="200"/>
        <w:textAlignment w:val="auto"/>
        <w:outlineLvl w:val="2"/>
        <w:rPr>
          <w:rFonts w:hint="default" w:ascii="Times New Roman" w:hAnsi="Times New Roman" w:eastAsia="仿宋" w:cs="Times New Roman"/>
          <w:sz w:val="32"/>
          <w:szCs w:val="32"/>
        </w:rPr>
      </w:pPr>
      <w:bookmarkStart w:id="47" w:name="_Toc15377222"/>
      <w:r>
        <w:rPr>
          <w:rFonts w:hint="default" w:ascii="Times New Roman" w:hAnsi="Times New Roman" w:eastAsia="仿宋" w:cs="Times New Roman"/>
          <w:b/>
          <w:sz w:val="32"/>
          <w:szCs w:val="32"/>
        </w:rPr>
        <w:t>（一）机关运行经费支出情况</w:t>
      </w:r>
      <w:bookmarkEnd w:id="47"/>
    </w:p>
    <w:p>
      <w:pPr>
        <w:pageBreakBefore w:val="0"/>
        <w:kinsoku/>
        <w:overflowPunct/>
        <w:topLinePunct w:val="0"/>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val="en-US" w:eastAsia="zh-CN"/>
        </w:rPr>
        <w:t>中共阿坝州直属机关工作委员会</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130.91</w:t>
      </w:r>
      <w:r>
        <w:rPr>
          <w:rFonts w:hint="default" w:ascii="Times New Roman" w:hAnsi="Times New Roman" w:eastAsia="仿宋_GB2312" w:cs="Times New Roman"/>
          <w:sz w:val="32"/>
          <w:szCs w:val="32"/>
        </w:rPr>
        <w:t>万元，比2020年增加</w:t>
      </w:r>
      <w:r>
        <w:rPr>
          <w:rFonts w:hint="default" w:ascii="Times New Roman" w:hAnsi="Times New Roman" w:eastAsia="仿宋_GB2312" w:cs="Times New Roman"/>
          <w:sz w:val="32"/>
          <w:szCs w:val="32"/>
          <w:lang w:val="en-US" w:eastAsia="zh-CN"/>
        </w:rPr>
        <w:t>13.08</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11.1</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2021年我委坚持厉行节约，节俭务实办公，压减办公经费</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因2021年更新了一辆公务用车，</w:t>
      </w:r>
      <w:r>
        <w:rPr>
          <w:rFonts w:hint="default" w:ascii="Times New Roman" w:hAnsi="Times New Roman" w:eastAsia="仿宋_GB2312" w:cs="Times New Roman"/>
          <w:color w:val="000000"/>
          <w:sz w:val="32"/>
          <w:szCs w:val="32"/>
          <w:lang w:val="en-US" w:eastAsia="zh-CN"/>
        </w:rPr>
        <w:t>导致经费较2020年增加。</w:t>
      </w:r>
    </w:p>
    <w:p>
      <w:pPr>
        <w:pageBreakBefore w:val="0"/>
        <w:kinsoku/>
        <w:overflowPunct/>
        <w:topLinePunct w:val="0"/>
        <w:autoSpaceDE w:val="0"/>
        <w:autoSpaceDN w:val="0"/>
        <w:bidi w:val="0"/>
        <w:adjustRightInd w:val="0"/>
        <w:spacing w:line="600" w:lineRule="exact"/>
        <w:ind w:firstLine="643" w:firstLineChars="200"/>
        <w:jc w:val="left"/>
        <w:textAlignment w:val="auto"/>
        <w:outlineLvl w:val="2"/>
        <w:rPr>
          <w:rFonts w:hint="default" w:ascii="Times New Roman" w:hAnsi="Times New Roman" w:eastAsia="仿宋" w:cs="Times New Roman"/>
          <w:b/>
          <w:sz w:val="32"/>
          <w:szCs w:val="32"/>
        </w:rPr>
      </w:pPr>
      <w:bookmarkStart w:id="48" w:name="_Toc15377223"/>
      <w:r>
        <w:rPr>
          <w:rFonts w:hint="default" w:ascii="Times New Roman" w:hAnsi="Times New Roman" w:eastAsia="仿宋" w:cs="Times New Roman"/>
          <w:b/>
          <w:sz w:val="32"/>
          <w:szCs w:val="32"/>
        </w:rPr>
        <w:t>（二）政府采购支出情况</w:t>
      </w:r>
      <w:bookmarkEnd w:id="48"/>
    </w:p>
    <w:p>
      <w:pPr>
        <w:pageBreakBefore w:val="0"/>
        <w:kinsoku/>
        <w:overflowPunct/>
        <w:topLinePunct w:val="0"/>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1年，中共阿坝州直属机关工作委员会</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61.36</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61.36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主要用于</w:t>
      </w:r>
      <w:r>
        <w:rPr>
          <w:rFonts w:hint="default" w:ascii="Times New Roman" w:hAnsi="Times New Roman" w:eastAsia="仿宋_GB2312" w:cs="Times New Roman"/>
          <w:sz w:val="32"/>
          <w:szCs w:val="32"/>
          <w:lang w:val="en-US" w:eastAsia="zh-CN"/>
        </w:rPr>
        <w:t>购置一辆公务用车和办公桌椅及文件柜</w:t>
      </w:r>
      <w:r>
        <w:rPr>
          <w:rFonts w:hint="default" w:ascii="Times New Roman" w:hAnsi="Times New Roman" w:eastAsia="仿宋_GB2312" w:cs="Times New Roman"/>
          <w:sz w:val="32"/>
          <w:szCs w:val="32"/>
        </w:rPr>
        <w:t>。</w:t>
      </w:r>
    </w:p>
    <w:p>
      <w:pPr>
        <w:pageBreakBefore w:val="0"/>
        <w:kinsoku/>
        <w:overflowPunct/>
        <w:topLinePunct w:val="0"/>
        <w:autoSpaceDE w:val="0"/>
        <w:autoSpaceDN w:val="0"/>
        <w:bidi w:val="0"/>
        <w:adjustRightInd w:val="0"/>
        <w:spacing w:line="600" w:lineRule="exact"/>
        <w:ind w:firstLine="643" w:firstLineChars="200"/>
        <w:jc w:val="left"/>
        <w:textAlignment w:val="auto"/>
        <w:outlineLvl w:val="2"/>
        <w:rPr>
          <w:rFonts w:hint="default" w:ascii="Times New Roman" w:hAnsi="Times New Roman" w:eastAsia="仿宋" w:cs="Times New Roman"/>
          <w:b/>
          <w:sz w:val="32"/>
          <w:szCs w:val="32"/>
        </w:rPr>
      </w:pPr>
      <w:bookmarkStart w:id="49" w:name="_Toc15377224"/>
      <w:r>
        <w:rPr>
          <w:rFonts w:hint="default" w:ascii="Times New Roman" w:hAnsi="Times New Roman" w:eastAsia="仿宋" w:cs="Times New Roman"/>
          <w:b/>
          <w:sz w:val="32"/>
          <w:szCs w:val="32"/>
        </w:rPr>
        <w:t>（三）国有资产占有使用情况</w:t>
      </w:r>
      <w:bookmarkEnd w:id="49"/>
    </w:p>
    <w:p>
      <w:pPr>
        <w:pageBreakBefore w:val="0"/>
        <w:kinsoku/>
        <w:overflowPunct/>
        <w:topLinePunct w:val="0"/>
        <w:autoSpaceDE w:val="0"/>
        <w:autoSpaceDN w:val="0"/>
        <w:bidi w:val="0"/>
        <w:adjustRightInd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截至2021年12月31日，</w:t>
      </w:r>
      <w:r>
        <w:rPr>
          <w:rFonts w:hint="default" w:ascii="Times New Roman" w:hAnsi="Times New Roman" w:eastAsia="仿宋_GB2312" w:cs="Times New Roman"/>
          <w:sz w:val="32"/>
          <w:szCs w:val="32"/>
          <w:lang w:val="en-US" w:eastAsia="zh-CN"/>
        </w:rPr>
        <w:t>中共阿坝州直属机关工作委员会</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单价50万元以上通用设备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台（套），单价100万元以上专用设备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pPr>
        <w:pageBreakBefore w:val="0"/>
        <w:kinsoku/>
        <w:overflowPunct/>
        <w:topLinePunct w:val="0"/>
        <w:autoSpaceDE w:val="0"/>
        <w:autoSpaceDN w:val="0"/>
        <w:bidi w:val="0"/>
        <w:adjustRightInd w:val="0"/>
        <w:spacing w:line="600" w:lineRule="exact"/>
        <w:ind w:firstLine="643" w:firstLineChars="200"/>
        <w:jc w:val="left"/>
        <w:textAlignment w:val="auto"/>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（四）预算绩效管理情况</w:t>
      </w:r>
    </w:p>
    <w:p>
      <w:pPr>
        <w:pageBreakBefore w:val="0"/>
        <w:kinsoku/>
        <w:overflowPunct/>
        <w:topLinePunct w:val="0"/>
        <w:bidi w:val="0"/>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根据预算绩效管理要求，本单位在2021年度预算编制阶段，组织对</w:t>
      </w:r>
      <w:r>
        <w:rPr>
          <w:rFonts w:hint="default" w:ascii="Times New Roman" w:hAnsi="Times New Roman" w:eastAsia="仿宋_GB2312" w:cs="Times New Roman"/>
          <w:sz w:val="32"/>
          <w:szCs w:val="32"/>
          <w:lang w:val="en-US" w:eastAsia="zh-CN"/>
        </w:rPr>
        <w:t>党建调研工作、州直机关党员干部教育培训工作、州直机关党代表会议</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个项目开展了预算事前绩效评估，对</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个项目编制了绩效目标，预算执行过程中，选取</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个项目开展绩效监控，年终执行完毕后，对</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个项目开展了绩效自评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val="en-US" w:eastAsia="zh-CN"/>
        </w:rPr>
        <w:t>我委无</w:t>
      </w:r>
      <w:r>
        <w:rPr>
          <w:rFonts w:hint="default" w:ascii="Times New Roman" w:hAnsi="Times New Roman" w:eastAsia="仿宋_GB2312" w:cs="Times New Roman"/>
          <w:sz w:val="32"/>
          <w:szCs w:val="32"/>
        </w:rPr>
        <w:t>100万元以上（含）特定目标类部门预算项目</w:t>
      </w:r>
    </w:p>
    <w:p>
      <w:pPr>
        <w:pageBreakBefore w:val="0"/>
        <w:widowControl/>
        <w:kinsoku/>
        <w:overflowPunct/>
        <w:topLinePunct w:val="0"/>
        <w:bidi w:val="0"/>
        <w:jc w:val="left"/>
        <w:textAlignment w:val="auto"/>
        <w:rPr>
          <w:rFonts w:hint="default" w:ascii="Times New Roman" w:hAnsi="Times New Roman" w:eastAsia="仿宋_GB2312" w:cs="Times New Roman"/>
          <w:b/>
          <w:sz w:val="32"/>
          <w:szCs w:val="32"/>
        </w:rPr>
      </w:pPr>
    </w:p>
    <w:p>
      <w:pPr>
        <w:pageBreakBefore w:val="0"/>
        <w:numPr>
          <w:ilvl w:val="0"/>
          <w:numId w:val="3"/>
        </w:numPr>
        <w:kinsoku/>
        <w:overflowPunct/>
        <w:topLinePunct w:val="0"/>
        <w:bidi w:val="0"/>
        <w:spacing w:line="600" w:lineRule="exact"/>
        <w:ind w:firstLine="660" w:firstLineChars="150"/>
        <w:jc w:val="center"/>
        <w:textAlignment w:val="auto"/>
        <w:outlineLvl w:val="0"/>
        <w:rPr>
          <w:rStyle w:val="21"/>
          <w:rFonts w:hint="default" w:ascii="Times New Roman" w:hAnsi="Times New Roman" w:eastAsia="黑体" w:cs="Times New Roman"/>
          <w:b w:val="0"/>
        </w:rPr>
      </w:pPr>
      <w:bookmarkStart w:id="50" w:name="_Toc15396613"/>
      <w:bookmarkStart w:id="51" w:name="_Toc15377225"/>
      <w:r>
        <w:rPr>
          <w:rFonts w:hint="default" w:ascii="Times New Roman" w:hAnsi="Times New Roman" w:eastAsia="黑体" w:cs="Times New Roman"/>
          <w:sz w:val="44"/>
          <w:szCs w:val="44"/>
        </w:rPr>
        <w:t>名</w:t>
      </w:r>
      <w:r>
        <w:rPr>
          <w:rStyle w:val="21"/>
          <w:rFonts w:hint="default" w:ascii="Times New Roman" w:hAnsi="Times New Roman" w:eastAsia="黑体" w:cs="Times New Roman"/>
          <w:b w:val="0"/>
        </w:rPr>
        <w:t>词解释</w:t>
      </w:r>
      <w:bookmarkEnd w:id="50"/>
      <w:bookmarkEnd w:id="51"/>
    </w:p>
    <w:p>
      <w:pPr>
        <w:pageBreakBefore w:val="0"/>
        <w:kinsoku/>
        <w:overflowPunct/>
        <w:topLinePunct w:val="0"/>
        <w:bidi w:val="0"/>
        <w:spacing w:line="600" w:lineRule="exact"/>
        <w:jc w:val="left"/>
        <w:textAlignment w:val="auto"/>
        <w:rPr>
          <w:rFonts w:hint="default" w:ascii="Times New Roman" w:hAnsi="Times New Roman" w:cs="Times New Roman"/>
          <w:b/>
          <w:sz w:val="44"/>
          <w:szCs w:val="44"/>
        </w:rPr>
      </w:pP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2.事业收入：指事业单位开展专业业务活动及辅助活动取得的收入。</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3.经营收入：指事业单位在专业业务活动及其辅助活动之外开展非独立核算经营活动取得的收入。</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4.其他收入：指单位取得的除上述收入以外的各项收入。主要是</w:t>
      </w:r>
      <w:r>
        <w:rPr>
          <w:rFonts w:hint="default" w:ascii="Times New Roman" w:hAnsi="Times New Roman" w:eastAsia="仿宋_GB2312" w:cs="Times New Roman"/>
          <w:color w:val="auto"/>
          <w:sz w:val="32"/>
          <w:szCs w:val="32"/>
          <w:lang w:val="en-US" w:eastAsia="zh-CN"/>
        </w:rPr>
        <w:t>银行利息收入</w:t>
      </w:r>
      <w:r>
        <w:rPr>
          <w:rFonts w:hint="default" w:ascii="Times New Roman" w:hAnsi="Times New Roman" w:eastAsia="仿宋_GB2312" w:cs="Times New Roman"/>
          <w:color w:val="auto"/>
          <w:sz w:val="32"/>
          <w:szCs w:val="32"/>
        </w:rPr>
        <w:t>。</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5.使用非财政拨款结余：指事业单位使用以前年度积累的非财政拨款结余弥补当年收支差额的金额。 </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6.年初结转和结余：指以前年度尚未完成、结转到本年按有关规定继续使用的资金。 </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8、年末结转和结余：指单位按有关规定结转到下年或以后年度继续使用的资金。</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color w:val="000000"/>
          <w:sz w:val="32"/>
          <w:szCs w:val="32"/>
        </w:rPr>
        <w:t>一般公共服务（2013101）：指一般公共服务中的</w:t>
      </w:r>
      <w:r>
        <w:rPr>
          <w:rStyle w:val="19"/>
          <w:rFonts w:hint="default" w:ascii="Times New Roman" w:hAnsi="Times New Roman" w:eastAsia="仿宋_GB2312" w:cs="Times New Roman"/>
          <w:b w:val="0"/>
          <w:color w:val="000000"/>
          <w:sz w:val="32"/>
          <w:szCs w:val="32"/>
        </w:rPr>
        <w:t>党委办公厅（室）及相关机关事务中的行政运行。</w:t>
      </w:r>
      <w:r>
        <w:rPr>
          <w:rFonts w:hint="default" w:ascii="Times New Roman" w:hAnsi="Times New Roman" w:eastAsia="仿宋_GB2312" w:cs="Times New Roman"/>
          <w:color w:val="000000"/>
          <w:sz w:val="32"/>
          <w:szCs w:val="32"/>
        </w:rPr>
        <w:t>一般公共服务（2013102）：一般公共服务中的</w:t>
      </w:r>
      <w:r>
        <w:rPr>
          <w:rStyle w:val="19"/>
          <w:rFonts w:hint="default" w:ascii="Times New Roman" w:hAnsi="Times New Roman" w:eastAsia="仿宋_GB2312" w:cs="Times New Roman"/>
          <w:b w:val="0"/>
          <w:color w:val="000000"/>
          <w:sz w:val="32"/>
          <w:szCs w:val="32"/>
        </w:rPr>
        <w:t>党委办公厅（室）及相关机关事务中的</w:t>
      </w:r>
      <w:r>
        <w:rPr>
          <w:rFonts w:hint="default" w:ascii="Times New Roman" w:hAnsi="Times New Roman" w:eastAsia="仿宋_GB2312" w:cs="Times New Roman"/>
          <w:color w:val="000000"/>
          <w:sz w:val="32"/>
          <w:szCs w:val="32"/>
        </w:rPr>
        <w:t>一般行政管理事务</w:t>
      </w:r>
      <w:r>
        <w:rPr>
          <w:rFonts w:hint="default" w:ascii="Times New Roman" w:hAnsi="Times New Roman" w:eastAsia="仿宋_GB2312" w:cs="Times New Roman"/>
          <w:sz w:val="32"/>
          <w:szCs w:val="32"/>
        </w:rPr>
        <w:t>。</w:t>
      </w:r>
    </w:p>
    <w:p>
      <w:pPr>
        <w:pageBreakBefore w:val="0"/>
        <w:kinsoku/>
        <w:overflowPunct/>
        <w:topLinePunct w:val="0"/>
        <w:bidi w:val="0"/>
        <w:spacing w:line="576" w:lineRule="exact"/>
        <w:ind w:firstLine="640" w:firstLineChars="200"/>
        <w:jc w:val="both"/>
        <w:textAlignment w:val="auto"/>
        <w:rPr>
          <w:rStyle w:val="19"/>
          <w:rFonts w:hint="default" w:ascii="Times New Roman" w:hAnsi="Times New Roman" w:eastAsia="仿宋_GB2312" w:cs="Times New Roman"/>
          <w:b w:val="0"/>
          <w:color w:val="000000"/>
          <w:sz w:val="32"/>
          <w:szCs w:val="32"/>
        </w:rPr>
      </w:pP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.社会保障和就业（2080505）：指社会保障和就业支出中的行政事业单位离退休中的</w:t>
      </w:r>
      <w:r>
        <w:rPr>
          <w:rStyle w:val="19"/>
          <w:rFonts w:hint="default" w:ascii="Times New Roman" w:hAnsi="Times New Roman" w:eastAsia="仿宋_GB2312" w:cs="Times New Roman"/>
          <w:b w:val="0"/>
          <w:color w:val="000000"/>
          <w:sz w:val="32"/>
          <w:szCs w:val="32"/>
        </w:rPr>
        <w:t>机关事业单位基本养老保险缴费支出。</w:t>
      </w:r>
    </w:p>
    <w:p>
      <w:pPr>
        <w:pageBreakBefore w:val="0"/>
        <w:kinsoku/>
        <w:overflowPunct/>
        <w:topLinePunct w:val="0"/>
        <w:bidi w:val="0"/>
        <w:spacing w:line="576" w:lineRule="exact"/>
        <w:ind w:firstLine="640" w:firstLineChars="2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11</w:t>
      </w:r>
      <w:r>
        <w:rPr>
          <w:rFonts w:hint="default" w:ascii="Times New Roman" w:hAnsi="Times New Roman" w:eastAsia="仿宋_GB2312" w:cs="Times New Roman"/>
          <w:color w:val="000000"/>
          <w:sz w:val="32"/>
          <w:szCs w:val="32"/>
        </w:rPr>
        <w:t>.社会保障和就业（2080506）：指社会保障和就业支出中的行政事业单位离退休中的机关事业单位职业年金缴费支出。</w:t>
      </w:r>
    </w:p>
    <w:p>
      <w:pPr>
        <w:pageBreakBefore w:val="0"/>
        <w:kinsoku/>
        <w:overflowPunct/>
        <w:topLinePunct w:val="0"/>
        <w:bidi w:val="0"/>
        <w:spacing w:line="576" w:lineRule="exact"/>
        <w:ind w:firstLine="640" w:firstLineChars="2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rPr>
        <w:t>.医疗卫生与计划生育（2100501）：指医疗卫生与计划生育中的</w:t>
      </w:r>
      <w:r>
        <w:rPr>
          <w:rStyle w:val="19"/>
          <w:rFonts w:hint="default" w:ascii="Times New Roman" w:hAnsi="Times New Roman" w:eastAsia="仿宋_GB2312" w:cs="Times New Roman"/>
          <w:b w:val="0"/>
          <w:color w:val="000000"/>
          <w:sz w:val="32"/>
          <w:szCs w:val="32"/>
        </w:rPr>
        <w:t>医疗保障中的行政单位医疗。</w:t>
      </w:r>
    </w:p>
    <w:p>
      <w:pPr>
        <w:pageBreakBefore w:val="0"/>
        <w:kinsoku/>
        <w:overflowPunct/>
        <w:topLinePunct w:val="0"/>
        <w:bidi w:val="0"/>
        <w:spacing w:line="576" w:lineRule="exact"/>
        <w:ind w:firstLine="640" w:firstLineChars="200"/>
        <w:jc w:val="both"/>
        <w:textAlignment w:val="auto"/>
        <w:rPr>
          <w:rFonts w:hint="default" w:ascii="Times New Roman" w:hAnsi="Times New Roman" w:eastAsia="仿宋_GB2312" w:cs="Times New Roman"/>
          <w:b/>
          <w:color w:val="000000"/>
          <w:sz w:val="32"/>
          <w:szCs w:val="32"/>
        </w:rPr>
      </w:pPr>
      <w:r>
        <w:rPr>
          <w:rStyle w:val="19"/>
          <w:rFonts w:hint="default" w:ascii="Times New Roman" w:hAnsi="Times New Roman" w:eastAsia="仿宋_GB2312" w:cs="Times New Roman"/>
          <w:b w:val="0"/>
          <w:sz w:val="32"/>
          <w:szCs w:val="32"/>
        </w:rPr>
        <w:t>1</w:t>
      </w:r>
      <w:r>
        <w:rPr>
          <w:rStyle w:val="19"/>
          <w:rFonts w:hint="eastAsia" w:ascii="Times New Roman" w:hAnsi="Times New Roman" w:eastAsia="仿宋_GB2312" w:cs="Times New Roman"/>
          <w:b w:val="0"/>
          <w:sz w:val="32"/>
          <w:szCs w:val="32"/>
          <w:lang w:val="en-US" w:eastAsia="zh-CN"/>
        </w:rPr>
        <w:t>3</w:t>
      </w:r>
      <w:r>
        <w:rPr>
          <w:rStyle w:val="19"/>
          <w:rFonts w:hint="default" w:ascii="Times New Roman" w:hAnsi="Times New Roman" w:eastAsia="仿宋_GB2312" w:cs="Times New Roman"/>
          <w:b w:val="0"/>
          <w:sz w:val="32"/>
          <w:szCs w:val="32"/>
        </w:rPr>
        <w:t>.住房保障支出（2210201）：指住房保障支出中的住房改革支出中的住房公积金。</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.基本支出：指为保障机构正常运转、完成日常工作任务而发生的人员支出和公用支出。</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.项目支出：指在基本支出之外为完成特定行政任务和事业发展目标所发生的支出。</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.经营支出：指事业单位在专业业务活动及其辅助活动之外开展非独立核算经营活动发生的支出。</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6"/>
        <w:pageBreakBefore w:val="0"/>
        <w:widowControl w:val="0"/>
        <w:shd w:val="clear" w:color="auto" w:fill="FFFFFF"/>
        <w:kinsoku/>
        <w:overflowPunct/>
        <w:topLinePunct w:val="0"/>
        <w:bidi w:val="0"/>
        <w:spacing w:before="0" w:beforeAutospacing="0" w:after="0" w:afterAutospacing="0"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pPr>
        <w:pageBreakBefore w:val="0"/>
        <w:kinsoku/>
        <w:overflowPunct/>
        <w:topLinePunct w:val="0"/>
        <w:bidi w:val="0"/>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.基本支出：指为保障机构正常运转、完成日常工作任务而发生的人员支出和公用支出。</w:t>
      </w:r>
    </w:p>
    <w:p>
      <w:pPr>
        <w:pageBreakBefore w:val="0"/>
        <w:kinsoku/>
        <w:overflowPunct/>
        <w:topLinePunct w:val="0"/>
        <w:bidi w:val="0"/>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 xml:space="preserve">.项目支出：指在基本支出之外为完成特定行政任务和事业发展目标所发生的支出。 </w:t>
      </w:r>
    </w:p>
    <w:p>
      <w:pPr>
        <w:pageBreakBefore w:val="0"/>
        <w:kinsoku/>
        <w:overflowPunct/>
        <w:topLinePunct w:val="0"/>
        <w:bidi w:val="0"/>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.经营支出：指事业单位在专业业务活动及其辅助活动之外开展非独立核算经营活动发生的支出。</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overflowPunct/>
        <w:topLinePunct w:val="0"/>
        <w:bidi w:val="0"/>
        <w:spacing w:line="600" w:lineRule="exact"/>
        <w:jc w:val="center"/>
        <w:textAlignment w:val="auto"/>
        <w:outlineLvl w:val="0"/>
        <w:rPr>
          <w:rFonts w:hint="default" w:ascii="Times New Roman" w:hAnsi="Times New Roman" w:eastAsia="黑体" w:cs="Times New Roman"/>
          <w:sz w:val="44"/>
          <w:szCs w:val="44"/>
        </w:rPr>
      </w:pPr>
      <w:bookmarkStart w:id="52" w:name="_Toc15377226"/>
      <w:r>
        <w:rPr>
          <w:rFonts w:hint="default" w:ascii="Times New Roman" w:hAnsi="Times New Roman" w:cs="Times New Roman"/>
          <w:b/>
          <w:sz w:val="44"/>
          <w:szCs w:val="44"/>
        </w:rPr>
        <w:br w:type="page"/>
      </w:r>
      <w:bookmarkStart w:id="53" w:name="_Toc15396618"/>
    </w:p>
    <w:p>
      <w:pPr>
        <w:pageBreakBefore w:val="0"/>
        <w:kinsoku/>
        <w:overflowPunct/>
        <w:topLinePunct w:val="0"/>
        <w:bidi w:val="0"/>
        <w:spacing w:line="600" w:lineRule="exact"/>
        <w:jc w:val="center"/>
        <w:textAlignment w:val="auto"/>
        <w:outlineLvl w:val="0"/>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1"/>
          <w:rFonts w:hint="default" w:ascii="Times New Roman" w:hAnsi="Times New Roman" w:eastAsia="黑体" w:cs="Times New Roman"/>
          <w:b w:val="0"/>
        </w:rPr>
        <w:t>五部分 附表</w:t>
      </w:r>
      <w:bookmarkEnd w:id="52"/>
      <w:bookmarkEnd w:id="53"/>
      <w:bookmarkStart w:id="54" w:name="_Toc15396619"/>
    </w:p>
    <w:p>
      <w:pPr>
        <w:pStyle w:val="4"/>
        <w:pageBreakBefore w:val="0"/>
        <w:kinsoku/>
        <w:overflowPunct/>
        <w:topLinePunct w:val="0"/>
        <w:bidi w:val="0"/>
        <w:spacing w:before="0" w:after="0"/>
        <w:textAlignment w:val="auto"/>
        <w:rPr>
          <w:rFonts w:hint="default" w:ascii="Times New Roman" w:hAnsi="Times New Roman" w:eastAsia="仿宋" w:cs="Times New Roman"/>
        </w:rPr>
      </w:pPr>
      <w:r>
        <w:rPr>
          <w:rFonts w:hint="default" w:ascii="Times New Roman" w:hAnsi="Times New Roman" w:eastAsia="仿宋" w:cs="Times New Roman"/>
          <w:b w:val="0"/>
        </w:rPr>
        <w:t>一、收</w:t>
      </w:r>
      <w:r>
        <w:rPr>
          <w:rStyle w:val="22"/>
          <w:rFonts w:hint="default" w:ascii="Times New Roman" w:hAnsi="Times New Roman" w:eastAsia="仿宋" w:cs="Times New Roman"/>
          <w:b w:val="0"/>
          <w:bCs w:val="0"/>
        </w:rPr>
        <w:t>入支出决算总表</w:t>
      </w:r>
      <w:bookmarkEnd w:id="54"/>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55" w:name="_Toc15396620"/>
      <w:r>
        <w:rPr>
          <w:rFonts w:hint="default" w:ascii="Times New Roman" w:hAnsi="Times New Roman" w:eastAsia="仿宋" w:cs="Times New Roman"/>
          <w:b w:val="0"/>
        </w:rPr>
        <w:t>二、收</w:t>
      </w:r>
      <w:r>
        <w:rPr>
          <w:rStyle w:val="22"/>
          <w:rFonts w:hint="default" w:ascii="Times New Roman" w:hAnsi="Times New Roman" w:eastAsia="仿宋" w:cs="Times New Roman"/>
          <w:b w:val="0"/>
          <w:bCs w:val="0"/>
        </w:rPr>
        <w:t>入决算表</w:t>
      </w:r>
      <w:bookmarkEnd w:id="55"/>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56" w:name="_Toc15396621"/>
      <w:r>
        <w:rPr>
          <w:rStyle w:val="22"/>
          <w:rFonts w:hint="default" w:ascii="Times New Roman" w:hAnsi="Times New Roman" w:eastAsia="仿宋" w:cs="Times New Roman"/>
          <w:b w:val="0"/>
          <w:bCs w:val="0"/>
        </w:rPr>
        <w:t>三、</w:t>
      </w:r>
      <w:r>
        <w:rPr>
          <w:rFonts w:hint="default" w:ascii="Times New Roman" w:hAnsi="Times New Roman" w:eastAsia="仿宋" w:cs="Times New Roman"/>
          <w:b w:val="0"/>
        </w:rPr>
        <w:t>支</w:t>
      </w:r>
      <w:r>
        <w:rPr>
          <w:rStyle w:val="22"/>
          <w:rFonts w:hint="default" w:ascii="Times New Roman" w:hAnsi="Times New Roman" w:eastAsia="仿宋" w:cs="Times New Roman"/>
          <w:b w:val="0"/>
          <w:bCs w:val="0"/>
        </w:rPr>
        <w:t>出决算表</w:t>
      </w:r>
      <w:bookmarkEnd w:id="56"/>
    </w:p>
    <w:p>
      <w:pPr>
        <w:pStyle w:val="4"/>
        <w:pageBreakBefore w:val="0"/>
        <w:kinsoku/>
        <w:overflowPunct/>
        <w:topLinePunct w:val="0"/>
        <w:bidi w:val="0"/>
        <w:spacing w:before="0" w:after="0"/>
        <w:textAlignment w:val="auto"/>
        <w:rPr>
          <w:rFonts w:hint="default" w:ascii="Times New Roman" w:hAnsi="Times New Roman" w:eastAsia="仿宋" w:cs="Times New Roman"/>
          <w:b w:val="0"/>
        </w:rPr>
      </w:pPr>
      <w:bookmarkStart w:id="57" w:name="_Toc15396622"/>
      <w:r>
        <w:rPr>
          <w:rStyle w:val="22"/>
          <w:rFonts w:hint="default" w:ascii="Times New Roman" w:hAnsi="Times New Roman" w:eastAsia="仿宋" w:cs="Times New Roman"/>
          <w:b w:val="0"/>
          <w:bCs w:val="0"/>
        </w:rPr>
        <w:t>四、</w:t>
      </w:r>
      <w:r>
        <w:rPr>
          <w:rFonts w:hint="default" w:ascii="Times New Roman" w:hAnsi="Times New Roman" w:eastAsia="仿宋" w:cs="Times New Roman"/>
          <w:b w:val="0"/>
        </w:rPr>
        <w:t>财</w:t>
      </w:r>
      <w:r>
        <w:rPr>
          <w:rStyle w:val="22"/>
          <w:rFonts w:hint="default" w:ascii="Times New Roman" w:hAnsi="Times New Roman" w:eastAsia="仿宋" w:cs="Times New Roman"/>
          <w:b w:val="0"/>
          <w:bCs w:val="0"/>
        </w:rPr>
        <w:t>政拨款收入支出决算总表</w:t>
      </w:r>
      <w:bookmarkEnd w:id="57"/>
    </w:p>
    <w:p>
      <w:pPr>
        <w:pStyle w:val="4"/>
        <w:pageBreakBefore w:val="0"/>
        <w:kinsoku/>
        <w:overflowPunct/>
        <w:topLinePunct w:val="0"/>
        <w:bidi w:val="0"/>
        <w:spacing w:before="0" w:after="0"/>
        <w:textAlignment w:val="auto"/>
        <w:rPr>
          <w:rStyle w:val="22"/>
          <w:rFonts w:hint="default" w:ascii="Times New Roman" w:hAnsi="Times New Roman" w:eastAsia="仿宋" w:cs="Times New Roman"/>
          <w:b w:val="0"/>
          <w:bCs w:val="0"/>
        </w:rPr>
      </w:pPr>
      <w:bookmarkStart w:id="58" w:name="_Toc15396623"/>
      <w:r>
        <w:rPr>
          <w:rStyle w:val="22"/>
          <w:rFonts w:hint="default" w:ascii="Times New Roman" w:hAnsi="Times New Roman" w:eastAsia="仿宋" w:cs="Times New Roman"/>
          <w:b w:val="0"/>
          <w:bCs w:val="0"/>
        </w:rPr>
        <w:t>五、</w:t>
      </w:r>
      <w:r>
        <w:rPr>
          <w:rFonts w:hint="default" w:ascii="Times New Roman" w:hAnsi="Times New Roman" w:eastAsia="仿宋" w:cs="Times New Roman"/>
          <w:b w:val="0"/>
        </w:rPr>
        <w:t>财</w:t>
      </w:r>
      <w:r>
        <w:rPr>
          <w:rStyle w:val="22"/>
          <w:rFonts w:hint="default" w:ascii="Times New Roman" w:hAnsi="Times New Roman" w:eastAsia="仿宋" w:cs="Times New Roman"/>
          <w:b w:val="0"/>
          <w:bCs w:val="0"/>
        </w:rPr>
        <w:t>政拨款支出决算明细表</w:t>
      </w:r>
      <w:bookmarkEnd w:id="58"/>
      <w:bookmarkStart w:id="59" w:name="_Toc15396624"/>
    </w:p>
    <w:p>
      <w:pPr>
        <w:pStyle w:val="4"/>
        <w:pageBreakBefore w:val="0"/>
        <w:kinsoku/>
        <w:overflowPunct/>
        <w:topLinePunct w:val="0"/>
        <w:bidi w:val="0"/>
        <w:spacing w:before="0" w:after="0"/>
        <w:textAlignment w:val="auto"/>
        <w:rPr>
          <w:rFonts w:hint="default" w:ascii="Times New Roman" w:hAnsi="Times New Roman" w:eastAsia="仿宋" w:cs="Times New Roman"/>
        </w:rPr>
      </w:pPr>
      <w:r>
        <w:rPr>
          <w:rStyle w:val="22"/>
          <w:rFonts w:hint="default" w:ascii="Times New Roman" w:hAnsi="Times New Roman" w:eastAsia="仿宋" w:cs="Times New Roman"/>
          <w:b w:val="0"/>
          <w:bCs w:val="0"/>
        </w:rPr>
        <w:t>六、</w:t>
      </w:r>
      <w:r>
        <w:rPr>
          <w:rFonts w:hint="default" w:ascii="Times New Roman" w:hAnsi="Times New Roman" w:eastAsia="仿宋" w:cs="Times New Roman"/>
          <w:b w:val="0"/>
        </w:rPr>
        <w:t>一</w:t>
      </w:r>
      <w:r>
        <w:rPr>
          <w:rStyle w:val="22"/>
          <w:rFonts w:hint="default" w:ascii="Times New Roman" w:hAnsi="Times New Roman" w:eastAsia="仿宋" w:cs="Times New Roman"/>
          <w:b w:val="0"/>
          <w:bCs w:val="0"/>
        </w:rPr>
        <w:t>般公共预算财政拨款支出决算表</w:t>
      </w:r>
      <w:bookmarkEnd w:id="59"/>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0" w:name="_Toc15396625"/>
      <w:r>
        <w:rPr>
          <w:rStyle w:val="22"/>
          <w:rFonts w:hint="default" w:ascii="Times New Roman" w:hAnsi="Times New Roman" w:eastAsia="仿宋" w:cs="Times New Roman"/>
          <w:b w:val="0"/>
          <w:bCs w:val="0"/>
        </w:rPr>
        <w:t>七、</w:t>
      </w:r>
      <w:r>
        <w:rPr>
          <w:rFonts w:hint="default" w:ascii="Times New Roman" w:hAnsi="Times New Roman" w:eastAsia="仿宋" w:cs="Times New Roman"/>
          <w:b w:val="0"/>
        </w:rPr>
        <w:t>一</w:t>
      </w:r>
      <w:r>
        <w:rPr>
          <w:rStyle w:val="22"/>
          <w:rFonts w:hint="default" w:ascii="Times New Roman" w:hAnsi="Times New Roman" w:eastAsia="仿宋" w:cs="Times New Roman"/>
          <w:b w:val="0"/>
          <w:bCs w:val="0"/>
        </w:rPr>
        <w:t>般公共预算财政拨款支出决算明细表</w:t>
      </w:r>
      <w:bookmarkEnd w:id="60"/>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1" w:name="_Toc15396626"/>
      <w:r>
        <w:rPr>
          <w:rStyle w:val="22"/>
          <w:rFonts w:hint="default" w:ascii="Times New Roman" w:hAnsi="Times New Roman" w:eastAsia="仿宋" w:cs="Times New Roman"/>
          <w:b w:val="0"/>
          <w:bCs w:val="0"/>
        </w:rPr>
        <w:t>八、</w:t>
      </w:r>
      <w:r>
        <w:rPr>
          <w:rFonts w:hint="default" w:ascii="Times New Roman" w:hAnsi="Times New Roman" w:eastAsia="仿宋" w:cs="Times New Roman"/>
          <w:b w:val="0"/>
        </w:rPr>
        <w:t>一</w:t>
      </w:r>
      <w:r>
        <w:rPr>
          <w:rStyle w:val="22"/>
          <w:rFonts w:hint="default" w:ascii="Times New Roman" w:hAnsi="Times New Roman" w:eastAsia="仿宋" w:cs="Times New Roman"/>
          <w:b w:val="0"/>
          <w:bCs w:val="0"/>
        </w:rPr>
        <w:t>般公共预算财政拨款基本支出决算表</w:t>
      </w:r>
      <w:bookmarkEnd w:id="61"/>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2" w:name="_Toc15396627"/>
      <w:r>
        <w:rPr>
          <w:rStyle w:val="22"/>
          <w:rFonts w:hint="default" w:ascii="Times New Roman" w:hAnsi="Times New Roman" w:eastAsia="仿宋" w:cs="Times New Roman"/>
          <w:b w:val="0"/>
          <w:bCs w:val="0"/>
        </w:rPr>
        <w:t>九、</w:t>
      </w:r>
      <w:r>
        <w:rPr>
          <w:rFonts w:hint="default" w:ascii="Times New Roman" w:hAnsi="Times New Roman" w:eastAsia="仿宋" w:cs="Times New Roman"/>
          <w:b w:val="0"/>
        </w:rPr>
        <w:t>一</w:t>
      </w:r>
      <w:r>
        <w:rPr>
          <w:rStyle w:val="22"/>
          <w:rFonts w:hint="default" w:ascii="Times New Roman" w:hAnsi="Times New Roman" w:eastAsia="仿宋" w:cs="Times New Roman"/>
          <w:b w:val="0"/>
          <w:bCs w:val="0"/>
        </w:rPr>
        <w:t>般公共预算财政拨款项目支出决算表</w:t>
      </w:r>
      <w:bookmarkEnd w:id="62"/>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3" w:name="_Toc15396628"/>
      <w:r>
        <w:rPr>
          <w:rStyle w:val="22"/>
          <w:rFonts w:hint="default" w:ascii="Times New Roman" w:hAnsi="Times New Roman" w:eastAsia="仿宋" w:cs="Times New Roman"/>
          <w:b w:val="0"/>
          <w:bCs w:val="0"/>
        </w:rPr>
        <w:t>十、</w:t>
      </w:r>
      <w:r>
        <w:rPr>
          <w:rFonts w:hint="default" w:ascii="Times New Roman" w:hAnsi="Times New Roman" w:eastAsia="仿宋" w:cs="Times New Roman"/>
          <w:b w:val="0"/>
        </w:rPr>
        <w:t>一</w:t>
      </w:r>
      <w:r>
        <w:rPr>
          <w:rStyle w:val="22"/>
          <w:rFonts w:hint="default" w:ascii="Times New Roman" w:hAnsi="Times New Roman" w:eastAsia="仿宋" w:cs="Times New Roman"/>
          <w:b w:val="0"/>
          <w:bCs w:val="0"/>
        </w:rPr>
        <w:t>般公共预算财政拨款“三公”经费支出决算表</w:t>
      </w:r>
      <w:bookmarkEnd w:id="63"/>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4" w:name="_Toc15396629"/>
      <w:r>
        <w:rPr>
          <w:rStyle w:val="22"/>
          <w:rFonts w:hint="default" w:ascii="Times New Roman" w:hAnsi="Times New Roman" w:eastAsia="仿宋" w:cs="Times New Roman"/>
          <w:b w:val="0"/>
          <w:bCs w:val="0"/>
        </w:rPr>
        <w:t>十一、</w:t>
      </w:r>
      <w:r>
        <w:rPr>
          <w:rFonts w:hint="default" w:ascii="Times New Roman" w:hAnsi="Times New Roman" w:eastAsia="仿宋" w:cs="Times New Roman"/>
          <w:b w:val="0"/>
        </w:rPr>
        <w:t>政</w:t>
      </w:r>
      <w:r>
        <w:rPr>
          <w:rStyle w:val="22"/>
          <w:rFonts w:hint="default" w:ascii="Times New Roman" w:hAnsi="Times New Roman" w:eastAsia="仿宋" w:cs="Times New Roman"/>
          <w:b w:val="0"/>
          <w:bCs w:val="0"/>
        </w:rPr>
        <w:t>府性基金预算财政拨款收入支出决算表</w:t>
      </w:r>
      <w:bookmarkEnd w:id="64"/>
    </w:p>
    <w:p>
      <w:pPr>
        <w:pStyle w:val="4"/>
        <w:pageBreakBefore w:val="0"/>
        <w:kinsoku/>
        <w:overflowPunct/>
        <w:topLinePunct w:val="0"/>
        <w:bidi w:val="0"/>
        <w:spacing w:before="0" w:after="0"/>
        <w:textAlignment w:val="auto"/>
        <w:rPr>
          <w:rFonts w:hint="default" w:ascii="Times New Roman" w:hAnsi="Times New Roman" w:eastAsia="仿宋" w:cs="Times New Roman"/>
        </w:rPr>
      </w:pPr>
      <w:bookmarkStart w:id="65" w:name="_Toc15396630"/>
      <w:r>
        <w:rPr>
          <w:rStyle w:val="22"/>
          <w:rFonts w:hint="default" w:ascii="Times New Roman" w:hAnsi="Times New Roman" w:eastAsia="仿宋" w:cs="Times New Roman"/>
          <w:b w:val="0"/>
          <w:bCs w:val="0"/>
        </w:rPr>
        <w:t>十二、</w:t>
      </w:r>
      <w:r>
        <w:rPr>
          <w:rFonts w:hint="default" w:ascii="Times New Roman" w:hAnsi="Times New Roman" w:eastAsia="仿宋" w:cs="Times New Roman"/>
          <w:b w:val="0"/>
        </w:rPr>
        <w:t>政</w:t>
      </w:r>
      <w:r>
        <w:rPr>
          <w:rStyle w:val="22"/>
          <w:rFonts w:hint="default" w:ascii="Times New Roman" w:hAnsi="Times New Roman" w:eastAsia="仿宋" w:cs="Times New Roman"/>
          <w:b w:val="0"/>
          <w:bCs w:val="0"/>
        </w:rPr>
        <w:t>府性基金预算财政拨款“三公”经费支出决算表</w:t>
      </w:r>
      <w:bookmarkEnd w:id="65"/>
    </w:p>
    <w:p>
      <w:pPr>
        <w:pStyle w:val="4"/>
        <w:pageBreakBefore w:val="0"/>
        <w:kinsoku/>
        <w:overflowPunct/>
        <w:topLinePunct w:val="0"/>
        <w:bidi w:val="0"/>
        <w:spacing w:before="0" w:after="0"/>
        <w:textAlignment w:val="auto"/>
        <w:rPr>
          <w:rStyle w:val="22"/>
          <w:rFonts w:hint="default" w:ascii="Times New Roman" w:hAnsi="Times New Roman" w:eastAsia="仿宋" w:cs="Times New Roman"/>
          <w:b w:val="0"/>
          <w:bCs w:val="0"/>
        </w:rPr>
      </w:pPr>
      <w:bookmarkStart w:id="66" w:name="_Toc15396631"/>
      <w:r>
        <w:rPr>
          <w:rStyle w:val="22"/>
          <w:rFonts w:hint="default" w:ascii="Times New Roman" w:hAnsi="Times New Roman" w:eastAsia="仿宋" w:cs="Times New Roman"/>
          <w:b w:val="0"/>
          <w:bCs w:val="0"/>
        </w:rPr>
        <w:t>十三、</w:t>
      </w:r>
      <w:r>
        <w:rPr>
          <w:rFonts w:hint="default" w:ascii="Times New Roman" w:hAnsi="Times New Roman" w:eastAsia="仿宋" w:cs="Times New Roman"/>
          <w:b w:val="0"/>
        </w:rPr>
        <w:t>国</w:t>
      </w:r>
      <w:r>
        <w:rPr>
          <w:rStyle w:val="22"/>
          <w:rFonts w:hint="default" w:ascii="Times New Roman" w:hAnsi="Times New Roman" w:eastAsia="仿宋" w:cs="Times New Roman"/>
          <w:b w:val="0"/>
          <w:bCs w:val="0"/>
        </w:rPr>
        <w:t>有资本经营预算财政拨款收入支出决算表</w:t>
      </w:r>
      <w:bookmarkEnd w:id="66"/>
    </w:p>
    <w:p>
      <w:pPr>
        <w:pageBreakBefore w:val="0"/>
        <w:kinsoku/>
        <w:overflowPunct/>
        <w:topLinePunct w:val="0"/>
        <w:bidi w:val="0"/>
        <w:textAlignment w:val="auto"/>
        <w:rPr>
          <w:rFonts w:hint="default" w:ascii="Times New Roman" w:hAnsi="Times New Roman" w:eastAsia="仿宋" w:cs="Times New Roman"/>
        </w:rPr>
      </w:pPr>
      <w:r>
        <w:rPr>
          <w:rStyle w:val="22"/>
          <w:rFonts w:hint="default" w:ascii="Times New Roman" w:hAnsi="Times New Roman" w:eastAsia="仿宋" w:cs="Times New Roman"/>
          <w:b w:val="0"/>
          <w:bCs w:val="0"/>
        </w:rPr>
        <w:t>十四、国有资本经营预算财政拨款支出决算表</w:t>
      </w:r>
    </w:p>
    <w:sectPr>
      <w:headerReference r:id="rId3" w:type="default"/>
      <w:footerReference r:id="rId4" w:type="default"/>
      <w:pgSz w:w="11906" w:h="16838"/>
      <w:pgMar w:top="2098" w:right="1474" w:bottom="1984"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1887915"/>
    </w:sdtPr>
    <w:sdtContent>
      <w:p>
        <w:pPr>
          <w:pStyle w:val="11"/>
          <w:jc w:val="center"/>
        </w:pPr>
        <w:r>
          <w:fldChar w:fldCharType="begin"/>
        </w:r>
        <w:r>
          <w:instrText xml:space="preserve">PAGE   \* MERGEFORMAT</w:instrText>
        </w:r>
        <w:r>
          <w:fldChar w:fldCharType="separate"/>
        </w:r>
        <w:r>
          <w:rPr>
            <w:lang w:val="zh-CN"/>
          </w:rPr>
          <w:t>8</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Tk2ZjdiYTdjMDU1ODkwYTg3NjZmNjgwYzQ4YTE1MmUifQ=="/>
  </w:docVars>
  <w:rsids>
    <w:rsidRoot w:val="008C6A67"/>
    <w:rsid w:val="00190606"/>
    <w:rsid w:val="004F482C"/>
    <w:rsid w:val="008C6A67"/>
    <w:rsid w:val="00E30A3C"/>
    <w:rsid w:val="07AB0349"/>
    <w:rsid w:val="0858241F"/>
    <w:rsid w:val="090D12BC"/>
    <w:rsid w:val="098826F0"/>
    <w:rsid w:val="0B646192"/>
    <w:rsid w:val="0B7C6464"/>
    <w:rsid w:val="12A61E39"/>
    <w:rsid w:val="148E5BAC"/>
    <w:rsid w:val="149A7BDD"/>
    <w:rsid w:val="16663DB9"/>
    <w:rsid w:val="17867E1D"/>
    <w:rsid w:val="1B4B43EE"/>
    <w:rsid w:val="1D225B8D"/>
    <w:rsid w:val="1EC45B21"/>
    <w:rsid w:val="26504930"/>
    <w:rsid w:val="266A55A0"/>
    <w:rsid w:val="28F61252"/>
    <w:rsid w:val="299B6018"/>
    <w:rsid w:val="2B8A1EA0"/>
    <w:rsid w:val="310B330B"/>
    <w:rsid w:val="324A3369"/>
    <w:rsid w:val="348C4EDB"/>
    <w:rsid w:val="34942EDE"/>
    <w:rsid w:val="34A2025B"/>
    <w:rsid w:val="35CC1276"/>
    <w:rsid w:val="36D23A8C"/>
    <w:rsid w:val="3A281202"/>
    <w:rsid w:val="3CD236A7"/>
    <w:rsid w:val="3D1E68EC"/>
    <w:rsid w:val="4061721C"/>
    <w:rsid w:val="499F2B63"/>
    <w:rsid w:val="53CB1124"/>
    <w:rsid w:val="54612B68"/>
    <w:rsid w:val="54D14387"/>
    <w:rsid w:val="5D0A43B8"/>
    <w:rsid w:val="5DCF35BF"/>
    <w:rsid w:val="616E7593"/>
    <w:rsid w:val="63ED1CD0"/>
    <w:rsid w:val="65EB5226"/>
    <w:rsid w:val="66EA2CB6"/>
    <w:rsid w:val="69D37448"/>
    <w:rsid w:val="6A4F72A4"/>
    <w:rsid w:val="6A9261BE"/>
    <w:rsid w:val="6CF303EA"/>
    <w:rsid w:val="6D45564C"/>
    <w:rsid w:val="717701F0"/>
    <w:rsid w:val="72263F71"/>
    <w:rsid w:val="73223D39"/>
    <w:rsid w:val="76B51C6A"/>
    <w:rsid w:val="7CF46746"/>
    <w:rsid w:val="7F14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unhideWhenUsed/>
    <w:qFormat/>
    <w:uiPriority w:val="9"/>
    <w:pPr>
      <w:keepNext/>
      <w:keepLines/>
      <w:spacing w:before="260" w:after="260" w:line="415" w:lineRule="auto"/>
      <w:outlineLvl w:val="1"/>
    </w:pPr>
    <w:rPr>
      <w:rFonts w:ascii="Cambria" w:hAnsi="Cambria"/>
      <w:b/>
      <w:bCs/>
      <w:sz w:val="32"/>
      <w:szCs w:val="32"/>
    </w:rPr>
  </w:style>
  <w:style w:type="paragraph" w:styleId="5">
    <w:name w:val="heading 3"/>
    <w:basedOn w:val="1"/>
    <w:next w:val="1"/>
    <w:semiHidden/>
    <w:unhideWhenUsed/>
    <w:qFormat/>
    <w:uiPriority w:val="9"/>
    <w:pPr>
      <w:keepNext/>
      <w:keepLines/>
      <w:spacing w:before="260" w:after="260" w:line="415"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table of figures1"/>
    <w:basedOn w:val="1"/>
    <w:next w:val="1"/>
    <w:qFormat/>
    <w:uiPriority w:val="0"/>
    <w:pPr>
      <w:ind w:left="200" w:leftChars="200" w:hanging="200" w:hangingChars="200"/>
    </w:p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next w:val="8"/>
    <w:unhideWhenUsed/>
    <w:qFormat/>
    <w:uiPriority w:val="99"/>
    <w:pPr>
      <w:spacing w:after="120"/>
      <w:ind w:left="420" w:leftChars="200"/>
    </w:pPr>
    <w:rPr>
      <w:kern w:val="0"/>
      <w:sz w:val="20"/>
    </w:rPr>
  </w:style>
  <w:style w:type="paragraph" w:styleId="8">
    <w:name w:val="Body Text First Indent 2"/>
    <w:basedOn w:val="7"/>
    <w:unhideWhenUsed/>
    <w:qFormat/>
    <w:uiPriority w:val="99"/>
    <w:pPr>
      <w:widowControl/>
      <w:spacing w:after="0" w:line="540" w:lineRule="exact"/>
      <w:ind w:left="0" w:leftChars="0" w:firstLine="420" w:firstLineChars="200"/>
      <w:textAlignment w:val="baseline"/>
    </w:pPr>
    <w:rPr>
      <w:rFonts w:eastAsia="仿宋_GB2312"/>
      <w:color w:val="000000"/>
      <w:sz w:val="32"/>
      <w:szCs w:val="2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able of figures"/>
    <w:basedOn w:val="1"/>
    <w:next w:val="1"/>
    <w:unhideWhenUsed/>
    <w:qFormat/>
    <w:uiPriority w:val="99"/>
    <w:pPr>
      <w:ind w:left="200" w:leftChars="200" w:hanging="200" w:hangingChars="200"/>
    </w:pPr>
  </w:style>
  <w:style w:type="paragraph" w:styleId="15">
    <w:name w:val="toc 2"/>
    <w:basedOn w:val="1"/>
    <w:next w:val="1"/>
    <w:qFormat/>
    <w:uiPriority w:val="0"/>
    <w:pPr>
      <w:tabs>
        <w:tab w:val="right" w:leader="dot" w:pos="8296"/>
      </w:tabs>
      <w:ind w:left="200" w:leftChars="200"/>
    </w:pPr>
  </w:style>
  <w:style w:type="paragraph" w:styleId="16">
    <w:name w:val="Normal (Web)"/>
    <w:basedOn w:val="1"/>
    <w:unhideWhenUsed/>
    <w:qFormat/>
    <w:uiPriority w:val="99"/>
    <w:pPr>
      <w:spacing w:before="100" w:beforeAutospacing="1" w:after="100" w:afterAutospacing="1"/>
    </w:p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character" w:customStyle="1" w:styleId="21">
    <w:name w:val="标题 1 字符"/>
    <w:basedOn w:val="18"/>
    <w:link w:val="3"/>
    <w:qFormat/>
    <w:uiPriority w:val="0"/>
    <w:rPr>
      <w:rFonts w:ascii="Times New Roman" w:hAnsi="Times New Roman" w:eastAsia="宋体" w:cs="Times New Roman"/>
      <w:b/>
      <w:bCs/>
      <w:kern w:val="44"/>
      <w:sz w:val="44"/>
      <w:szCs w:val="44"/>
      <w:lang w:val="en-US" w:eastAsia="zh-CN" w:bidi="ar-SA"/>
    </w:rPr>
  </w:style>
  <w:style w:type="character" w:customStyle="1" w:styleId="22">
    <w:name w:val="标题 2 字符"/>
    <w:basedOn w:val="18"/>
    <w:link w:val="4"/>
    <w:qFormat/>
    <w:uiPriority w:val="0"/>
    <w:rPr>
      <w:rFonts w:ascii="Cambria" w:hAnsi="Cambria" w:eastAsia="宋体" w:cs="Times New Roman"/>
      <w:b/>
      <w:bCs/>
      <w:kern w:val="2"/>
      <w:sz w:val="32"/>
      <w:szCs w:val="32"/>
      <w:lang w:val="en-US" w:eastAsia="zh-CN" w:bidi="ar-SA"/>
    </w:rPr>
  </w:style>
  <w:style w:type="character" w:customStyle="1" w:styleId="23">
    <w:name w:val="Header Char"/>
    <w:basedOn w:val="18"/>
    <w:qFormat/>
    <w:uiPriority w:val="0"/>
    <w:rPr>
      <w:rFonts w:ascii="Times New Roman" w:hAnsi="Times New Roman"/>
      <w:sz w:val="18"/>
      <w:szCs w:val="18"/>
    </w:rPr>
  </w:style>
  <w:style w:type="character" w:customStyle="1" w:styleId="24">
    <w:name w:val="Footer Char"/>
    <w:basedOn w:val="18"/>
    <w:qFormat/>
    <w:uiPriority w:val="0"/>
    <w:rPr>
      <w:rFonts w:ascii="Times New Roman" w:hAnsi="Times New Roman"/>
      <w:sz w:val="18"/>
      <w:szCs w:val="18"/>
    </w:rPr>
  </w:style>
  <w:style w:type="character" w:customStyle="1" w:styleId="25">
    <w:name w:val="Body Text Char"/>
    <w:basedOn w:val="18"/>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3"/>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9">
    <w:name w:val="TOC 标题2"/>
    <w:basedOn w:val="3"/>
    <w:next w:val="1"/>
    <w:qFormat/>
    <w:uiPriority w:val="0"/>
    <w:pPr>
      <w:widowControl/>
      <w:spacing w:before="480" w:after="0" w:line="276" w:lineRule="auto"/>
      <w:jc w:val="left"/>
      <w:outlineLvl w:val="9"/>
    </w:pPr>
    <w:rPr>
      <w:rFonts w:ascii="Cambria" w:hAnsi="Cambria"/>
      <w:color w:val="37609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573.56</c:v>
                </c:pt>
                <c:pt idx="1">
                  <c:v>573.56</c:v>
                </c:pt>
              </c:numCache>
            </c:numRef>
          </c:val>
        </c:ser>
        <c:ser>
          <c:idx val="1"/>
          <c:order val="1"/>
          <c:tx>
            <c:strRef>
              <c:f>Sheet1!$C$1</c:f>
              <c:strCache>
                <c:ptCount val="1"/>
                <c:pt idx="0">
                  <c:v>2021年</c:v>
                </c:pt>
              </c:strCache>
            </c:strRef>
          </c:tx>
          <c:spPr>
            <a:solidFill>
              <a:schemeClr val="accent2"/>
            </a:solidFill>
            <a:ln>
              <a:noFill/>
            </a:ln>
            <a:effectLst/>
          </c:spPr>
          <c:invertIfNegative val="0"/>
          <c:dLbls>
            <c:dLbl>
              <c:idx val="1"/>
              <c:layout>
                <c:manualLayout>
                  <c:x val="-0.00375"/>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583.93</c:v>
                </c:pt>
                <c:pt idx="1">
                  <c:v>583.93</c:v>
                </c:pt>
              </c:numCache>
            </c:numRef>
          </c:val>
        </c:ser>
        <c:dLbls>
          <c:showLegendKey val="0"/>
          <c:showVal val="1"/>
          <c:showCatName val="0"/>
          <c:showSerName val="0"/>
          <c:showPercent val="0"/>
          <c:showBubbleSize val="0"/>
        </c:dLbls>
        <c:gapWidth val="219"/>
        <c:overlap val="-27"/>
        <c:axId val="62814971"/>
        <c:axId val="218928628"/>
      </c:barChart>
      <c:catAx>
        <c:axId val="628149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928628"/>
        <c:crosses val="autoZero"/>
        <c:auto val="1"/>
        <c:lblAlgn val="ctr"/>
        <c:lblOffset val="100"/>
        <c:noMultiLvlLbl val="0"/>
      </c:catAx>
      <c:valAx>
        <c:axId val="2189286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8149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政府性基金预算财政拨款收入</c:v>
                </c:pt>
                <c:pt idx="2">
                  <c:v>上级补助收入</c:v>
                </c:pt>
                <c:pt idx="3">
                  <c:v>年初结转和结余</c:v>
                </c:pt>
              </c:strCache>
            </c:strRef>
          </c:cat>
          <c:val>
            <c:numRef>
              <c:f>Sheet1!$B$2:$B$5</c:f>
              <c:numCache>
                <c:formatCode>General</c:formatCode>
                <c:ptCount val="4"/>
                <c:pt idx="0">
                  <c:v>523.95</c:v>
                </c:pt>
                <c:pt idx="1">
                  <c:v>0</c:v>
                </c:pt>
                <c:pt idx="2">
                  <c:v>0</c:v>
                </c:pt>
                <c:pt idx="3">
                  <c:v>59.98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530.38</c:v>
                </c:pt>
                <c:pt idx="1">
                  <c:v>53.54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475625"/>
          <c:y val="0.9262345051818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manualLayout>
          <c:xMode val="edge"/>
          <c:yMode val="edge"/>
          <c:x val="0.2355"/>
          <c:y val="0.02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2020年</c:v>
                </c:pt>
                <c:pt idx="1">
                  <c:v>2021年</c:v>
                </c:pt>
              </c:strCache>
            </c:strRef>
          </c:cat>
          <c:val>
            <c:numRef>
              <c:f>Sheet1!$B$2:$B$3</c:f>
              <c:numCache>
                <c:formatCode>General</c:formatCode>
                <c:ptCount val="2"/>
                <c:pt idx="0">
                  <c:v>573.56</c:v>
                </c:pt>
                <c:pt idx="1">
                  <c:v>583.93</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2020年</c:v>
                </c:pt>
                <c:pt idx="1">
                  <c:v>2021年</c:v>
                </c:pt>
              </c:strCache>
            </c:strRef>
          </c:cat>
          <c:val>
            <c:numRef>
              <c:f>Sheet1!$C$2:$C$3</c:f>
              <c:numCache>
                <c:formatCode>General</c:formatCode>
                <c:ptCount val="2"/>
                <c:pt idx="0">
                  <c:v>573.56</c:v>
                </c:pt>
                <c:pt idx="1">
                  <c:v>583.93</c:v>
                </c:pt>
              </c:numCache>
            </c:numRef>
          </c:val>
        </c:ser>
        <c:dLbls>
          <c:showLegendKey val="0"/>
          <c:showVal val="0"/>
          <c:showCatName val="0"/>
          <c:showSerName val="0"/>
          <c:showPercent val="0"/>
          <c:showBubbleSize val="0"/>
        </c:dLbls>
        <c:gapWidth val="219"/>
        <c:overlap val="-27"/>
        <c:axId val="992229371"/>
        <c:axId val="306576578"/>
      </c:barChart>
      <c:catAx>
        <c:axId val="9922293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576578"/>
        <c:crosses val="autoZero"/>
        <c:auto val="1"/>
        <c:lblAlgn val="ctr"/>
        <c:lblOffset val="100"/>
        <c:noMultiLvlLbl val="0"/>
      </c:catAx>
      <c:valAx>
        <c:axId val="30657657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2293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0707"/>
          <c:y val="0.127"/>
          <c:w val="0.903675"/>
          <c:h val="0.717233333333333"/>
        </c:manualLayout>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Sheet1!$A$2:$A$3</c:f>
              <c:strCache>
                <c:ptCount val="2"/>
                <c:pt idx="0">
                  <c:v>2020年</c:v>
                </c:pt>
                <c:pt idx="1">
                  <c:v>2021年</c:v>
                </c:pt>
              </c:strCache>
            </c:strRef>
          </c:cat>
          <c:val>
            <c:numRef>
              <c:f>Sheet1!$B$2:$B$3</c:f>
              <c:numCache>
                <c:formatCode>General</c:formatCode>
                <c:ptCount val="2"/>
                <c:pt idx="0">
                  <c:v>513.57</c:v>
                </c:pt>
                <c:pt idx="1">
                  <c:v>583.93</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Sheet1!$A$2:$A$3</c:f>
              <c:strCache>
                <c:ptCount val="2"/>
                <c:pt idx="0">
                  <c:v>2020年</c:v>
                </c:pt>
                <c:pt idx="1">
                  <c:v>2021年</c:v>
                </c:pt>
              </c:strCache>
            </c:strRef>
          </c:cat>
          <c:val>
            <c:numRef>
              <c:f>Sheet1!$C$2:$C$3</c:f>
              <c:numCache>
                <c:formatCode>General</c:formatCode>
                <c:ptCount val="2"/>
              </c:numCache>
            </c:numRef>
          </c:val>
        </c:ser>
        <c:dLbls>
          <c:showLegendKey val="0"/>
          <c:showVal val="0"/>
          <c:showCatName val="0"/>
          <c:showSerName val="0"/>
          <c:showPercent val="0"/>
          <c:showBubbleSize val="0"/>
        </c:dLbls>
        <c:gapWidth val="219"/>
        <c:overlap val="-27"/>
        <c:axId val="683307418"/>
        <c:axId val="172126521"/>
      </c:barChart>
      <c:catAx>
        <c:axId val="6833074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126521"/>
        <c:crosses val="autoZero"/>
        <c:auto val="1"/>
        <c:lblAlgn val="ctr"/>
        <c:lblOffset val="100"/>
        <c:noMultiLvlLbl val="0"/>
      </c:catAx>
      <c:valAx>
        <c:axId val="1721265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3307418"/>
        <c:crosses val="autoZero"/>
        <c:crossBetween val="between"/>
      </c:valAx>
      <c:spPr>
        <a:noFill/>
        <a:ln>
          <a:noFill/>
        </a:ln>
        <a:effectLst/>
      </c:spPr>
    </c:plotArea>
    <c:legend>
      <c:legendPos val="b"/>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c:v>
                </c:pt>
                <c:pt idx="1">
                  <c:v>社会保障和就业</c:v>
                </c:pt>
                <c:pt idx="2">
                  <c:v>卫生健康支出</c:v>
                </c:pt>
                <c:pt idx="3">
                  <c:v>住房保障</c:v>
                </c:pt>
              </c:strCache>
            </c:strRef>
          </c:cat>
          <c:val>
            <c:numRef>
              <c:f>Sheet1!$B$2:$B$5</c:f>
              <c:numCache>
                <c:formatCode>General</c:formatCode>
                <c:ptCount val="4"/>
                <c:pt idx="0">
                  <c:v>503.89</c:v>
                </c:pt>
                <c:pt idx="1">
                  <c:v>37.09</c:v>
                </c:pt>
                <c:pt idx="2">
                  <c:v>16.45</c:v>
                </c:pt>
                <c:pt idx="3">
                  <c:v>26.48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76.66</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8092</Words>
  <Characters>8698</Characters>
  <Lines>44</Lines>
  <Paragraphs>12</Paragraphs>
  <TotalTime>57</TotalTime>
  <ScaleCrop>false</ScaleCrop>
  <LinksUpToDate>false</LinksUpToDate>
  <CharactersWithSpaces>8714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提拉米苏</cp:lastModifiedBy>
  <cp:lastPrinted>2022-09-27T02:32:49Z</cp:lastPrinted>
  <dcterms:modified xsi:type="dcterms:W3CDTF">2022-09-27T02:35:53Z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DAC6C405E3FE442E9DF876090FBD6CB5</vt:lpwstr>
  </property>
  <property fmtid="{D5CDD505-2E9C-101B-9397-08002B2CF9AE}" pid="4" name="KSOSaveFontToCloudKey">
    <vt:lpwstr>236142750_btnclosed</vt:lpwstr>
  </property>
</Properties>
</file>