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6B7653">
      <w:pPr>
        <w:pStyle w:val="6"/>
        <w:suppressAutoHyphens/>
        <w:bidi w:val="0"/>
        <w:spacing w:before="0" w:beforeLines="-2147483648" w:after="140" w:line="276" w:lineRule="auto"/>
        <w:jc w:val="center"/>
        <w:rPr>
          <w:rFonts w:hint="default" w:ascii="Times New Roman" w:hAnsi="Times New Roman" w:eastAsia="微软雅黑" w:cs="Times New Roman"/>
          <w:color w:val="auto"/>
          <w:kern w:val="2"/>
          <w:sz w:val="44"/>
          <w:szCs w:val="44"/>
          <w:highlight w:val="none"/>
          <w:lang w:val="en-US" w:eastAsia="zh-CN" w:bidi="ar-SA"/>
        </w:rPr>
      </w:pPr>
      <w:bookmarkStart w:id="0" w:name="_Toc15396597"/>
      <w:bookmarkStart w:id="1" w:name="_Toc15377425"/>
      <w:bookmarkStart w:id="2" w:name="_Toc15396475"/>
      <w:bookmarkStart w:id="3" w:name="_Toc15377193"/>
      <w:bookmarkStart w:id="4" w:name="_Toc15378441"/>
      <w:bookmarkStart w:id="5" w:name="_Toc15306267"/>
    </w:p>
    <w:p w14:paraId="39E26E59">
      <w:pPr>
        <w:pStyle w:val="6"/>
        <w:suppressAutoHyphens/>
        <w:bidi w:val="0"/>
        <w:spacing w:before="0" w:beforeLines="-2147483648" w:after="140" w:line="276" w:lineRule="auto"/>
        <w:jc w:val="center"/>
        <w:rPr>
          <w:rFonts w:hint="default" w:ascii="Times New Roman" w:hAnsi="Times New Roman" w:eastAsia="微软雅黑" w:cs="Times New Roman"/>
          <w:color w:val="auto"/>
          <w:kern w:val="2"/>
          <w:sz w:val="44"/>
          <w:szCs w:val="44"/>
          <w:highlight w:val="none"/>
          <w:lang w:val="en-US" w:eastAsia="zh-CN" w:bidi="ar-SA"/>
        </w:rPr>
      </w:pPr>
    </w:p>
    <w:p w14:paraId="171600B4">
      <w:pPr>
        <w:pStyle w:val="6"/>
        <w:suppressAutoHyphens/>
        <w:bidi w:val="0"/>
        <w:spacing w:before="0" w:beforeLines="-2147483648" w:after="140" w:line="276" w:lineRule="auto"/>
        <w:jc w:val="center"/>
        <w:rPr>
          <w:rFonts w:hint="default" w:ascii="Times New Roman" w:hAnsi="Times New Roman" w:eastAsia="微软雅黑" w:cs="Times New Roman"/>
          <w:color w:val="auto"/>
          <w:kern w:val="2"/>
          <w:sz w:val="44"/>
          <w:szCs w:val="44"/>
          <w:highlight w:val="none"/>
          <w:lang w:val="en-US" w:eastAsia="zh-CN" w:bidi="ar-SA"/>
        </w:rPr>
      </w:pPr>
    </w:p>
    <w:p w14:paraId="448855A9">
      <w:pPr>
        <w:pStyle w:val="6"/>
        <w:suppressAutoHyphens/>
        <w:bidi w:val="0"/>
        <w:spacing w:before="0" w:beforeLines="-2147483648" w:after="140" w:line="276" w:lineRule="auto"/>
        <w:jc w:val="center"/>
        <w:rPr>
          <w:rFonts w:hint="default" w:ascii="Times New Roman" w:hAnsi="Times New Roman" w:eastAsia="微软雅黑" w:cs="Times New Roman"/>
          <w:color w:val="auto"/>
          <w:kern w:val="2"/>
          <w:sz w:val="44"/>
          <w:szCs w:val="44"/>
          <w:highlight w:val="none"/>
          <w:lang w:val="en-US" w:eastAsia="zh-CN" w:bidi="ar-SA"/>
        </w:rPr>
      </w:pPr>
    </w:p>
    <w:p w14:paraId="4F0CB8B8">
      <w:pPr>
        <w:pStyle w:val="6"/>
        <w:suppressAutoHyphens/>
        <w:bidi w:val="0"/>
        <w:spacing w:before="0" w:beforeLines="-2147483648" w:after="140" w:line="276" w:lineRule="auto"/>
        <w:jc w:val="center"/>
        <w:rPr>
          <w:rFonts w:hint="eastAsia" w:ascii="方正小标宋简体" w:hAnsi="方正小标宋简体" w:eastAsia="方正小标宋简体" w:cs="方正小标宋简体"/>
          <w:color w:val="auto"/>
          <w:kern w:val="2"/>
          <w:sz w:val="44"/>
          <w:szCs w:val="44"/>
          <w:highlight w:val="none"/>
          <w:lang w:val="en-US" w:eastAsia="zh-CN" w:bidi="ar-SA"/>
        </w:rPr>
      </w:pPr>
    </w:p>
    <w:bookmarkEnd w:id="0"/>
    <w:bookmarkEnd w:id="1"/>
    <w:bookmarkEnd w:id="2"/>
    <w:bookmarkEnd w:id="3"/>
    <w:bookmarkEnd w:id="4"/>
    <w:p w14:paraId="47AEF975">
      <w:pPr>
        <w:pStyle w:val="6"/>
        <w:suppressAutoHyphens/>
        <w:bidi w:val="0"/>
        <w:spacing w:before="0" w:beforeLines="-2147483648" w:after="140" w:line="276" w:lineRule="auto"/>
        <w:jc w:val="center"/>
        <w:rPr>
          <w:rFonts w:hint="default" w:ascii="方正小标宋简体" w:hAnsi="方正小标宋简体" w:eastAsia="方正小标宋简体" w:cs="方正小标宋简体"/>
          <w:color w:val="auto"/>
          <w:kern w:val="2"/>
          <w:sz w:val="44"/>
          <w:szCs w:val="44"/>
          <w:highlight w:val="none"/>
          <w:lang w:val="en-US" w:eastAsia="zh-CN" w:bidi="ar-SA"/>
        </w:rPr>
      </w:pPr>
      <w:bookmarkStart w:id="6" w:name="_Toc15377194"/>
      <w:bookmarkStart w:id="7" w:name="_Toc15396598"/>
      <w:bookmarkStart w:id="8" w:name="_Toc15396476"/>
      <w:bookmarkStart w:id="9" w:name="_Toc15378442"/>
      <w:bookmarkStart w:id="10" w:name="_Toc15377426"/>
      <w:r>
        <w:rPr>
          <w:rFonts w:hint="eastAsia" w:ascii="方正小标宋简体" w:hAnsi="方正小标宋简体" w:eastAsia="方正小标宋简体" w:cs="方正小标宋简体"/>
          <w:color w:val="auto"/>
          <w:kern w:val="2"/>
          <w:sz w:val="44"/>
          <w:szCs w:val="44"/>
          <w:highlight w:val="none"/>
          <w:lang w:val="en-US" w:eastAsia="zh-CN" w:bidi="ar-SA"/>
        </w:rPr>
        <w:t>2024年度</w:t>
      </w:r>
      <w:bookmarkEnd w:id="5"/>
      <w:bookmarkStart w:id="11" w:name="_Toc15306268"/>
      <w:r>
        <w:rPr>
          <w:rFonts w:hint="eastAsia" w:ascii="方正小标宋简体" w:hAnsi="方正小标宋简体" w:eastAsia="方正小标宋简体" w:cs="方正小标宋简体"/>
          <w:color w:val="auto"/>
          <w:kern w:val="2"/>
          <w:sz w:val="44"/>
          <w:szCs w:val="44"/>
          <w:highlight w:val="none"/>
          <w:lang w:val="en-US" w:eastAsia="zh-CN" w:bidi="ar-SA"/>
        </w:rPr>
        <w:t>中共阿坝州直属机关工作委员会部门决算</w:t>
      </w:r>
      <w:bookmarkEnd w:id="6"/>
      <w:bookmarkEnd w:id="7"/>
      <w:bookmarkEnd w:id="8"/>
      <w:bookmarkEnd w:id="9"/>
      <w:bookmarkEnd w:id="10"/>
      <w:bookmarkEnd w:id="11"/>
      <w:r>
        <w:rPr>
          <w:rFonts w:hint="eastAsia" w:ascii="方正小标宋简体" w:hAnsi="方正小标宋简体" w:eastAsia="方正小标宋简体" w:cs="方正小标宋简体"/>
          <w:color w:val="auto"/>
          <w:kern w:val="2"/>
          <w:sz w:val="44"/>
          <w:szCs w:val="44"/>
          <w:highlight w:val="none"/>
          <w:lang w:val="en-US" w:eastAsia="zh-CN" w:bidi="ar-SA"/>
        </w:rPr>
        <w:t>公开</w:t>
      </w:r>
    </w:p>
    <w:p w14:paraId="2CD3E926">
      <w:pPr>
        <w:pStyle w:val="38"/>
        <w:keepNext w:val="0"/>
        <w:keepLines w:val="0"/>
        <w:widowControl/>
        <w:suppressLineNumbers w:val="0"/>
        <w:spacing w:before="0" w:beforeAutospacing="0"/>
        <w:ind w:left="420" w:leftChars="200"/>
        <w:jc w:val="center"/>
        <w:rPr>
          <w:rFonts w:hint="eastAsia" w:ascii="宋体" w:hAnsi="宋体" w:eastAsia="宋体" w:cs="宋体"/>
          <w:kern w:val="0"/>
          <w:sz w:val="28"/>
          <w:szCs w:val="28"/>
          <w:shd w:val="clear" w:color="auto" w:fill="FFFFFF"/>
        </w:rPr>
      </w:pPr>
    </w:p>
    <w:p w14:paraId="352F6FCE">
      <w:pPr>
        <w:pStyle w:val="38"/>
        <w:keepNext w:val="0"/>
        <w:keepLines w:val="0"/>
        <w:widowControl/>
        <w:suppressLineNumbers w:val="0"/>
        <w:spacing w:before="0" w:beforeAutospacing="0"/>
        <w:ind w:left="420" w:leftChars="200"/>
        <w:jc w:val="center"/>
        <w:rPr>
          <w:rFonts w:hint="eastAsia" w:ascii="宋体" w:hAnsi="宋体" w:eastAsia="宋体" w:cs="宋体"/>
          <w:kern w:val="0"/>
          <w:sz w:val="28"/>
          <w:szCs w:val="28"/>
          <w:shd w:val="clear" w:color="auto" w:fill="FFFFFF"/>
        </w:rPr>
      </w:pPr>
    </w:p>
    <w:p w14:paraId="36B8F4AD">
      <w:pPr>
        <w:pStyle w:val="38"/>
        <w:keepNext w:val="0"/>
        <w:keepLines w:val="0"/>
        <w:widowControl/>
        <w:suppressLineNumbers w:val="0"/>
        <w:spacing w:before="0" w:beforeAutospacing="0"/>
        <w:ind w:left="420" w:leftChars="200"/>
        <w:jc w:val="center"/>
        <w:rPr>
          <w:rFonts w:hint="eastAsia" w:ascii="宋体" w:hAnsi="宋体" w:eastAsia="宋体" w:cs="宋体"/>
          <w:kern w:val="0"/>
          <w:sz w:val="28"/>
          <w:szCs w:val="28"/>
          <w:shd w:val="clear" w:color="auto" w:fill="FFFFFF"/>
        </w:rPr>
      </w:pPr>
    </w:p>
    <w:p w14:paraId="1C046EF9">
      <w:pPr>
        <w:pStyle w:val="38"/>
        <w:keepNext w:val="0"/>
        <w:keepLines w:val="0"/>
        <w:widowControl/>
        <w:suppressLineNumbers w:val="0"/>
        <w:spacing w:before="0" w:beforeAutospacing="0"/>
        <w:ind w:left="420" w:leftChars="200"/>
        <w:jc w:val="center"/>
        <w:rPr>
          <w:rFonts w:hint="eastAsia" w:ascii="宋体" w:hAnsi="宋体" w:eastAsia="宋体" w:cs="宋体"/>
          <w:kern w:val="0"/>
          <w:sz w:val="28"/>
          <w:szCs w:val="28"/>
          <w:shd w:val="clear" w:color="auto" w:fill="FFFFFF"/>
        </w:rPr>
      </w:pPr>
    </w:p>
    <w:p w14:paraId="6E894978">
      <w:pPr>
        <w:pStyle w:val="38"/>
        <w:keepNext w:val="0"/>
        <w:keepLines w:val="0"/>
        <w:widowControl/>
        <w:suppressLineNumbers w:val="0"/>
        <w:spacing w:before="0" w:beforeAutospacing="0"/>
        <w:ind w:left="420" w:leftChars="200"/>
        <w:jc w:val="center"/>
        <w:rPr>
          <w:rFonts w:hint="eastAsia" w:ascii="宋体" w:hAnsi="宋体" w:eastAsia="宋体" w:cs="宋体"/>
          <w:kern w:val="0"/>
          <w:sz w:val="28"/>
          <w:szCs w:val="28"/>
          <w:shd w:val="clear" w:color="auto" w:fill="FFFFFF"/>
        </w:rPr>
      </w:pPr>
    </w:p>
    <w:p w14:paraId="0644578E">
      <w:pPr>
        <w:pStyle w:val="38"/>
        <w:keepNext w:val="0"/>
        <w:keepLines w:val="0"/>
        <w:widowControl/>
        <w:suppressLineNumbers w:val="0"/>
        <w:spacing w:before="0" w:beforeAutospacing="0"/>
        <w:ind w:left="420" w:leftChars="200"/>
        <w:jc w:val="center"/>
        <w:rPr>
          <w:rFonts w:hint="eastAsia" w:ascii="宋体" w:hAnsi="宋体" w:eastAsia="宋体" w:cs="宋体"/>
          <w:kern w:val="0"/>
          <w:sz w:val="28"/>
          <w:szCs w:val="28"/>
          <w:shd w:val="clear" w:color="auto" w:fill="FFFFFF"/>
        </w:rPr>
      </w:pPr>
    </w:p>
    <w:p w14:paraId="76664953">
      <w:pPr>
        <w:pStyle w:val="38"/>
        <w:keepNext w:val="0"/>
        <w:keepLines w:val="0"/>
        <w:widowControl/>
        <w:suppressLineNumbers w:val="0"/>
        <w:spacing w:before="0" w:beforeAutospacing="0"/>
        <w:ind w:firstLine="1680" w:firstLineChars="600"/>
        <w:jc w:val="both"/>
        <w:rPr>
          <w:rFonts w:hint="default" w:ascii="Times New Roman" w:hAnsi="Times New Roman" w:eastAsia="宋体" w:cs="Times New Roman"/>
          <w:kern w:val="0"/>
          <w:sz w:val="28"/>
          <w:szCs w:val="28"/>
        </w:rPr>
      </w:pPr>
      <w:r>
        <w:rPr>
          <w:rFonts w:hint="eastAsia" w:ascii="宋体" w:hAnsi="宋体" w:eastAsia="宋体" w:cs="宋体"/>
          <w:kern w:val="0"/>
          <w:sz w:val="28"/>
          <w:szCs w:val="28"/>
          <w:shd w:val="clear" w:color="auto" w:fill="FFFFFF"/>
        </w:rPr>
        <w:t>已经保密审查、内容审定，同意对外公开</w:t>
      </w:r>
    </w:p>
    <w:p w14:paraId="04428930">
      <w:pPr>
        <w:widowControl/>
        <w:jc w:val="center"/>
        <w:rPr>
          <w:rFonts w:hint="default" w:ascii="Times New Roman" w:hAnsi="Times New Roman" w:eastAsia="黑体" w:cs="Times New Roman"/>
          <w:sz w:val="48"/>
          <w:szCs w:val="48"/>
        </w:rPr>
        <w:sectPr>
          <w:headerReference r:id="rId3" w:type="default"/>
          <w:footerReference r:id="rId4" w:type="default"/>
          <w:pgSz w:w="11906" w:h="16838"/>
          <w:pgMar w:top="1440" w:right="1800" w:bottom="1440" w:left="1800" w:header="851" w:footer="992" w:gutter="0"/>
          <w:pgNumType w:fmt="numberInDash" w:start="1"/>
          <w:cols w:space="425" w:num="1"/>
          <w:titlePg/>
          <w:docGrid w:type="lines" w:linePitch="312" w:charSpace="0"/>
        </w:sectPr>
      </w:pPr>
    </w:p>
    <w:p w14:paraId="48525C46">
      <w:pPr>
        <w:widowControl/>
        <w:jc w:val="center"/>
        <w:rPr>
          <w:rFonts w:hint="default" w:ascii="Times New Roman" w:hAnsi="Times New Roman" w:eastAsia="黑体" w:cs="Times New Roman"/>
          <w:sz w:val="48"/>
          <w:szCs w:val="48"/>
        </w:rPr>
      </w:pPr>
      <w:r>
        <w:rPr>
          <w:rFonts w:hint="default" w:ascii="Times New Roman" w:hAnsi="Times New Roman" w:eastAsia="黑体" w:cs="Times New Roman"/>
          <w:sz w:val="48"/>
          <w:szCs w:val="48"/>
        </w:rPr>
        <w:t>目录</w:t>
      </w:r>
    </w:p>
    <w:p w14:paraId="3A675FA4">
      <w:pPr>
        <w:widowControl/>
        <w:jc w:val="center"/>
        <w:rPr>
          <w:rFonts w:hint="default" w:ascii="Times New Roman" w:hAnsi="Times New Roman" w:eastAsia="黑体" w:cs="Times New Roman"/>
          <w:sz w:val="28"/>
          <w:szCs w:val="28"/>
        </w:rPr>
      </w:pPr>
    </w:p>
    <w:p w14:paraId="3AB94423">
      <w:pPr>
        <w:pStyle w:val="13"/>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公开时间：202</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日</w:t>
      </w:r>
    </w:p>
    <w:p w14:paraId="63C0BCB0">
      <w:pPr>
        <w:rPr>
          <w:rFonts w:hint="default" w:ascii="Times New Roman" w:hAnsi="Times New Roman" w:cs="Times New Roman"/>
        </w:rPr>
      </w:pPr>
    </w:p>
    <w:p w14:paraId="162A9EE7">
      <w:pPr>
        <w:pStyle w:val="13"/>
        <w:adjustRightInd w:val="0"/>
        <w:snapToGrid w:val="0"/>
        <w:spacing w:before="0" w:line="560" w:lineRule="exact"/>
        <w:jc w:val="lef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第一部分 部门概况</w:t>
      </w:r>
    </w:p>
    <w:p w14:paraId="07155AE4">
      <w:pPr>
        <w:ind w:firstLine="64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32"/>
          <w:szCs w:val="32"/>
        </w:rPr>
        <w:t>一、部门职责</w:t>
      </w:r>
      <w:r>
        <w:rPr>
          <w:rFonts w:hint="eastAsia" w:eastAsia="仿宋_GB2312" w:cs="Times New Roman"/>
          <w:sz w:val="32"/>
          <w:szCs w:val="32"/>
          <w:lang w:val="en-US" w:eastAsia="zh-CN"/>
        </w:rPr>
        <w:t xml:space="preserve">    </w:t>
      </w:r>
      <w:r>
        <w:rPr>
          <w:rFonts w:hint="eastAsia"/>
          <w:lang w:eastAsia="zh-CN"/>
        </w:rPr>
        <w:t>……………………………………………………………</w:t>
      </w:r>
      <w:r>
        <w:rPr>
          <w:rFonts w:hint="eastAsia" w:eastAsia="仿宋_GB2312" w:cs="Times New Roman"/>
          <w:sz w:val="24"/>
          <w:szCs w:val="24"/>
          <w:lang w:val="en-US" w:eastAsia="zh-CN"/>
        </w:rPr>
        <w:t>4-5</w:t>
      </w:r>
    </w:p>
    <w:p w14:paraId="4FBD899C">
      <w:pPr>
        <w:pStyle w:val="15"/>
        <w:adjustRightInd w:val="0"/>
        <w:snapToGrid w:val="0"/>
        <w:spacing w:line="560" w:lineRule="exact"/>
        <w:ind w:left="0" w:leftChars="0" w:firstLine="640" w:firstLineChars="200"/>
        <w:jc w:val="left"/>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32"/>
          <w:szCs w:val="32"/>
        </w:rPr>
        <w:t>二、机构设置</w:t>
      </w:r>
      <w:r>
        <w:rPr>
          <w:rFonts w:hint="eastAsia" w:eastAsia="仿宋_GB2312" w:cs="Times New Roman"/>
          <w:sz w:val="32"/>
          <w:szCs w:val="32"/>
          <w:lang w:val="en-US" w:eastAsia="zh-CN"/>
        </w:rPr>
        <w:t xml:space="preserve">     </w:t>
      </w:r>
      <w:r>
        <w:rPr>
          <w:rFonts w:hint="eastAsia"/>
          <w:lang w:eastAsia="zh-CN"/>
        </w:rPr>
        <w:t>……………………………………………………………</w:t>
      </w:r>
      <w:r>
        <w:rPr>
          <w:rFonts w:hint="default" w:ascii="Times New Roman" w:hAnsi="Times New Roman" w:eastAsia="仿宋_GB2312" w:cs="Times New Roman"/>
          <w:kern w:val="2"/>
          <w:sz w:val="24"/>
          <w:szCs w:val="24"/>
          <w:lang w:val="en-US" w:eastAsia="zh-CN" w:bidi="ar-SA"/>
        </w:rPr>
        <w:t>5</w:t>
      </w:r>
    </w:p>
    <w:p w14:paraId="5D6095BD">
      <w:pPr>
        <w:pStyle w:val="13"/>
        <w:adjustRightInd w:val="0"/>
        <w:snapToGrid w:val="0"/>
        <w:spacing w:before="0" w:line="560" w:lineRule="exact"/>
        <w:jc w:val="lef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第二部分 2024年度部门决算情况说明</w:t>
      </w:r>
    </w:p>
    <w:p w14:paraId="5155C649">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32"/>
          <w:szCs w:val="32"/>
        </w:rPr>
        <w:t>一、收入支出决算总体情况说明</w:t>
      </w:r>
      <w:r>
        <w:rPr>
          <w:rFonts w:hint="eastAsia" w:eastAsia="仿宋_GB2312" w:cs="Times New Roman"/>
          <w:sz w:val="32"/>
          <w:szCs w:val="32"/>
          <w:lang w:val="en-US" w:eastAsia="zh-CN"/>
        </w:rPr>
        <w:t xml:space="preserve">  </w:t>
      </w:r>
      <w:r>
        <w:rPr>
          <w:rFonts w:hint="eastAsia"/>
          <w:lang w:eastAsia="zh-CN"/>
        </w:rPr>
        <w:t>…………………………………</w:t>
      </w:r>
      <w:r>
        <w:rPr>
          <w:rFonts w:hint="default" w:ascii="Times New Roman" w:hAnsi="Times New Roman" w:cs="Times New Roman"/>
          <w:sz w:val="24"/>
          <w:szCs w:val="24"/>
          <w:lang w:val="en-US" w:eastAsia="zh-CN"/>
        </w:rPr>
        <w:t>6</w:t>
      </w:r>
    </w:p>
    <w:p w14:paraId="4FCE229F">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32"/>
          <w:szCs w:val="32"/>
        </w:rPr>
        <w:t>二、收入决算情况说明</w:t>
      </w:r>
      <w:r>
        <w:rPr>
          <w:rFonts w:hint="eastAsia" w:eastAsia="仿宋_GB2312" w:cs="Times New Roman"/>
          <w:sz w:val="32"/>
          <w:szCs w:val="32"/>
          <w:lang w:val="en-US" w:eastAsia="zh-CN"/>
        </w:rPr>
        <w:t xml:space="preserve">    </w:t>
      </w:r>
      <w:r>
        <w:rPr>
          <w:rFonts w:hint="eastAsia"/>
          <w:lang w:eastAsia="zh-CN"/>
        </w:rPr>
        <w:t>……………………………………………</w:t>
      </w:r>
      <w:r>
        <w:rPr>
          <w:rFonts w:hint="default" w:ascii="Times New Roman" w:hAnsi="Times New Roman" w:cs="Times New Roman"/>
          <w:sz w:val="24"/>
          <w:szCs w:val="24"/>
          <w:lang w:val="en-US" w:eastAsia="zh-CN"/>
        </w:rPr>
        <w:t>6-7</w:t>
      </w:r>
    </w:p>
    <w:p w14:paraId="033A218A">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32"/>
          <w:szCs w:val="32"/>
        </w:rPr>
        <w:t>三、支出决算情况说</w:t>
      </w:r>
      <w:r>
        <w:rPr>
          <w:rFonts w:hint="eastAsia" w:eastAsia="仿宋_GB2312" w:cs="Times New Roman"/>
          <w:sz w:val="32"/>
          <w:szCs w:val="32"/>
          <w:lang w:val="en-US" w:eastAsia="zh-CN"/>
        </w:rPr>
        <w:t xml:space="preserve">  </w:t>
      </w:r>
      <w:r>
        <w:rPr>
          <w:rFonts w:hint="eastAsia"/>
          <w:lang w:eastAsia="zh-CN"/>
        </w:rPr>
        <w:t>………………………………………………………</w:t>
      </w:r>
      <w:r>
        <w:rPr>
          <w:rFonts w:hint="default" w:ascii="Times New Roman" w:hAnsi="Times New Roman" w:cs="Times New Roman"/>
          <w:sz w:val="24"/>
          <w:szCs w:val="24"/>
          <w:lang w:val="en-US" w:eastAsia="zh-CN"/>
        </w:rPr>
        <w:t>7</w:t>
      </w:r>
    </w:p>
    <w:p w14:paraId="2FE2F279">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32"/>
          <w:szCs w:val="32"/>
        </w:rPr>
        <w:t>四、财政拨款收入支出决算总体情况说</w:t>
      </w:r>
      <w:r>
        <w:rPr>
          <w:rFonts w:hint="eastAsia" w:eastAsia="仿宋_GB2312" w:cs="Times New Roman"/>
          <w:sz w:val="32"/>
          <w:szCs w:val="32"/>
          <w:lang w:val="en-US" w:eastAsia="zh-CN"/>
        </w:rPr>
        <w:t xml:space="preserve"> </w:t>
      </w:r>
      <w:r>
        <w:rPr>
          <w:rFonts w:hint="eastAsia"/>
          <w:lang w:eastAsia="zh-CN"/>
        </w:rPr>
        <w:t>………………………</w:t>
      </w:r>
      <w:r>
        <w:rPr>
          <w:rFonts w:hint="default" w:ascii="Times New Roman" w:hAnsi="Times New Roman" w:cs="Times New Roman"/>
          <w:sz w:val="24"/>
          <w:szCs w:val="24"/>
          <w:lang w:val="en-US" w:eastAsia="zh-CN"/>
        </w:rPr>
        <w:t>8</w:t>
      </w:r>
    </w:p>
    <w:p w14:paraId="05A94E15">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32"/>
          <w:szCs w:val="32"/>
        </w:rPr>
        <w:t>五、一般公共预算财政拨款支出决算情况说明</w:t>
      </w:r>
      <w:r>
        <w:rPr>
          <w:rFonts w:hint="eastAsia" w:eastAsia="仿宋_GB2312" w:cs="Times New Roman"/>
          <w:sz w:val="32"/>
          <w:szCs w:val="32"/>
          <w:lang w:val="en-US" w:eastAsia="zh-CN"/>
        </w:rPr>
        <w:t xml:space="preserve">  </w:t>
      </w:r>
      <w:r>
        <w:rPr>
          <w:rFonts w:hint="eastAsia"/>
          <w:lang w:eastAsia="zh-CN"/>
        </w:rPr>
        <w:t>………</w:t>
      </w:r>
      <w:r>
        <w:rPr>
          <w:rFonts w:hint="default" w:ascii="Times New Roman" w:hAnsi="Times New Roman" w:cs="Times New Roman"/>
          <w:sz w:val="24"/>
          <w:szCs w:val="24"/>
          <w:lang w:val="en-US" w:eastAsia="zh-CN"/>
        </w:rPr>
        <w:t>8-11</w:t>
      </w:r>
    </w:p>
    <w:p w14:paraId="56D489FE">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32"/>
          <w:szCs w:val="32"/>
        </w:rPr>
        <w:t>六、一般公共预算财政拨款基本支出决算情况说明</w:t>
      </w:r>
      <w:r>
        <w:rPr>
          <w:rFonts w:hint="eastAsia"/>
          <w:lang w:eastAsia="zh-CN"/>
        </w:rPr>
        <w:t>…</w:t>
      </w:r>
      <w:r>
        <w:rPr>
          <w:rFonts w:hint="default" w:ascii="Times New Roman" w:hAnsi="Times New Roman" w:cs="Times New Roman"/>
          <w:sz w:val="24"/>
          <w:szCs w:val="24"/>
          <w:lang w:val="en-US" w:eastAsia="zh-CN"/>
        </w:rPr>
        <w:t>11-12</w:t>
      </w:r>
    </w:p>
    <w:p w14:paraId="5E00F471">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32"/>
          <w:szCs w:val="32"/>
        </w:rPr>
        <w:t>七、财政拨款“三公”经费支出决算情况说明</w:t>
      </w:r>
      <w:r>
        <w:rPr>
          <w:rFonts w:hint="eastAsia"/>
          <w:lang w:eastAsia="zh-CN"/>
        </w:rPr>
        <w:t>……………</w:t>
      </w:r>
      <w:r>
        <w:rPr>
          <w:rFonts w:hint="default" w:ascii="Times New Roman" w:hAnsi="Times New Roman" w:cs="Times New Roman"/>
          <w:sz w:val="24"/>
          <w:szCs w:val="24"/>
          <w:lang w:val="en-US" w:eastAsia="zh-CN"/>
        </w:rPr>
        <w:t>12-13</w:t>
      </w:r>
    </w:p>
    <w:p w14:paraId="3B729C15">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32"/>
          <w:szCs w:val="32"/>
        </w:rPr>
        <w:t>八、政府性基金预算支出决算情况说明</w:t>
      </w:r>
      <w:r>
        <w:rPr>
          <w:rFonts w:hint="eastAsia"/>
          <w:lang w:eastAsia="zh-CN"/>
        </w:rPr>
        <w:t>………………………</w:t>
      </w:r>
      <w:r>
        <w:rPr>
          <w:rFonts w:hint="default" w:ascii="Times New Roman" w:hAnsi="Times New Roman" w:cs="Times New Roman"/>
          <w:sz w:val="24"/>
          <w:szCs w:val="24"/>
          <w:lang w:val="en-US" w:eastAsia="zh-CN"/>
        </w:rPr>
        <w:t>13</w:t>
      </w:r>
    </w:p>
    <w:p w14:paraId="1FFEFCFA">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32"/>
          <w:szCs w:val="32"/>
        </w:rPr>
        <w:t>九、国有资本经营预算支出决算情况说明</w:t>
      </w:r>
      <w:r>
        <w:rPr>
          <w:rFonts w:hint="eastAsia" w:eastAsia="仿宋_GB2312" w:cs="Times New Roman"/>
          <w:sz w:val="32"/>
          <w:szCs w:val="32"/>
          <w:lang w:val="en-US" w:eastAsia="zh-CN"/>
        </w:rPr>
        <w:t xml:space="preserve"> </w:t>
      </w:r>
      <w:r>
        <w:rPr>
          <w:rFonts w:hint="eastAsia"/>
          <w:lang w:eastAsia="zh-CN"/>
        </w:rPr>
        <w:t>…………………</w:t>
      </w:r>
      <w:r>
        <w:rPr>
          <w:rFonts w:hint="default" w:ascii="Times New Roman" w:hAnsi="Times New Roman" w:cs="Times New Roman"/>
          <w:sz w:val="24"/>
          <w:szCs w:val="24"/>
          <w:lang w:val="en-US" w:eastAsia="zh-CN"/>
        </w:rPr>
        <w:t>13</w:t>
      </w:r>
    </w:p>
    <w:p w14:paraId="23B50E32">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32"/>
          <w:szCs w:val="32"/>
        </w:rPr>
        <w:t>十、其他重要事项的情况说明</w:t>
      </w:r>
      <w:r>
        <w:rPr>
          <w:rFonts w:hint="eastAsia" w:eastAsia="仿宋_GB2312" w:cs="Times New Roman"/>
          <w:sz w:val="32"/>
          <w:szCs w:val="32"/>
          <w:lang w:val="en-US" w:eastAsia="zh-CN"/>
        </w:rPr>
        <w:t xml:space="preserve">  </w:t>
      </w:r>
      <w:r>
        <w:rPr>
          <w:rFonts w:hint="eastAsia"/>
          <w:lang w:eastAsia="zh-CN"/>
        </w:rPr>
        <w:t>…………………………………</w:t>
      </w:r>
      <w:r>
        <w:rPr>
          <w:rFonts w:hint="default" w:ascii="Times New Roman" w:hAnsi="Times New Roman" w:cs="Times New Roman"/>
          <w:sz w:val="24"/>
          <w:szCs w:val="24"/>
          <w:lang w:val="en-US" w:eastAsia="zh-CN"/>
        </w:rPr>
        <w:t>13-15</w:t>
      </w:r>
    </w:p>
    <w:p w14:paraId="0D792C5F">
      <w:pPr>
        <w:pStyle w:val="13"/>
        <w:adjustRightInd w:val="0"/>
        <w:snapToGrid w:val="0"/>
        <w:spacing w:before="0" w:line="560" w:lineRule="exact"/>
        <w:jc w:val="left"/>
        <w:rPr>
          <w:rFonts w:hint="default" w:ascii="Times New Roman" w:hAnsi="Times New Roman" w:eastAsia="黑体" w:cs="Times New Roman"/>
          <w:sz w:val="32"/>
          <w:szCs w:val="32"/>
          <w:lang w:val="en-US"/>
        </w:rPr>
      </w:pPr>
      <w:r>
        <w:rPr>
          <w:rFonts w:hint="default" w:ascii="Times New Roman" w:hAnsi="Times New Roman" w:eastAsia="黑体" w:cs="Times New Roman"/>
          <w:sz w:val="32"/>
          <w:szCs w:val="32"/>
        </w:rPr>
        <w:t>第三部分 名词解释</w:t>
      </w:r>
      <w:r>
        <w:rPr>
          <w:rFonts w:hint="eastAsia" w:ascii="Times New Roman" w:hAnsi="Times New Roman" w:eastAsia="黑体" w:cs="Times New Roman"/>
          <w:sz w:val="32"/>
          <w:szCs w:val="32"/>
          <w:lang w:val="en-US" w:eastAsia="zh-CN"/>
        </w:rPr>
        <w:t xml:space="preserve"> </w:t>
      </w:r>
      <w:r>
        <w:rPr>
          <w:rFonts w:hint="eastAsia"/>
          <w:lang w:eastAsia="zh-CN"/>
        </w:rPr>
        <w:t>……………………………………………</w:t>
      </w:r>
      <w:r>
        <w:rPr>
          <w:rFonts w:hint="default" w:ascii="Times New Roman" w:hAnsi="Times New Roman" w:cs="Times New Roman"/>
          <w:sz w:val="24"/>
          <w:szCs w:val="24"/>
          <w:lang w:val="en-US" w:eastAsia="zh-CN"/>
        </w:rPr>
        <w:t>16-19</w:t>
      </w:r>
    </w:p>
    <w:p w14:paraId="6EE48324">
      <w:pPr>
        <w:pStyle w:val="13"/>
        <w:adjustRightInd w:val="0"/>
        <w:snapToGrid w:val="0"/>
        <w:spacing w:before="0" w:line="560" w:lineRule="exact"/>
        <w:jc w:val="left"/>
        <w:rPr>
          <w:rFonts w:hint="default"/>
          <w:lang w:val="en-US" w:eastAsia="zh-CN"/>
        </w:rPr>
      </w:pPr>
      <w:r>
        <w:rPr>
          <w:rFonts w:hint="default" w:ascii="Times New Roman" w:hAnsi="Times New Roman" w:eastAsia="黑体" w:cs="Times New Roman"/>
          <w:sz w:val="32"/>
          <w:szCs w:val="32"/>
        </w:rPr>
        <w:t>第四部分 附件</w:t>
      </w:r>
      <w:r>
        <w:rPr>
          <w:rFonts w:hint="eastAsia" w:ascii="Times New Roman" w:hAnsi="Times New Roman" w:eastAsia="黑体" w:cs="Times New Roman"/>
          <w:sz w:val="32"/>
          <w:szCs w:val="32"/>
          <w:lang w:val="en-US" w:eastAsia="zh-CN"/>
        </w:rPr>
        <w:t xml:space="preserve">  </w:t>
      </w:r>
      <w:r>
        <w:rPr>
          <w:rFonts w:hint="eastAsia"/>
          <w:lang w:eastAsia="zh-CN"/>
        </w:rPr>
        <w:t>…………………………………………………</w:t>
      </w:r>
      <w:r>
        <w:rPr>
          <w:rFonts w:hint="default" w:ascii="Times New Roman" w:hAnsi="Times New Roman" w:cs="Times New Roman"/>
          <w:sz w:val="24"/>
          <w:szCs w:val="24"/>
          <w:lang w:val="en-US" w:eastAsia="zh-CN"/>
        </w:rPr>
        <w:t>20-59</w:t>
      </w:r>
    </w:p>
    <w:p w14:paraId="0F0A60EC">
      <w:pPr>
        <w:pStyle w:val="13"/>
        <w:adjustRightInd w:val="0"/>
        <w:snapToGrid w:val="0"/>
        <w:spacing w:before="0" w:line="560" w:lineRule="exact"/>
        <w:jc w:val="left"/>
        <w:rPr>
          <w:rFonts w:hint="default" w:ascii="Times New Roman" w:hAnsi="Times New Roman" w:eastAsia="黑体" w:cs="Times New Roman"/>
          <w:sz w:val="32"/>
          <w:szCs w:val="32"/>
          <w:lang w:val="en-US"/>
        </w:rPr>
      </w:pPr>
      <w:r>
        <w:rPr>
          <w:rFonts w:hint="default" w:ascii="Times New Roman" w:hAnsi="Times New Roman" w:eastAsia="黑体" w:cs="Times New Roman"/>
          <w:sz w:val="32"/>
          <w:szCs w:val="32"/>
        </w:rPr>
        <w:t>第五部分 附表</w:t>
      </w:r>
      <w:r>
        <w:rPr>
          <w:rFonts w:hint="eastAsia"/>
          <w:lang w:eastAsia="zh-CN"/>
        </w:rPr>
        <w:t>………………………………………………………</w:t>
      </w:r>
      <w:r>
        <w:rPr>
          <w:rFonts w:hint="default" w:ascii="Times New Roman" w:hAnsi="Times New Roman" w:cs="Times New Roman"/>
          <w:sz w:val="24"/>
          <w:szCs w:val="24"/>
          <w:lang w:val="en-US" w:eastAsia="zh-CN"/>
        </w:rPr>
        <w:t>60</w:t>
      </w:r>
    </w:p>
    <w:p w14:paraId="25B9FD90">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一、收入支出决算总表</w:t>
      </w:r>
    </w:p>
    <w:p w14:paraId="6D72D4AC">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二、收入决算表</w:t>
      </w:r>
    </w:p>
    <w:p w14:paraId="7004AF0A">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三、支出决算表</w:t>
      </w:r>
    </w:p>
    <w:p w14:paraId="694E3723">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四、财政拨款收入支出决算总表</w:t>
      </w:r>
    </w:p>
    <w:p w14:paraId="77CDBED6">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五、财政拨款支出决算明细表</w:t>
      </w:r>
    </w:p>
    <w:p w14:paraId="2DA8883A">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六、一般公共预算财政拨款支出决算表</w:t>
      </w:r>
    </w:p>
    <w:p w14:paraId="25B469D2">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七、一般公共预算财政拨款支出决算明细表</w:t>
      </w:r>
    </w:p>
    <w:p w14:paraId="3BD6C084">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八、一般公共预算财政拨款基本支出决算明细表</w:t>
      </w:r>
    </w:p>
    <w:p w14:paraId="524B9B3A">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九、一般公共预算财政拨款项目支出决算表</w:t>
      </w:r>
    </w:p>
    <w:p w14:paraId="7477C8A1">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十、政府性基金预算财政拨款收入支出决算表</w:t>
      </w:r>
    </w:p>
    <w:p w14:paraId="7EEFC5DB">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十一、国有资本经营预算财政拨款收入支出决算表</w:t>
      </w:r>
    </w:p>
    <w:p w14:paraId="70742367">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十二、国有资本经营预算财政拨款支出决算表</w:t>
      </w:r>
    </w:p>
    <w:p w14:paraId="3B3F2705">
      <w:pPr>
        <w:pStyle w:val="15"/>
        <w:adjustRightInd w:val="0"/>
        <w:snapToGrid w:val="0"/>
        <w:spacing w:line="560"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十三、财政拨款“三公”经费支出决算表</w:t>
      </w:r>
    </w:p>
    <w:p w14:paraId="1848713F">
      <w:pPr>
        <w:widowControl/>
        <w:spacing w:line="560" w:lineRule="exact"/>
        <w:jc w:val="left"/>
        <w:rPr>
          <w:rFonts w:hint="default" w:ascii="Times New Roman" w:hAnsi="Times New Roman" w:eastAsia="仿宋_GB2312" w:cs="Times New Roman"/>
          <w:bCs/>
          <w:kern w:val="44"/>
          <w:sz w:val="32"/>
          <w:szCs w:val="32"/>
        </w:rPr>
      </w:pPr>
      <w:bookmarkStart w:id="12" w:name="_Toc15377196"/>
      <w:bookmarkStart w:id="13" w:name="_Toc15396599"/>
      <w:r>
        <w:rPr>
          <w:rFonts w:hint="default" w:ascii="Times New Roman" w:hAnsi="Times New Roman" w:eastAsia="仿宋_GB2312" w:cs="Times New Roman"/>
          <w:b/>
          <w:sz w:val="32"/>
          <w:szCs w:val="32"/>
        </w:rPr>
        <w:br w:type="page"/>
      </w:r>
    </w:p>
    <w:p w14:paraId="7A0BB24A">
      <w:pPr>
        <w:pStyle w:val="3"/>
        <w:jc w:val="center"/>
        <w:rPr>
          <w:rStyle w:val="29"/>
          <w:rFonts w:hint="eastAsia" w:ascii="方正小标宋简体" w:hAnsi="方正小标宋简体" w:eastAsia="方正小标宋简体" w:cs="方正小标宋简体"/>
          <w:b/>
          <w:bCs w:val="0"/>
        </w:rPr>
      </w:pPr>
      <w:r>
        <w:rPr>
          <w:rFonts w:hint="eastAsia" w:ascii="方正小标宋简体" w:hAnsi="方正小标宋简体" w:eastAsia="方正小标宋简体" w:cs="方正小标宋简体"/>
          <w:b w:val="0"/>
        </w:rPr>
        <w:t xml:space="preserve">第一部分  </w:t>
      </w:r>
      <w:r>
        <w:rPr>
          <w:rStyle w:val="29"/>
          <w:rFonts w:hint="eastAsia" w:ascii="方正小标宋简体" w:hAnsi="方正小标宋简体" w:eastAsia="方正小标宋简体" w:cs="方正小标宋简体"/>
          <w:b w:val="0"/>
          <w:bCs w:val="0"/>
        </w:rPr>
        <w:t>部门概况</w:t>
      </w:r>
      <w:bookmarkEnd w:id="12"/>
      <w:bookmarkEnd w:id="13"/>
    </w:p>
    <w:p w14:paraId="6E8BE59E">
      <w:pPr>
        <w:widowControl/>
        <w:jc w:val="left"/>
        <w:rPr>
          <w:rFonts w:hint="default" w:ascii="Times New Roman" w:hAnsi="Times New Roman" w:eastAsia="黑体" w:cs="Times New Roman"/>
          <w:sz w:val="32"/>
          <w:szCs w:val="32"/>
        </w:rPr>
      </w:pPr>
    </w:p>
    <w:p w14:paraId="77367542">
      <w:pPr>
        <w:pStyle w:val="4"/>
        <w:pageBreakBefore w:val="0"/>
        <w:widowControl w:val="0"/>
        <w:numPr>
          <w:ilvl w:val="0"/>
          <w:numId w:val="1"/>
        </w:numPr>
        <w:kinsoku/>
        <w:wordWrap/>
        <w:overflowPunct/>
        <w:topLinePunct w:val="0"/>
        <w:autoSpaceDE/>
        <w:autoSpaceDN/>
        <w:bidi w:val="0"/>
        <w:snapToGrid/>
        <w:spacing w:before="0" w:after="0"/>
        <w:textAlignment w:val="auto"/>
        <w:rPr>
          <w:rFonts w:hint="default" w:ascii="Times New Roman" w:hAnsi="Times New Roman" w:eastAsia="黑体" w:cs="Times New Roman"/>
          <w:b w:val="0"/>
        </w:rPr>
      </w:pPr>
      <w:r>
        <w:rPr>
          <w:rFonts w:hint="default" w:ascii="Times New Roman" w:hAnsi="Times New Roman" w:eastAsia="黑体" w:cs="Times New Roman"/>
          <w:b w:val="0"/>
        </w:rPr>
        <w:t>部门职责</w:t>
      </w:r>
    </w:p>
    <w:p w14:paraId="562AF18C">
      <w:pPr>
        <w:keepNext w:val="0"/>
        <w:keepLines w:val="0"/>
        <w:pageBreakBefore w:val="0"/>
        <w:widowControl w:val="0"/>
        <w:kinsoku/>
        <w:wordWrap/>
        <w:overflowPunct/>
        <w:topLinePunct w:val="0"/>
        <w:autoSpaceDE/>
        <w:autoSpaceDN/>
        <w:bidi w:val="0"/>
        <w:adjustRightInd w:val="0"/>
        <w:snapToGrid/>
        <w:spacing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规划州直机关党的建设，分类指导州直机关党组织抓好党的政治、思想、组织、作风、纪律、制度建设和党员的发展、教育、管理工作。</w:t>
      </w:r>
    </w:p>
    <w:p w14:paraId="3CFFE682">
      <w:pPr>
        <w:keepNext w:val="0"/>
        <w:keepLines w:val="0"/>
        <w:pageBreakBefore w:val="0"/>
        <w:widowControl w:val="0"/>
        <w:kinsoku/>
        <w:wordWrap/>
        <w:overflowPunct/>
        <w:topLinePunct w:val="0"/>
        <w:autoSpaceDE/>
        <w:autoSpaceDN/>
        <w:bidi w:val="0"/>
        <w:adjustRightInd w:val="0"/>
        <w:snapToGrid/>
        <w:spacing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负责实施州直机关领导班子、领导干部的思想政治和作风建设；指导州直机关党组织加强党风廉政建设；指导州直机关各级党组织实施对党员特别是党员领导干部的监督。</w:t>
      </w:r>
    </w:p>
    <w:p w14:paraId="4881007C">
      <w:pPr>
        <w:keepNext w:val="0"/>
        <w:keepLines w:val="0"/>
        <w:pageBreakBefore w:val="0"/>
        <w:widowControl w:val="0"/>
        <w:kinsoku/>
        <w:wordWrap/>
        <w:overflowPunct/>
        <w:topLinePunct w:val="0"/>
        <w:autoSpaceDE/>
        <w:autoSpaceDN/>
        <w:bidi w:val="0"/>
        <w:adjustRightInd w:val="0"/>
        <w:snapToGrid/>
        <w:spacing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综合指导州直机关精神文明建设有关工作，承担州直机关思想、道德、文化建设工作。</w:t>
      </w:r>
    </w:p>
    <w:p w14:paraId="556BE227">
      <w:pPr>
        <w:keepNext w:val="0"/>
        <w:keepLines w:val="0"/>
        <w:pageBreakBefore w:val="0"/>
        <w:widowControl w:val="0"/>
        <w:kinsoku/>
        <w:wordWrap/>
        <w:overflowPunct/>
        <w:topLinePunct w:val="0"/>
        <w:autoSpaceDE/>
        <w:autoSpaceDN/>
        <w:bidi w:val="0"/>
        <w:adjustRightInd w:val="0"/>
        <w:snapToGrid/>
        <w:spacing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负责审批州直机关各部门机关党委、直属总支、支部和机关纪委的建立、领导班子的组成；负责州直机关各部门机关党委、直属总支、支部和纪委负责人的考核、任免和培训工作。</w:t>
      </w:r>
    </w:p>
    <w:p w14:paraId="63C3D13F">
      <w:pPr>
        <w:keepNext w:val="0"/>
        <w:keepLines w:val="0"/>
        <w:pageBreakBefore w:val="0"/>
        <w:widowControl w:val="0"/>
        <w:kinsoku/>
        <w:wordWrap/>
        <w:overflowPunct/>
        <w:topLinePunct w:val="0"/>
        <w:autoSpaceDE/>
        <w:autoSpaceDN/>
        <w:bidi w:val="0"/>
        <w:adjustRightInd w:val="0"/>
        <w:snapToGrid/>
        <w:spacing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领导州直机关党的纪律检查工作，按照干部管理权限依照党章和其他党内法规履行监督、执纪、问责职责，依照监察法和有关法律规定履行监督、调查、处置职责；审理州纪委监委派驻州级党和国家机关纪检监察组审查的党组织和党员违反党纪的案件、调查的公职人员职务违法案件。</w:t>
      </w:r>
    </w:p>
    <w:p w14:paraId="6AEDA10B">
      <w:pPr>
        <w:keepNext w:val="0"/>
        <w:keepLines w:val="0"/>
        <w:pageBreakBefore w:val="0"/>
        <w:widowControl w:val="0"/>
        <w:kinsoku/>
        <w:wordWrap/>
        <w:overflowPunct/>
        <w:topLinePunct w:val="0"/>
        <w:autoSpaceDE/>
        <w:autoSpaceDN/>
        <w:bidi w:val="0"/>
        <w:adjustRightInd w:val="0"/>
        <w:snapToGrid/>
        <w:spacing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指导州直机关党组织抓好党员和干部的理论学习、党的路线方针政策以及科学文化业务知识的学习；组织实施州直机关党员、党务干部和入党积极分子的教育培训工作。</w:t>
      </w:r>
    </w:p>
    <w:p w14:paraId="26D02D25">
      <w:pPr>
        <w:keepNext w:val="0"/>
        <w:keepLines w:val="0"/>
        <w:pageBreakBefore w:val="0"/>
        <w:widowControl w:val="0"/>
        <w:kinsoku/>
        <w:wordWrap/>
        <w:overflowPunct/>
        <w:topLinePunct w:val="0"/>
        <w:autoSpaceDE/>
        <w:autoSpaceDN/>
        <w:bidi w:val="0"/>
        <w:adjustRightInd w:val="0"/>
        <w:snapToGrid/>
        <w:spacing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指导州直机关各部门机关党组织配合行政领导做好思想政治工作、统战工作和社会稳定工作。</w:t>
      </w:r>
    </w:p>
    <w:p w14:paraId="50845C22">
      <w:pPr>
        <w:keepNext w:val="0"/>
        <w:keepLines w:val="0"/>
        <w:pageBreakBefore w:val="0"/>
        <w:widowControl w:val="0"/>
        <w:kinsoku/>
        <w:wordWrap/>
        <w:overflowPunct/>
        <w:topLinePunct w:val="0"/>
        <w:autoSpaceDE/>
        <w:autoSpaceDN/>
        <w:bidi w:val="0"/>
        <w:adjustRightInd w:val="0"/>
        <w:snapToGrid/>
        <w:spacing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领导州直机关工、青、妇等群众组织的工作。</w:t>
      </w:r>
    </w:p>
    <w:p w14:paraId="33D68D20">
      <w:pPr>
        <w:keepNext w:val="0"/>
        <w:keepLines w:val="0"/>
        <w:pageBreakBefore w:val="0"/>
        <w:widowControl w:val="0"/>
        <w:kinsoku/>
        <w:wordWrap/>
        <w:overflowPunct/>
        <w:topLinePunct w:val="0"/>
        <w:autoSpaceDE/>
        <w:autoSpaceDN/>
        <w:bidi w:val="0"/>
        <w:adjustRightInd w:val="0"/>
        <w:snapToGrid/>
        <w:spacing w:afterAutospacing="0"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9.负责州直部门（单位）驻村干部轮换和安排及帮扶工作队员管理服务等工作。</w:t>
      </w:r>
    </w:p>
    <w:p w14:paraId="6DFDCDA2">
      <w:pPr>
        <w:keepNext w:val="0"/>
        <w:keepLines w:val="0"/>
        <w:pageBreakBefore w:val="0"/>
        <w:widowControl w:val="0"/>
        <w:kinsoku/>
        <w:wordWrap/>
        <w:overflowPunct/>
        <w:topLinePunct w:val="0"/>
        <w:autoSpaceDE/>
        <w:autoSpaceDN/>
        <w:bidi w:val="0"/>
        <w:adjustRightInd w:val="0"/>
        <w:snapToGrid/>
        <w:spacing w:afterAutospacing="0" w:line="560" w:lineRule="exact"/>
        <w:ind w:firstLine="640" w:firstLineChars="200"/>
        <w:textAlignment w:val="auto"/>
        <w:rPr>
          <w:rFonts w:hint="default" w:ascii="Times New Roman" w:hAnsi="Times New Roman" w:cs="Times New Roman"/>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完成州委交办的其他事项。</w:t>
      </w:r>
    </w:p>
    <w:p w14:paraId="20E26EF0">
      <w:pPr>
        <w:pStyle w:val="4"/>
        <w:pageBreakBefore w:val="0"/>
        <w:kinsoku/>
        <w:wordWrap/>
        <w:overflowPunct/>
        <w:topLinePunct w:val="0"/>
        <w:autoSpaceDE/>
        <w:autoSpaceDN/>
        <w:bidi w:val="0"/>
        <w:spacing w:before="0" w:after="0"/>
        <w:textAlignment w:val="auto"/>
        <w:rPr>
          <w:rStyle w:val="30"/>
          <w:rFonts w:hint="default" w:ascii="Times New Roman" w:hAnsi="Times New Roman" w:eastAsia="黑体" w:cs="Times New Roman"/>
          <w:b w:val="0"/>
          <w:bCs w:val="0"/>
        </w:rPr>
      </w:pPr>
      <w:bookmarkStart w:id="14" w:name="_Toc15377200"/>
      <w:bookmarkStart w:id="15" w:name="_Toc15396601"/>
      <w:r>
        <w:rPr>
          <w:rFonts w:hint="default" w:ascii="Times New Roman" w:hAnsi="Times New Roman" w:eastAsia="黑体" w:cs="Times New Roman"/>
          <w:b w:val="0"/>
        </w:rPr>
        <w:t>二、机</w:t>
      </w:r>
      <w:r>
        <w:rPr>
          <w:rStyle w:val="30"/>
          <w:rFonts w:hint="default" w:ascii="Times New Roman" w:hAnsi="Times New Roman" w:eastAsia="黑体" w:cs="Times New Roman"/>
          <w:b w:val="0"/>
          <w:bCs w:val="0"/>
        </w:rPr>
        <w:t>构设置</w:t>
      </w:r>
      <w:bookmarkEnd w:id="14"/>
      <w:bookmarkEnd w:id="15"/>
    </w:p>
    <w:p w14:paraId="5512BF5A">
      <w:pPr>
        <w:pStyle w:val="4"/>
        <w:pageBreakBefore w:val="0"/>
        <w:kinsoku/>
        <w:wordWrap/>
        <w:overflowPunct/>
        <w:topLinePunct w:val="0"/>
        <w:autoSpaceDE/>
        <w:autoSpaceDN/>
        <w:bidi w:val="0"/>
        <w:spacing w:before="0" w:after="0"/>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中共阿坝州直属机关工作委员会</w:t>
      </w:r>
      <w:r>
        <w:rPr>
          <w:rFonts w:hint="default" w:ascii="Times New Roman" w:hAnsi="Times New Roman" w:eastAsia="仿宋_GB2312" w:cs="Times New Roman"/>
          <w:b w:val="0"/>
          <w:bCs w:val="0"/>
          <w:sz w:val="32"/>
          <w:szCs w:val="32"/>
        </w:rPr>
        <w:t>下属二级预算单位</w:t>
      </w:r>
      <w:r>
        <w:rPr>
          <w:rFonts w:hint="default" w:ascii="Times New Roman" w:hAnsi="Times New Roman" w:eastAsia="仿宋_GB2312" w:cs="Times New Roman"/>
          <w:b w:val="0"/>
          <w:bCs w:val="0"/>
          <w:sz w:val="32"/>
          <w:szCs w:val="32"/>
          <w:lang w:val="en-US" w:eastAsia="zh-CN"/>
        </w:rPr>
        <w:t>2</w:t>
      </w:r>
      <w:r>
        <w:rPr>
          <w:rFonts w:hint="default" w:ascii="Times New Roman" w:hAnsi="Times New Roman" w:eastAsia="仿宋_GB2312" w:cs="Times New Roman"/>
          <w:b w:val="0"/>
          <w:bCs w:val="0"/>
          <w:sz w:val="32"/>
          <w:szCs w:val="32"/>
        </w:rPr>
        <w:t>个，其中行政单位</w:t>
      </w:r>
      <w:r>
        <w:rPr>
          <w:rFonts w:hint="default"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rPr>
        <w:t>个，其他事业单位</w:t>
      </w:r>
      <w:r>
        <w:rPr>
          <w:rFonts w:hint="default"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rPr>
        <w:t>个。</w:t>
      </w:r>
    </w:p>
    <w:p w14:paraId="67060DE8">
      <w:pPr>
        <w:pStyle w:val="6"/>
        <w:pageBreakBefore w:val="0"/>
        <w:kinsoku/>
        <w:wordWrap/>
        <w:overflowPunct/>
        <w:topLinePunct w:val="0"/>
        <w:autoSpaceDE/>
        <w:autoSpaceDN/>
        <w:bidi w:val="0"/>
        <w:adjustRightInd w:val="0"/>
        <w:snapToGrid w:val="0"/>
        <w:spacing w:beforeLines="0" w:line="600" w:lineRule="exact"/>
        <w:ind w:firstLine="672" w:firstLineChars="210"/>
        <w:textAlignment w:val="auto"/>
        <w:rPr>
          <w:rFonts w:hint="default" w:ascii="Times New Roman" w:hAnsi="Times New Roman" w:cs="Times New Roman"/>
          <w:sz w:val="32"/>
          <w:szCs w:val="32"/>
        </w:rPr>
      </w:pPr>
      <w:r>
        <w:rPr>
          <w:rFonts w:hint="default" w:ascii="Times New Roman" w:hAnsi="Times New Roman" w:cs="Times New Roman"/>
          <w:sz w:val="32"/>
          <w:szCs w:val="32"/>
        </w:rPr>
        <w:t>纳入</w:t>
      </w:r>
      <w:r>
        <w:rPr>
          <w:rFonts w:hint="default" w:ascii="Times New Roman" w:hAnsi="Times New Roman" w:cs="Times New Roman"/>
          <w:sz w:val="32"/>
          <w:szCs w:val="32"/>
          <w:lang w:val="en-US" w:eastAsia="zh-CN"/>
        </w:rPr>
        <w:t>中共阿坝州直属机关工作委员会</w:t>
      </w:r>
      <w:r>
        <w:rPr>
          <w:rFonts w:hint="default" w:ascii="Times New Roman" w:hAnsi="Times New Roman" w:cs="Times New Roman"/>
          <w:sz w:val="32"/>
          <w:szCs w:val="32"/>
        </w:rPr>
        <w:t>2024年度部门决算编制范围的二级预算单位包括：</w:t>
      </w:r>
    </w:p>
    <w:p w14:paraId="0993466C">
      <w:pPr>
        <w:pStyle w:val="6"/>
        <w:pageBreakBefore w:val="0"/>
        <w:numPr>
          <w:ilvl w:val="0"/>
          <w:numId w:val="0"/>
        </w:numPr>
        <w:kinsoku/>
        <w:wordWrap/>
        <w:overflowPunct/>
        <w:topLinePunct w:val="0"/>
        <w:autoSpaceDE/>
        <w:autoSpaceDN/>
        <w:bidi w:val="0"/>
        <w:adjustRightInd w:val="0"/>
        <w:snapToGrid w:val="0"/>
        <w:spacing w:beforeLines="0" w:line="600" w:lineRule="exact"/>
        <w:ind w:left="672" w:leftChars="0"/>
        <w:textAlignment w:val="auto"/>
        <w:outlineLvl w:val="2"/>
        <w:rPr>
          <w:rFonts w:hint="default" w:ascii="Times New Roman" w:hAnsi="Times New Roman" w:cs="Times New Roman"/>
          <w:sz w:val="32"/>
          <w:szCs w:val="32"/>
        </w:rPr>
      </w:pPr>
      <w:bookmarkStart w:id="16" w:name="_Toc15377433"/>
      <w:bookmarkStart w:id="17" w:name="_Toc15306276"/>
      <w:bookmarkStart w:id="18" w:name="_Toc15378449"/>
      <w:bookmarkStart w:id="19" w:name="_Toc15377202"/>
      <w:r>
        <w:rPr>
          <w:rFonts w:hint="default" w:ascii="Times New Roman" w:hAnsi="Times New Roman" w:cs="Times New Roman"/>
          <w:sz w:val="32"/>
          <w:szCs w:val="32"/>
          <w:lang w:val="en-US" w:eastAsia="zh-CN"/>
        </w:rPr>
        <w:t>1.中共阿坝州直属机关工作委员会</w:t>
      </w:r>
      <w:bookmarkEnd w:id="16"/>
      <w:bookmarkEnd w:id="17"/>
      <w:bookmarkEnd w:id="18"/>
      <w:bookmarkEnd w:id="19"/>
    </w:p>
    <w:p w14:paraId="7A8DE7FB">
      <w:pPr>
        <w:keepNext w:val="0"/>
        <w:keepLines w:val="0"/>
        <w:pageBreakBefore w:val="0"/>
        <w:widowControl w:val="0"/>
        <w:kinsoku/>
        <w:wordWrap/>
        <w:overflowPunct/>
        <w:topLinePunct w:val="0"/>
        <w:autoSpaceDE/>
        <w:autoSpaceDN/>
        <w:bidi w:val="0"/>
        <w:spacing w:afterAutospacing="0"/>
        <w:ind w:firstLine="64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仿宋" w:cs="Times New Roman"/>
          <w:sz w:val="32"/>
          <w:szCs w:val="32"/>
          <w:lang w:val="en-US" w:eastAsia="zh-CN"/>
        </w:rPr>
        <w:t>2.阿坝州直属机关基层帮扶工作</w:t>
      </w:r>
      <w:r>
        <w:rPr>
          <w:rFonts w:hint="eastAsia" w:eastAsia="仿宋" w:cs="Times New Roman"/>
          <w:sz w:val="32"/>
          <w:szCs w:val="32"/>
          <w:lang w:val="en-US" w:eastAsia="zh-CN"/>
        </w:rPr>
        <w:t>服务</w:t>
      </w:r>
      <w:r>
        <w:rPr>
          <w:rFonts w:hint="default" w:ascii="Times New Roman" w:hAnsi="Times New Roman" w:eastAsia="仿宋" w:cs="Times New Roman"/>
          <w:sz w:val="32"/>
          <w:szCs w:val="32"/>
          <w:lang w:val="en-US" w:eastAsia="zh-CN"/>
        </w:rPr>
        <w:t>中心</w:t>
      </w:r>
    </w:p>
    <w:p w14:paraId="7BDEBEC7">
      <w:pPr>
        <w:pStyle w:val="6"/>
        <w:pageBreakBefore w:val="0"/>
        <w:kinsoku/>
        <w:wordWrap/>
        <w:overflowPunct/>
        <w:topLinePunct w:val="0"/>
        <w:autoSpaceDE/>
        <w:autoSpaceDN/>
        <w:bidi w:val="0"/>
        <w:adjustRightInd w:val="0"/>
        <w:snapToGrid w:val="0"/>
        <w:spacing w:beforeLines="0" w:line="600" w:lineRule="exact"/>
        <w:textAlignment w:val="auto"/>
        <w:rPr>
          <w:rFonts w:hint="default" w:ascii="Times New Roman" w:hAnsi="Times New Roman" w:cs="Times New Roman"/>
          <w:sz w:val="32"/>
          <w:szCs w:val="32"/>
        </w:rPr>
      </w:pPr>
    </w:p>
    <w:p w14:paraId="295113B1">
      <w:pPr>
        <w:pageBreakBefore w:val="0"/>
        <w:widowControl/>
        <w:kinsoku/>
        <w:wordWrap/>
        <w:overflowPunct/>
        <w:topLinePunct w:val="0"/>
        <w:autoSpaceDE/>
        <w:autoSpaceDN/>
        <w:bidi w:val="0"/>
        <w:jc w:val="left"/>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sz w:val="32"/>
          <w:szCs w:val="32"/>
        </w:rPr>
        <w:br w:type="page"/>
      </w:r>
    </w:p>
    <w:p w14:paraId="6B57631A">
      <w:pPr>
        <w:pStyle w:val="3"/>
        <w:jc w:val="center"/>
        <w:rPr>
          <w:rFonts w:hint="eastAsia" w:ascii="方正小标宋简体" w:hAnsi="方正小标宋简体" w:eastAsia="方正小标宋简体" w:cs="方正小标宋简体"/>
          <w:b w:val="0"/>
        </w:rPr>
      </w:pPr>
      <w:bookmarkStart w:id="20" w:name="_Toc15396602"/>
      <w:bookmarkStart w:id="21" w:name="_Toc15377204"/>
      <w:r>
        <w:rPr>
          <w:rFonts w:hint="eastAsia" w:ascii="方正小标宋简体" w:hAnsi="方正小标宋简体" w:eastAsia="方正小标宋简体" w:cs="方正小标宋简体"/>
          <w:b w:val="0"/>
        </w:rPr>
        <w:t>第二部分  2024年度部门决算情况说明</w:t>
      </w:r>
      <w:bookmarkEnd w:id="20"/>
      <w:bookmarkEnd w:id="21"/>
    </w:p>
    <w:p w14:paraId="61C442B7">
      <w:pPr>
        <w:pStyle w:val="28"/>
        <w:spacing w:line="600" w:lineRule="exact"/>
        <w:ind w:firstLine="640"/>
        <w:outlineLvl w:val="1"/>
        <w:rPr>
          <w:rStyle w:val="30"/>
          <w:rFonts w:hint="default" w:ascii="Times New Roman" w:hAnsi="Times New Roman" w:eastAsia="黑体" w:cs="Times New Roman"/>
          <w:b w:val="0"/>
        </w:rPr>
      </w:pPr>
      <w:bookmarkStart w:id="22" w:name="_Toc15377205"/>
      <w:bookmarkStart w:id="23" w:name="_Toc15396603"/>
      <w:r>
        <w:rPr>
          <w:rFonts w:hint="default" w:ascii="Times New Roman" w:hAnsi="Times New Roman" w:eastAsia="黑体" w:cs="Times New Roman"/>
          <w:sz w:val="32"/>
          <w:szCs w:val="32"/>
        </w:rPr>
        <w:t>一、收</w:t>
      </w:r>
      <w:r>
        <w:rPr>
          <w:rStyle w:val="30"/>
          <w:rFonts w:hint="default" w:ascii="Times New Roman" w:hAnsi="Times New Roman" w:eastAsia="黑体" w:cs="Times New Roman"/>
          <w:b w:val="0"/>
        </w:rPr>
        <w:t>入支出决算总体情况说明</w:t>
      </w:r>
      <w:bookmarkEnd w:id="22"/>
      <w:bookmarkEnd w:id="23"/>
    </w:p>
    <w:p w14:paraId="0120E3A1">
      <w:pPr>
        <w:spacing w:line="60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年度收、支总计</w:t>
      </w:r>
      <w:r>
        <w:rPr>
          <w:rFonts w:hint="default" w:ascii="Times New Roman" w:hAnsi="Times New Roman" w:eastAsia="仿宋_GB2312" w:cs="Times New Roman"/>
          <w:color w:val="auto"/>
          <w:sz w:val="32"/>
          <w:szCs w:val="32"/>
          <w:highlight w:val="none"/>
          <w:lang w:eastAsia="zh-CN"/>
        </w:rPr>
        <w:t>均为</w:t>
      </w:r>
      <w:r>
        <w:rPr>
          <w:rFonts w:hint="default" w:ascii="Times New Roman" w:hAnsi="Times New Roman" w:eastAsia="仿宋_GB2312" w:cs="Times New Roman"/>
          <w:color w:val="auto"/>
          <w:sz w:val="32"/>
          <w:szCs w:val="32"/>
          <w:highlight w:val="none"/>
          <w:lang w:val="en-US" w:eastAsia="zh-CN"/>
        </w:rPr>
        <w:t>669.35</w:t>
      </w:r>
      <w:r>
        <w:rPr>
          <w:rFonts w:hint="default" w:ascii="Times New Roman" w:hAnsi="Times New Roman" w:eastAsia="仿宋_GB2312" w:cs="Times New Roman"/>
          <w:color w:val="auto"/>
          <w:sz w:val="32"/>
          <w:szCs w:val="32"/>
          <w:highlight w:val="none"/>
        </w:rPr>
        <w:t>万元。与</w:t>
      </w:r>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度</w:t>
      </w:r>
      <w:r>
        <w:rPr>
          <w:rFonts w:hint="default" w:ascii="Times New Roman" w:hAnsi="Times New Roman" w:eastAsia="仿宋_GB2312" w:cs="Times New Roman"/>
          <w:color w:val="auto"/>
          <w:sz w:val="32"/>
          <w:szCs w:val="32"/>
          <w:highlight w:val="none"/>
        </w:rPr>
        <w:t>相比，收、支总计</w:t>
      </w:r>
      <w:r>
        <w:rPr>
          <w:rFonts w:hint="default" w:ascii="Times New Roman" w:hAnsi="Times New Roman" w:eastAsia="仿宋_GB2312" w:cs="Times New Roman"/>
          <w:color w:val="auto"/>
          <w:sz w:val="32"/>
          <w:szCs w:val="32"/>
          <w:highlight w:val="none"/>
          <w:lang w:val="en-US" w:eastAsia="zh-CN"/>
        </w:rPr>
        <w:t>各</w:t>
      </w:r>
      <w:r>
        <w:rPr>
          <w:rFonts w:hint="default" w:ascii="Times New Roman" w:hAnsi="Times New Roman" w:eastAsia="仿宋_GB2312" w:cs="Times New Roman"/>
          <w:color w:val="auto"/>
          <w:sz w:val="32"/>
          <w:szCs w:val="32"/>
          <w:highlight w:val="none"/>
        </w:rPr>
        <w:t>减少</w:t>
      </w:r>
      <w:r>
        <w:rPr>
          <w:rFonts w:hint="default" w:ascii="Times New Roman" w:hAnsi="Times New Roman" w:eastAsia="仿宋_GB2312" w:cs="Times New Roman"/>
          <w:color w:val="auto"/>
          <w:sz w:val="32"/>
          <w:szCs w:val="32"/>
          <w:highlight w:val="none"/>
          <w:lang w:val="en-US" w:eastAsia="zh-CN"/>
        </w:rPr>
        <w:t>40.24</w:t>
      </w:r>
      <w:r>
        <w:rPr>
          <w:rFonts w:hint="default" w:ascii="Times New Roman" w:hAnsi="Times New Roman" w:eastAsia="仿宋_GB2312" w:cs="Times New Roman"/>
          <w:color w:val="auto"/>
          <w:sz w:val="32"/>
          <w:szCs w:val="32"/>
          <w:highlight w:val="none"/>
        </w:rPr>
        <w:t>万元，下降</w:t>
      </w:r>
      <w:r>
        <w:rPr>
          <w:rFonts w:hint="default" w:ascii="Times New Roman" w:hAnsi="Times New Roman" w:eastAsia="仿宋_GB2312" w:cs="Times New Roman"/>
          <w:color w:val="auto"/>
          <w:sz w:val="32"/>
          <w:szCs w:val="32"/>
          <w:highlight w:val="none"/>
          <w:lang w:val="en-US" w:eastAsia="zh-CN"/>
        </w:rPr>
        <w:t>5.6</w:t>
      </w:r>
      <w:r>
        <w:rPr>
          <w:rFonts w:hint="default" w:ascii="Times New Roman" w:hAnsi="Times New Roman" w:eastAsia="仿宋_GB2312" w:cs="Times New Roman"/>
          <w:color w:val="auto"/>
          <w:sz w:val="32"/>
          <w:szCs w:val="32"/>
          <w:highlight w:val="none"/>
        </w:rPr>
        <w:t>%。主要变动原因</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一是阶段性工作任务结束，2024年无相关预算项目；二是严格贯彻落实中央八项规定精神，厉行节约，大力压缩一般性支出。</w:t>
      </w:r>
    </w:p>
    <w:p w14:paraId="45258A6F">
      <w:pPr>
        <w:pStyle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object>
          <v:shape id="_x0000_i1025" o:spt="75" type="#_x0000_t75" style="height:242.4pt;width:309.05pt;" o:ole="t" filled="f" o:preferrelative="t" stroked="f" coordsize="21600,21600">
            <v:path/>
            <v:fill on="f" focussize="0,0"/>
            <v:stroke on="f"/>
            <v:imagedata r:id="rId11" o:title=""/>
            <o:lock v:ext="edit" aspectratio="t"/>
            <w10:wrap type="none"/>
            <w10:anchorlock/>
          </v:shape>
          <o:OLEObject Type="Embed" ProgID="Excel.Chart.8" ShapeID="_x0000_i1025" DrawAspect="Content" ObjectID="_1468075725" r:id="rId10">
            <o:LockedField>false</o:LockedField>
          </o:OLEObject>
        </w:object>
      </w:r>
    </w:p>
    <w:p w14:paraId="47EEFEA6">
      <w:pPr>
        <w:pStyle w:val="2"/>
        <w:ind w:left="0" w:leftChars="0" w:firstLine="0" w:firstLineChars="0"/>
        <w:rPr>
          <w:rFonts w:hint="default" w:ascii="Times New Roman" w:hAnsi="Times New Roman" w:cs="Times New Roman"/>
          <w:lang w:val="en-US" w:eastAsia="zh-CN"/>
        </w:rPr>
      </w:pPr>
    </w:p>
    <w:p w14:paraId="4AFE41E8">
      <w:pPr>
        <w:ind w:firstLine="1600" w:firstLineChars="5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（图1：收入、支出决算总计变动情况图）</w:t>
      </w:r>
    </w:p>
    <w:p w14:paraId="07592078">
      <w:pPr>
        <w:pStyle w:val="28"/>
        <w:spacing w:line="600" w:lineRule="exact"/>
        <w:ind w:firstLine="640"/>
        <w:outlineLvl w:val="1"/>
        <w:rPr>
          <w:rFonts w:hint="default" w:ascii="Times New Roman" w:hAnsi="Times New Roman" w:eastAsia="黑体" w:cs="Times New Roman"/>
          <w:sz w:val="32"/>
          <w:szCs w:val="32"/>
        </w:rPr>
      </w:pPr>
      <w:bookmarkStart w:id="24" w:name="_Toc15377206"/>
      <w:bookmarkStart w:id="25" w:name="_Toc15396604"/>
      <w:r>
        <w:rPr>
          <w:rFonts w:hint="default" w:ascii="Times New Roman" w:hAnsi="Times New Roman" w:eastAsia="黑体" w:cs="Times New Roman"/>
          <w:sz w:val="32"/>
          <w:szCs w:val="32"/>
        </w:rPr>
        <w:t>二、收入决算情况说明</w:t>
      </w:r>
      <w:bookmarkEnd w:id="24"/>
      <w:bookmarkEnd w:id="25"/>
    </w:p>
    <w:p w14:paraId="6C5641B5">
      <w:pPr>
        <w:spacing w:line="600" w:lineRule="exact"/>
        <w:ind w:firstLine="640" w:firstLineChars="200"/>
        <w:outlineLvl w:val="1"/>
        <w:rPr>
          <w:rFonts w:hint="default" w:ascii="Times New Roman" w:hAnsi="Times New Roman" w:eastAsia="仿宋" w:cs="Times New Roman"/>
          <w:color w:val="auto"/>
          <w:sz w:val="32"/>
          <w:szCs w:val="32"/>
          <w:highlight w:val="none"/>
        </w:rPr>
      </w:pPr>
      <w:r>
        <w:rPr>
          <w:rFonts w:hint="default" w:ascii="Times New Roman" w:hAnsi="Times New Roman" w:eastAsia="仿宋_GB2312" w:cs="Times New Roman"/>
          <w:sz w:val="32"/>
          <w:szCs w:val="32"/>
          <w:lang w:eastAsia="zh-CN"/>
        </w:rPr>
        <w:t>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eastAsia="zh-CN"/>
        </w:rPr>
        <w:t>度</w:t>
      </w:r>
      <w:r>
        <w:rPr>
          <w:rFonts w:hint="default" w:ascii="Times New Roman" w:hAnsi="Times New Roman" w:eastAsia="仿宋_GB2312" w:cs="Times New Roman"/>
          <w:sz w:val="32"/>
          <w:szCs w:val="32"/>
        </w:rPr>
        <w:t>本年收入合计</w:t>
      </w:r>
      <w:r>
        <w:rPr>
          <w:rFonts w:hint="default" w:ascii="Times New Roman" w:hAnsi="Times New Roman" w:eastAsia="仿宋_GB2312" w:cs="Times New Roman"/>
          <w:sz w:val="32"/>
          <w:szCs w:val="32"/>
          <w:lang w:val="en-US" w:eastAsia="zh-CN"/>
        </w:rPr>
        <w:t>669.35</w:t>
      </w:r>
      <w:r>
        <w:rPr>
          <w:rFonts w:hint="default" w:ascii="Times New Roman" w:hAnsi="Times New Roman" w:eastAsia="仿宋_GB2312" w:cs="Times New Roman"/>
          <w:sz w:val="32"/>
          <w:szCs w:val="32"/>
        </w:rPr>
        <w:t>万元，其中：一般公共预算财政拨款收入</w:t>
      </w:r>
      <w:r>
        <w:rPr>
          <w:rFonts w:hint="default" w:ascii="Times New Roman" w:hAnsi="Times New Roman" w:eastAsia="仿宋_GB2312" w:cs="Times New Roman"/>
          <w:sz w:val="32"/>
          <w:szCs w:val="32"/>
          <w:lang w:val="en-US" w:eastAsia="zh-CN"/>
        </w:rPr>
        <w:t>669.35</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%；政府性基金预算财政拨款收入</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sz w:val="32"/>
          <w:szCs w:val="32"/>
          <w:lang w:eastAsia="zh-CN"/>
        </w:rPr>
        <w:t>国有资本经营预算财政拨款收入</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万元；上级补助收入</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万元；事业收入</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万元；经营收入</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万元；附属单位上缴收入</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万元；其他收入</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w:t>
      </w:r>
    </w:p>
    <w:p w14:paraId="07E575B5">
      <w:pPr>
        <w:pStyle w:val="28"/>
        <w:spacing w:line="600" w:lineRule="exact"/>
        <w:ind w:firstLine="640"/>
        <w:jc w:val="left"/>
        <w:outlineLvl w:val="1"/>
        <w:rPr>
          <w:rFonts w:hint="default" w:ascii="Times New Roman" w:hAnsi="Times New Roman" w:eastAsia="仿宋_GB2312" w:cs="Times New Roman"/>
          <w:b/>
          <w:bCs/>
          <w:sz w:val="32"/>
          <w:szCs w:val="32"/>
        </w:rPr>
      </w:pPr>
      <w:r>
        <w:rPr>
          <w:rFonts w:hint="default" w:ascii="Times New Roman" w:hAnsi="Times New Roman" w:eastAsia="仿宋" w:cs="Times New Roman"/>
          <w:color w:val="auto"/>
          <w:sz w:val="32"/>
          <w:szCs w:val="32"/>
          <w:highlight w:val="none"/>
          <w:lang w:eastAsia="zh-CN"/>
        </w:rPr>
        <w:pict>
          <v:shape id="_x0000_s1026" o:spid="_x0000_s1026" o:spt="75" type="#_x0000_t75" style="position:absolute;left:0pt;margin-left:82.55pt;margin-top:9.65pt;height:242.4pt;width:259.2pt;mso-wrap-distance-bottom:0pt;mso-wrap-distance-left:9pt;mso-wrap-distance-right:9pt;mso-wrap-distance-top:0pt;z-index:251659264;mso-width-relative:page;mso-height-relative:page;" o:ole="t" filled="f" o:preferrelative="t" stroked="f" coordsize="21600,21600">
            <v:path/>
            <v:fill on="f" focussize="0,0"/>
            <v:stroke on="f"/>
            <v:imagedata r:id="rId13" o:title=""/>
            <o:lock v:ext="edit" aspectratio="t"/>
            <w10:wrap type="square"/>
          </v:shape>
          <o:OLEObject Type="Embed" ProgID="Excel.Chart.8" ShapeID="_x0000_s1026" DrawAspect="Content" ObjectID="_1468075726" r:id="rId12">
            <o:LockedField>false</o:LockedField>
          </o:OLEObject>
        </w:pict>
      </w:r>
    </w:p>
    <w:p w14:paraId="4298D661">
      <w:pPr>
        <w:pStyle w:val="28"/>
        <w:spacing w:line="600" w:lineRule="exact"/>
        <w:ind w:firstLine="640"/>
        <w:jc w:val="left"/>
        <w:outlineLvl w:val="1"/>
        <w:rPr>
          <w:rFonts w:hint="default" w:ascii="Times New Roman" w:hAnsi="Times New Roman" w:eastAsia="仿宋_GB2312" w:cs="Times New Roman"/>
          <w:b/>
          <w:bCs/>
          <w:sz w:val="32"/>
          <w:szCs w:val="32"/>
        </w:rPr>
      </w:pPr>
    </w:p>
    <w:p w14:paraId="69BD713F">
      <w:pPr>
        <w:pStyle w:val="28"/>
        <w:spacing w:line="600" w:lineRule="exact"/>
        <w:ind w:firstLine="640"/>
        <w:jc w:val="left"/>
        <w:outlineLvl w:val="1"/>
        <w:rPr>
          <w:rFonts w:hint="default" w:ascii="Times New Roman" w:hAnsi="Times New Roman" w:eastAsia="仿宋_GB2312" w:cs="Times New Roman"/>
          <w:b/>
          <w:bCs/>
          <w:sz w:val="32"/>
          <w:szCs w:val="32"/>
        </w:rPr>
      </w:pPr>
    </w:p>
    <w:p w14:paraId="00EB30EA">
      <w:pPr>
        <w:pStyle w:val="28"/>
        <w:spacing w:line="600" w:lineRule="exact"/>
        <w:ind w:firstLine="640"/>
        <w:jc w:val="left"/>
        <w:outlineLvl w:val="1"/>
        <w:rPr>
          <w:rFonts w:hint="default" w:ascii="Times New Roman" w:hAnsi="Times New Roman" w:eastAsia="仿宋_GB2312" w:cs="Times New Roman"/>
          <w:b/>
          <w:bCs/>
          <w:sz w:val="32"/>
          <w:szCs w:val="32"/>
        </w:rPr>
      </w:pPr>
    </w:p>
    <w:p w14:paraId="49A92AC3">
      <w:pPr>
        <w:pStyle w:val="28"/>
        <w:spacing w:line="600" w:lineRule="exact"/>
        <w:ind w:firstLine="640"/>
        <w:jc w:val="left"/>
        <w:outlineLvl w:val="1"/>
        <w:rPr>
          <w:rFonts w:hint="default" w:ascii="Times New Roman" w:hAnsi="Times New Roman" w:eastAsia="仿宋_GB2312" w:cs="Times New Roman"/>
          <w:b/>
          <w:bCs/>
          <w:sz w:val="32"/>
          <w:szCs w:val="32"/>
        </w:rPr>
      </w:pPr>
    </w:p>
    <w:p w14:paraId="61E98D28">
      <w:pPr>
        <w:pStyle w:val="28"/>
        <w:spacing w:line="600" w:lineRule="exact"/>
        <w:ind w:firstLine="640"/>
        <w:jc w:val="left"/>
        <w:outlineLvl w:val="1"/>
        <w:rPr>
          <w:rFonts w:hint="default" w:ascii="Times New Roman" w:hAnsi="Times New Roman" w:eastAsia="仿宋_GB2312" w:cs="Times New Roman"/>
          <w:b/>
          <w:bCs/>
          <w:sz w:val="32"/>
          <w:szCs w:val="32"/>
        </w:rPr>
      </w:pPr>
    </w:p>
    <w:p w14:paraId="15CFD4BD">
      <w:pPr>
        <w:pStyle w:val="28"/>
        <w:spacing w:line="600" w:lineRule="exact"/>
        <w:ind w:firstLine="640"/>
        <w:jc w:val="left"/>
        <w:outlineLvl w:val="1"/>
        <w:rPr>
          <w:rFonts w:hint="default" w:ascii="Times New Roman" w:hAnsi="Times New Roman" w:eastAsia="仿宋_GB2312" w:cs="Times New Roman"/>
          <w:b/>
          <w:bCs/>
          <w:sz w:val="32"/>
          <w:szCs w:val="32"/>
        </w:rPr>
      </w:pPr>
    </w:p>
    <w:p w14:paraId="05005E22">
      <w:pPr>
        <w:pStyle w:val="28"/>
        <w:spacing w:line="600" w:lineRule="exact"/>
        <w:outlineLvl w:val="1"/>
        <w:rPr>
          <w:rFonts w:hint="default" w:ascii="Times New Roman" w:hAnsi="Times New Roman" w:eastAsia="仿宋_GB2312" w:cs="Times New Roman"/>
          <w:sz w:val="32"/>
          <w:szCs w:val="32"/>
        </w:rPr>
      </w:pPr>
    </w:p>
    <w:p w14:paraId="098BFE39">
      <w:pPr>
        <w:pStyle w:val="28"/>
        <w:spacing w:line="600" w:lineRule="exact"/>
        <w:outlineLvl w:val="1"/>
        <w:rPr>
          <w:rFonts w:hint="default" w:ascii="Times New Roman" w:hAnsi="Times New Roman" w:eastAsia="仿宋_GB2312" w:cs="Times New Roman"/>
          <w:sz w:val="32"/>
          <w:szCs w:val="32"/>
        </w:rPr>
      </w:pPr>
    </w:p>
    <w:p w14:paraId="54064BA8">
      <w:pPr>
        <w:pStyle w:val="28"/>
        <w:spacing w:line="600" w:lineRule="exact"/>
        <w:ind w:firstLine="1920" w:firstLineChars="60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（图2：收入决算结构图）</w:t>
      </w:r>
      <w:bookmarkStart w:id="26" w:name="_Toc15377207"/>
      <w:bookmarkStart w:id="27" w:name="_Toc15396605"/>
    </w:p>
    <w:p w14:paraId="4FE8B44B">
      <w:pPr>
        <w:pStyle w:val="28"/>
        <w:spacing w:line="600" w:lineRule="exact"/>
        <w:ind w:firstLine="640"/>
        <w:outlineLvl w:val="1"/>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三、支</w:t>
      </w:r>
      <w:r>
        <w:rPr>
          <w:rStyle w:val="30"/>
          <w:rFonts w:hint="default" w:ascii="Times New Roman" w:hAnsi="Times New Roman" w:eastAsia="黑体" w:cs="Times New Roman"/>
          <w:b w:val="0"/>
        </w:rPr>
        <w:t>出决算情况说明</w:t>
      </w:r>
      <w:bookmarkEnd w:id="26"/>
      <w:bookmarkEnd w:id="27"/>
    </w:p>
    <w:p w14:paraId="77E8FD95">
      <w:pPr>
        <w:spacing w:line="600" w:lineRule="exact"/>
        <w:ind w:firstLine="420" w:firstLineChars="200"/>
        <w:outlineLvl w:val="1"/>
        <w:rPr>
          <w:rFonts w:hint="default" w:ascii="Times New Roman" w:hAnsi="Times New Roman" w:eastAsia="仿宋_GB2312" w:cs="Times New Roman"/>
          <w:color w:val="auto"/>
          <w:sz w:val="32"/>
          <w:szCs w:val="32"/>
          <w:highlight w:val="none"/>
        </w:rPr>
      </w:pPr>
      <w:r>
        <w:rPr>
          <w:rFonts w:hint="default" w:ascii="Times New Roman" w:hAnsi="Times New Roman" w:eastAsia="仿宋" w:cs="Times New Roman"/>
          <w:lang w:eastAsia="zh-CN"/>
        </w:rPr>
        <w:pict>
          <v:shape id="_x0000_s1027" o:spid="_x0000_s1027" o:spt="75" type="#_x0000_t75" style="position:absolute;left:0pt;margin-left:92.2pt;margin-top:113.8pt;height:208.1pt;width:263.1pt;mso-wrap-distance-bottom:0pt;mso-wrap-distance-left:9pt;mso-wrap-distance-right:9pt;mso-wrap-distance-top:0pt;z-index:251660288;mso-width-relative:page;mso-height-relative:page;" o:ole="t" filled="f" o:preferrelative="t" stroked="f" coordsize="21600,21600">
            <v:path/>
            <v:fill on="f" focussize="0,0"/>
            <v:stroke on="f"/>
            <v:imagedata r:id="rId15" o:title=""/>
            <o:lock v:ext="edit" aspectratio="t"/>
            <w10:wrap type="square"/>
          </v:shape>
          <o:OLEObject Type="Embed" ProgID="Excel.Chart.8" ShapeID="_x0000_s1027" DrawAspect="Content" ObjectID="_1468075727" r:id="rId14">
            <o:LockedField>false</o:LockedField>
          </o:OLEObject>
        </w:pict>
      </w:r>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度</w:t>
      </w:r>
      <w:r>
        <w:rPr>
          <w:rFonts w:hint="default" w:ascii="Times New Roman" w:hAnsi="Times New Roman" w:eastAsia="仿宋_GB2312" w:cs="Times New Roman"/>
          <w:color w:val="auto"/>
          <w:sz w:val="32"/>
          <w:szCs w:val="32"/>
          <w:highlight w:val="none"/>
        </w:rPr>
        <w:t>本年支出合计</w:t>
      </w:r>
      <w:r>
        <w:rPr>
          <w:rFonts w:hint="default" w:ascii="Times New Roman" w:hAnsi="Times New Roman" w:eastAsia="仿宋_GB2312" w:cs="Times New Roman"/>
          <w:color w:val="auto"/>
          <w:sz w:val="32"/>
          <w:szCs w:val="32"/>
          <w:highlight w:val="none"/>
          <w:lang w:val="en-US" w:eastAsia="zh-CN"/>
        </w:rPr>
        <w:t>669.35</w:t>
      </w:r>
      <w:r>
        <w:rPr>
          <w:rFonts w:hint="default" w:ascii="Times New Roman" w:hAnsi="Times New Roman" w:eastAsia="仿宋_GB2312" w:cs="Times New Roman"/>
          <w:color w:val="auto"/>
          <w:sz w:val="32"/>
          <w:szCs w:val="32"/>
          <w:highlight w:val="none"/>
        </w:rPr>
        <w:t>万元，其中：基本支出</w:t>
      </w:r>
      <w:r>
        <w:rPr>
          <w:rFonts w:hint="default" w:ascii="Times New Roman" w:hAnsi="Times New Roman" w:eastAsia="仿宋_GB2312" w:cs="Times New Roman"/>
          <w:color w:val="auto"/>
          <w:sz w:val="32"/>
          <w:szCs w:val="32"/>
          <w:highlight w:val="none"/>
          <w:lang w:val="en-US" w:eastAsia="zh-CN"/>
        </w:rPr>
        <w:t>555.47</w:t>
      </w:r>
      <w:r>
        <w:rPr>
          <w:rFonts w:hint="default" w:ascii="Times New Roman" w:hAnsi="Times New Roman" w:eastAsia="仿宋_GB2312" w:cs="Times New Roman"/>
          <w:color w:val="auto"/>
          <w:sz w:val="32"/>
          <w:szCs w:val="32"/>
          <w:highlight w:val="none"/>
        </w:rPr>
        <w:t>万元，占</w:t>
      </w:r>
      <w:r>
        <w:rPr>
          <w:rFonts w:hint="default" w:ascii="Times New Roman" w:hAnsi="Times New Roman" w:eastAsia="仿宋_GB2312" w:cs="Times New Roman"/>
          <w:color w:val="auto"/>
          <w:sz w:val="32"/>
          <w:szCs w:val="32"/>
          <w:highlight w:val="none"/>
          <w:lang w:val="en-US" w:eastAsia="zh-CN"/>
        </w:rPr>
        <w:t>83</w:t>
      </w:r>
      <w:r>
        <w:rPr>
          <w:rFonts w:hint="default" w:ascii="Times New Roman" w:hAnsi="Times New Roman" w:eastAsia="仿宋_GB2312" w:cs="Times New Roman"/>
          <w:color w:val="auto"/>
          <w:sz w:val="32"/>
          <w:szCs w:val="32"/>
          <w:highlight w:val="none"/>
        </w:rPr>
        <w:t>%；项目支出</w:t>
      </w:r>
      <w:r>
        <w:rPr>
          <w:rFonts w:hint="default" w:ascii="Times New Roman" w:hAnsi="Times New Roman" w:eastAsia="仿宋_GB2312" w:cs="Times New Roman"/>
          <w:color w:val="auto"/>
          <w:sz w:val="32"/>
          <w:szCs w:val="32"/>
          <w:highlight w:val="none"/>
          <w:lang w:val="en-US" w:eastAsia="zh-CN"/>
        </w:rPr>
        <w:t>113.88</w:t>
      </w:r>
      <w:r>
        <w:rPr>
          <w:rFonts w:hint="default" w:ascii="Times New Roman" w:hAnsi="Times New Roman" w:eastAsia="仿宋_GB2312" w:cs="Times New Roman"/>
          <w:color w:val="auto"/>
          <w:sz w:val="32"/>
          <w:szCs w:val="32"/>
          <w:highlight w:val="none"/>
        </w:rPr>
        <w:t>万元，占</w:t>
      </w:r>
      <w:r>
        <w:rPr>
          <w:rFonts w:hint="default" w:ascii="Times New Roman" w:hAnsi="Times New Roman" w:eastAsia="仿宋_GB2312" w:cs="Times New Roman"/>
          <w:color w:val="auto"/>
          <w:sz w:val="32"/>
          <w:szCs w:val="32"/>
          <w:highlight w:val="none"/>
          <w:lang w:val="en-US" w:eastAsia="zh-CN"/>
        </w:rPr>
        <w:t>17</w:t>
      </w:r>
      <w:r>
        <w:rPr>
          <w:rFonts w:hint="default" w:ascii="Times New Roman" w:hAnsi="Times New Roman" w:eastAsia="仿宋_GB2312" w:cs="Times New Roman"/>
          <w:color w:val="auto"/>
          <w:sz w:val="32"/>
          <w:szCs w:val="32"/>
          <w:highlight w:val="none"/>
        </w:rPr>
        <w:t>%；上缴上级支出</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万元；经营支出</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万元；对附属单位补助支出</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万元。</w:t>
      </w:r>
    </w:p>
    <w:p w14:paraId="43F68936">
      <w:pPr>
        <w:spacing w:line="600" w:lineRule="exact"/>
        <w:ind w:firstLine="640" w:firstLineChars="200"/>
        <w:outlineLvl w:val="1"/>
        <w:rPr>
          <w:rFonts w:hint="default" w:ascii="Times New Roman" w:hAnsi="Times New Roman" w:eastAsia="仿宋_GB2312" w:cs="Times New Roman"/>
          <w:color w:val="auto"/>
          <w:sz w:val="32"/>
          <w:szCs w:val="32"/>
          <w:highlight w:val="none"/>
        </w:rPr>
      </w:pPr>
    </w:p>
    <w:p w14:paraId="74F3563D">
      <w:pPr>
        <w:spacing w:line="600" w:lineRule="exact"/>
        <w:ind w:firstLine="640" w:firstLineChars="200"/>
        <w:outlineLvl w:val="1"/>
        <w:rPr>
          <w:rFonts w:hint="default" w:ascii="Times New Roman" w:hAnsi="Times New Roman" w:eastAsia="仿宋_GB2312" w:cs="Times New Roman"/>
          <w:color w:val="auto"/>
          <w:sz w:val="32"/>
          <w:szCs w:val="32"/>
          <w:highlight w:val="none"/>
        </w:rPr>
      </w:pPr>
    </w:p>
    <w:p w14:paraId="3F8B45AD">
      <w:pPr>
        <w:spacing w:line="600" w:lineRule="exact"/>
        <w:ind w:firstLine="640" w:firstLineChars="200"/>
        <w:outlineLvl w:val="1"/>
        <w:rPr>
          <w:rFonts w:hint="default" w:ascii="Times New Roman" w:hAnsi="Times New Roman" w:eastAsia="仿宋_GB2312" w:cs="Times New Roman"/>
          <w:color w:val="auto"/>
          <w:sz w:val="32"/>
          <w:szCs w:val="32"/>
          <w:highlight w:val="none"/>
        </w:rPr>
      </w:pPr>
    </w:p>
    <w:p w14:paraId="1FEBA49D">
      <w:pPr>
        <w:spacing w:line="600" w:lineRule="exact"/>
        <w:ind w:firstLine="640" w:firstLineChars="200"/>
        <w:outlineLvl w:val="1"/>
        <w:rPr>
          <w:rFonts w:hint="default" w:ascii="Times New Roman" w:hAnsi="Times New Roman" w:eastAsia="仿宋_GB2312" w:cs="Times New Roman"/>
          <w:sz w:val="32"/>
          <w:szCs w:val="32"/>
        </w:rPr>
      </w:pPr>
    </w:p>
    <w:p w14:paraId="1C4A6467">
      <w:pPr>
        <w:rPr>
          <w:rFonts w:hint="default" w:ascii="Times New Roman" w:hAnsi="Times New Roman" w:eastAsia="仿宋_GB2312" w:cs="Times New Roman"/>
          <w:sz w:val="32"/>
          <w:szCs w:val="32"/>
        </w:rPr>
      </w:pPr>
    </w:p>
    <w:p w14:paraId="70A88AAD">
      <w:pPr>
        <w:ind w:firstLine="1760" w:firstLineChars="55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（图3：支出决算结构图）</w:t>
      </w:r>
    </w:p>
    <w:p w14:paraId="54075097">
      <w:pPr>
        <w:spacing w:line="600" w:lineRule="exact"/>
        <w:ind w:firstLine="640" w:firstLineChars="200"/>
        <w:outlineLvl w:val="1"/>
        <w:rPr>
          <w:rStyle w:val="30"/>
          <w:rFonts w:hint="default" w:ascii="Times New Roman" w:hAnsi="Times New Roman" w:eastAsia="黑体" w:cs="Times New Roman"/>
          <w:b w:val="0"/>
        </w:rPr>
      </w:pPr>
      <w:bookmarkStart w:id="28" w:name="_Toc15377208"/>
      <w:bookmarkStart w:id="29" w:name="_Toc15396606"/>
      <w:r>
        <w:rPr>
          <w:rFonts w:hint="default" w:ascii="Times New Roman" w:hAnsi="Times New Roman" w:eastAsia="黑体" w:cs="Times New Roman"/>
          <w:sz w:val="32"/>
          <w:szCs w:val="32"/>
        </w:rPr>
        <w:t>四、财</w:t>
      </w:r>
      <w:r>
        <w:rPr>
          <w:rStyle w:val="30"/>
          <w:rFonts w:hint="default" w:ascii="Times New Roman" w:hAnsi="Times New Roman" w:eastAsia="黑体" w:cs="Times New Roman"/>
          <w:b w:val="0"/>
        </w:rPr>
        <w:t>政拨款收入支出决算总体情况说明</w:t>
      </w:r>
      <w:bookmarkEnd w:id="28"/>
      <w:bookmarkEnd w:id="29"/>
    </w:p>
    <w:p w14:paraId="3C8E0F8B">
      <w:pPr>
        <w:spacing w:line="60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度</w:t>
      </w:r>
      <w:r>
        <w:rPr>
          <w:rFonts w:hint="default" w:ascii="Times New Roman" w:hAnsi="Times New Roman" w:eastAsia="仿宋_GB2312" w:cs="Times New Roman"/>
          <w:color w:val="auto"/>
          <w:sz w:val="32"/>
          <w:szCs w:val="32"/>
          <w:highlight w:val="none"/>
        </w:rPr>
        <w:t>财政拨款收、支总计</w:t>
      </w:r>
      <w:r>
        <w:rPr>
          <w:rFonts w:hint="default" w:ascii="Times New Roman" w:hAnsi="Times New Roman" w:eastAsia="仿宋_GB2312" w:cs="Times New Roman"/>
          <w:color w:val="auto"/>
          <w:sz w:val="32"/>
          <w:szCs w:val="32"/>
          <w:highlight w:val="none"/>
          <w:lang w:eastAsia="zh-CN"/>
        </w:rPr>
        <w:t>均为</w:t>
      </w:r>
      <w:r>
        <w:rPr>
          <w:rFonts w:hint="default" w:ascii="Times New Roman" w:hAnsi="Times New Roman" w:eastAsia="仿宋_GB2312" w:cs="Times New Roman"/>
          <w:color w:val="auto"/>
          <w:sz w:val="32"/>
          <w:szCs w:val="32"/>
          <w:highlight w:val="none"/>
          <w:lang w:val="en-US" w:eastAsia="zh-CN"/>
        </w:rPr>
        <w:t>669.35</w:t>
      </w:r>
      <w:r>
        <w:rPr>
          <w:rFonts w:hint="default" w:ascii="Times New Roman" w:hAnsi="Times New Roman" w:eastAsia="仿宋_GB2312" w:cs="Times New Roman"/>
          <w:color w:val="auto"/>
          <w:sz w:val="32"/>
          <w:szCs w:val="32"/>
          <w:highlight w:val="none"/>
        </w:rPr>
        <w:t>万元。与</w:t>
      </w:r>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度</w:t>
      </w:r>
      <w:r>
        <w:rPr>
          <w:rFonts w:hint="default" w:ascii="Times New Roman" w:hAnsi="Times New Roman" w:eastAsia="仿宋_GB2312" w:cs="Times New Roman"/>
          <w:color w:val="auto"/>
          <w:sz w:val="32"/>
          <w:szCs w:val="32"/>
          <w:highlight w:val="none"/>
        </w:rPr>
        <w:t>相比，财政拨款收、支总计各</w:t>
      </w:r>
      <w:r>
        <w:rPr>
          <w:rFonts w:hint="default" w:ascii="Times New Roman" w:hAnsi="Times New Roman" w:eastAsia="仿宋_GB2312" w:cs="Times New Roman"/>
          <w:color w:val="auto"/>
          <w:sz w:val="32"/>
          <w:szCs w:val="32"/>
          <w:highlight w:val="none"/>
          <w:lang w:val="en-US" w:eastAsia="zh-CN"/>
        </w:rPr>
        <w:t>减少40.24万元</w:t>
      </w:r>
      <w:r>
        <w:rPr>
          <w:rFonts w:hint="default" w:ascii="Times New Roman" w:hAnsi="Times New Roman" w:eastAsia="仿宋_GB2312" w:cs="Times New Roman"/>
          <w:color w:val="auto"/>
          <w:sz w:val="32"/>
          <w:szCs w:val="32"/>
          <w:highlight w:val="none"/>
        </w:rPr>
        <w:t>，下降</w:t>
      </w:r>
      <w:r>
        <w:rPr>
          <w:rFonts w:hint="default" w:ascii="Times New Roman" w:hAnsi="Times New Roman" w:eastAsia="仿宋_GB2312" w:cs="Times New Roman"/>
          <w:color w:val="auto"/>
          <w:sz w:val="32"/>
          <w:szCs w:val="32"/>
          <w:highlight w:val="none"/>
          <w:lang w:val="en-US" w:eastAsia="zh-CN"/>
        </w:rPr>
        <w:t>5.6</w:t>
      </w:r>
      <w:r>
        <w:rPr>
          <w:rFonts w:hint="default" w:ascii="Times New Roman" w:hAnsi="Times New Roman" w:eastAsia="仿宋_GB2312" w:cs="Times New Roman"/>
          <w:color w:val="auto"/>
          <w:sz w:val="32"/>
          <w:szCs w:val="32"/>
          <w:highlight w:val="none"/>
        </w:rPr>
        <w:t>%。主要变动原因</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一是阶段性工作任务结束，2024年减少相关预算项目；二是严格贯彻落实中央八项规定精神，厉行节约，大力压缩一般性支出。</w:t>
      </w:r>
    </w:p>
    <w:p w14:paraId="6BE5BEF3">
      <w:pPr>
        <w:pStyle w:val="2"/>
        <w:ind w:left="0" w:leftChars="0" w:firstLine="0" w:firstLineChars="0"/>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object>
          <v:shape id="_x0000_i1026" o:spt="75" type="#_x0000_t75" style="height:229.05pt;width:400.5pt;" o:ole="t" filled="f" o:preferrelative="t" stroked="f" coordsize="21600,21600">
            <v:path/>
            <v:fill on="f" focussize="0,0"/>
            <v:stroke on="f"/>
            <v:imagedata r:id="rId17" o:title=""/>
            <o:lock v:ext="edit" aspectratio="t"/>
            <w10:wrap type="none"/>
            <w10:anchorlock/>
          </v:shape>
          <o:OLEObject Type="Embed" ProgID="Excel.Chart.8" ShapeID="_x0000_i1026" DrawAspect="Content" ObjectID="_1468075728" r:id="rId16">
            <o:LockedField>false</o:LockedField>
          </o:OLEObject>
        </w:object>
      </w:r>
    </w:p>
    <w:p w14:paraId="3C7B5AC9">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（图4：财政拨款收、支决算总计变动情况）</w:t>
      </w:r>
    </w:p>
    <w:p w14:paraId="588454DC">
      <w:pPr>
        <w:spacing w:line="600" w:lineRule="exact"/>
        <w:ind w:firstLine="640" w:firstLineChars="200"/>
        <w:outlineLvl w:val="1"/>
        <w:rPr>
          <w:rStyle w:val="30"/>
          <w:rFonts w:hint="default" w:ascii="Times New Roman" w:hAnsi="Times New Roman" w:eastAsia="黑体" w:cs="Times New Roman"/>
          <w:b w:val="0"/>
        </w:rPr>
      </w:pPr>
      <w:bookmarkStart w:id="30" w:name="_Toc15377209"/>
      <w:bookmarkStart w:id="31" w:name="_Toc15396607"/>
      <w:r>
        <w:rPr>
          <w:rFonts w:hint="default" w:ascii="Times New Roman" w:hAnsi="Times New Roman" w:eastAsia="黑体" w:cs="Times New Roman"/>
          <w:sz w:val="32"/>
          <w:szCs w:val="32"/>
        </w:rPr>
        <w:t>五、</w:t>
      </w:r>
      <w:r>
        <w:rPr>
          <w:rFonts w:hint="default" w:ascii="Times New Roman" w:hAnsi="Times New Roman" w:eastAsia="黑体" w:cs="Times New Roman"/>
          <w:b/>
          <w:sz w:val="32"/>
          <w:szCs w:val="32"/>
        </w:rPr>
        <w:t>一</w:t>
      </w:r>
      <w:r>
        <w:rPr>
          <w:rStyle w:val="30"/>
          <w:rFonts w:hint="default" w:ascii="Times New Roman" w:hAnsi="Times New Roman" w:eastAsia="黑体" w:cs="Times New Roman"/>
          <w:b w:val="0"/>
        </w:rPr>
        <w:t>般公共预算财政拨款支出决算情况说明</w:t>
      </w:r>
      <w:bookmarkEnd w:id="30"/>
      <w:bookmarkEnd w:id="31"/>
    </w:p>
    <w:p w14:paraId="1F541FFE">
      <w:pPr>
        <w:spacing w:line="600" w:lineRule="exact"/>
        <w:ind w:firstLine="643" w:firstLineChars="200"/>
        <w:outlineLvl w:val="2"/>
        <w:rPr>
          <w:rFonts w:hint="default" w:ascii="Times New Roman" w:hAnsi="Times New Roman" w:eastAsia="楷体_GB2312" w:cs="Times New Roman"/>
          <w:b/>
          <w:sz w:val="32"/>
          <w:szCs w:val="32"/>
        </w:rPr>
      </w:pPr>
      <w:bookmarkStart w:id="32" w:name="_Toc15377210"/>
      <w:r>
        <w:rPr>
          <w:rFonts w:hint="default" w:ascii="Times New Roman" w:hAnsi="Times New Roman" w:eastAsia="楷体_GB2312" w:cs="Times New Roman"/>
          <w:b/>
          <w:sz w:val="32"/>
          <w:szCs w:val="32"/>
        </w:rPr>
        <w:t>（一）一般公共预算财政拨款支出决算总体情况</w:t>
      </w:r>
      <w:bookmarkEnd w:id="32"/>
    </w:p>
    <w:p w14:paraId="35D3DAAD">
      <w:pPr>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度</w:t>
      </w:r>
      <w:r>
        <w:rPr>
          <w:rFonts w:hint="default" w:ascii="Times New Roman" w:hAnsi="Times New Roman" w:eastAsia="仿宋_GB2312" w:cs="Times New Roman"/>
          <w:color w:val="auto"/>
          <w:sz w:val="32"/>
          <w:szCs w:val="32"/>
          <w:highlight w:val="none"/>
        </w:rPr>
        <w:t>一般公共预算财政拨款支出</w:t>
      </w:r>
      <w:r>
        <w:rPr>
          <w:rFonts w:hint="default" w:ascii="Times New Roman" w:hAnsi="Times New Roman" w:eastAsia="仿宋_GB2312" w:cs="Times New Roman"/>
          <w:color w:val="auto"/>
          <w:sz w:val="32"/>
          <w:szCs w:val="32"/>
          <w:highlight w:val="none"/>
          <w:lang w:val="en-US" w:eastAsia="zh-CN"/>
        </w:rPr>
        <w:t>669.35</w:t>
      </w:r>
      <w:r>
        <w:rPr>
          <w:rFonts w:hint="default" w:ascii="Times New Roman" w:hAnsi="Times New Roman" w:eastAsia="仿宋_GB2312" w:cs="Times New Roman"/>
          <w:color w:val="auto"/>
          <w:sz w:val="32"/>
          <w:szCs w:val="32"/>
          <w:highlight w:val="none"/>
        </w:rPr>
        <w:t>万元，占本年支出合计的</w:t>
      </w:r>
      <w:r>
        <w:rPr>
          <w:rFonts w:hint="default" w:ascii="Times New Roman" w:hAnsi="Times New Roman" w:eastAsia="仿宋_GB2312" w:cs="Times New Roman"/>
          <w:color w:val="auto"/>
          <w:sz w:val="32"/>
          <w:szCs w:val="32"/>
          <w:highlight w:val="none"/>
          <w:lang w:val="en-US" w:eastAsia="zh-CN"/>
        </w:rPr>
        <w:t>100</w:t>
      </w:r>
      <w:r>
        <w:rPr>
          <w:rFonts w:hint="default" w:ascii="Times New Roman" w:hAnsi="Times New Roman" w:eastAsia="仿宋_GB2312" w:cs="Times New Roman"/>
          <w:color w:val="auto"/>
          <w:sz w:val="32"/>
          <w:szCs w:val="32"/>
          <w:highlight w:val="none"/>
        </w:rPr>
        <w:t>%。与</w:t>
      </w:r>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度</w:t>
      </w:r>
      <w:r>
        <w:rPr>
          <w:rFonts w:hint="default" w:ascii="Times New Roman" w:hAnsi="Times New Roman" w:eastAsia="仿宋_GB2312" w:cs="Times New Roman"/>
          <w:color w:val="auto"/>
          <w:sz w:val="32"/>
          <w:szCs w:val="32"/>
          <w:highlight w:val="none"/>
        </w:rPr>
        <w:t>相比，一般公共预算财政拨款</w:t>
      </w:r>
      <w:r>
        <w:rPr>
          <w:rFonts w:hint="default" w:ascii="Times New Roman" w:hAnsi="Times New Roman" w:eastAsia="仿宋_GB2312" w:cs="Times New Roman"/>
          <w:color w:val="auto"/>
          <w:sz w:val="32"/>
          <w:szCs w:val="32"/>
          <w:highlight w:val="none"/>
          <w:lang w:eastAsia="zh-CN"/>
        </w:rPr>
        <w:t>支出</w:t>
      </w:r>
      <w:r>
        <w:rPr>
          <w:rFonts w:hint="default" w:ascii="Times New Roman" w:hAnsi="Times New Roman" w:eastAsia="仿宋_GB2312" w:cs="Times New Roman"/>
          <w:color w:val="auto"/>
          <w:sz w:val="32"/>
          <w:szCs w:val="32"/>
          <w:highlight w:val="none"/>
        </w:rPr>
        <w:t>减少</w:t>
      </w:r>
      <w:r>
        <w:rPr>
          <w:rFonts w:hint="default" w:ascii="Times New Roman" w:hAnsi="Times New Roman" w:eastAsia="仿宋_GB2312" w:cs="Times New Roman"/>
          <w:color w:val="auto"/>
          <w:sz w:val="32"/>
          <w:szCs w:val="32"/>
          <w:highlight w:val="none"/>
          <w:lang w:val="en-US" w:eastAsia="zh-CN"/>
        </w:rPr>
        <w:t>40.24</w:t>
      </w:r>
      <w:r>
        <w:rPr>
          <w:rFonts w:hint="default" w:ascii="Times New Roman" w:hAnsi="Times New Roman" w:eastAsia="仿宋_GB2312" w:cs="Times New Roman"/>
          <w:color w:val="auto"/>
          <w:sz w:val="32"/>
          <w:szCs w:val="32"/>
          <w:highlight w:val="none"/>
        </w:rPr>
        <w:t>万元，下降</w:t>
      </w:r>
      <w:r>
        <w:rPr>
          <w:rFonts w:hint="default" w:ascii="Times New Roman" w:hAnsi="Times New Roman" w:eastAsia="仿宋_GB2312" w:cs="Times New Roman"/>
          <w:color w:val="auto"/>
          <w:sz w:val="32"/>
          <w:szCs w:val="32"/>
          <w:highlight w:val="none"/>
          <w:lang w:val="en-US" w:eastAsia="zh-CN"/>
        </w:rPr>
        <w:t>5.6</w:t>
      </w:r>
      <w:r>
        <w:rPr>
          <w:rFonts w:hint="default" w:ascii="Times New Roman" w:hAnsi="Times New Roman" w:eastAsia="仿宋_GB2312" w:cs="Times New Roman"/>
          <w:color w:val="auto"/>
          <w:sz w:val="32"/>
          <w:szCs w:val="32"/>
          <w:highlight w:val="none"/>
        </w:rPr>
        <w:t>%。主要变动原因</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一是阶段性工作任务结束，2024年</w:t>
      </w:r>
      <w:r>
        <w:rPr>
          <w:rFonts w:hint="eastAsia" w:eastAsia="仿宋_GB2312" w:cs="Times New Roman"/>
          <w:color w:val="auto"/>
          <w:sz w:val="32"/>
          <w:szCs w:val="32"/>
          <w:highlight w:val="none"/>
          <w:lang w:val="en-US" w:eastAsia="zh-CN"/>
        </w:rPr>
        <w:t>减少</w:t>
      </w:r>
      <w:r>
        <w:rPr>
          <w:rFonts w:hint="default" w:ascii="Times New Roman" w:hAnsi="Times New Roman" w:eastAsia="仿宋_GB2312" w:cs="Times New Roman"/>
          <w:color w:val="auto"/>
          <w:sz w:val="32"/>
          <w:szCs w:val="32"/>
          <w:highlight w:val="none"/>
          <w:lang w:val="en-US" w:eastAsia="zh-CN"/>
        </w:rPr>
        <w:t>相关预算项目；二是严格贯彻落实中央八项规定精神，厉行节约，大力压缩一般性支出。</w:t>
      </w:r>
    </w:p>
    <w:p w14:paraId="638E3194">
      <w:pPr>
        <w:spacing w:line="600" w:lineRule="exact"/>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lang w:eastAsia="zh-CN"/>
        </w:rPr>
        <w:pict>
          <v:shape id="Object 4" o:spid="_x0000_s1028" o:spt="75" type="#_x0000_t75" style="position:absolute;left:0pt;margin-left:33.3pt;margin-top:6.8pt;height:225.75pt;width:304.5pt;mso-wrap-distance-bottom:0pt;mso-wrap-distance-left:9pt;mso-wrap-distance-right:9pt;mso-wrap-distance-top:0pt;z-index:251661312;mso-width-relative:page;mso-height-relative:page;" o:ole="t" filled="f" o:preferrelative="t" stroked="f" coordsize="21600,21600">
            <v:path/>
            <v:fill on="f" focussize="0,0"/>
            <v:stroke on="f"/>
            <v:imagedata r:id="rId19" o:title=""/>
            <o:lock v:ext="edit" aspectratio="t"/>
            <w10:wrap type="square"/>
          </v:shape>
          <o:OLEObject Type="Embed" ProgID="Excel.Chart.8" ShapeID="Object 4" DrawAspect="Content" ObjectID="_1468075729" r:id="rId18">
            <o:LockedField>false</o:LockedField>
          </o:OLEObject>
        </w:pict>
      </w:r>
    </w:p>
    <w:p w14:paraId="079AA0B5">
      <w:pPr>
        <w:spacing w:line="600" w:lineRule="exact"/>
        <w:ind w:firstLine="640" w:firstLineChars="200"/>
        <w:rPr>
          <w:rFonts w:hint="default" w:ascii="Times New Roman" w:hAnsi="Times New Roman" w:eastAsia="仿宋" w:cs="Times New Roman"/>
          <w:color w:val="auto"/>
          <w:sz w:val="32"/>
          <w:szCs w:val="32"/>
          <w:highlight w:val="none"/>
        </w:rPr>
      </w:pPr>
    </w:p>
    <w:p w14:paraId="1F0CD2A1">
      <w:pPr>
        <w:spacing w:line="600" w:lineRule="exact"/>
        <w:ind w:firstLine="640" w:firstLineChars="200"/>
        <w:rPr>
          <w:rFonts w:hint="default" w:ascii="Times New Roman" w:hAnsi="Times New Roman" w:eastAsia="仿宋" w:cs="Times New Roman"/>
          <w:color w:val="auto"/>
          <w:sz w:val="32"/>
          <w:szCs w:val="32"/>
          <w:highlight w:val="none"/>
        </w:rPr>
      </w:pPr>
    </w:p>
    <w:p w14:paraId="12A2B883">
      <w:pPr>
        <w:spacing w:line="600" w:lineRule="exact"/>
        <w:ind w:firstLine="640" w:firstLineChars="200"/>
        <w:rPr>
          <w:rFonts w:hint="default" w:ascii="Times New Roman" w:hAnsi="Times New Roman" w:eastAsia="仿宋" w:cs="Times New Roman"/>
          <w:color w:val="auto"/>
          <w:sz w:val="32"/>
          <w:szCs w:val="32"/>
          <w:highlight w:val="none"/>
        </w:rPr>
      </w:pPr>
    </w:p>
    <w:p w14:paraId="2558CEA3">
      <w:pPr>
        <w:spacing w:line="600" w:lineRule="exact"/>
        <w:ind w:firstLine="640" w:firstLineChars="200"/>
        <w:rPr>
          <w:rFonts w:hint="default" w:ascii="Times New Roman" w:hAnsi="Times New Roman" w:eastAsia="仿宋" w:cs="Times New Roman"/>
          <w:color w:val="auto"/>
          <w:sz w:val="32"/>
          <w:szCs w:val="32"/>
          <w:highlight w:val="none"/>
        </w:rPr>
      </w:pPr>
    </w:p>
    <w:p w14:paraId="2A1D9EEA">
      <w:pPr>
        <w:spacing w:line="600" w:lineRule="exact"/>
        <w:rPr>
          <w:rFonts w:hint="default" w:ascii="Times New Roman" w:hAnsi="Times New Roman" w:eastAsia="仿宋_GB2312" w:cs="Times New Roman"/>
          <w:sz w:val="32"/>
          <w:szCs w:val="32"/>
        </w:rPr>
      </w:pPr>
    </w:p>
    <w:p w14:paraId="49768CA2">
      <w:pPr>
        <w:spacing w:line="240" w:lineRule="auto"/>
        <w:rPr>
          <w:rFonts w:hint="default" w:ascii="Times New Roman" w:hAnsi="Times New Roman" w:eastAsia="仿宋_GB2312" w:cs="Times New Roman"/>
          <w:sz w:val="32"/>
          <w:szCs w:val="32"/>
        </w:rPr>
      </w:pPr>
    </w:p>
    <w:p w14:paraId="4BBBC173">
      <w:pPr>
        <w:spacing w:line="240" w:lineRule="auto"/>
        <w:rPr>
          <w:rFonts w:hint="default" w:ascii="Times New Roman" w:hAnsi="Times New Roman" w:eastAsia="仿宋_GB2312" w:cs="Times New Roman"/>
          <w:sz w:val="32"/>
          <w:szCs w:val="32"/>
        </w:rPr>
      </w:pPr>
    </w:p>
    <w:p w14:paraId="34FF90A1">
      <w:pPr>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（图5：一般公共预算财政拨款支出决算变动情况）</w:t>
      </w:r>
    </w:p>
    <w:p w14:paraId="69AEC7DB">
      <w:pPr>
        <w:spacing w:line="600" w:lineRule="exact"/>
        <w:ind w:firstLine="643" w:firstLineChars="200"/>
        <w:outlineLvl w:val="2"/>
        <w:rPr>
          <w:rFonts w:hint="default" w:ascii="Times New Roman" w:hAnsi="Times New Roman" w:eastAsia="楷体_GB2312" w:cs="Times New Roman"/>
          <w:b/>
          <w:sz w:val="32"/>
          <w:szCs w:val="32"/>
        </w:rPr>
      </w:pPr>
      <w:bookmarkStart w:id="33" w:name="_Toc15377211"/>
      <w:r>
        <w:rPr>
          <w:rFonts w:hint="default" w:ascii="Times New Roman" w:hAnsi="Times New Roman" w:eastAsia="楷体_GB2312" w:cs="Times New Roman"/>
          <w:b/>
          <w:sz w:val="32"/>
          <w:szCs w:val="32"/>
        </w:rPr>
        <w:t>（二）一般公共预算财政拨款支出决算结构情况</w:t>
      </w:r>
      <w:bookmarkEnd w:id="33"/>
    </w:p>
    <w:p w14:paraId="54758470">
      <w:pPr>
        <w:spacing w:line="600" w:lineRule="exact"/>
        <w:ind w:firstLine="64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度</w:t>
      </w:r>
      <w:r>
        <w:rPr>
          <w:rFonts w:hint="default" w:ascii="Times New Roman" w:hAnsi="Times New Roman" w:eastAsia="仿宋_GB2312" w:cs="Times New Roman"/>
          <w:color w:val="auto"/>
          <w:sz w:val="32"/>
          <w:szCs w:val="32"/>
          <w:highlight w:val="none"/>
        </w:rPr>
        <w:t>一般公共预算财政拨款支出</w:t>
      </w:r>
      <w:r>
        <w:rPr>
          <w:rFonts w:hint="default" w:ascii="Times New Roman" w:hAnsi="Times New Roman" w:eastAsia="仿宋_GB2312" w:cs="Times New Roman"/>
          <w:color w:val="auto"/>
          <w:sz w:val="32"/>
          <w:szCs w:val="32"/>
          <w:highlight w:val="none"/>
          <w:lang w:val="en-US" w:eastAsia="zh-CN"/>
        </w:rPr>
        <w:t>669.35</w:t>
      </w:r>
      <w:r>
        <w:rPr>
          <w:rFonts w:hint="default" w:ascii="Times New Roman" w:hAnsi="Times New Roman" w:eastAsia="仿宋_GB2312" w:cs="Times New Roman"/>
          <w:color w:val="auto"/>
          <w:sz w:val="32"/>
          <w:szCs w:val="32"/>
          <w:highlight w:val="none"/>
        </w:rPr>
        <w:t>万元，主要用于以下方面</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一般公共服务支出</w:t>
      </w:r>
      <w:r>
        <w:rPr>
          <w:rFonts w:hint="default" w:ascii="Times New Roman" w:hAnsi="Times New Roman" w:eastAsia="仿宋_GB2312" w:cs="Times New Roman"/>
          <w:b w:val="0"/>
          <w:bCs w:val="0"/>
          <w:color w:val="auto"/>
          <w:sz w:val="32"/>
          <w:szCs w:val="32"/>
          <w:highlight w:val="none"/>
          <w:lang w:val="en-US" w:eastAsia="zh-CN"/>
        </w:rPr>
        <w:t>554.28</w:t>
      </w:r>
      <w:r>
        <w:rPr>
          <w:rFonts w:hint="default" w:ascii="Times New Roman" w:hAnsi="Times New Roman" w:eastAsia="仿宋_GB2312" w:cs="Times New Roman"/>
          <w:b w:val="0"/>
          <w:bCs w:val="0"/>
          <w:color w:val="auto"/>
          <w:sz w:val="32"/>
          <w:szCs w:val="32"/>
          <w:highlight w:val="none"/>
        </w:rPr>
        <w:t>万元，占</w:t>
      </w:r>
      <w:r>
        <w:rPr>
          <w:rFonts w:hint="default" w:ascii="Times New Roman" w:hAnsi="Times New Roman" w:eastAsia="仿宋_GB2312" w:cs="Times New Roman"/>
          <w:b w:val="0"/>
          <w:bCs w:val="0"/>
          <w:color w:val="auto"/>
          <w:sz w:val="32"/>
          <w:szCs w:val="32"/>
          <w:highlight w:val="none"/>
          <w:lang w:val="en-US" w:eastAsia="zh-CN"/>
        </w:rPr>
        <w:t>82.8</w:t>
      </w:r>
      <w:r>
        <w:rPr>
          <w:rFonts w:hint="default" w:ascii="Times New Roman" w:hAnsi="Times New Roman" w:eastAsia="仿宋_GB2312" w:cs="Times New Roman"/>
          <w:b w:val="0"/>
          <w:bCs w:val="0"/>
          <w:color w:val="auto"/>
          <w:sz w:val="32"/>
          <w:szCs w:val="32"/>
          <w:highlight w:val="none"/>
        </w:rPr>
        <w:t>%；教育支出</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Times New Roman"/>
          <w:b w:val="0"/>
          <w:bCs w:val="0"/>
          <w:color w:val="auto"/>
          <w:sz w:val="32"/>
          <w:szCs w:val="32"/>
          <w:highlight w:val="none"/>
        </w:rPr>
        <w:t>万元；科学技术支出</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Times New Roman"/>
          <w:b w:val="0"/>
          <w:bCs w:val="0"/>
          <w:color w:val="auto"/>
          <w:sz w:val="32"/>
          <w:szCs w:val="32"/>
          <w:highlight w:val="none"/>
        </w:rPr>
        <w:t>万元；文化旅游体育与传媒支出</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Times New Roman"/>
          <w:b w:val="0"/>
          <w:bCs w:val="0"/>
          <w:color w:val="auto"/>
          <w:sz w:val="32"/>
          <w:szCs w:val="32"/>
          <w:highlight w:val="none"/>
        </w:rPr>
        <w:t>万元；社会保障和就业支出</w:t>
      </w:r>
      <w:r>
        <w:rPr>
          <w:rFonts w:hint="default" w:ascii="Times New Roman" w:hAnsi="Times New Roman" w:eastAsia="仿宋_GB2312" w:cs="Times New Roman"/>
          <w:b w:val="0"/>
          <w:bCs w:val="0"/>
          <w:color w:val="auto"/>
          <w:sz w:val="32"/>
          <w:szCs w:val="32"/>
          <w:highlight w:val="none"/>
          <w:lang w:val="en-US" w:eastAsia="zh-CN"/>
        </w:rPr>
        <w:t>59.29</w:t>
      </w:r>
      <w:r>
        <w:rPr>
          <w:rFonts w:hint="default" w:ascii="Times New Roman" w:hAnsi="Times New Roman" w:eastAsia="仿宋_GB2312" w:cs="Times New Roman"/>
          <w:b w:val="0"/>
          <w:bCs w:val="0"/>
          <w:color w:val="auto"/>
          <w:sz w:val="32"/>
          <w:szCs w:val="32"/>
          <w:highlight w:val="none"/>
        </w:rPr>
        <w:t>万元，占</w:t>
      </w:r>
      <w:r>
        <w:rPr>
          <w:rFonts w:hint="default" w:ascii="Times New Roman" w:hAnsi="Times New Roman" w:eastAsia="仿宋_GB2312" w:cs="Times New Roman"/>
          <w:b w:val="0"/>
          <w:bCs w:val="0"/>
          <w:color w:val="auto"/>
          <w:sz w:val="32"/>
          <w:szCs w:val="32"/>
          <w:highlight w:val="none"/>
          <w:lang w:val="en-US" w:eastAsia="zh-CN"/>
        </w:rPr>
        <w:t>8.8</w:t>
      </w:r>
      <w:r>
        <w:rPr>
          <w:rFonts w:hint="default" w:ascii="Times New Roman" w:hAnsi="Times New Roman" w:eastAsia="仿宋_GB2312" w:cs="Times New Roman"/>
          <w:b w:val="0"/>
          <w:bCs w:val="0"/>
          <w:color w:val="auto"/>
          <w:sz w:val="32"/>
          <w:szCs w:val="32"/>
          <w:highlight w:val="none"/>
        </w:rPr>
        <w:t>%；卫生健康支出</w:t>
      </w:r>
      <w:r>
        <w:rPr>
          <w:rFonts w:hint="default" w:ascii="Times New Roman" w:hAnsi="Times New Roman" w:eastAsia="仿宋_GB2312" w:cs="Times New Roman"/>
          <w:b w:val="0"/>
          <w:bCs w:val="0"/>
          <w:color w:val="auto"/>
          <w:sz w:val="32"/>
          <w:szCs w:val="32"/>
          <w:highlight w:val="none"/>
          <w:lang w:val="en-US" w:eastAsia="zh-CN"/>
        </w:rPr>
        <w:t>24.14</w:t>
      </w:r>
      <w:r>
        <w:rPr>
          <w:rFonts w:hint="default" w:ascii="Times New Roman" w:hAnsi="Times New Roman" w:eastAsia="仿宋_GB2312" w:cs="Times New Roman"/>
          <w:b w:val="0"/>
          <w:bCs w:val="0"/>
          <w:color w:val="auto"/>
          <w:sz w:val="32"/>
          <w:szCs w:val="32"/>
          <w:highlight w:val="none"/>
        </w:rPr>
        <w:t>万元，占</w:t>
      </w:r>
      <w:r>
        <w:rPr>
          <w:rFonts w:hint="default" w:ascii="Times New Roman" w:hAnsi="Times New Roman" w:eastAsia="仿宋_GB2312" w:cs="Times New Roman"/>
          <w:b w:val="0"/>
          <w:bCs w:val="0"/>
          <w:color w:val="auto"/>
          <w:sz w:val="32"/>
          <w:szCs w:val="32"/>
          <w:highlight w:val="none"/>
          <w:lang w:val="en-US" w:eastAsia="zh-CN"/>
        </w:rPr>
        <w:t>3.6</w:t>
      </w:r>
      <w:r>
        <w:rPr>
          <w:rFonts w:hint="default" w:ascii="Times New Roman" w:hAnsi="Times New Roman" w:eastAsia="仿宋_GB2312" w:cs="Times New Roman"/>
          <w:b w:val="0"/>
          <w:bCs w:val="0"/>
          <w:color w:val="auto"/>
          <w:sz w:val="32"/>
          <w:szCs w:val="32"/>
          <w:highlight w:val="none"/>
        </w:rPr>
        <w:t>%；住房保障支出</w:t>
      </w:r>
      <w:r>
        <w:rPr>
          <w:rFonts w:hint="default" w:ascii="Times New Roman" w:hAnsi="Times New Roman" w:eastAsia="仿宋_GB2312" w:cs="Times New Roman"/>
          <w:b w:val="0"/>
          <w:bCs w:val="0"/>
          <w:color w:val="auto"/>
          <w:sz w:val="32"/>
          <w:szCs w:val="32"/>
          <w:highlight w:val="none"/>
          <w:lang w:val="en-US" w:eastAsia="zh-CN"/>
        </w:rPr>
        <w:t>31.64</w:t>
      </w:r>
      <w:r>
        <w:rPr>
          <w:rFonts w:hint="default" w:ascii="Times New Roman" w:hAnsi="Times New Roman" w:eastAsia="仿宋_GB2312" w:cs="Times New Roman"/>
          <w:b w:val="0"/>
          <w:bCs w:val="0"/>
          <w:color w:val="auto"/>
          <w:sz w:val="32"/>
          <w:szCs w:val="32"/>
          <w:highlight w:val="none"/>
        </w:rPr>
        <w:t>万元，占</w:t>
      </w:r>
      <w:r>
        <w:rPr>
          <w:rFonts w:hint="default" w:ascii="Times New Roman" w:hAnsi="Times New Roman" w:eastAsia="仿宋_GB2312" w:cs="Times New Roman"/>
          <w:b w:val="0"/>
          <w:bCs w:val="0"/>
          <w:color w:val="auto"/>
          <w:sz w:val="32"/>
          <w:szCs w:val="32"/>
          <w:highlight w:val="none"/>
          <w:lang w:val="en-US" w:eastAsia="zh-CN"/>
        </w:rPr>
        <w:t>4.7</w:t>
      </w:r>
      <w:r>
        <w:rPr>
          <w:rFonts w:hint="default" w:ascii="Times New Roman" w:hAnsi="Times New Roman" w:eastAsia="仿宋_GB2312" w:cs="Times New Roman"/>
          <w:b w:val="0"/>
          <w:bCs w:val="0"/>
          <w:color w:val="auto"/>
          <w:sz w:val="32"/>
          <w:szCs w:val="32"/>
          <w:highlight w:val="none"/>
        </w:rPr>
        <w:t>%。</w:t>
      </w:r>
    </w:p>
    <w:p w14:paraId="799B6E50">
      <w:pPr>
        <w:pStyle w:val="2"/>
        <w:ind w:left="321" w:hanging="321" w:hangingChars="100"/>
        <w:rPr>
          <w:rFonts w:hint="default" w:ascii="Times New Roman" w:hAnsi="Times New Roman" w:eastAsia="仿宋_GB2312" w:cs="Times New Roman"/>
          <w:sz w:val="32"/>
          <w:szCs w:val="32"/>
        </w:rPr>
      </w:pPr>
      <w:r>
        <w:rPr>
          <w:rFonts w:hint="default" w:ascii="Times New Roman" w:hAnsi="Times New Roman" w:eastAsia="仿宋" w:cs="Times New Roman"/>
          <w:b/>
          <w:color w:val="auto"/>
          <w:sz w:val="32"/>
          <w:szCs w:val="32"/>
          <w:highlight w:val="none"/>
          <w:lang w:eastAsia="zh-CN"/>
        </w:rPr>
        <w:object>
          <v:shape id="_x0000_i1027" o:spt="75" type="#_x0000_t75" style="height:258pt;width:367.2pt;" o:ole="t" filled="f" o:preferrelative="t" stroked="f" coordsize="21600,21600">
            <v:path/>
            <v:fill on="f" focussize="0,0"/>
            <v:stroke on="f"/>
            <v:imagedata r:id="rId21" o:title=""/>
            <o:lock v:ext="edit" aspectratio="t"/>
            <w10:wrap type="none"/>
            <w10:anchorlock/>
          </v:shape>
          <o:OLEObject Type="Embed" ProgID="Excel.Chart.8" ShapeID="_x0000_i1027" DrawAspect="Content" ObjectID="_1468075730" r:id="rId20">
            <o:LockedField>false</o:LockedField>
          </o:OLEObject>
        </w:object>
      </w:r>
      <w:r>
        <w:rPr>
          <w:rFonts w:hint="default" w:ascii="Times New Roman" w:hAnsi="Times New Roman" w:eastAsia="仿宋" w:cs="Times New Roman"/>
          <w:b/>
          <w:color w:val="auto"/>
          <w:sz w:val="32"/>
          <w:szCs w:val="32"/>
          <w:highlight w:val="none"/>
          <w:lang w:val="en-US" w:eastAsia="zh-CN"/>
        </w:rPr>
        <w:t xml:space="preserve">    </w:t>
      </w:r>
      <w:r>
        <w:rPr>
          <w:rFonts w:hint="default" w:ascii="Times New Roman" w:hAnsi="Times New Roman" w:eastAsia="仿宋_GB2312" w:cs="Times New Roman"/>
          <w:sz w:val="32"/>
          <w:szCs w:val="32"/>
        </w:rPr>
        <w:t>（图6：一般公共预算财政拨款支出决算结构）</w:t>
      </w:r>
    </w:p>
    <w:p w14:paraId="2933DF04">
      <w:pPr>
        <w:spacing w:line="600" w:lineRule="exact"/>
        <w:ind w:firstLine="643" w:firstLineChars="200"/>
        <w:outlineLvl w:val="2"/>
        <w:rPr>
          <w:rFonts w:hint="default" w:ascii="Times New Roman" w:hAnsi="Times New Roman" w:eastAsia="楷体_GB2312" w:cs="Times New Roman"/>
          <w:b/>
          <w:sz w:val="32"/>
          <w:szCs w:val="32"/>
        </w:rPr>
      </w:pPr>
      <w:bookmarkStart w:id="34" w:name="_Toc15377212"/>
      <w:r>
        <w:rPr>
          <w:rFonts w:hint="default" w:ascii="Times New Roman" w:hAnsi="Times New Roman" w:eastAsia="楷体_GB2312" w:cs="Times New Roman"/>
          <w:b/>
          <w:sz w:val="32"/>
          <w:szCs w:val="32"/>
        </w:rPr>
        <w:t>（三）一般公共预算财政拨款支出决算具体情况</w:t>
      </w:r>
      <w:bookmarkEnd w:id="34"/>
    </w:p>
    <w:p w14:paraId="0C547C31">
      <w:pPr>
        <w:spacing w:line="600" w:lineRule="exact"/>
        <w:ind w:firstLine="640"/>
        <w:rPr>
          <w:rFonts w:hint="default" w:ascii="Times New Roman" w:hAnsi="Times New Roman" w:eastAsia="仿宋_GB2312" w:cs="Times New Roman"/>
          <w:sz w:val="32"/>
          <w:szCs w:val="32"/>
        </w:rPr>
      </w:pPr>
      <w:bookmarkStart w:id="35" w:name="_Toc15378460"/>
      <w:bookmarkStart w:id="36" w:name="_Toc15377213"/>
      <w:bookmarkStart w:id="37" w:name="_Toc15377444"/>
      <w:r>
        <w:rPr>
          <w:rFonts w:hint="default" w:ascii="Times New Roman" w:hAnsi="Times New Roman" w:eastAsia="仿宋_GB2312" w:cs="Times New Roman"/>
          <w:sz w:val="32"/>
          <w:szCs w:val="32"/>
        </w:rPr>
        <w:t>2024年度一般公共预算财政拨款支出决算数为</w:t>
      </w:r>
      <w:r>
        <w:rPr>
          <w:rFonts w:hint="default" w:ascii="Times New Roman" w:hAnsi="Times New Roman" w:eastAsia="仿宋_GB2312" w:cs="Times New Roman"/>
          <w:sz w:val="32"/>
          <w:szCs w:val="32"/>
          <w:lang w:val="en-US" w:eastAsia="zh-CN"/>
        </w:rPr>
        <w:t>669.35万元</w:t>
      </w:r>
      <w:r>
        <w:rPr>
          <w:rFonts w:hint="default" w:ascii="Times New Roman" w:hAnsi="Times New Roman" w:eastAsia="仿宋_GB2312" w:cs="Times New Roman"/>
          <w:sz w:val="32"/>
          <w:szCs w:val="32"/>
        </w:rPr>
        <w:t>，完成预算</w:t>
      </w:r>
      <w:r>
        <w:rPr>
          <w:rFonts w:hint="default"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%。其中：</w:t>
      </w:r>
      <w:bookmarkEnd w:id="35"/>
      <w:bookmarkEnd w:id="36"/>
      <w:bookmarkEnd w:id="37"/>
    </w:p>
    <w:p w14:paraId="3BCC4DE5">
      <w:pPr>
        <w:numPr>
          <w:ilvl w:val="0"/>
          <w:numId w:val="0"/>
        </w:numPr>
        <w:spacing w:line="600" w:lineRule="exact"/>
        <w:ind w:firstLine="640" w:firstLineChars="200"/>
        <w:rPr>
          <w:rStyle w:val="18"/>
          <w:rFonts w:hint="default" w:ascii="Times New Roman" w:hAnsi="Times New Roman" w:eastAsia="仿宋_GB2312" w:cs="Times New Roman"/>
          <w:b w:val="0"/>
          <w:bCs w:val="0"/>
          <w:color w:val="auto"/>
          <w:sz w:val="32"/>
          <w:szCs w:val="32"/>
          <w:highlight w:val="none"/>
        </w:rPr>
      </w:pPr>
      <w:r>
        <w:rPr>
          <w:rStyle w:val="18"/>
          <w:rFonts w:hint="default" w:ascii="Times New Roman" w:hAnsi="Times New Roman" w:eastAsia="仿宋_GB2312" w:cs="Times New Roman"/>
          <w:b w:val="0"/>
          <w:bCs w:val="0"/>
          <w:color w:val="auto"/>
          <w:sz w:val="32"/>
          <w:szCs w:val="32"/>
          <w:highlight w:val="none"/>
          <w:lang w:val="en-US" w:eastAsia="zh-CN"/>
        </w:rPr>
        <w:t>1.</w:t>
      </w:r>
      <w:r>
        <w:rPr>
          <w:rStyle w:val="18"/>
          <w:rFonts w:hint="default" w:ascii="Times New Roman" w:hAnsi="Times New Roman" w:eastAsia="仿宋_GB2312" w:cs="Times New Roman"/>
          <w:b w:val="0"/>
          <w:bCs w:val="0"/>
          <w:color w:val="auto"/>
          <w:sz w:val="32"/>
          <w:szCs w:val="32"/>
          <w:highlight w:val="none"/>
        </w:rPr>
        <w:t>一般公共服务</w:t>
      </w:r>
      <w:r>
        <w:rPr>
          <w:rStyle w:val="18"/>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201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党委办公厅（室）及相关机构事务</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31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行政运行</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437.28</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p>
    <w:p w14:paraId="7A8AB2FA">
      <w:pPr>
        <w:spacing w:line="600" w:lineRule="exact"/>
        <w:ind w:firstLine="640" w:firstLineChars="200"/>
        <w:rPr>
          <w:rStyle w:val="18"/>
          <w:rFonts w:hint="default" w:ascii="Times New Roman" w:hAnsi="Times New Roman" w:eastAsia="仿宋_GB2312" w:cs="Times New Roman"/>
          <w:b w:val="0"/>
          <w:bCs w:val="0"/>
          <w:color w:val="auto"/>
          <w:sz w:val="32"/>
          <w:szCs w:val="32"/>
          <w:highlight w:val="none"/>
        </w:rPr>
      </w:pPr>
      <w:r>
        <w:rPr>
          <w:rStyle w:val="18"/>
          <w:rFonts w:hint="default" w:ascii="Times New Roman" w:hAnsi="Times New Roman" w:eastAsia="仿宋_GB2312" w:cs="Times New Roman"/>
          <w:b w:val="0"/>
          <w:bCs w:val="0"/>
          <w:color w:val="auto"/>
          <w:sz w:val="32"/>
          <w:szCs w:val="32"/>
          <w:highlight w:val="none"/>
          <w:lang w:val="en-US" w:eastAsia="zh-CN"/>
        </w:rPr>
        <w:t>2</w:t>
      </w:r>
      <w:r>
        <w:rPr>
          <w:rStyle w:val="18"/>
          <w:rFonts w:hint="default" w:ascii="Times New Roman" w:hAnsi="Times New Roman" w:eastAsia="仿宋_GB2312" w:cs="Times New Roman"/>
          <w:b w:val="0"/>
          <w:bCs w:val="0"/>
          <w:color w:val="auto"/>
          <w:sz w:val="32"/>
          <w:szCs w:val="32"/>
          <w:highlight w:val="none"/>
        </w:rPr>
        <w:t>.一般公共服务</w:t>
      </w:r>
      <w:r>
        <w:rPr>
          <w:rStyle w:val="18"/>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201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党委办公厅（室）及相关机构事务</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31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事业运行</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50</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3.13</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p>
    <w:p w14:paraId="7AAB5471">
      <w:pPr>
        <w:spacing w:line="600" w:lineRule="exact"/>
        <w:ind w:firstLine="640" w:firstLineChars="200"/>
        <w:rPr>
          <w:rFonts w:hint="default" w:ascii="Times New Roman" w:hAnsi="Times New Roman" w:eastAsia="仿宋_GB2312" w:cs="Times New Roman"/>
          <w:b w:val="0"/>
          <w:bCs w:val="0"/>
          <w:color w:val="auto"/>
          <w:sz w:val="32"/>
          <w:szCs w:val="32"/>
          <w:highlight w:val="none"/>
        </w:rPr>
      </w:pPr>
      <w:r>
        <w:rPr>
          <w:rStyle w:val="18"/>
          <w:rFonts w:hint="default" w:ascii="Times New Roman" w:hAnsi="Times New Roman" w:eastAsia="仿宋_GB2312" w:cs="Times New Roman"/>
          <w:b w:val="0"/>
          <w:bCs w:val="0"/>
          <w:color w:val="auto"/>
          <w:sz w:val="32"/>
          <w:szCs w:val="32"/>
          <w:highlight w:val="none"/>
          <w:lang w:val="en-US" w:eastAsia="zh-CN"/>
        </w:rPr>
        <w:t>3</w:t>
      </w:r>
      <w:r>
        <w:rPr>
          <w:rStyle w:val="18"/>
          <w:rFonts w:hint="default" w:ascii="Times New Roman" w:hAnsi="Times New Roman" w:eastAsia="仿宋_GB2312" w:cs="Times New Roman"/>
          <w:b w:val="0"/>
          <w:bCs w:val="0"/>
          <w:color w:val="auto"/>
          <w:sz w:val="32"/>
          <w:szCs w:val="32"/>
          <w:highlight w:val="none"/>
        </w:rPr>
        <w:t>.一般公共服务</w:t>
      </w:r>
      <w:r>
        <w:rPr>
          <w:rStyle w:val="18"/>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201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党委办公厅（室）及相关机构事务</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31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一般行政管理事务</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02</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33.88</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p>
    <w:p w14:paraId="0A106940">
      <w:pPr>
        <w:spacing w:line="600" w:lineRule="exact"/>
        <w:ind w:firstLine="640" w:firstLineChars="200"/>
        <w:rPr>
          <w:rFonts w:hint="default" w:ascii="Times New Roman" w:hAnsi="Times New Roman" w:eastAsia="仿宋_GB2312" w:cs="Times New Roman"/>
          <w:b w:val="0"/>
          <w:bCs w:val="0"/>
          <w:color w:val="auto"/>
          <w:sz w:val="32"/>
          <w:szCs w:val="32"/>
          <w:highlight w:val="none"/>
        </w:rPr>
      </w:pPr>
      <w:r>
        <w:rPr>
          <w:rStyle w:val="18"/>
          <w:rFonts w:hint="default" w:ascii="Times New Roman" w:hAnsi="Times New Roman" w:eastAsia="仿宋_GB2312" w:cs="Times New Roman"/>
          <w:b w:val="0"/>
          <w:bCs w:val="0"/>
          <w:color w:val="auto"/>
          <w:sz w:val="32"/>
          <w:szCs w:val="32"/>
          <w:highlight w:val="none"/>
          <w:lang w:val="en-US" w:eastAsia="zh-CN"/>
        </w:rPr>
        <w:t>4</w:t>
      </w:r>
      <w:r>
        <w:rPr>
          <w:rStyle w:val="18"/>
          <w:rFonts w:hint="default" w:ascii="Times New Roman" w:hAnsi="Times New Roman" w:eastAsia="仿宋_GB2312" w:cs="Times New Roman"/>
          <w:b w:val="0"/>
          <w:bCs w:val="0"/>
          <w:color w:val="auto"/>
          <w:sz w:val="32"/>
          <w:szCs w:val="32"/>
          <w:highlight w:val="none"/>
        </w:rPr>
        <w:t>.一般公共服务</w:t>
      </w:r>
      <w:r>
        <w:rPr>
          <w:rStyle w:val="18"/>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201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党委办公厅（室）及相关机构事务</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31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专项业务</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05</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80</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p>
    <w:p w14:paraId="13340348">
      <w:pPr>
        <w:spacing w:line="600" w:lineRule="exact"/>
        <w:ind w:firstLine="640" w:firstLineChars="200"/>
        <w:rPr>
          <w:rFonts w:hint="default" w:ascii="Times New Roman" w:hAnsi="Times New Roman" w:eastAsia="仿宋_GB2312" w:cs="Times New Roman"/>
          <w:b w:val="0"/>
          <w:bCs w:val="0"/>
          <w:color w:val="auto"/>
          <w:sz w:val="32"/>
          <w:szCs w:val="32"/>
          <w:highlight w:val="none"/>
          <w:lang w:eastAsia="zh-CN"/>
        </w:rPr>
      </w:pPr>
      <w:r>
        <w:rPr>
          <w:rStyle w:val="18"/>
          <w:rFonts w:hint="default" w:ascii="Times New Roman" w:hAnsi="Times New Roman" w:eastAsia="仿宋_GB2312" w:cs="Times New Roman"/>
          <w:b w:val="0"/>
          <w:bCs w:val="0"/>
          <w:color w:val="auto"/>
          <w:sz w:val="32"/>
          <w:szCs w:val="32"/>
          <w:highlight w:val="none"/>
          <w:lang w:val="en-US" w:eastAsia="zh-CN"/>
        </w:rPr>
        <w:t>5</w:t>
      </w:r>
      <w:r>
        <w:rPr>
          <w:rStyle w:val="18"/>
          <w:rFonts w:hint="default" w:ascii="Times New Roman" w:hAnsi="Times New Roman" w:eastAsia="仿宋_GB2312" w:cs="Times New Roman"/>
          <w:b w:val="0"/>
          <w:bCs w:val="0"/>
          <w:color w:val="auto"/>
          <w:sz w:val="32"/>
          <w:szCs w:val="32"/>
          <w:highlight w:val="none"/>
        </w:rPr>
        <w:t>.社会保障和就业</w:t>
      </w:r>
      <w:r>
        <w:rPr>
          <w:rStyle w:val="18"/>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208</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行政事业单位养老支出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05</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机关事业单位基本养老保险缴费支出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05）:</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39.51</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eastAsia="zh-CN"/>
        </w:rPr>
        <w:t>。</w:t>
      </w:r>
    </w:p>
    <w:p w14:paraId="2F8AFA7C">
      <w:pPr>
        <w:spacing w:line="600" w:lineRule="exact"/>
        <w:ind w:firstLine="640" w:firstLineChars="200"/>
        <w:rPr>
          <w:rStyle w:val="18"/>
          <w:rFonts w:hint="default" w:ascii="Times New Roman" w:hAnsi="Times New Roman" w:eastAsia="仿宋_GB2312" w:cs="Times New Roman"/>
          <w:b w:val="0"/>
          <w:bCs w:val="0"/>
          <w:color w:val="auto"/>
          <w:sz w:val="32"/>
          <w:szCs w:val="32"/>
          <w:highlight w:val="none"/>
        </w:rPr>
      </w:pPr>
      <w:r>
        <w:rPr>
          <w:rStyle w:val="18"/>
          <w:rFonts w:hint="default" w:ascii="Times New Roman" w:hAnsi="Times New Roman" w:eastAsia="仿宋_GB2312" w:cs="Times New Roman"/>
          <w:b w:val="0"/>
          <w:bCs w:val="0"/>
          <w:color w:val="auto"/>
          <w:sz w:val="32"/>
          <w:szCs w:val="32"/>
          <w:highlight w:val="none"/>
          <w:lang w:val="en-US" w:eastAsia="zh-CN"/>
        </w:rPr>
        <w:t>6</w:t>
      </w:r>
      <w:r>
        <w:rPr>
          <w:rStyle w:val="18"/>
          <w:rFonts w:hint="default" w:ascii="Times New Roman" w:hAnsi="Times New Roman" w:eastAsia="仿宋_GB2312" w:cs="Times New Roman"/>
          <w:b w:val="0"/>
          <w:bCs w:val="0"/>
          <w:color w:val="auto"/>
          <w:sz w:val="32"/>
          <w:szCs w:val="32"/>
          <w:highlight w:val="none"/>
        </w:rPr>
        <w:t>.社会保障和就业</w:t>
      </w:r>
      <w:r>
        <w:rPr>
          <w:rStyle w:val="18"/>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208</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行政事业单位养老支出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06</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机关事业单位基本养老保险缴费支出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06</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19.78</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eastAsia="zh-CN"/>
        </w:rPr>
        <w:t>。</w:t>
      </w:r>
    </w:p>
    <w:p w14:paraId="4ECB1BB5">
      <w:pPr>
        <w:spacing w:line="600" w:lineRule="exact"/>
        <w:ind w:firstLine="640" w:firstLineChars="200"/>
        <w:rPr>
          <w:rFonts w:hint="default" w:ascii="Times New Roman" w:hAnsi="Times New Roman" w:eastAsia="仿宋_GB2312" w:cs="Times New Roman"/>
          <w:b w:val="0"/>
          <w:bCs w:val="0"/>
          <w:color w:val="auto"/>
          <w:sz w:val="32"/>
          <w:szCs w:val="32"/>
          <w:highlight w:val="none"/>
        </w:rPr>
      </w:pPr>
      <w:r>
        <w:rPr>
          <w:rStyle w:val="18"/>
          <w:rFonts w:hint="default"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Times New Roman"/>
          <w:b w:val="0"/>
          <w:bCs w:val="0"/>
          <w:color w:val="auto"/>
          <w:sz w:val="32"/>
          <w:szCs w:val="32"/>
          <w:highlight w:val="none"/>
        </w:rPr>
        <w:t>卫生健康</w:t>
      </w:r>
      <w:r>
        <w:rPr>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210</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行政事业单位医疗</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11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行政单位医疗</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18.58</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p>
    <w:p w14:paraId="43DE9EF1">
      <w:pPr>
        <w:spacing w:line="600" w:lineRule="exact"/>
        <w:ind w:firstLine="640" w:firstLineChars="200"/>
        <w:rPr>
          <w:rStyle w:val="18"/>
          <w:rFonts w:hint="default" w:ascii="Times New Roman" w:hAnsi="Times New Roman" w:eastAsia="仿宋_GB2312" w:cs="Times New Roman"/>
          <w:b w:val="0"/>
          <w:bCs w:val="0"/>
          <w:color w:val="auto"/>
          <w:sz w:val="32"/>
          <w:szCs w:val="32"/>
          <w:highlight w:val="none"/>
        </w:rPr>
      </w:pPr>
      <w:r>
        <w:rPr>
          <w:rStyle w:val="18"/>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rPr>
        <w:t>卫生健康</w:t>
      </w:r>
      <w:r>
        <w:rPr>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210</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行政事业单位医疗</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11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公务员医疗补助</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03</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5.29</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p>
    <w:p w14:paraId="4AD65513">
      <w:pPr>
        <w:spacing w:line="600" w:lineRule="exact"/>
        <w:ind w:firstLine="640" w:firstLineChars="200"/>
        <w:rPr>
          <w:rFonts w:hint="default" w:ascii="Times New Roman" w:hAnsi="Times New Roman" w:eastAsia="仿宋_GB2312" w:cs="Times New Roman"/>
          <w:b w:val="0"/>
          <w:bCs w:val="0"/>
          <w:color w:val="auto"/>
          <w:sz w:val="32"/>
          <w:szCs w:val="32"/>
          <w:highlight w:val="none"/>
        </w:rPr>
      </w:pPr>
      <w:r>
        <w:rPr>
          <w:rStyle w:val="18"/>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rPr>
        <w:t>卫生健康</w:t>
      </w:r>
      <w:r>
        <w:rPr>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210</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行政事业单位医疗</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11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事业单位医疗</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02</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0.06</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p>
    <w:p w14:paraId="5E876914">
      <w:pPr>
        <w:spacing w:line="600" w:lineRule="exact"/>
        <w:ind w:firstLine="640" w:firstLineChars="200"/>
        <w:rPr>
          <w:rFonts w:hint="default" w:ascii="Times New Roman" w:hAnsi="Times New Roman" w:eastAsia="仿宋_GB2312" w:cs="Times New Roman"/>
          <w:b w:val="0"/>
          <w:bCs w:val="0"/>
        </w:rPr>
      </w:pPr>
      <w:r>
        <w:rPr>
          <w:rStyle w:val="18"/>
          <w:rFonts w:hint="default" w:ascii="Times New Roman" w:hAnsi="Times New Roman" w:eastAsia="仿宋_GB2312" w:cs="Times New Roman"/>
          <w:b w:val="0"/>
          <w:bCs w:val="0"/>
          <w:color w:val="auto"/>
          <w:sz w:val="32"/>
          <w:szCs w:val="32"/>
          <w:highlight w:val="none"/>
          <w:lang w:val="en-US" w:eastAsia="zh-CN"/>
        </w:rPr>
        <w:t>10.</w:t>
      </w:r>
      <w:r>
        <w:rPr>
          <w:rFonts w:hint="default" w:ascii="Times New Roman" w:hAnsi="Times New Roman" w:eastAsia="仿宋_GB2312" w:cs="Times New Roman"/>
          <w:b w:val="0"/>
          <w:bCs w:val="0"/>
          <w:color w:val="auto"/>
          <w:sz w:val="32"/>
          <w:szCs w:val="32"/>
          <w:highlight w:val="none"/>
        </w:rPr>
        <w:t>卫生健康</w:t>
      </w:r>
      <w:r>
        <w:rPr>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210</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行政事业单位医疗</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11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其他行政事业单位医疗支出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99</w:t>
      </w:r>
      <w:r>
        <w:rPr>
          <w:rStyle w:val="18"/>
          <w:rFonts w:hint="default" w:ascii="Times New Roman" w:hAnsi="Times New Roman" w:eastAsia="仿宋_GB2312" w:cs="Times New Roman"/>
          <w:b w:val="0"/>
          <w:bCs w:val="0"/>
          <w:color w:val="auto"/>
          <w:sz w:val="32"/>
          <w:szCs w:val="32"/>
          <w:highlight w:val="none"/>
        </w:rPr>
        <w:t>）</w:t>
      </w:r>
      <w:r>
        <w:rPr>
          <w:rStyle w:val="18"/>
          <w:rFonts w:hint="eastAsia" w:eastAsia="仿宋_GB2312" w:cs="Times New Roman"/>
          <w:b w:val="0"/>
          <w:bCs w:val="0"/>
          <w:color w:val="auto"/>
          <w:sz w:val="32"/>
          <w:szCs w:val="32"/>
          <w:highlight w:val="none"/>
          <w:lang w:val="en-US" w:eastAsia="zh-CN"/>
        </w:rPr>
        <w:t>:</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0.22</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p>
    <w:p w14:paraId="3EA5EF28">
      <w:pPr>
        <w:spacing w:line="600" w:lineRule="exact"/>
        <w:ind w:firstLine="640" w:firstLineChars="200"/>
        <w:rPr>
          <w:rFonts w:hint="default" w:ascii="Times New Roman" w:hAnsi="Times New Roman" w:eastAsia="仿宋_GB2312" w:cs="Times New Roman"/>
          <w:b w:val="0"/>
          <w:bCs w:val="0"/>
          <w:sz w:val="32"/>
          <w:szCs w:val="32"/>
        </w:rPr>
      </w:pPr>
      <w:r>
        <w:rPr>
          <w:rStyle w:val="18"/>
          <w:rFonts w:hint="default" w:ascii="Times New Roman" w:hAnsi="Times New Roman" w:eastAsia="仿宋_GB2312" w:cs="Times New Roman"/>
          <w:b w:val="0"/>
          <w:bCs w:val="0"/>
          <w:color w:val="auto"/>
          <w:sz w:val="32"/>
          <w:szCs w:val="32"/>
          <w:highlight w:val="none"/>
          <w:lang w:val="en-US" w:eastAsia="zh-CN"/>
        </w:rPr>
        <w:t>11.住房保障</w:t>
      </w:r>
      <w:r>
        <w:rPr>
          <w:rFonts w:hint="default" w:ascii="Times New Roman" w:hAnsi="Times New Roman" w:eastAsia="仿宋_GB2312" w:cs="Times New Roman"/>
          <w:b w:val="0"/>
          <w:bCs w:val="0"/>
          <w:color w:val="auto"/>
          <w:sz w:val="32"/>
          <w:szCs w:val="32"/>
          <w:highlight w:val="none"/>
          <w:lang w:val="en-US" w:eastAsia="zh-CN"/>
        </w:rPr>
        <w:t>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221</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住房改革支出</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02</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住房公积金</w:t>
      </w:r>
      <w:r>
        <w:rPr>
          <w:rStyle w:val="18"/>
          <w:rFonts w:hint="default" w:ascii="Times New Roman" w:hAnsi="Times New Roman" w:eastAsia="仿宋_GB2312" w:cs="Times New Roman"/>
          <w:b w:val="0"/>
          <w:bCs w:val="0"/>
          <w:color w:val="auto"/>
          <w:sz w:val="32"/>
          <w:szCs w:val="32"/>
          <w:highlight w:val="none"/>
        </w:rPr>
        <w:t>（</w:t>
      </w:r>
      <w:r>
        <w:rPr>
          <w:rStyle w:val="18"/>
          <w:rFonts w:hint="default" w:ascii="Times New Roman" w:hAnsi="Times New Roman" w:eastAsia="仿宋_GB2312" w:cs="Times New Roman"/>
          <w:b w:val="0"/>
          <w:bCs w:val="0"/>
          <w:color w:val="auto"/>
          <w:sz w:val="32"/>
          <w:szCs w:val="32"/>
          <w:highlight w:val="none"/>
          <w:lang w:val="en-US" w:eastAsia="zh-CN"/>
        </w:rPr>
        <w:t>01</w:t>
      </w:r>
      <w:r>
        <w:rPr>
          <w:rStyle w:val="18"/>
          <w:rFonts w:hint="default" w:ascii="Times New Roman" w:hAnsi="Times New Roman" w:eastAsia="仿宋_GB2312" w:cs="Times New Roman"/>
          <w:b w:val="0"/>
          <w:bCs w:val="0"/>
          <w:color w:val="auto"/>
          <w:sz w:val="32"/>
          <w:szCs w:val="32"/>
          <w:highlight w:val="none"/>
        </w:rPr>
        <w:t>）</w:t>
      </w:r>
      <w:r>
        <w:rPr>
          <w:rStyle w:val="18"/>
          <w:rFonts w:hint="eastAsia" w:eastAsia="仿宋_GB2312" w:cs="Times New Roman"/>
          <w:b w:val="0"/>
          <w:bCs w:val="0"/>
          <w:color w:val="auto"/>
          <w:sz w:val="32"/>
          <w:szCs w:val="32"/>
          <w:highlight w:val="none"/>
          <w:lang w:val="en-US" w:eastAsia="zh-CN"/>
        </w:rPr>
        <w:t>:</w:t>
      </w:r>
      <w:r>
        <w:rPr>
          <w:rStyle w:val="18"/>
          <w:rFonts w:hint="default" w:ascii="Times New Roman" w:hAnsi="Times New Roman" w:eastAsia="仿宋_GB2312" w:cs="Times New Roman"/>
          <w:b w:val="0"/>
          <w:bCs w:val="0"/>
          <w:color w:val="auto"/>
          <w:sz w:val="32"/>
          <w:szCs w:val="32"/>
          <w:highlight w:val="none"/>
        </w:rPr>
        <w:t>支出决算为</w:t>
      </w:r>
      <w:r>
        <w:rPr>
          <w:rStyle w:val="18"/>
          <w:rFonts w:hint="default" w:ascii="Times New Roman" w:hAnsi="Times New Roman" w:eastAsia="仿宋_GB2312" w:cs="Times New Roman"/>
          <w:b w:val="0"/>
          <w:bCs w:val="0"/>
          <w:color w:val="auto"/>
          <w:sz w:val="32"/>
          <w:szCs w:val="32"/>
          <w:highlight w:val="none"/>
          <w:lang w:val="en-US" w:eastAsia="zh-CN"/>
        </w:rPr>
        <w:t>31.64</w:t>
      </w:r>
      <w:r>
        <w:rPr>
          <w:rStyle w:val="18"/>
          <w:rFonts w:hint="default" w:ascii="Times New Roman" w:hAnsi="Times New Roman" w:eastAsia="仿宋_GB2312" w:cs="Times New Roman"/>
          <w:b w:val="0"/>
          <w:bCs w:val="0"/>
          <w:color w:val="auto"/>
          <w:sz w:val="32"/>
          <w:szCs w:val="32"/>
          <w:highlight w:val="none"/>
        </w:rPr>
        <w:t>万元，完成预算</w:t>
      </w:r>
      <w:r>
        <w:rPr>
          <w:rStyle w:val="18"/>
          <w:rFonts w:hint="default" w:ascii="Times New Roman" w:hAnsi="Times New Roman" w:eastAsia="仿宋_GB2312" w:cs="Times New Roman"/>
          <w:b w:val="0"/>
          <w:bCs w:val="0"/>
          <w:color w:val="auto"/>
          <w:sz w:val="32"/>
          <w:szCs w:val="32"/>
          <w:highlight w:val="none"/>
          <w:lang w:val="en-US" w:eastAsia="zh-CN"/>
        </w:rPr>
        <w:t>100</w:t>
      </w:r>
      <w:r>
        <w:rPr>
          <w:rStyle w:val="18"/>
          <w:rFonts w:hint="default" w:ascii="Times New Roman" w:hAnsi="Times New Roman" w:eastAsia="仿宋_GB2312" w:cs="Times New Roman"/>
          <w:b w:val="0"/>
          <w:bCs w:val="0"/>
          <w:color w:val="auto"/>
          <w:sz w:val="32"/>
          <w:szCs w:val="32"/>
          <w:highlight w:val="none"/>
        </w:rPr>
        <w:t>%。</w:t>
      </w:r>
    </w:p>
    <w:p w14:paraId="09FFB682">
      <w:pPr>
        <w:tabs>
          <w:tab w:val="right" w:pos="8306"/>
        </w:tabs>
        <w:spacing w:line="600" w:lineRule="exact"/>
        <w:ind w:firstLine="640"/>
        <w:outlineLvl w:val="1"/>
        <w:rPr>
          <w:rStyle w:val="30"/>
          <w:rFonts w:hint="default" w:ascii="Times New Roman" w:hAnsi="Times New Roman" w:cs="Times New Roman"/>
        </w:rPr>
      </w:pPr>
      <w:bookmarkStart w:id="38" w:name="_Toc15396608"/>
      <w:bookmarkStart w:id="39" w:name="_Toc15377214"/>
      <w:r>
        <w:rPr>
          <w:rFonts w:hint="default" w:ascii="Times New Roman" w:hAnsi="Times New Roman" w:eastAsia="黑体" w:cs="Times New Roman"/>
          <w:sz w:val="32"/>
          <w:szCs w:val="32"/>
        </w:rPr>
        <w:t>六</w:t>
      </w:r>
      <w:r>
        <w:rPr>
          <w:rFonts w:hint="default" w:ascii="Times New Roman" w:hAnsi="Times New Roman" w:eastAsia="黑体" w:cs="Times New Roman"/>
          <w:b/>
          <w:sz w:val="32"/>
          <w:szCs w:val="32"/>
        </w:rPr>
        <w:t>、一</w:t>
      </w:r>
      <w:r>
        <w:rPr>
          <w:rStyle w:val="30"/>
          <w:rFonts w:hint="default" w:ascii="Times New Roman" w:hAnsi="Times New Roman" w:eastAsia="黑体" w:cs="Times New Roman"/>
          <w:b w:val="0"/>
        </w:rPr>
        <w:t>般公共预算财政拨款基本支出决算情况说明</w:t>
      </w:r>
      <w:bookmarkEnd w:id="38"/>
      <w:bookmarkEnd w:id="39"/>
      <w:r>
        <w:rPr>
          <w:rStyle w:val="30"/>
          <w:rFonts w:hint="default" w:ascii="Times New Roman" w:hAnsi="Times New Roman" w:eastAsia="黑体" w:cs="Times New Roman"/>
          <w:b w:val="0"/>
        </w:rPr>
        <w:tab/>
      </w:r>
    </w:p>
    <w:p w14:paraId="2A2FDE49">
      <w:pPr>
        <w:spacing w:line="600" w:lineRule="exact"/>
        <w:ind w:firstLine="645"/>
        <w:rPr>
          <w:rFonts w:hint="default" w:ascii="Times New Roman" w:hAnsi="Times New Roman" w:eastAsia="仿宋_GB2312" w:cs="Times New Roman"/>
          <w:color w:val="auto"/>
          <w:sz w:val="32"/>
          <w:szCs w:val="32"/>
          <w:highlight w:val="none"/>
        </w:rPr>
      </w:pPr>
      <w:bookmarkStart w:id="40" w:name="_Toc15396609"/>
      <w:bookmarkStart w:id="41" w:name="_Toc15377215"/>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度</w:t>
      </w:r>
      <w:r>
        <w:rPr>
          <w:rFonts w:hint="default" w:ascii="Times New Roman" w:hAnsi="Times New Roman" w:eastAsia="仿宋_GB2312" w:cs="Times New Roman"/>
          <w:color w:val="auto"/>
          <w:sz w:val="32"/>
          <w:szCs w:val="32"/>
          <w:highlight w:val="none"/>
        </w:rPr>
        <w:t>一般公共预算财政拨款基本支出</w:t>
      </w:r>
      <w:r>
        <w:rPr>
          <w:rFonts w:hint="default" w:ascii="Times New Roman" w:hAnsi="Times New Roman" w:eastAsia="仿宋_GB2312" w:cs="Times New Roman"/>
          <w:color w:val="auto"/>
          <w:sz w:val="32"/>
          <w:szCs w:val="32"/>
          <w:highlight w:val="none"/>
          <w:lang w:val="en-US" w:eastAsia="zh-CN"/>
        </w:rPr>
        <w:t>555.47</w:t>
      </w:r>
      <w:r>
        <w:rPr>
          <w:rFonts w:hint="default" w:ascii="Times New Roman" w:hAnsi="Times New Roman" w:eastAsia="仿宋_GB2312" w:cs="Times New Roman"/>
          <w:color w:val="auto"/>
          <w:sz w:val="32"/>
          <w:szCs w:val="32"/>
          <w:highlight w:val="none"/>
        </w:rPr>
        <w:t>万元，其中：</w:t>
      </w:r>
    </w:p>
    <w:p w14:paraId="2989C603">
      <w:pPr>
        <w:spacing w:line="600" w:lineRule="exact"/>
        <w:ind w:firstLine="645"/>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人员经费</w:t>
      </w:r>
      <w:r>
        <w:rPr>
          <w:rFonts w:hint="default" w:ascii="Times New Roman" w:hAnsi="Times New Roman" w:eastAsia="仿宋_GB2312" w:cs="Times New Roman"/>
          <w:color w:val="auto"/>
          <w:sz w:val="32"/>
          <w:szCs w:val="32"/>
          <w:highlight w:val="none"/>
          <w:lang w:val="en-US" w:eastAsia="zh-CN"/>
        </w:rPr>
        <w:t>503.25</w:t>
      </w:r>
      <w:r>
        <w:rPr>
          <w:rFonts w:hint="default" w:ascii="Times New Roman" w:hAnsi="Times New Roman" w:eastAsia="仿宋_GB2312" w:cs="Times New Roman"/>
          <w:color w:val="auto"/>
          <w:sz w:val="32"/>
          <w:szCs w:val="32"/>
          <w:highlight w:val="none"/>
        </w:rPr>
        <w:t>万元，主要包括：基本工资、津贴补贴、奖金、伙食补助费、绩效工资、机关事业单位基本养老保险缴费、职业年金缴费、其他社会保障缴费、其他工资福利支出、离休费、退休费、生活补助、医疗费补助、奖励金、住房公积金、其他对个人和家庭的补助支出等。</w:t>
      </w:r>
    </w:p>
    <w:p w14:paraId="29E3FBCA">
      <w:pPr>
        <w:spacing w:line="600" w:lineRule="exact"/>
        <w:ind w:firstLine="64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公用经费</w:t>
      </w:r>
      <w:r>
        <w:rPr>
          <w:rFonts w:hint="default" w:ascii="Times New Roman" w:hAnsi="Times New Roman" w:eastAsia="仿宋_GB2312" w:cs="Times New Roman"/>
          <w:color w:val="auto"/>
          <w:sz w:val="32"/>
          <w:szCs w:val="32"/>
          <w:highlight w:val="none"/>
          <w:lang w:val="en-US" w:eastAsia="zh-CN"/>
        </w:rPr>
        <w:t>52.22</w:t>
      </w:r>
      <w:r>
        <w:rPr>
          <w:rFonts w:hint="default" w:ascii="Times New Roman" w:hAnsi="Times New Roman" w:eastAsia="仿宋_GB2312" w:cs="Times New Roman"/>
          <w:color w:val="auto"/>
          <w:sz w:val="32"/>
          <w:szCs w:val="32"/>
          <w:highlight w:val="none"/>
        </w:rPr>
        <w:t>万元，主要包括：办公费、印刷费、水费、电费、邮电费、差旅费、维修（护）费、会议费、培训费、劳务费、委托业务费、福利费、公务用车运行维护费、其他商品和服务支出、办公设备购置</w:t>
      </w:r>
      <w:r>
        <w:rPr>
          <w:rFonts w:hint="eastAsia" w:ascii="Times New Roman" w:hAnsi="Times New Roman" w:eastAsia="仿宋_GB2312" w:cs="Times New Roman"/>
          <w:color w:val="auto"/>
          <w:sz w:val="32"/>
          <w:szCs w:val="32"/>
          <w:highlight w:val="none"/>
          <w:lang w:val="en-US" w:eastAsia="zh-CN"/>
        </w:rPr>
        <w:t>等</w:t>
      </w:r>
      <w:r>
        <w:rPr>
          <w:rFonts w:hint="default" w:ascii="Times New Roman" w:hAnsi="Times New Roman" w:eastAsia="仿宋_GB2312" w:cs="Times New Roman"/>
          <w:color w:val="auto"/>
          <w:sz w:val="32"/>
          <w:szCs w:val="32"/>
          <w:highlight w:val="none"/>
        </w:rPr>
        <w:t>。</w:t>
      </w:r>
    </w:p>
    <w:p w14:paraId="475093D4">
      <w:pPr>
        <w:spacing w:line="600" w:lineRule="exact"/>
        <w:ind w:firstLine="640"/>
        <w:outlineLvl w:val="1"/>
        <w:rPr>
          <w:rStyle w:val="30"/>
          <w:rFonts w:hint="default" w:ascii="Times New Roman" w:hAnsi="Times New Roman" w:eastAsia="黑体" w:cs="Times New Roman"/>
          <w:b w:val="0"/>
        </w:rPr>
      </w:pPr>
      <w:r>
        <w:rPr>
          <w:rFonts w:hint="default" w:ascii="Times New Roman" w:hAnsi="Times New Roman" w:eastAsia="黑体" w:cs="Times New Roman"/>
          <w:sz w:val="32"/>
          <w:szCs w:val="32"/>
        </w:rPr>
        <w:t>七、</w:t>
      </w:r>
      <w:r>
        <w:rPr>
          <w:rStyle w:val="30"/>
          <w:rFonts w:hint="default" w:ascii="Times New Roman" w:hAnsi="Times New Roman" w:eastAsia="黑体" w:cs="Times New Roman"/>
          <w:b w:val="0"/>
        </w:rPr>
        <w:t>财政拨款</w:t>
      </w:r>
      <w:r>
        <w:rPr>
          <w:rStyle w:val="30"/>
          <w:rFonts w:hint="default" w:ascii="Times New Roman" w:hAnsi="Times New Roman" w:eastAsia="黑体" w:cs="Times New Roman"/>
        </w:rPr>
        <w:t>“</w:t>
      </w:r>
      <w:r>
        <w:rPr>
          <w:rStyle w:val="30"/>
          <w:rFonts w:hint="default" w:ascii="Times New Roman" w:hAnsi="Times New Roman" w:eastAsia="黑体" w:cs="Times New Roman"/>
          <w:b w:val="0"/>
        </w:rPr>
        <w:t>三公”经费支出决算情况说明</w:t>
      </w:r>
      <w:bookmarkEnd w:id="40"/>
      <w:bookmarkEnd w:id="41"/>
    </w:p>
    <w:p w14:paraId="55E32413">
      <w:pPr>
        <w:spacing w:line="600" w:lineRule="exact"/>
        <w:ind w:firstLine="643" w:firstLineChars="200"/>
        <w:outlineLvl w:val="2"/>
        <w:rPr>
          <w:rFonts w:hint="default" w:ascii="Times New Roman" w:hAnsi="Times New Roman" w:eastAsia="楷体_GB2312" w:cs="Times New Roman"/>
          <w:b/>
          <w:sz w:val="32"/>
          <w:szCs w:val="32"/>
        </w:rPr>
      </w:pPr>
      <w:bookmarkStart w:id="42" w:name="_Toc15377216"/>
      <w:r>
        <w:rPr>
          <w:rFonts w:hint="default" w:ascii="Times New Roman" w:hAnsi="Times New Roman" w:eastAsia="楷体_GB2312" w:cs="Times New Roman"/>
          <w:b/>
          <w:sz w:val="32"/>
          <w:szCs w:val="32"/>
        </w:rPr>
        <w:t>（一）“三公”经费财政拨款支出决算总体情况说明</w:t>
      </w:r>
      <w:bookmarkEnd w:id="42"/>
    </w:p>
    <w:p w14:paraId="38291826">
      <w:pPr>
        <w:spacing w:line="600" w:lineRule="exact"/>
        <w:ind w:firstLine="640"/>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sz w:val="32"/>
          <w:szCs w:val="32"/>
        </w:rPr>
        <w:t>2024年度“三公”经费财政拨款支出决算为</w:t>
      </w:r>
      <w:r>
        <w:rPr>
          <w:rFonts w:hint="default" w:ascii="Times New Roman" w:hAnsi="Times New Roman" w:eastAsia="仿宋_GB2312" w:cs="Times New Roman"/>
          <w:sz w:val="32"/>
          <w:szCs w:val="32"/>
          <w:lang w:val="en-US" w:eastAsia="zh-CN"/>
        </w:rPr>
        <w:t>14.4</w:t>
      </w:r>
      <w:r>
        <w:rPr>
          <w:rFonts w:hint="default" w:ascii="Times New Roman" w:hAnsi="Times New Roman" w:eastAsia="仿宋_GB2312" w:cs="Times New Roman"/>
          <w:sz w:val="32"/>
          <w:szCs w:val="32"/>
        </w:rPr>
        <w:t>万元，完成预算</w:t>
      </w:r>
      <w:r>
        <w:rPr>
          <w:rFonts w:hint="default"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%，与预算数持平</w:t>
      </w:r>
      <w:r>
        <w:rPr>
          <w:rFonts w:hint="default" w:ascii="Times New Roman" w:hAnsi="Times New Roman" w:eastAsia="仿宋_GB2312" w:cs="Times New Roman"/>
          <w:sz w:val="32"/>
          <w:szCs w:val="32"/>
          <w:lang w:eastAsia="zh-CN"/>
        </w:rPr>
        <w:t>。</w:t>
      </w:r>
    </w:p>
    <w:p w14:paraId="181B4920">
      <w:pPr>
        <w:spacing w:line="600" w:lineRule="exact"/>
        <w:ind w:firstLine="643" w:firstLineChars="200"/>
        <w:outlineLvl w:val="2"/>
        <w:rPr>
          <w:rFonts w:hint="default" w:ascii="Times New Roman" w:hAnsi="Times New Roman" w:eastAsia="楷体_GB2312" w:cs="Times New Roman"/>
          <w:b/>
          <w:sz w:val="32"/>
          <w:szCs w:val="32"/>
        </w:rPr>
      </w:pPr>
      <w:bookmarkStart w:id="43" w:name="_Toc15377217"/>
      <w:r>
        <w:rPr>
          <w:rFonts w:hint="default" w:ascii="Times New Roman" w:hAnsi="Times New Roman" w:eastAsia="楷体_GB2312" w:cs="Times New Roman"/>
          <w:b/>
          <w:sz w:val="32"/>
          <w:szCs w:val="32"/>
        </w:rPr>
        <w:t>（二）“三公”经费财政拨款支出决算具体情况说明</w:t>
      </w:r>
      <w:bookmarkEnd w:id="43"/>
    </w:p>
    <w:p w14:paraId="5D50E72E">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2024年度“三公”经费财政拨款支出决算中，因公出国（境）费支出决算</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万元；公务用车购置及运行维护费支出决算</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万元；公务接待费支出决算</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w:t>
      </w:r>
    </w:p>
    <w:p w14:paraId="73D482AB">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 w:cs="Times New Roman"/>
          <w:color w:val="auto"/>
          <w:sz w:val="32"/>
          <w:szCs w:val="32"/>
          <w:highlight w:val="none"/>
          <w:lang w:eastAsia="zh-CN"/>
        </w:rPr>
        <w:pict>
          <v:shape id="_x0000_s1029" o:spid="_x0000_s1029" o:spt="75" type="#_x0000_t75" style="position:absolute;left:0pt;margin-left:57.7pt;margin-top:6.35pt;height:242.4pt;width:313.2pt;mso-wrap-distance-bottom:0pt;mso-wrap-distance-left:9pt;mso-wrap-distance-right:9pt;mso-wrap-distance-top:0pt;z-index:251662336;mso-width-relative:page;mso-height-relative:page;" o:ole="t" filled="f" o:preferrelative="t" stroked="f" coordsize="21600,21600">
            <v:path/>
            <v:fill on="f" focussize="0,0"/>
            <v:stroke on="f"/>
            <v:imagedata r:id="rId23" o:title=""/>
            <o:lock v:ext="edit" aspectratio="t"/>
            <w10:wrap type="square"/>
          </v:shape>
          <o:OLEObject Type="Embed" ProgID="Excel.Chart.8" ShapeID="_x0000_s1029" DrawAspect="Content" ObjectID="_1468075731" r:id="rId22">
            <o:LockedField>false</o:LockedField>
          </o:OLEObject>
        </w:pict>
      </w:r>
    </w:p>
    <w:p w14:paraId="7459C990">
      <w:pPr>
        <w:spacing w:line="600" w:lineRule="exact"/>
        <w:ind w:firstLine="640"/>
        <w:rPr>
          <w:rFonts w:hint="default" w:ascii="Times New Roman" w:hAnsi="Times New Roman" w:eastAsia="仿宋_GB2312" w:cs="Times New Roman"/>
          <w:sz w:val="32"/>
          <w:szCs w:val="32"/>
        </w:rPr>
      </w:pPr>
    </w:p>
    <w:p w14:paraId="072AD91E">
      <w:pPr>
        <w:spacing w:line="600" w:lineRule="exact"/>
        <w:ind w:firstLine="640"/>
        <w:rPr>
          <w:rFonts w:hint="default" w:ascii="Times New Roman" w:hAnsi="Times New Roman" w:eastAsia="仿宋_GB2312" w:cs="Times New Roman"/>
          <w:sz w:val="32"/>
          <w:szCs w:val="32"/>
        </w:rPr>
      </w:pPr>
    </w:p>
    <w:p w14:paraId="22A228CE">
      <w:pPr>
        <w:spacing w:line="600" w:lineRule="exact"/>
        <w:ind w:firstLine="640"/>
        <w:rPr>
          <w:rFonts w:hint="default" w:ascii="Times New Roman" w:hAnsi="Times New Roman" w:eastAsia="仿宋_GB2312" w:cs="Times New Roman"/>
          <w:sz w:val="32"/>
          <w:szCs w:val="32"/>
        </w:rPr>
      </w:pPr>
    </w:p>
    <w:p w14:paraId="1BD2AEF7">
      <w:pPr>
        <w:spacing w:line="600" w:lineRule="exact"/>
        <w:rPr>
          <w:rFonts w:hint="default" w:ascii="Times New Roman" w:hAnsi="Times New Roman" w:eastAsia="仿宋_GB2312" w:cs="Times New Roman"/>
          <w:sz w:val="32"/>
          <w:szCs w:val="32"/>
        </w:rPr>
      </w:pPr>
    </w:p>
    <w:p w14:paraId="59D176C0">
      <w:pPr>
        <w:spacing w:line="600" w:lineRule="exact"/>
        <w:ind w:firstLine="640"/>
        <w:rPr>
          <w:rFonts w:hint="default" w:ascii="Times New Roman" w:hAnsi="Times New Roman" w:eastAsia="仿宋_GB2312" w:cs="Times New Roman"/>
          <w:sz w:val="32"/>
          <w:szCs w:val="32"/>
        </w:rPr>
      </w:pPr>
    </w:p>
    <w:p w14:paraId="3502AD73">
      <w:pPr>
        <w:spacing w:line="600" w:lineRule="exact"/>
        <w:ind w:firstLine="1609" w:firstLineChars="503"/>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（图7：“三公”经费财政拨款支出结构）</w:t>
      </w:r>
    </w:p>
    <w:p w14:paraId="5BBB81D4">
      <w:pPr>
        <w:numPr>
          <w:ilvl w:val="0"/>
          <w:numId w:val="0"/>
        </w:numPr>
        <w:spacing w:line="600" w:lineRule="exact"/>
        <w:ind w:firstLine="643" w:firstLineChars="200"/>
        <w:rPr>
          <w:rFonts w:hint="default"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因公出国（境）经费支出</w:t>
      </w:r>
      <w:r>
        <w:rPr>
          <w:rFonts w:hint="default" w:ascii="Times New Roman" w:hAnsi="Times New Roman" w:eastAsia="仿宋_GB2312" w:cs="Times New Roman"/>
          <w:b/>
          <w:bCs/>
          <w:sz w:val="32"/>
          <w:szCs w:val="32"/>
          <w:lang w:val="en-US" w:eastAsia="zh-CN"/>
        </w:rPr>
        <w:t>0</w:t>
      </w:r>
      <w:r>
        <w:rPr>
          <w:rFonts w:hint="default" w:ascii="Times New Roman" w:hAnsi="Times New Roman" w:eastAsia="仿宋_GB2312" w:cs="Times New Roman"/>
          <w:b/>
          <w:bCs/>
          <w:sz w:val="32"/>
          <w:szCs w:val="32"/>
        </w:rPr>
        <w:t>万元，</w:t>
      </w:r>
      <w:r>
        <w:rPr>
          <w:rFonts w:hint="default" w:ascii="Times New Roman" w:hAnsi="Times New Roman" w:eastAsia="仿宋_GB2312" w:cs="Times New Roman"/>
          <w:b/>
          <w:bCs/>
          <w:sz w:val="32"/>
          <w:szCs w:val="32"/>
          <w:lang w:val="en-US" w:eastAsia="zh-CN"/>
        </w:rPr>
        <w:t>未安排因公出国活动</w:t>
      </w:r>
      <w:r>
        <w:rPr>
          <w:rFonts w:hint="default" w:ascii="Times New Roman" w:hAnsi="Times New Roman" w:eastAsia="仿宋_GB2312" w:cs="Times New Roman"/>
          <w:b/>
          <w:bCs/>
          <w:sz w:val="32"/>
          <w:szCs w:val="32"/>
          <w:lang w:eastAsia="zh-CN"/>
        </w:rPr>
        <w:t>。</w:t>
      </w:r>
    </w:p>
    <w:p w14:paraId="46B9BD6F">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2.公务用车购置及运行维护费支出</w:t>
      </w:r>
      <w:r>
        <w:rPr>
          <w:rFonts w:hint="default" w:ascii="Times New Roman" w:hAnsi="Times New Roman" w:eastAsia="仿宋_GB2312" w:cs="Times New Roman"/>
          <w:b/>
          <w:bCs/>
          <w:sz w:val="32"/>
          <w:szCs w:val="32"/>
          <w:lang w:val="en-US" w:eastAsia="zh-CN"/>
        </w:rPr>
        <w:t>14.4</w:t>
      </w:r>
      <w:r>
        <w:rPr>
          <w:rFonts w:hint="default" w:ascii="Times New Roman" w:hAnsi="Times New Roman" w:eastAsia="仿宋_GB2312" w:cs="Times New Roman"/>
          <w:b/>
          <w:bCs/>
          <w:sz w:val="32"/>
          <w:szCs w:val="32"/>
        </w:rPr>
        <w:t>万元，完成预算</w:t>
      </w:r>
      <w:r>
        <w:rPr>
          <w:rFonts w:hint="default" w:ascii="Times New Roman" w:hAnsi="Times New Roman" w:eastAsia="仿宋_GB2312" w:cs="Times New Roman"/>
          <w:b/>
          <w:bCs/>
          <w:sz w:val="32"/>
          <w:szCs w:val="32"/>
          <w:lang w:val="en-US" w:eastAsia="zh-CN"/>
        </w:rPr>
        <w:t>100</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公务用车购置及运行维护费支出决算</w:t>
      </w:r>
      <w:r>
        <w:rPr>
          <w:rFonts w:hint="default" w:ascii="Times New Roman" w:hAnsi="Times New Roman" w:eastAsia="仿宋_GB2312" w:cs="Times New Roman"/>
          <w:sz w:val="32"/>
          <w:szCs w:val="32"/>
          <w:lang w:val="en-US" w:eastAsia="zh-CN"/>
        </w:rPr>
        <w:t>与</w:t>
      </w:r>
      <w:r>
        <w:rPr>
          <w:rFonts w:hint="default" w:ascii="Times New Roman" w:hAnsi="Times New Roman" w:eastAsia="仿宋_GB2312" w:cs="Times New Roman"/>
          <w:sz w:val="32"/>
          <w:szCs w:val="32"/>
        </w:rPr>
        <w:t>2023年度</w:t>
      </w:r>
      <w:r>
        <w:rPr>
          <w:rFonts w:hint="default" w:ascii="Times New Roman" w:hAnsi="Times New Roman" w:eastAsia="仿宋_GB2312" w:cs="Times New Roman"/>
          <w:sz w:val="32"/>
          <w:szCs w:val="32"/>
          <w:lang w:val="en-US" w:eastAsia="zh-CN"/>
        </w:rPr>
        <w:t>持平。</w:t>
      </w:r>
    </w:p>
    <w:p w14:paraId="2F80BDA2">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其中：公务用车购置支出</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万元。全年按规定更新购置公务用车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截至2024年12月31日，单位共有公务用车</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辆，</w:t>
      </w:r>
      <w:r>
        <w:rPr>
          <w:rFonts w:hint="default" w:ascii="Times New Roman" w:hAnsi="Times New Roman" w:eastAsia="仿宋_GB2312" w:cs="Times New Roman"/>
          <w:sz w:val="32"/>
          <w:szCs w:val="32"/>
          <w:lang w:val="en-US" w:eastAsia="zh-CN"/>
        </w:rPr>
        <w:t>都是</w:t>
      </w:r>
      <w:r>
        <w:rPr>
          <w:rFonts w:hint="default" w:ascii="Times New Roman" w:hAnsi="Times New Roman" w:eastAsia="仿宋_GB2312" w:cs="Times New Roman"/>
          <w:sz w:val="32"/>
          <w:szCs w:val="32"/>
        </w:rPr>
        <w:t>越野车。</w:t>
      </w:r>
    </w:p>
    <w:p w14:paraId="72BF8091">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公务用车运行维护费支出</w:t>
      </w:r>
      <w:r>
        <w:rPr>
          <w:rFonts w:hint="default" w:ascii="Times New Roman" w:hAnsi="Times New Roman" w:eastAsia="仿宋_GB2312" w:cs="Times New Roman"/>
          <w:sz w:val="32"/>
          <w:szCs w:val="32"/>
          <w:lang w:val="en-US" w:eastAsia="zh-CN"/>
        </w:rPr>
        <w:t>14.4</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sz w:val="32"/>
          <w:szCs w:val="32"/>
          <w:lang w:eastAsia="zh-CN"/>
        </w:rPr>
        <w:t>主要用于</w:t>
      </w:r>
      <w:r>
        <w:rPr>
          <w:rFonts w:hint="default" w:ascii="Times New Roman" w:hAnsi="Times New Roman" w:eastAsia="仿宋_GB2312" w:cs="Times New Roman"/>
          <w:sz w:val="32"/>
          <w:szCs w:val="32"/>
          <w:lang w:val="en-US" w:eastAsia="zh-CN"/>
        </w:rPr>
        <w:t>开展党建调研、驻村帮扶督导、日常工作等</w:t>
      </w:r>
      <w:r>
        <w:rPr>
          <w:rFonts w:hint="default" w:ascii="Times New Roman" w:hAnsi="Times New Roman" w:eastAsia="仿宋_GB2312" w:cs="Times New Roman"/>
          <w:sz w:val="32"/>
          <w:szCs w:val="32"/>
        </w:rPr>
        <w:t>所需的公务用车燃料费、维修费、过路过桥费、保险费等支出。</w:t>
      </w:r>
    </w:p>
    <w:p w14:paraId="0DF7D7CC">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3.公务接待费支出</w:t>
      </w:r>
      <w:r>
        <w:rPr>
          <w:rFonts w:hint="default" w:ascii="Times New Roman" w:hAnsi="Times New Roman" w:eastAsia="仿宋_GB2312" w:cs="Times New Roman"/>
          <w:b/>
          <w:bCs/>
          <w:sz w:val="32"/>
          <w:szCs w:val="32"/>
          <w:lang w:val="en-US" w:eastAsia="zh-CN"/>
        </w:rPr>
        <w:t>0</w:t>
      </w:r>
      <w:r>
        <w:rPr>
          <w:rFonts w:hint="default" w:ascii="Times New Roman" w:hAnsi="Times New Roman" w:eastAsia="仿宋_GB2312" w:cs="Times New Roman"/>
          <w:b/>
          <w:bCs/>
          <w:sz w:val="32"/>
          <w:szCs w:val="32"/>
        </w:rPr>
        <w:t>万元，</w:t>
      </w:r>
      <w:r>
        <w:rPr>
          <w:rFonts w:hint="default" w:ascii="Times New Roman" w:hAnsi="Times New Roman" w:eastAsia="仿宋_GB2312" w:cs="Times New Roman"/>
          <w:b/>
          <w:bCs/>
          <w:sz w:val="32"/>
          <w:szCs w:val="32"/>
          <w:lang w:val="en-US" w:eastAsia="zh-CN"/>
        </w:rPr>
        <w:t>公</w:t>
      </w:r>
      <w:r>
        <w:rPr>
          <w:rFonts w:hint="default" w:ascii="Times New Roman" w:hAnsi="Times New Roman" w:eastAsia="仿宋_GB2312" w:cs="Times New Roman"/>
          <w:sz w:val="32"/>
          <w:szCs w:val="32"/>
        </w:rPr>
        <w:t>务接待费支出决算</w:t>
      </w:r>
      <w:r>
        <w:rPr>
          <w:rFonts w:hint="default" w:ascii="Times New Roman" w:hAnsi="Times New Roman" w:eastAsia="仿宋_GB2312" w:cs="Times New Roman"/>
          <w:sz w:val="32"/>
          <w:szCs w:val="32"/>
          <w:lang w:val="en-US" w:eastAsia="zh-CN"/>
        </w:rPr>
        <w:t>与</w:t>
      </w:r>
      <w:r>
        <w:rPr>
          <w:rFonts w:hint="default" w:ascii="Times New Roman" w:hAnsi="Times New Roman" w:eastAsia="仿宋_GB2312" w:cs="Times New Roman"/>
          <w:sz w:val="32"/>
          <w:szCs w:val="32"/>
        </w:rPr>
        <w:t>2023年度</w:t>
      </w:r>
      <w:r>
        <w:rPr>
          <w:rFonts w:hint="default" w:ascii="Times New Roman" w:hAnsi="Times New Roman" w:eastAsia="仿宋_GB2312" w:cs="Times New Roman"/>
          <w:sz w:val="32"/>
          <w:szCs w:val="32"/>
          <w:lang w:val="en-US" w:eastAsia="zh-CN"/>
        </w:rPr>
        <w:t>持平。</w:t>
      </w:r>
      <w:bookmarkStart w:id="44" w:name="_Toc15396610"/>
      <w:bookmarkStart w:id="45" w:name="_Toc15377218"/>
    </w:p>
    <w:p w14:paraId="47228CBE">
      <w:pPr>
        <w:spacing w:line="600" w:lineRule="exact"/>
        <w:ind w:firstLine="640"/>
        <w:outlineLvl w:val="1"/>
        <w:rPr>
          <w:rStyle w:val="30"/>
          <w:rFonts w:hint="default" w:ascii="Times New Roman" w:hAnsi="Times New Roman" w:eastAsia="黑体" w:cs="Times New Roman"/>
        </w:rPr>
      </w:pPr>
      <w:r>
        <w:rPr>
          <w:rFonts w:hint="default" w:ascii="Times New Roman" w:hAnsi="Times New Roman" w:eastAsia="黑体" w:cs="Times New Roman"/>
          <w:sz w:val="32"/>
          <w:szCs w:val="32"/>
        </w:rPr>
        <w:t>八、</w:t>
      </w:r>
      <w:r>
        <w:rPr>
          <w:rStyle w:val="30"/>
          <w:rFonts w:hint="default" w:ascii="Times New Roman" w:hAnsi="Times New Roman" w:eastAsia="黑体" w:cs="Times New Roman"/>
          <w:b w:val="0"/>
        </w:rPr>
        <w:t>政府性基金预算支出决算情况说明</w:t>
      </w:r>
      <w:bookmarkEnd w:id="44"/>
      <w:bookmarkEnd w:id="45"/>
    </w:p>
    <w:p w14:paraId="469BDC26">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2024年度政府性基金预算财政拨款支出</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w:t>
      </w:r>
    </w:p>
    <w:p w14:paraId="4A9A739A">
      <w:pPr>
        <w:spacing w:line="600" w:lineRule="exact"/>
        <w:ind w:left="630"/>
        <w:outlineLvl w:val="1"/>
        <w:rPr>
          <w:rStyle w:val="30"/>
          <w:rFonts w:hint="default" w:ascii="Times New Roman" w:hAnsi="Times New Roman" w:eastAsia="黑体" w:cs="Times New Roman"/>
          <w:b w:val="0"/>
        </w:rPr>
      </w:pPr>
      <w:bookmarkStart w:id="46" w:name="_Toc15396611"/>
      <w:bookmarkStart w:id="47" w:name="_Toc15377219"/>
      <w:r>
        <w:rPr>
          <w:rStyle w:val="30"/>
          <w:rFonts w:hint="default" w:ascii="Times New Roman" w:hAnsi="Times New Roman" w:eastAsia="黑体" w:cs="Times New Roman"/>
          <w:b w:val="0"/>
        </w:rPr>
        <w:t>九、国有资本经营预算支出决算情况说明</w:t>
      </w:r>
      <w:bookmarkEnd w:id="46"/>
      <w:bookmarkEnd w:id="47"/>
    </w:p>
    <w:p w14:paraId="7AE95F82">
      <w:pPr>
        <w:spacing w:line="600" w:lineRule="exact"/>
        <w:ind w:firstLine="64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2024年度国有资本经营预算财政拨款支出</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sz w:val="32"/>
          <w:szCs w:val="32"/>
          <w:lang w:eastAsia="zh-CN"/>
        </w:rPr>
        <w:t>。</w:t>
      </w:r>
    </w:p>
    <w:p w14:paraId="2CA2FA4F">
      <w:pPr>
        <w:spacing w:line="600" w:lineRule="exact"/>
        <w:ind w:left="630"/>
        <w:outlineLvl w:val="1"/>
        <w:rPr>
          <w:rStyle w:val="30"/>
          <w:rFonts w:hint="default" w:ascii="Times New Roman" w:hAnsi="Times New Roman" w:eastAsia="黑体" w:cs="Times New Roman"/>
          <w:b w:val="0"/>
        </w:rPr>
      </w:pPr>
      <w:bookmarkStart w:id="48" w:name="_Toc15396612"/>
      <w:bookmarkStart w:id="49" w:name="_Toc15377221"/>
      <w:r>
        <w:rPr>
          <w:rStyle w:val="30"/>
          <w:rFonts w:hint="default" w:ascii="Times New Roman" w:hAnsi="Times New Roman" w:eastAsia="黑体" w:cs="Times New Roman"/>
          <w:b w:val="0"/>
        </w:rPr>
        <w:t>十、其他重要事项的情况说明</w:t>
      </w:r>
      <w:bookmarkEnd w:id="48"/>
      <w:bookmarkEnd w:id="49"/>
    </w:p>
    <w:p w14:paraId="2635AD73">
      <w:pPr>
        <w:spacing w:line="600" w:lineRule="exact"/>
        <w:ind w:firstLine="643" w:firstLineChars="200"/>
        <w:outlineLvl w:val="2"/>
        <w:rPr>
          <w:rFonts w:hint="default" w:ascii="Times New Roman" w:hAnsi="Times New Roman" w:eastAsia="楷体_GB2312" w:cs="Times New Roman"/>
          <w:b/>
          <w:sz w:val="32"/>
          <w:szCs w:val="32"/>
        </w:rPr>
      </w:pPr>
      <w:bookmarkStart w:id="50" w:name="_Toc15377222"/>
      <w:r>
        <w:rPr>
          <w:rFonts w:hint="default" w:ascii="Times New Roman" w:hAnsi="Times New Roman" w:eastAsia="楷体_GB2312" w:cs="Times New Roman"/>
          <w:b/>
          <w:sz w:val="32"/>
          <w:szCs w:val="32"/>
        </w:rPr>
        <w:t>（一）机关运行经费支出情况</w:t>
      </w:r>
      <w:bookmarkEnd w:id="50"/>
    </w:p>
    <w:p w14:paraId="634232B8">
      <w:pPr>
        <w:spacing w:line="60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度</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州直机关工委</w:t>
      </w:r>
      <w:r>
        <w:rPr>
          <w:rFonts w:hint="default" w:ascii="Times New Roman" w:hAnsi="Times New Roman" w:eastAsia="仿宋_GB2312" w:cs="Times New Roman"/>
          <w:color w:val="auto"/>
          <w:sz w:val="32"/>
          <w:szCs w:val="32"/>
          <w:highlight w:val="none"/>
        </w:rPr>
        <w:t>机关运行经费支出</w:t>
      </w:r>
      <w:r>
        <w:rPr>
          <w:rFonts w:hint="default" w:ascii="Times New Roman" w:hAnsi="Times New Roman" w:eastAsia="仿宋_GB2312" w:cs="Times New Roman"/>
          <w:color w:val="auto"/>
          <w:sz w:val="32"/>
          <w:szCs w:val="32"/>
          <w:highlight w:val="none"/>
          <w:lang w:val="en-US" w:eastAsia="zh-CN"/>
        </w:rPr>
        <w:t>61.54</w:t>
      </w:r>
      <w:r>
        <w:rPr>
          <w:rFonts w:hint="default" w:ascii="Times New Roman" w:hAnsi="Times New Roman" w:eastAsia="仿宋_GB2312" w:cs="Times New Roman"/>
          <w:color w:val="auto"/>
          <w:sz w:val="32"/>
          <w:szCs w:val="32"/>
          <w:highlight w:val="none"/>
        </w:rPr>
        <w:t>万元，比</w:t>
      </w:r>
      <w:r>
        <w:rPr>
          <w:rFonts w:hint="default" w:ascii="Times New Roman" w:hAnsi="Times New Roman" w:eastAsia="仿宋_GB2312" w:cs="Times New Roman"/>
          <w:color w:val="auto"/>
          <w:sz w:val="32"/>
          <w:szCs w:val="32"/>
          <w:highlight w:val="none"/>
          <w:lang w:eastAsia="zh-CN"/>
        </w:rPr>
        <w:t>202</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度</w:t>
      </w:r>
      <w:r>
        <w:rPr>
          <w:rFonts w:hint="default" w:ascii="Times New Roman" w:hAnsi="Times New Roman" w:eastAsia="仿宋_GB2312" w:cs="Times New Roman"/>
          <w:color w:val="auto"/>
          <w:sz w:val="32"/>
          <w:szCs w:val="32"/>
          <w:highlight w:val="none"/>
          <w:lang w:val="en-US" w:eastAsia="zh-CN"/>
        </w:rPr>
        <w:t>减少9.93</w:t>
      </w:r>
      <w:r>
        <w:rPr>
          <w:rFonts w:hint="default" w:ascii="Times New Roman" w:hAnsi="Times New Roman" w:eastAsia="仿宋_GB2312" w:cs="Times New Roman"/>
          <w:color w:val="auto"/>
          <w:sz w:val="32"/>
          <w:szCs w:val="32"/>
          <w:highlight w:val="none"/>
        </w:rPr>
        <w:t>元，</w:t>
      </w:r>
      <w:r>
        <w:rPr>
          <w:rFonts w:hint="default" w:ascii="Times New Roman" w:hAnsi="Times New Roman" w:eastAsia="仿宋_GB2312" w:cs="Times New Roman"/>
          <w:color w:val="auto"/>
          <w:sz w:val="32"/>
          <w:szCs w:val="32"/>
          <w:highlight w:val="none"/>
          <w:lang w:val="en-US" w:eastAsia="zh-CN"/>
        </w:rPr>
        <w:t>下降13.2</w:t>
      </w:r>
      <w:r>
        <w:rPr>
          <w:rFonts w:hint="default" w:ascii="Times New Roman" w:hAnsi="Times New Roman" w:eastAsia="仿宋_GB2312" w:cs="Times New Roman"/>
          <w:color w:val="auto"/>
          <w:sz w:val="32"/>
          <w:szCs w:val="32"/>
          <w:highlight w:val="none"/>
        </w:rPr>
        <w:t>%。主要原因</w:t>
      </w:r>
      <w:r>
        <w:rPr>
          <w:rFonts w:hint="default" w:ascii="Times New Roman" w:hAnsi="Times New Roman" w:eastAsia="仿宋_GB2312" w:cs="Times New Roman"/>
          <w:color w:val="auto"/>
          <w:sz w:val="32"/>
          <w:szCs w:val="32"/>
          <w:highlight w:val="none"/>
          <w:lang w:val="en-US" w:eastAsia="zh-CN"/>
        </w:rPr>
        <w:t>为：一是严格贯彻落实中央八项规定精神，厉行节约，大力压缩一</w:t>
      </w:r>
    </w:p>
    <w:p w14:paraId="1EBB6332">
      <w:pPr>
        <w:spacing w:line="600" w:lineRule="exact"/>
        <w:rPr>
          <w:rFonts w:hint="default" w:ascii="Times New Roman" w:hAnsi="Times New Roman" w:eastAsia="仿宋_GB2312" w:cs="Times New Roman"/>
          <w:sz w:val="32"/>
          <w:szCs w:val="32"/>
        </w:rPr>
      </w:pPr>
      <w:r>
        <w:rPr>
          <w:rFonts w:hint="default" w:ascii="Times New Roman" w:hAnsi="Times New Roman" w:eastAsia="仿宋_GB2312" w:cs="Times New Roman"/>
          <w:color w:val="auto"/>
          <w:sz w:val="32"/>
          <w:szCs w:val="32"/>
          <w:highlight w:val="none"/>
          <w:lang w:val="en-US" w:eastAsia="zh-CN"/>
        </w:rPr>
        <w:t>般性支出；二是与2023年比较，部分阶段性工作任务量减少。</w:t>
      </w:r>
    </w:p>
    <w:p w14:paraId="55FA91AE">
      <w:pPr>
        <w:spacing w:line="600" w:lineRule="exact"/>
        <w:ind w:firstLine="643" w:firstLineChars="200"/>
        <w:outlineLvl w:val="2"/>
        <w:rPr>
          <w:rFonts w:hint="default" w:ascii="Times New Roman" w:hAnsi="Times New Roman" w:eastAsia="楷体_GB2312" w:cs="Times New Roman"/>
          <w:b/>
          <w:sz w:val="32"/>
          <w:szCs w:val="32"/>
        </w:rPr>
      </w:pPr>
      <w:bookmarkStart w:id="51" w:name="_Toc15377223"/>
      <w:r>
        <w:rPr>
          <w:rFonts w:hint="default" w:ascii="Times New Roman" w:hAnsi="Times New Roman" w:eastAsia="楷体_GB2312" w:cs="Times New Roman"/>
          <w:b/>
          <w:sz w:val="32"/>
          <w:szCs w:val="32"/>
        </w:rPr>
        <w:t>（二）政府采购支出情况</w:t>
      </w:r>
      <w:bookmarkEnd w:id="51"/>
    </w:p>
    <w:p w14:paraId="5F6896AF">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color w:val="auto"/>
          <w:sz w:val="32"/>
          <w:szCs w:val="32"/>
          <w:highlight w:val="none"/>
          <w:lang w:val="en-US" w:eastAsia="zh-CN"/>
        </w:rPr>
        <w:t>2024年度，州直机关工委采购支出总额4.25万元，其中：政府采购货物支出4.25万元，主要用于采购13台空调，保障干部职工日常供暖需求。授予小微企业合同金额4.25万元，占政府采购支出总额的100%。</w:t>
      </w:r>
    </w:p>
    <w:p w14:paraId="45302635">
      <w:pPr>
        <w:spacing w:line="600" w:lineRule="exact"/>
        <w:ind w:firstLine="643" w:firstLineChars="200"/>
        <w:outlineLvl w:val="2"/>
        <w:rPr>
          <w:rFonts w:hint="default" w:ascii="Times New Roman" w:hAnsi="Times New Roman" w:eastAsia="楷体_GB2312" w:cs="Times New Roman"/>
          <w:b/>
          <w:sz w:val="32"/>
          <w:szCs w:val="32"/>
        </w:rPr>
      </w:pPr>
      <w:bookmarkStart w:id="52" w:name="_Toc15377224"/>
      <w:r>
        <w:rPr>
          <w:rFonts w:hint="default" w:ascii="Times New Roman" w:hAnsi="Times New Roman" w:eastAsia="楷体_GB2312" w:cs="Times New Roman"/>
          <w:b/>
          <w:sz w:val="32"/>
          <w:szCs w:val="32"/>
        </w:rPr>
        <w:t>（三）国有资产占有使用情况</w:t>
      </w:r>
      <w:bookmarkEnd w:id="52"/>
    </w:p>
    <w:p w14:paraId="1C776524">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截至2024年12月31日，</w:t>
      </w:r>
      <w:r>
        <w:rPr>
          <w:rFonts w:hint="default" w:ascii="Times New Roman" w:hAnsi="Times New Roman" w:eastAsia="仿宋_GB2312" w:cs="Times New Roman"/>
          <w:sz w:val="32"/>
          <w:szCs w:val="32"/>
          <w:lang w:val="en-US" w:eastAsia="zh-CN"/>
        </w:rPr>
        <w:t>州直机关工委</w:t>
      </w:r>
      <w:r>
        <w:rPr>
          <w:rFonts w:hint="default" w:ascii="Times New Roman" w:hAnsi="Times New Roman" w:eastAsia="仿宋_GB2312" w:cs="Times New Roman"/>
          <w:sz w:val="32"/>
          <w:szCs w:val="32"/>
        </w:rPr>
        <w:t>共有车辆</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辆，其中：主要负责人用车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辆、机要通信用车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辆、应急保障用车</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辆、其他用车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辆。单价100万元（含）以上设备（不含车辆）</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台（套）。</w:t>
      </w:r>
    </w:p>
    <w:p w14:paraId="43666F02">
      <w:pPr>
        <w:spacing w:line="600" w:lineRule="exact"/>
        <w:ind w:firstLine="643" w:firstLineChars="200"/>
        <w:outlineLvl w:val="2"/>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（四）预算绩效管理情况</w:t>
      </w:r>
    </w:p>
    <w:p w14:paraId="1CEAE84E">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根据预算绩效管理要求，</w:t>
      </w:r>
      <w:r>
        <w:rPr>
          <w:rFonts w:hint="default" w:ascii="Times New Roman" w:hAnsi="Times New Roman" w:eastAsia="仿宋_GB2312" w:cs="Times New Roman"/>
          <w:sz w:val="32"/>
          <w:szCs w:val="32"/>
          <w:lang w:val="en-US" w:eastAsia="zh-CN"/>
        </w:rPr>
        <w:t>本部门</w:t>
      </w:r>
      <w:r>
        <w:rPr>
          <w:rFonts w:hint="default" w:ascii="Times New Roman" w:hAnsi="Times New Roman" w:eastAsia="仿宋_GB2312" w:cs="Times New Roman"/>
          <w:sz w:val="32"/>
          <w:szCs w:val="32"/>
        </w:rPr>
        <w:t>在2024年度预算编制阶段，组织对</w:t>
      </w:r>
      <w:r>
        <w:rPr>
          <w:rFonts w:hint="default" w:ascii="Times New Roman" w:hAnsi="Times New Roman" w:eastAsia="仿宋_GB2312" w:cs="Times New Roman"/>
          <w:sz w:val="32"/>
          <w:szCs w:val="32"/>
          <w:lang w:val="en-US" w:eastAsia="zh-CN"/>
        </w:rPr>
        <w:t>党建调研工作、纪检工作</w:t>
      </w:r>
      <w:r>
        <w:rPr>
          <w:rFonts w:hint="default" w:ascii="Times New Roman" w:hAnsi="Times New Roman" w:eastAsia="仿宋_GB2312" w:cs="Times New Roman"/>
          <w:sz w:val="32"/>
          <w:szCs w:val="32"/>
        </w:rPr>
        <w:t>等</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个项目开展了预算事前绩效评估，对</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个项目编制了绩效目标，预算执行过程中，选取</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个项目开展绩效监控</w:t>
      </w:r>
      <w:r>
        <w:rPr>
          <w:rFonts w:hint="default" w:ascii="Times New Roman" w:hAnsi="Times New Roman" w:eastAsia="仿宋_GB2312" w:cs="Times New Roman"/>
          <w:sz w:val="32"/>
          <w:szCs w:val="32"/>
          <w:lang w:eastAsia="zh-CN"/>
        </w:rPr>
        <w:t>，</w:t>
      </w:r>
      <w:r>
        <w:rPr>
          <w:rFonts w:hint="default" w:ascii="Times New Roman" w:hAnsi="Times New Roman" w:eastAsia="仿宋" w:cs="Times New Roman"/>
          <w:color w:val="000000"/>
          <w:sz w:val="32"/>
          <w:szCs w:val="32"/>
        </w:rPr>
        <w:t>年终执行完毕后，对</w:t>
      </w:r>
      <w:r>
        <w:rPr>
          <w:rFonts w:hint="default" w:ascii="Times New Roman" w:hAnsi="Times New Roman" w:eastAsia="仿宋" w:cs="Times New Roman"/>
          <w:color w:val="000000"/>
          <w:sz w:val="32"/>
          <w:szCs w:val="32"/>
          <w:lang w:val="en-US" w:eastAsia="zh-CN"/>
        </w:rPr>
        <w:t>20</w:t>
      </w:r>
      <w:r>
        <w:rPr>
          <w:rFonts w:hint="default" w:ascii="Times New Roman" w:hAnsi="Times New Roman" w:eastAsia="仿宋" w:cs="Times New Roman"/>
          <w:color w:val="000000"/>
          <w:sz w:val="32"/>
          <w:szCs w:val="32"/>
        </w:rPr>
        <w:t>个项目开展了绩效自评，绩效目标自评表见第四部分附件。</w:t>
      </w:r>
    </w:p>
    <w:p w14:paraId="4D9F259B">
      <w:pPr>
        <w:spacing w:line="600" w:lineRule="exact"/>
        <w:ind w:firstLine="640"/>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组织对2024年度一般公共预算全面开展绩效自评，形成</w:t>
      </w:r>
      <w:r>
        <w:rPr>
          <w:rFonts w:hint="default" w:ascii="Times New Roman" w:hAnsi="Times New Roman" w:eastAsia="仿宋_GB2312" w:cs="Times New Roman"/>
          <w:sz w:val="32"/>
          <w:szCs w:val="32"/>
          <w:lang w:val="en-US" w:eastAsia="zh-CN"/>
        </w:rPr>
        <w:t>中共阿坝州直属机关工作委员会</w:t>
      </w:r>
      <w:r>
        <w:rPr>
          <w:rFonts w:hint="default" w:ascii="Times New Roman" w:hAnsi="Times New Roman" w:eastAsia="仿宋_GB2312" w:cs="Times New Roman"/>
          <w:sz w:val="32"/>
          <w:szCs w:val="32"/>
        </w:rPr>
        <w:t>部门整体绩效自评报告，部门整体（含部门预算项目）绩效自评得分为</w:t>
      </w:r>
      <w:r>
        <w:rPr>
          <w:rFonts w:hint="default" w:ascii="Times New Roman" w:hAnsi="Times New Roman" w:eastAsia="仿宋_GB2312" w:cs="Times New Roman"/>
          <w:sz w:val="32"/>
          <w:szCs w:val="32"/>
          <w:lang w:val="en-US" w:eastAsia="zh-CN"/>
        </w:rPr>
        <w:t>98</w:t>
      </w:r>
      <w:r>
        <w:rPr>
          <w:rFonts w:hint="default" w:ascii="Times New Roman" w:hAnsi="Times New Roman" w:eastAsia="仿宋_GB2312" w:cs="Times New Roman"/>
          <w:sz w:val="32"/>
          <w:szCs w:val="32"/>
        </w:rPr>
        <w:t>分，绩效自评综述</w:t>
      </w:r>
      <w:r>
        <w:rPr>
          <w:rFonts w:hint="default" w:ascii="Times New Roman" w:hAnsi="Times New Roman" w:eastAsia="仿宋_GB2312" w:cs="Times New Roman"/>
          <w:sz w:val="32"/>
          <w:szCs w:val="32"/>
          <w:lang w:val="en-US" w:eastAsia="zh-CN"/>
        </w:rPr>
        <w:t>部门整体支出管理情况得到提升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绩效自评报告详见附件。</w:t>
      </w:r>
    </w:p>
    <w:p w14:paraId="248FD803">
      <w:pPr>
        <w:pStyle w:val="2"/>
        <w:rPr>
          <w:rFonts w:hint="default" w:ascii="Times New Roman" w:hAnsi="Times New Roman" w:cs="Times New Roman"/>
        </w:rPr>
      </w:pPr>
    </w:p>
    <w:p w14:paraId="3367D391">
      <w:pPr>
        <w:spacing w:line="600" w:lineRule="exact"/>
        <w:jc w:val="center"/>
        <w:outlineLvl w:val="0"/>
        <w:rPr>
          <w:rFonts w:hint="default" w:ascii="Times New Roman" w:hAnsi="Times New Roman" w:eastAsia="黑体" w:cs="Times New Roman"/>
          <w:sz w:val="44"/>
          <w:szCs w:val="44"/>
        </w:rPr>
      </w:pPr>
      <w:bookmarkStart w:id="53" w:name="_Toc15377225"/>
      <w:bookmarkStart w:id="54" w:name="_Toc15396613"/>
    </w:p>
    <w:p w14:paraId="53F51ACD">
      <w:pPr>
        <w:spacing w:line="600" w:lineRule="exact"/>
        <w:jc w:val="center"/>
        <w:outlineLvl w:val="0"/>
        <w:rPr>
          <w:rFonts w:hint="default" w:ascii="Times New Roman" w:hAnsi="Times New Roman" w:eastAsia="黑体" w:cs="Times New Roman"/>
          <w:sz w:val="44"/>
          <w:szCs w:val="44"/>
        </w:rPr>
      </w:pPr>
    </w:p>
    <w:p w14:paraId="1729C489">
      <w:pPr>
        <w:spacing w:line="600" w:lineRule="exact"/>
        <w:jc w:val="center"/>
        <w:outlineLvl w:val="0"/>
        <w:rPr>
          <w:rFonts w:hint="default" w:ascii="Times New Roman" w:hAnsi="Times New Roman" w:eastAsia="黑体" w:cs="Times New Roman"/>
          <w:sz w:val="44"/>
          <w:szCs w:val="44"/>
        </w:rPr>
      </w:pPr>
    </w:p>
    <w:p w14:paraId="419448F3">
      <w:pPr>
        <w:spacing w:line="600" w:lineRule="exact"/>
        <w:jc w:val="center"/>
        <w:outlineLvl w:val="0"/>
        <w:rPr>
          <w:rFonts w:hint="default" w:ascii="Times New Roman" w:hAnsi="Times New Roman" w:eastAsia="黑体" w:cs="Times New Roman"/>
          <w:sz w:val="44"/>
          <w:szCs w:val="44"/>
        </w:rPr>
      </w:pPr>
    </w:p>
    <w:p w14:paraId="0644F8B4">
      <w:pPr>
        <w:spacing w:line="600" w:lineRule="exact"/>
        <w:jc w:val="center"/>
        <w:outlineLvl w:val="0"/>
        <w:rPr>
          <w:rFonts w:hint="default" w:ascii="Times New Roman" w:hAnsi="Times New Roman" w:eastAsia="黑体" w:cs="Times New Roman"/>
          <w:sz w:val="44"/>
          <w:szCs w:val="44"/>
        </w:rPr>
      </w:pPr>
    </w:p>
    <w:p w14:paraId="05F6DC89">
      <w:pPr>
        <w:spacing w:line="600" w:lineRule="exact"/>
        <w:jc w:val="center"/>
        <w:outlineLvl w:val="0"/>
        <w:rPr>
          <w:rFonts w:hint="default" w:ascii="Times New Roman" w:hAnsi="Times New Roman" w:eastAsia="黑体" w:cs="Times New Roman"/>
          <w:sz w:val="44"/>
          <w:szCs w:val="44"/>
        </w:rPr>
      </w:pPr>
    </w:p>
    <w:p w14:paraId="74551523">
      <w:pPr>
        <w:spacing w:line="600" w:lineRule="exact"/>
        <w:jc w:val="center"/>
        <w:outlineLvl w:val="0"/>
        <w:rPr>
          <w:rFonts w:hint="default" w:ascii="Times New Roman" w:hAnsi="Times New Roman" w:eastAsia="黑体" w:cs="Times New Roman"/>
          <w:sz w:val="44"/>
          <w:szCs w:val="44"/>
        </w:rPr>
      </w:pPr>
    </w:p>
    <w:p w14:paraId="1DC265D2">
      <w:pPr>
        <w:spacing w:line="600" w:lineRule="exact"/>
        <w:jc w:val="center"/>
        <w:outlineLvl w:val="0"/>
        <w:rPr>
          <w:rFonts w:hint="default" w:ascii="Times New Roman" w:hAnsi="Times New Roman" w:eastAsia="黑体" w:cs="Times New Roman"/>
          <w:sz w:val="44"/>
          <w:szCs w:val="44"/>
        </w:rPr>
      </w:pPr>
    </w:p>
    <w:p w14:paraId="533A5F8A">
      <w:pPr>
        <w:spacing w:line="600" w:lineRule="exact"/>
        <w:jc w:val="center"/>
        <w:outlineLvl w:val="0"/>
        <w:rPr>
          <w:rFonts w:hint="default" w:ascii="Times New Roman" w:hAnsi="Times New Roman" w:eastAsia="黑体" w:cs="Times New Roman"/>
          <w:sz w:val="44"/>
          <w:szCs w:val="44"/>
        </w:rPr>
      </w:pPr>
    </w:p>
    <w:p w14:paraId="429475AD">
      <w:pPr>
        <w:spacing w:line="600" w:lineRule="exact"/>
        <w:jc w:val="center"/>
        <w:outlineLvl w:val="0"/>
        <w:rPr>
          <w:rFonts w:hint="default" w:ascii="Times New Roman" w:hAnsi="Times New Roman" w:eastAsia="黑体" w:cs="Times New Roman"/>
          <w:sz w:val="44"/>
          <w:szCs w:val="44"/>
        </w:rPr>
      </w:pPr>
    </w:p>
    <w:p w14:paraId="4892292E">
      <w:pPr>
        <w:pStyle w:val="4"/>
        <w:rPr>
          <w:rFonts w:hint="default" w:ascii="Times New Roman" w:hAnsi="Times New Roman" w:eastAsia="黑体" w:cs="Times New Roman"/>
          <w:sz w:val="44"/>
          <w:szCs w:val="44"/>
        </w:rPr>
      </w:pPr>
    </w:p>
    <w:p w14:paraId="25A9AEA5">
      <w:pPr>
        <w:rPr>
          <w:rFonts w:hint="default" w:ascii="Times New Roman" w:hAnsi="Times New Roman" w:eastAsia="黑体" w:cs="Times New Roman"/>
          <w:sz w:val="44"/>
          <w:szCs w:val="44"/>
        </w:rPr>
      </w:pPr>
    </w:p>
    <w:p w14:paraId="0221C3E2">
      <w:pPr>
        <w:pStyle w:val="4"/>
        <w:rPr>
          <w:rFonts w:hint="default" w:ascii="Times New Roman" w:hAnsi="Times New Roman" w:eastAsia="黑体" w:cs="Times New Roman"/>
          <w:sz w:val="44"/>
          <w:szCs w:val="44"/>
        </w:rPr>
      </w:pPr>
    </w:p>
    <w:p w14:paraId="4CE0A59A">
      <w:pPr>
        <w:rPr>
          <w:rFonts w:hint="default" w:ascii="Times New Roman" w:hAnsi="Times New Roman" w:eastAsia="黑体" w:cs="Times New Roman"/>
          <w:sz w:val="44"/>
          <w:szCs w:val="44"/>
        </w:rPr>
      </w:pPr>
    </w:p>
    <w:p w14:paraId="3F0A4151">
      <w:pPr>
        <w:pStyle w:val="4"/>
        <w:rPr>
          <w:rFonts w:hint="default" w:ascii="Times New Roman" w:hAnsi="Times New Roman" w:eastAsia="黑体" w:cs="Times New Roman"/>
          <w:sz w:val="44"/>
          <w:szCs w:val="44"/>
        </w:rPr>
      </w:pPr>
    </w:p>
    <w:p w14:paraId="494999FD">
      <w:pPr>
        <w:pStyle w:val="4"/>
        <w:rPr>
          <w:rFonts w:hint="default"/>
        </w:rPr>
      </w:pPr>
    </w:p>
    <w:p w14:paraId="2502AB91">
      <w:pPr>
        <w:spacing w:line="600" w:lineRule="exact"/>
        <w:jc w:val="center"/>
        <w:outlineLvl w:val="0"/>
        <w:rPr>
          <w:rFonts w:hint="default" w:ascii="Times New Roman" w:hAnsi="Times New Roman" w:eastAsia="黑体" w:cs="Times New Roman"/>
          <w:sz w:val="44"/>
          <w:szCs w:val="44"/>
        </w:rPr>
      </w:pPr>
    </w:p>
    <w:p w14:paraId="2CEF0CA7">
      <w:pPr>
        <w:spacing w:line="600" w:lineRule="exact"/>
        <w:jc w:val="center"/>
        <w:outlineLvl w:val="0"/>
        <w:rPr>
          <w:rFonts w:hint="default" w:ascii="Times New Roman" w:hAnsi="Times New Roman" w:eastAsia="黑体" w:cs="Times New Roman"/>
          <w:sz w:val="44"/>
          <w:szCs w:val="44"/>
        </w:rPr>
      </w:pPr>
    </w:p>
    <w:p w14:paraId="6F45BA35">
      <w:pPr>
        <w:spacing w:line="600" w:lineRule="exact"/>
        <w:jc w:val="center"/>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第三部分  名词解释</w:t>
      </w:r>
      <w:bookmarkEnd w:id="53"/>
      <w:bookmarkEnd w:id="54"/>
    </w:p>
    <w:p w14:paraId="46850336">
      <w:pPr>
        <w:spacing w:line="600" w:lineRule="exact"/>
        <w:jc w:val="left"/>
        <w:rPr>
          <w:rFonts w:hint="default" w:ascii="Times New Roman" w:hAnsi="Times New Roman" w:cs="Times New Roman"/>
          <w:b/>
          <w:sz w:val="44"/>
          <w:szCs w:val="44"/>
        </w:rPr>
      </w:pPr>
    </w:p>
    <w:p w14:paraId="3D83638B">
      <w:pPr>
        <w:pStyle w:val="27"/>
        <w:keepNext w:val="0"/>
        <w:keepLines w:val="0"/>
        <w:widowControl w:val="0"/>
        <w:suppressLineNumbers w:val="0"/>
        <w:spacing w:line="560" w:lineRule="exact"/>
        <w:ind w:left="0" w:firstLine="640" w:firstLineChars="200"/>
        <w:jc w:val="left"/>
        <w:rPr>
          <w:rFonts w:hint="default" w:ascii="Times New Roman" w:hAnsi="Times New Roman" w:eastAsia="仿宋_GB2312" w:cs="Times New Roman"/>
          <w:color w:val="000000"/>
          <w:kern w:val="0"/>
          <w:sz w:val="32"/>
          <w:szCs w:val="32"/>
        </w:rPr>
      </w:pPr>
      <w:bookmarkStart w:id="55" w:name="_Toc15377226"/>
      <w:r>
        <w:rPr>
          <w:rFonts w:hint="default" w:ascii="Times New Roman" w:hAnsi="Times New Roman" w:eastAsia="仿宋_GB2312" w:cs="Times New Roman"/>
          <w:color w:val="000000"/>
          <w:kern w:val="0"/>
          <w:sz w:val="32"/>
          <w:szCs w:val="32"/>
        </w:rPr>
        <w:t>1.财政拨款收入：指单位从同级财政部门取得的财政预算资金。</w:t>
      </w:r>
    </w:p>
    <w:p w14:paraId="0DF2C43B">
      <w:pPr>
        <w:pStyle w:val="27"/>
        <w:keepNext w:val="0"/>
        <w:keepLines w:val="0"/>
        <w:widowControl w:val="0"/>
        <w:suppressLineNumbers w:val="0"/>
        <w:spacing w:line="560" w:lineRule="exact"/>
        <w:ind w:left="0"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2.事业收入：指事业单位开展专业业务活动及辅助活动取得的收入。</w:t>
      </w:r>
    </w:p>
    <w:p w14:paraId="35C1145B">
      <w:pPr>
        <w:pStyle w:val="27"/>
        <w:keepNext w:val="0"/>
        <w:keepLines w:val="0"/>
        <w:widowControl w:val="0"/>
        <w:suppressLineNumbers w:val="0"/>
        <w:spacing w:line="560" w:lineRule="exact"/>
        <w:ind w:left="0"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3.经营收入：指事业单位在专业业务活动及其辅助活动之外开展非独立核算经营活动取得的收入。</w:t>
      </w:r>
    </w:p>
    <w:p w14:paraId="48E5F855">
      <w:pPr>
        <w:pStyle w:val="27"/>
        <w:keepNext w:val="0"/>
        <w:keepLines w:val="0"/>
        <w:widowControl w:val="0"/>
        <w:suppressLineNumbers w:val="0"/>
        <w:spacing w:line="560" w:lineRule="exact"/>
        <w:ind w:left="0"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4.其他收入：指单位取得的除上述收入以外的各项收入。主要是银行利息收入。</w:t>
      </w:r>
    </w:p>
    <w:p w14:paraId="3C8DB40C">
      <w:pPr>
        <w:pStyle w:val="27"/>
        <w:keepNext w:val="0"/>
        <w:keepLines w:val="0"/>
        <w:widowControl w:val="0"/>
        <w:suppressLineNumbers w:val="0"/>
        <w:spacing w:line="560" w:lineRule="exact"/>
        <w:ind w:left="0"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5.使用非财政拨款结余：指事业单位使用以前年度积累的非财政拨款结余弥补当年收支差额的金额。 </w:t>
      </w:r>
    </w:p>
    <w:p w14:paraId="55E2FF91">
      <w:pPr>
        <w:pStyle w:val="27"/>
        <w:keepNext w:val="0"/>
        <w:keepLines w:val="0"/>
        <w:widowControl w:val="0"/>
        <w:suppressLineNumbers w:val="0"/>
        <w:spacing w:line="560" w:lineRule="exact"/>
        <w:ind w:left="0"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6.年初结转和结余：指以前年度尚未完成、结转到本年按有关规定继续使用的资金。 </w:t>
      </w:r>
    </w:p>
    <w:p w14:paraId="660FB914">
      <w:pPr>
        <w:pStyle w:val="27"/>
        <w:keepNext w:val="0"/>
        <w:keepLines w:val="0"/>
        <w:widowControl w:val="0"/>
        <w:suppressLineNumbers w:val="0"/>
        <w:spacing w:line="560" w:lineRule="exact"/>
        <w:ind w:left="0"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7.结余分配：指事业单位按照会计制度规定缴纳的所得税、提取的专用结余以及转入非财政拨款结余的金额等。</w:t>
      </w:r>
    </w:p>
    <w:p w14:paraId="4317AD3C">
      <w:pPr>
        <w:pStyle w:val="27"/>
        <w:keepNext w:val="0"/>
        <w:keepLines w:val="0"/>
        <w:widowControl w:val="0"/>
        <w:suppressLineNumbers w:val="0"/>
        <w:spacing w:line="560" w:lineRule="exact"/>
        <w:ind w:left="0"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8.年末结转和结余：指单位按有关规定结转到下年或以后年度继续使用的资金。</w:t>
      </w:r>
    </w:p>
    <w:p w14:paraId="66C68454">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9.一般公共服务（2013101）：指一般公共服务中的党委办公厅（室）及相关机关事务中的行政运行。一般公共服务（2013102）：一般公共服务中的党委办公厅（室）及相关机关事务中的一般行政管理事务。</w:t>
      </w:r>
    </w:p>
    <w:p w14:paraId="530B8057">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10.社会保障和就业（2080505）：指社会保障和就业支出中的行政事业单位离退休中的机关事业单位基本养老保险缴费支出。</w:t>
      </w:r>
    </w:p>
    <w:p w14:paraId="0BDABB72">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11.社会保障和就业（2080506）：指社会保障和就业支出中的行政事业单位离退休中的机关事业单位职业年金缴费支出。</w:t>
      </w:r>
    </w:p>
    <w:p w14:paraId="35163AF3">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12.医疗卫生与计划生育（2100501）：指医疗卫生与计划生育中的医疗保障中的行政单位医疗。</w:t>
      </w:r>
    </w:p>
    <w:p w14:paraId="62F064B2">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13.住房保障支出（2210201）：指住房保障支出中的住房改革支出中的住房公积金。</w:t>
      </w:r>
    </w:p>
    <w:p w14:paraId="40E7025E">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14.基本支出：指为保障机构正常运转、完成日常工作任务而发生的人员支出和公用支出。</w:t>
      </w:r>
    </w:p>
    <w:p w14:paraId="7EF98CD8">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15.项目支出：指在基本支出之外为完成特定行政任务和事业发展目标所发生的支出。</w:t>
      </w:r>
    </w:p>
    <w:p w14:paraId="313DFB6D">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16.经营支出：指事业单位在专业业务活动及其辅助活动之外开展非独立核算经营活动发生的支出。</w:t>
      </w:r>
    </w:p>
    <w:p w14:paraId="1686F1ED">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17.“三公”经费：指部门用财政拨款安排的因公出国（境）费、公务用车购置及运行费和公务接待费。其中，因公出国（境）费反映单位公务出国（境）的国际旅费、 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D8FED78">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18.机关运行经费：为保障行政单位（含参照公务员法管理的事业单位）运行用于购买货物和服务的各项资金，包括办公及印刷费、邮电费、差旅费、会议费、福利费、 日常维修费、专用材料及一般设备购置费、办公用房水电费、办公用房取暖费、办公用房物业管理费、公务用车运行维护费以及其他费用。</w:t>
      </w:r>
    </w:p>
    <w:p w14:paraId="4A9514C0">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19.基本支出：指为保障机构正常运转、完成日常工作任务而发生的人员支出和公用支出。</w:t>
      </w:r>
    </w:p>
    <w:p w14:paraId="3EAB0789">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 xml:space="preserve">20.项目支出：指在基本支出之外为完成特定行政任务和事业发展目标所发生的支出。 </w:t>
      </w:r>
    </w:p>
    <w:p w14:paraId="1742D18C">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21.经营支出：指事业单位在专业业务活动及其辅助活动之外开展非独立核算经营活动发生的支出。</w:t>
      </w:r>
    </w:p>
    <w:p w14:paraId="2C0AAE03">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22.“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D8DFD48">
      <w:pPr>
        <w:keepNext w:val="0"/>
        <w:keepLines w:val="0"/>
        <w:widowControl/>
        <w:suppressLineNumbers w:val="0"/>
        <w:spacing w:line="576" w:lineRule="exact"/>
        <w:ind w:left="0" w:firstLine="640" w:firstLineChars="200"/>
        <w:jc w:val="left"/>
        <w:rPr>
          <w:rFonts w:hint="default" w:ascii="Times New Roman" w:hAnsi="Times New Roman" w:eastAsia="仿宋_GB2312" w:cs="Times New Roman"/>
          <w:b w:val="0"/>
          <w:color w:val="000000"/>
          <w:kern w:val="0"/>
          <w:sz w:val="32"/>
          <w:szCs w:val="32"/>
        </w:rPr>
      </w:pPr>
      <w:r>
        <w:rPr>
          <w:rFonts w:hint="default" w:ascii="Times New Roman" w:hAnsi="Times New Roman" w:eastAsia="仿宋_GB2312" w:cs="Times New Roman"/>
          <w:b w:val="0"/>
          <w:color w:val="000000"/>
          <w:kern w:val="0"/>
          <w:sz w:val="32"/>
          <w:szCs w:val="32"/>
        </w:rPr>
        <w:t>23.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70BB36A">
      <w:pPr>
        <w:spacing w:line="600" w:lineRule="exact"/>
        <w:jc w:val="center"/>
        <w:outlineLvl w:val="0"/>
        <w:rPr>
          <w:rFonts w:hint="default" w:ascii="Times New Roman" w:hAnsi="Times New Roman" w:eastAsia="黑体" w:cs="Times New Roman"/>
          <w:color w:val="auto"/>
          <w:sz w:val="44"/>
          <w:szCs w:val="44"/>
          <w:highlight w:val="none"/>
        </w:rPr>
      </w:pPr>
    </w:p>
    <w:p w14:paraId="42A72EEF">
      <w:pPr>
        <w:spacing w:line="600" w:lineRule="exact"/>
        <w:jc w:val="center"/>
        <w:outlineLvl w:val="0"/>
        <w:rPr>
          <w:rFonts w:hint="default" w:ascii="Times New Roman" w:hAnsi="Times New Roman" w:eastAsia="黑体" w:cs="Times New Roman"/>
          <w:color w:val="auto"/>
          <w:sz w:val="44"/>
          <w:szCs w:val="44"/>
          <w:highlight w:val="none"/>
        </w:rPr>
      </w:pPr>
    </w:p>
    <w:p w14:paraId="0D601F6E">
      <w:pPr>
        <w:spacing w:line="600" w:lineRule="exact"/>
        <w:jc w:val="center"/>
        <w:outlineLvl w:val="0"/>
        <w:rPr>
          <w:rFonts w:hint="default" w:ascii="Times New Roman" w:hAnsi="Times New Roman" w:eastAsia="黑体" w:cs="Times New Roman"/>
          <w:color w:val="auto"/>
          <w:sz w:val="44"/>
          <w:szCs w:val="44"/>
          <w:highlight w:val="none"/>
        </w:rPr>
      </w:pPr>
    </w:p>
    <w:p w14:paraId="0596286A">
      <w:pPr>
        <w:spacing w:line="600" w:lineRule="exact"/>
        <w:jc w:val="center"/>
        <w:rPr>
          <w:rStyle w:val="29"/>
          <w:rFonts w:hint="default" w:ascii="Times New Roman" w:hAnsi="Times New Roman" w:eastAsia="黑体" w:cs="Times New Roman"/>
          <w:b w:val="0"/>
        </w:rPr>
      </w:pPr>
      <w:r>
        <w:rPr>
          <w:rFonts w:hint="default" w:ascii="Times New Roman" w:hAnsi="Times New Roman" w:eastAsia="仿宋_GB2312" w:cs="Times New Roman"/>
          <w:sz w:val="32"/>
          <w:szCs w:val="32"/>
        </w:rPr>
        <w:br w:type="page"/>
      </w:r>
      <w:bookmarkStart w:id="56" w:name="_Toc15396614"/>
      <w:r>
        <w:rPr>
          <w:rFonts w:hint="eastAsia" w:ascii="方正小标宋简体" w:hAnsi="方正小标宋简体" w:eastAsia="方正小标宋简体" w:cs="方正小标宋简体"/>
          <w:sz w:val="44"/>
          <w:szCs w:val="44"/>
        </w:rPr>
        <w:t>第四部分  附件</w:t>
      </w:r>
      <w:bookmarkEnd w:id="56"/>
    </w:p>
    <w:p w14:paraId="7BA44CB3">
      <w:pPr>
        <w:spacing w:line="572" w:lineRule="exact"/>
        <w:jc w:val="left"/>
        <w:outlineLvl w:val="0"/>
        <w:rPr>
          <w:rFonts w:hint="default" w:ascii="Times New Roman" w:hAnsi="Times New Roman" w:eastAsia="黑体" w:cs="Times New Roman"/>
          <w:color w:val="FF0000"/>
          <w:sz w:val="32"/>
          <w:szCs w:val="32"/>
        </w:rPr>
      </w:pPr>
    </w:p>
    <w:p w14:paraId="3E5D851F">
      <w:pPr>
        <w:widowControl/>
        <w:spacing w:line="578" w:lineRule="exact"/>
        <w:contextualSpacing/>
        <w:jc w:val="center"/>
        <w:rPr>
          <w:rFonts w:hint="default" w:ascii="Times New Roman" w:hAnsi="Times New Roman" w:eastAsia="微软雅黑" w:cs="Times New Roman"/>
          <w:bCs/>
          <w:sz w:val="44"/>
          <w:szCs w:val="44"/>
          <w:shd w:val="clear" w:color="auto" w:fill="FFFFFF"/>
        </w:rPr>
      </w:pPr>
      <w:r>
        <w:rPr>
          <w:rFonts w:hint="default" w:ascii="Times New Roman" w:hAnsi="Times New Roman" w:eastAsia="微软雅黑" w:cs="Times New Roman"/>
          <w:bCs/>
          <w:sz w:val="44"/>
          <w:szCs w:val="44"/>
          <w:shd w:val="clear" w:color="auto" w:fill="FFFFFF"/>
        </w:rPr>
        <w:t>部门预算绩效评价报告</w:t>
      </w:r>
    </w:p>
    <w:p w14:paraId="73910544">
      <w:pPr>
        <w:widowControl/>
        <w:adjustRightInd w:val="0"/>
        <w:snapToGrid w:val="0"/>
        <w:spacing w:line="578" w:lineRule="exact"/>
        <w:ind w:firstLine="480" w:firstLineChars="200"/>
        <w:contextualSpacing/>
        <w:jc w:val="left"/>
        <w:rPr>
          <w:rFonts w:hint="default" w:ascii="Times New Roman" w:hAnsi="Times New Roman" w:eastAsia="黑体" w:cs="Times New Roman"/>
          <w:color w:val="000000"/>
          <w:kern w:val="0"/>
          <w:sz w:val="24"/>
          <w:szCs w:val="32"/>
          <w:shd w:val="clear" w:color="auto" w:fill="FFFFFF"/>
        </w:rPr>
      </w:pPr>
    </w:p>
    <w:p w14:paraId="7A6B6110">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cs="Times New Roman"/>
          <w:sz w:val="32"/>
          <w:szCs w:val="32"/>
        </w:rPr>
      </w:pPr>
      <w:r>
        <w:rPr>
          <w:rFonts w:hint="default" w:ascii="Times New Roman" w:hAnsi="Times New Roman" w:eastAsia="黑体" w:cs="Times New Roman"/>
          <w:color w:val="000000"/>
          <w:kern w:val="0"/>
          <w:sz w:val="32"/>
          <w:szCs w:val="32"/>
          <w:highlight w:val="none"/>
          <w:shd w:val="clear" w:color="auto" w:fill="FFFFFF"/>
          <w:lang w:val="zh-CN"/>
        </w:rPr>
        <w:t>一、部门（单位）基本情况</w:t>
      </w:r>
    </w:p>
    <w:p w14:paraId="28764FF6">
      <w:pPr>
        <w:pStyle w:val="36"/>
        <w:keepNext w:val="0"/>
        <w:keepLines w:val="0"/>
        <w:pageBreakBefore w:val="0"/>
        <w:widowControl w:val="0"/>
        <w:kinsoku/>
        <w:wordWrap/>
        <w:overflowPunct/>
        <w:topLinePunct w:val="0"/>
        <w:autoSpaceDE/>
        <w:autoSpaceDN/>
        <w:bidi w:val="0"/>
        <w:spacing w:line="576" w:lineRule="exact"/>
        <w:ind w:firstLine="643" w:firstLineChars="200"/>
        <w:rPr>
          <w:rFonts w:hint="default" w:ascii="Times New Roman" w:hAnsi="Times New Roman" w:eastAsia="仿宋_GB2312" w:cs="Times New Roman"/>
          <w:color w:val="000000"/>
          <w:kern w:val="0"/>
          <w:sz w:val="32"/>
          <w:szCs w:val="32"/>
          <w:shd w:val="clear" w:color="auto" w:fill="FFFFFF"/>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（一）机构组成。</w:t>
      </w:r>
      <w:r>
        <w:rPr>
          <w:rFonts w:hint="default" w:ascii="Times New Roman" w:hAnsi="Times New Roman" w:eastAsia="仿宋_GB2312" w:cs="Times New Roman"/>
          <w:sz w:val="32"/>
          <w:szCs w:val="32"/>
          <w:u w:val="none"/>
        </w:rPr>
        <w:t>州直机关工委属一级预算</w:t>
      </w:r>
      <w:r>
        <w:rPr>
          <w:rFonts w:hint="default" w:ascii="Times New Roman" w:hAnsi="Times New Roman" w:eastAsia="仿宋_GB2312" w:cs="Times New Roman"/>
          <w:sz w:val="32"/>
          <w:szCs w:val="32"/>
          <w:u w:val="none"/>
          <w:lang w:val="en-US" w:eastAsia="zh-CN"/>
        </w:rPr>
        <w:t>行政</w:t>
      </w:r>
      <w:r>
        <w:rPr>
          <w:rFonts w:hint="default" w:ascii="Times New Roman" w:hAnsi="Times New Roman" w:eastAsia="仿宋_GB2312" w:cs="Times New Roman"/>
          <w:sz w:val="32"/>
          <w:szCs w:val="32"/>
          <w:u w:val="none"/>
        </w:rPr>
        <w:t>单位</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color w:val="000000"/>
          <w:sz w:val="32"/>
          <w:szCs w:val="32"/>
        </w:rPr>
        <w:t>内设办公室、组织科、宣传统战科</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州直机关纪检监察工委综合室4</w:t>
      </w:r>
      <w:r>
        <w:rPr>
          <w:rFonts w:hint="default" w:ascii="Times New Roman" w:hAnsi="Times New Roman" w:eastAsia="仿宋_GB2312" w:cs="Times New Roman"/>
          <w:color w:val="000000"/>
          <w:sz w:val="32"/>
          <w:szCs w:val="32"/>
        </w:rPr>
        <w:t>个</w:t>
      </w:r>
      <w:r>
        <w:rPr>
          <w:rFonts w:hint="default" w:ascii="Times New Roman" w:hAnsi="Times New Roman" w:eastAsia="仿宋_GB2312" w:cs="Times New Roman"/>
          <w:color w:val="000000"/>
          <w:sz w:val="32"/>
          <w:szCs w:val="32"/>
          <w:lang w:val="en-US" w:eastAsia="zh-CN"/>
        </w:rPr>
        <w:t>科室</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2024年新增下属二级单位阿坝州直属机关基层帮扶工作服务中心，属正科级公益一类事业单位。</w:t>
      </w:r>
    </w:p>
    <w:p w14:paraId="3B9072F4">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 w:val="32"/>
          <w:szCs w:val="32"/>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（二）机构职能。</w:t>
      </w:r>
    </w:p>
    <w:p w14:paraId="6C9F36ED">
      <w:pPr>
        <w:keepNext w:val="0"/>
        <w:keepLines w:val="0"/>
        <w:pageBreakBefore w:val="0"/>
        <w:widowControl w:val="0"/>
        <w:kinsoku/>
        <w:wordWrap/>
        <w:overflowPunct/>
        <w:topLinePunct w:val="0"/>
        <w:autoSpaceDE/>
        <w:autoSpaceDN/>
        <w:bidi w:val="0"/>
        <w:adjustRightInd w:val="0"/>
        <w:snapToGrid w:val="0"/>
        <w:spacing w:afterAutospacing="0"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cs="Times New Roman"/>
          <w:sz w:val="32"/>
          <w:szCs w:val="32"/>
          <w:lang w:val="en-US" w:eastAsia="zh-CN"/>
        </w:rPr>
        <w:t xml:space="preserve"> </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color w:val="000000"/>
          <w:kern w:val="0"/>
          <w:sz w:val="32"/>
          <w:szCs w:val="32"/>
          <w:lang w:val="en-US" w:eastAsia="zh-CN" w:bidi="ar-SA"/>
        </w:rPr>
        <w:t>规划州直机关党的建设，分类指导州直机关党组织抓好党的政治、思想、组织、作风、纪律、制度建设和党员的发展、教育、管理工作。</w:t>
      </w:r>
    </w:p>
    <w:p w14:paraId="02FA8694">
      <w:pPr>
        <w:keepNext w:val="0"/>
        <w:keepLines w:val="0"/>
        <w:pageBreakBefore w:val="0"/>
        <w:widowControl w:val="0"/>
        <w:kinsoku/>
        <w:wordWrap/>
        <w:overflowPunct/>
        <w:topLinePunct w:val="0"/>
        <w:autoSpaceDE/>
        <w:autoSpaceDN/>
        <w:bidi w:val="0"/>
        <w:adjustRightInd w:val="0"/>
        <w:snapToGrid w:val="0"/>
        <w:spacing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color w:val="000000"/>
          <w:kern w:val="0"/>
          <w:sz w:val="32"/>
          <w:szCs w:val="32"/>
          <w:lang w:val="en-US" w:eastAsia="zh-CN" w:bidi="ar-SA"/>
        </w:rPr>
        <w:t>负责实施州直机关领导班子、领导干部的思想政治和作风建设；指导州直机关党组织加强党风廉政建设；指导州直机关各级党组织实施对党员特别是党员领导干部的监督。</w:t>
      </w:r>
    </w:p>
    <w:p w14:paraId="01C70750">
      <w:pPr>
        <w:keepNext w:val="0"/>
        <w:keepLines w:val="0"/>
        <w:pageBreakBefore w:val="0"/>
        <w:widowControl w:val="0"/>
        <w:kinsoku/>
        <w:wordWrap/>
        <w:overflowPunct/>
        <w:topLinePunct w:val="0"/>
        <w:autoSpaceDE/>
        <w:autoSpaceDN/>
        <w:bidi w:val="0"/>
        <w:adjustRightInd w:val="0"/>
        <w:snapToGrid w:val="0"/>
        <w:spacing w:afterAutospacing="0"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color w:val="000000"/>
          <w:kern w:val="0"/>
          <w:sz w:val="32"/>
          <w:szCs w:val="32"/>
          <w:lang w:val="en-US" w:eastAsia="zh-CN" w:bidi="ar-SA"/>
        </w:rPr>
        <w:t>综合指导州直机关精神文明建设有关工作，承担州直机关思想、道德、文化建设工作。</w:t>
      </w:r>
    </w:p>
    <w:p w14:paraId="79F7DF41">
      <w:pPr>
        <w:keepNext w:val="0"/>
        <w:keepLines w:val="0"/>
        <w:pageBreakBefore w:val="0"/>
        <w:widowControl w:val="0"/>
        <w:kinsoku/>
        <w:wordWrap/>
        <w:overflowPunct/>
        <w:topLinePunct w:val="0"/>
        <w:autoSpaceDE/>
        <w:autoSpaceDN/>
        <w:bidi w:val="0"/>
        <w:adjustRightInd w:val="0"/>
        <w:snapToGrid w:val="0"/>
        <w:spacing w:afterAutospacing="0"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color w:val="000000"/>
          <w:kern w:val="0"/>
          <w:sz w:val="32"/>
          <w:szCs w:val="32"/>
          <w:lang w:val="en-US" w:eastAsia="zh-CN" w:bidi="ar-SA"/>
        </w:rPr>
        <w:t>负责审批州直机关各部门机关党委、直属总支、支部和机关纪委的建立、领导班子的组成；负责州直机关各部门机关党委、直属总支、支部和纪委负责人的考核、任免和培训工作。</w:t>
      </w:r>
    </w:p>
    <w:p w14:paraId="65725695">
      <w:pPr>
        <w:keepNext w:val="0"/>
        <w:keepLines w:val="0"/>
        <w:pageBreakBefore w:val="0"/>
        <w:widowControl w:val="0"/>
        <w:kinsoku/>
        <w:wordWrap/>
        <w:overflowPunct/>
        <w:topLinePunct w:val="0"/>
        <w:autoSpaceDE/>
        <w:autoSpaceDN/>
        <w:bidi w:val="0"/>
        <w:adjustRightInd w:val="0"/>
        <w:snapToGrid w:val="0"/>
        <w:spacing w:afterAutospacing="0"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color w:val="000000"/>
          <w:kern w:val="0"/>
          <w:sz w:val="32"/>
          <w:szCs w:val="32"/>
          <w:lang w:val="en-US" w:eastAsia="zh-CN" w:bidi="ar-SA"/>
        </w:rPr>
        <w:t>领导州直机关党的纪律检查工作，按照干部管理权限依照党章和其他党内法规履行监督、执纪、问责职责，依照监察法和有关法律规定履行监督、调查、处置职责；审理州纪委监委派驻州级党和国家机关纪检监察组审查的党组织和党员违反党纪的案件、调查的公职人员职务违法案件。</w:t>
      </w:r>
    </w:p>
    <w:p w14:paraId="76A5A854">
      <w:pPr>
        <w:keepNext w:val="0"/>
        <w:keepLines w:val="0"/>
        <w:pageBreakBefore w:val="0"/>
        <w:widowControl w:val="0"/>
        <w:kinsoku/>
        <w:wordWrap/>
        <w:overflowPunct/>
        <w:topLinePunct w:val="0"/>
        <w:autoSpaceDE/>
        <w:autoSpaceDN/>
        <w:bidi w:val="0"/>
        <w:adjustRightInd w:val="0"/>
        <w:snapToGrid w:val="0"/>
        <w:spacing w:afterAutospacing="0"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color w:val="000000"/>
          <w:kern w:val="0"/>
          <w:sz w:val="32"/>
          <w:szCs w:val="32"/>
          <w:lang w:val="en-US" w:eastAsia="zh-CN" w:bidi="ar-SA"/>
        </w:rPr>
        <w:t>指导州直机关党组织抓好党员和干部的理论学习、党的路线方针政策以及科学文化业务知识的学习；组织实施州直机关党员、党务干部和入党积极分子的教育培训工作。</w:t>
      </w:r>
    </w:p>
    <w:p w14:paraId="4F485520">
      <w:pPr>
        <w:keepNext w:val="0"/>
        <w:keepLines w:val="0"/>
        <w:pageBreakBefore w:val="0"/>
        <w:widowControl w:val="0"/>
        <w:kinsoku/>
        <w:wordWrap/>
        <w:overflowPunct/>
        <w:topLinePunct w:val="0"/>
        <w:autoSpaceDE/>
        <w:autoSpaceDN/>
        <w:bidi w:val="0"/>
        <w:adjustRightInd w:val="0"/>
        <w:snapToGrid w:val="0"/>
        <w:spacing w:afterAutospacing="0"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color w:val="000000"/>
          <w:kern w:val="0"/>
          <w:sz w:val="32"/>
          <w:szCs w:val="32"/>
          <w:lang w:val="en-US" w:eastAsia="zh-CN" w:bidi="ar-SA"/>
        </w:rPr>
        <w:t>指导州直机关各部门机关党组织配合行政领导做好思想政治工作、统战工作和社会稳定工作。</w:t>
      </w:r>
    </w:p>
    <w:p w14:paraId="18F03683">
      <w:pPr>
        <w:keepNext w:val="0"/>
        <w:keepLines w:val="0"/>
        <w:pageBreakBefore w:val="0"/>
        <w:widowControl w:val="0"/>
        <w:kinsoku/>
        <w:wordWrap/>
        <w:overflowPunct/>
        <w:topLinePunct w:val="0"/>
        <w:autoSpaceDE/>
        <w:autoSpaceDN/>
        <w:bidi w:val="0"/>
        <w:adjustRightInd w:val="0"/>
        <w:snapToGrid w:val="0"/>
        <w:spacing w:afterAutospacing="0"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color w:val="000000"/>
          <w:kern w:val="0"/>
          <w:sz w:val="32"/>
          <w:szCs w:val="32"/>
          <w:lang w:val="en-US" w:eastAsia="zh-CN" w:bidi="ar-SA"/>
        </w:rPr>
        <w:t>领导州直机关工、青、妇等群众组织的工作。</w:t>
      </w:r>
    </w:p>
    <w:p w14:paraId="72411722">
      <w:pPr>
        <w:keepNext w:val="0"/>
        <w:keepLines w:val="0"/>
        <w:pageBreakBefore w:val="0"/>
        <w:widowControl w:val="0"/>
        <w:kinsoku/>
        <w:wordWrap/>
        <w:overflowPunct/>
        <w:topLinePunct w:val="0"/>
        <w:autoSpaceDE/>
        <w:autoSpaceDN/>
        <w:bidi w:val="0"/>
        <w:adjustRightInd w:val="0"/>
        <w:snapToGrid w:val="0"/>
        <w:spacing w:afterAutospacing="0"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color w:val="000000"/>
          <w:kern w:val="0"/>
          <w:sz w:val="32"/>
          <w:szCs w:val="32"/>
          <w:lang w:val="en-US" w:eastAsia="zh-CN" w:bidi="ar-SA"/>
        </w:rPr>
        <w:t>负责州直部门（单位）驻村干部轮换和安排及帮扶工作队员管理服务等工作。</w:t>
      </w:r>
    </w:p>
    <w:p w14:paraId="5AA8AD43">
      <w:pPr>
        <w:keepNext w:val="0"/>
        <w:keepLines w:val="0"/>
        <w:pageBreakBefore w:val="0"/>
        <w:widowControl w:val="0"/>
        <w:kinsoku/>
        <w:wordWrap/>
        <w:overflowPunct/>
        <w:topLinePunct w:val="0"/>
        <w:autoSpaceDE/>
        <w:autoSpaceDN/>
        <w:bidi w:val="0"/>
        <w:adjustRightInd w:val="0"/>
        <w:snapToGrid w:val="0"/>
        <w:spacing w:afterAutospacing="0"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color w:val="000000"/>
          <w:kern w:val="0"/>
          <w:sz w:val="32"/>
          <w:szCs w:val="32"/>
          <w:lang w:val="en-US" w:eastAsia="zh-CN" w:bidi="ar-SA"/>
        </w:rPr>
        <w:t>完成州委交办的其他事项。</w:t>
      </w:r>
    </w:p>
    <w:p w14:paraId="719FC96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楷体_GB2312" w:cs="Times New Roman"/>
          <w:b/>
          <w:bCs/>
          <w:color w:val="000000"/>
          <w:kern w:val="0"/>
          <w:sz w:val="32"/>
          <w:szCs w:val="32"/>
          <w:highlight w:val="none"/>
          <w:shd w:val="clear" w:color="auto" w:fill="FFFFFF"/>
          <w:lang w:val="zh-CN"/>
        </w:rPr>
        <w:t>（三）人员概况。</w:t>
      </w:r>
      <w:r>
        <w:rPr>
          <w:rFonts w:hint="default" w:ascii="Times New Roman" w:hAnsi="Times New Roman" w:eastAsia="仿宋_GB2312" w:cs="Times New Roman"/>
          <w:sz w:val="32"/>
          <w:szCs w:val="32"/>
        </w:rPr>
        <w:t>截至202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年末，</w:t>
      </w:r>
      <w:r>
        <w:rPr>
          <w:rFonts w:hint="default" w:ascii="Times New Roman" w:hAnsi="Times New Roman" w:eastAsia="仿宋_GB2312" w:cs="Times New Roman"/>
          <w:color w:val="000000"/>
          <w:sz w:val="32"/>
          <w:szCs w:val="32"/>
        </w:rPr>
        <w:t>州直机关工委总编制</w:t>
      </w:r>
      <w:r>
        <w:rPr>
          <w:rFonts w:hint="default" w:ascii="Times New Roman" w:hAnsi="Times New Roman" w:eastAsia="仿宋_GB2312" w:cs="Times New Roman"/>
          <w:color w:val="000000"/>
          <w:sz w:val="32"/>
          <w:szCs w:val="32"/>
          <w:lang w:val="en-US" w:eastAsia="zh-CN"/>
        </w:rPr>
        <w:t>21</w:t>
      </w:r>
      <w:r>
        <w:rPr>
          <w:rFonts w:hint="default" w:ascii="Times New Roman" w:hAnsi="Times New Roman" w:eastAsia="仿宋_GB2312" w:cs="Times New Roman"/>
          <w:color w:val="000000"/>
          <w:sz w:val="32"/>
          <w:szCs w:val="32"/>
        </w:rPr>
        <w:t>人，</w:t>
      </w:r>
      <w:r>
        <w:rPr>
          <w:rFonts w:hint="default" w:ascii="Times New Roman" w:hAnsi="Times New Roman" w:eastAsia="仿宋_GB2312" w:cs="Times New Roman"/>
          <w:color w:val="000000"/>
          <w:sz w:val="32"/>
          <w:szCs w:val="32"/>
          <w:lang w:val="en-US" w:eastAsia="zh-CN"/>
        </w:rPr>
        <w:t>其中</w:t>
      </w:r>
      <w:r>
        <w:rPr>
          <w:rFonts w:hint="default" w:ascii="Times New Roman" w:hAnsi="Times New Roman" w:eastAsia="仿宋_GB2312" w:cs="Times New Roman"/>
          <w:color w:val="000000"/>
          <w:sz w:val="32"/>
          <w:szCs w:val="32"/>
        </w:rPr>
        <w:t>行政编制</w:t>
      </w:r>
      <w:r>
        <w:rPr>
          <w:rFonts w:hint="default" w:ascii="Times New Roman" w:hAnsi="Times New Roman" w:eastAsia="仿宋_GB2312" w:cs="Times New Roman"/>
          <w:color w:val="000000"/>
          <w:sz w:val="32"/>
          <w:szCs w:val="32"/>
          <w:lang w:val="en-US" w:eastAsia="zh-CN"/>
        </w:rPr>
        <w:t>16，事业编制5人</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行政</w:t>
      </w:r>
      <w:r>
        <w:rPr>
          <w:rFonts w:hint="default" w:ascii="Times New Roman" w:hAnsi="Times New Roman" w:eastAsia="仿宋_GB2312" w:cs="Times New Roman"/>
          <w:color w:val="000000"/>
          <w:sz w:val="32"/>
          <w:szCs w:val="32"/>
        </w:rPr>
        <w:t>在职人员</w:t>
      </w:r>
      <w:r>
        <w:rPr>
          <w:rFonts w:hint="default" w:ascii="Times New Roman" w:hAnsi="Times New Roman" w:eastAsia="仿宋_GB2312" w:cs="Times New Roman"/>
          <w:color w:val="000000"/>
          <w:sz w:val="32"/>
          <w:szCs w:val="32"/>
          <w:lang w:val="en-US" w:eastAsia="zh-CN"/>
        </w:rPr>
        <w:t>14</w:t>
      </w:r>
      <w:r>
        <w:rPr>
          <w:rFonts w:hint="default" w:ascii="Times New Roman" w:hAnsi="Times New Roman" w:eastAsia="仿宋_GB2312" w:cs="Times New Roman"/>
          <w:color w:val="000000"/>
          <w:sz w:val="32"/>
          <w:szCs w:val="32"/>
        </w:rPr>
        <w:t>人，其中：行政人员</w:t>
      </w:r>
      <w:r>
        <w:rPr>
          <w:rFonts w:hint="default" w:ascii="Times New Roman" w:hAnsi="Times New Roman" w:eastAsia="仿宋_GB2312" w:cs="Times New Roman"/>
          <w:color w:val="000000"/>
          <w:sz w:val="32"/>
          <w:szCs w:val="32"/>
          <w:lang w:val="en-US" w:eastAsia="zh-CN"/>
        </w:rPr>
        <w:t>11</w:t>
      </w:r>
      <w:r>
        <w:rPr>
          <w:rFonts w:hint="default" w:ascii="Times New Roman" w:hAnsi="Times New Roman" w:eastAsia="仿宋_GB2312" w:cs="Times New Roman"/>
          <w:color w:val="000000"/>
          <w:sz w:val="32"/>
          <w:szCs w:val="32"/>
        </w:rPr>
        <w:t>人，工勤人员</w:t>
      </w: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人</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事业在职人员1人。</w:t>
      </w:r>
      <w:r>
        <w:rPr>
          <w:rFonts w:hint="default" w:ascii="Times New Roman" w:hAnsi="Times New Roman" w:eastAsia="仿宋_GB2312" w:cs="Times New Roman"/>
          <w:color w:val="000000"/>
          <w:sz w:val="32"/>
          <w:szCs w:val="32"/>
        </w:rPr>
        <w:t>离休人员1人，退休人员</w:t>
      </w:r>
      <w:r>
        <w:rPr>
          <w:rFonts w:hint="default" w:ascii="Times New Roman" w:hAnsi="Times New Roman" w:eastAsia="仿宋_GB2312" w:cs="Times New Roman"/>
          <w:color w:val="000000"/>
          <w:sz w:val="32"/>
          <w:szCs w:val="32"/>
          <w:lang w:val="en-US" w:eastAsia="zh-CN"/>
        </w:rPr>
        <w:t>9</w:t>
      </w:r>
      <w:r>
        <w:rPr>
          <w:rFonts w:hint="default" w:ascii="Times New Roman" w:hAnsi="Times New Roman" w:eastAsia="仿宋_GB2312" w:cs="Times New Roman"/>
          <w:color w:val="000000"/>
          <w:sz w:val="32"/>
          <w:szCs w:val="32"/>
        </w:rPr>
        <w:t>人。</w:t>
      </w:r>
    </w:p>
    <w:p w14:paraId="28D53FC5">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rPr>
      </w:pPr>
      <w:r>
        <w:rPr>
          <w:rFonts w:hint="default" w:ascii="Times New Roman" w:hAnsi="Times New Roman" w:eastAsia="黑体" w:cs="Times New Roman"/>
          <w:color w:val="000000"/>
          <w:kern w:val="0"/>
          <w:sz w:val="32"/>
          <w:szCs w:val="32"/>
          <w:highlight w:val="none"/>
          <w:shd w:val="clear" w:color="auto" w:fill="FFFFFF"/>
        </w:rPr>
        <w:t>二、</w:t>
      </w:r>
      <w:r>
        <w:rPr>
          <w:rFonts w:hint="default" w:ascii="Times New Roman" w:hAnsi="Times New Roman" w:eastAsia="黑体" w:cs="Times New Roman"/>
          <w:color w:val="000000"/>
          <w:kern w:val="0"/>
          <w:sz w:val="32"/>
          <w:szCs w:val="32"/>
          <w:highlight w:val="none"/>
          <w:shd w:val="clear" w:color="auto" w:fill="FFFFFF"/>
          <w:lang w:eastAsia="zh-CN"/>
        </w:rPr>
        <w:t>部门</w:t>
      </w:r>
      <w:r>
        <w:rPr>
          <w:rFonts w:hint="default" w:ascii="Times New Roman" w:hAnsi="Times New Roman" w:eastAsia="黑体" w:cs="Times New Roman"/>
          <w:color w:val="000000"/>
          <w:kern w:val="0"/>
          <w:sz w:val="32"/>
          <w:szCs w:val="32"/>
          <w:highlight w:val="none"/>
          <w:shd w:val="clear" w:color="auto" w:fill="FFFFFF"/>
        </w:rPr>
        <w:t>资金收支情况</w:t>
      </w:r>
    </w:p>
    <w:p w14:paraId="06B1C914">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 w:val="32"/>
          <w:szCs w:val="32"/>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（一）收入情况。</w:t>
      </w:r>
    </w:p>
    <w:p w14:paraId="0D38AAE2">
      <w:pPr>
        <w:pStyle w:val="37"/>
        <w:keepNext w:val="0"/>
        <w:keepLines w:val="0"/>
        <w:pageBreakBefore w:val="0"/>
        <w:kinsoku/>
        <w:wordWrap/>
        <w:overflowPunct/>
        <w:topLinePunct w:val="0"/>
        <w:autoSpaceDE/>
        <w:autoSpaceDN/>
        <w:bidi w:val="0"/>
        <w:adjustRightInd/>
        <w:spacing w:line="576" w:lineRule="exact"/>
        <w:ind w:left="0" w:firstLine="640" w:firstLineChars="200"/>
        <w:rPr>
          <w:rFonts w:hint="default" w:ascii="Times New Roman" w:hAnsi="Times New Roman" w:eastAsia="仿宋_GB2312" w:cs="Times New Roman"/>
          <w:sz w:val="32"/>
          <w:szCs w:val="32"/>
          <w:lang w:val="en-US"/>
        </w:rPr>
      </w:pPr>
      <w:r>
        <w:rPr>
          <w:rFonts w:hint="default" w:ascii="Times New Roman" w:hAnsi="Times New Roman" w:eastAsia="仿宋_GB2312" w:cs="Times New Roman"/>
          <w:color w:val="000000"/>
          <w:sz w:val="32"/>
          <w:szCs w:val="32"/>
          <w:lang w:val="en-US" w:eastAsia="zh-CN"/>
        </w:rPr>
        <w:t>州直机关</w:t>
      </w:r>
      <w:r>
        <w:rPr>
          <w:rFonts w:hint="default" w:ascii="Times New Roman" w:hAnsi="Times New Roman" w:eastAsia="仿宋_GB2312" w:cs="Times New Roman"/>
          <w:color w:val="000000"/>
          <w:sz w:val="32"/>
          <w:szCs w:val="32"/>
        </w:rPr>
        <w:t>工委</w:t>
      </w:r>
      <w:r>
        <w:rPr>
          <w:rFonts w:hint="default" w:ascii="Times New Roman" w:hAnsi="Times New Roman" w:eastAsia="仿宋_GB2312" w:cs="Times New Roman"/>
          <w:color w:val="000000"/>
          <w:sz w:val="32"/>
          <w:szCs w:val="32"/>
          <w:lang w:val="en-US" w:eastAsia="zh-CN"/>
        </w:rPr>
        <w:t>部门</w:t>
      </w:r>
      <w:r>
        <w:rPr>
          <w:rFonts w:hint="default" w:ascii="Times New Roman" w:hAnsi="Times New Roman" w:eastAsia="仿宋_GB2312" w:cs="Times New Roman"/>
          <w:color w:val="000000"/>
          <w:sz w:val="32"/>
          <w:szCs w:val="32"/>
        </w:rPr>
        <w:t>20</w:t>
      </w:r>
      <w:r>
        <w:rPr>
          <w:rFonts w:hint="default" w:ascii="Times New Roman" w:hAnsi="Times New Roman" w:eastAsia="仿宋_GB2312" w:cs="Times New Roman"/>
          <w:color w:val="000000"/>
          <w:sz w:val="32"/>
          <w:szCs w:val="32"/>
          <w:lang w:val="en-US" w:eastAsia="zh-CN"/>
        </w:rPr>
        <w:t>24</w:t>
      </w:r>
      <w:r>
        <w:rPr>
          <w:rFonts w:hint="default" w:ascii="Times New Roman" w:hAnsi="Times New Roman" w:eastAsia="仿宋_GB2312" w:cs="Times New Roman"/>
          <w:color w:val="000000"/>
          <w:sz w:val="32"/>
          <w:szCs w:val="32"/>
        </w:rPr>
        <w:t>年度</w:t>
      </w:r>
      <w:r>
        <w:rPr>
          <w:rFonts w:hint="default" w:ascii="Times New Roman" w:hAnsi="Times New Roman" w:eastAsia="仿宋_GB2312" w:cs="Times New Roman"/>
          <w:color w:val="000000"/>
          <w:sz w:val="32"/>
          <w:szCs w:val="32"/>
          <w:lang w:val="en-US" w:eastAsia="zh-CN"/>
        </w:rPr>
        <w:t>年初一般公共预算财政</w:t>
      </w:r>
      <w:r>
        <w:rPr>
          <w:rFonts w:hint="default" w:ascii="Times New Roman" w:hAnsi="Times New Roman" w:eastAsia="仿宋_GB2312" w:cs="Times New Roman"/>
          <w:color w:val="000000"/>
          <w:sz w:val="32"/>
          <w:szCs w:val="32"/>
        </w:rPr>
        <w:t>拨款收入</w:t>
      </w:r>
      <w:r>
        <w:rPr>
          <w:rFonts w:hint="default" w:ascii="Times New Roman" w:hAnsi="Times New Roman" w:eastAsia="仿宋_GB2312" w:cs="Times New Roman"/>
          <w:color w:val="000000"/>
          <w:sz w:val="32"/>
          <w:szCs w:val="32"/>
          <w:lang w:val="en-US" w:eastAsia="zh-CN"/>
        </w:rPr>
        <w:t>669.35万</w:t>
      </w:r>
      <w:r>
        <w:rPr>
          <w:rFonts w:hint="default" w:ascii="Times New Roman" w:hAnsi="Times New Roman" w:eastAsia="仿宋_GB2312" w:cs="Times New Roman"/>
          <w:color w:val="000000"/>
          <w:sz w:val="32"/>
          <w:szCs w:val="32"/>
        </w:rPr>
        <w:t>元，本年财政资金收入合计为</w:t>
      </w:r>
      <w:r>
        <w:rPr>
          <w:rFonts w:hint="default" w:ascii="Times New Roman" w:hAnsi="Times New Roman" w:eastAsia="仿宋_GB2312" w:cs="Times New Roman"/>
          <w:color w:val="000000"/>
          <w:sz w:val="32"/>
          <w:szCs w:val="32"/>
          <w:lang w:val="en-US" w:eastAsia="zh-CN"/>
        </w:rPr>
        <w:t>669.35万</w:t>
      </w:r>
      <w:r>
        <w:rPr>
          <w:rFonts w:hint="default" w:ascii="Times New Roman" w:hAnsi="Times New Roman" w:eastAsia="仿宋_GB2312" w:cs="Times New Roman"/>
          <w:color w:val="000000"/>
          <w:sz w:val="32"/>
          <w:szCs w:val="32"/>
        </w:rPr>
        <w:t>元</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其他收入0元，全年收入合计669.35万元</w:t>
      </w:r>
      <w:r>
        <w:rPr>
          <w:rFonts w:hint="default" w:ascii="Times New Roman" w:hAnsi="Times New Roman" w:eastAsia="仿宋_GB2312" w:cs="Times New Roman"/>
          <w:color w:val="000000"/>
          <w:sz w:val="32"/>
          <w:szCs w:val="32"/>
        </w:rPr>
        <w:t>。</w:t>
      </w:r>
    </w:p>
    <w:p w14:paraId="58B7A828">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 w:val="32"/>
          <w:szCs w:val="32"/>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（二）支出情况。</w:t>
      </w:r>
    </w:p>
    <w:p w14:paraId="4DFA787E">
      <w:pPr>
        <w:pStyle w:val="28"/>
        <w:keepNext w:val="0"/>
        <w:keepLines w:val="0"/>
        <w:pageBreakBefore w:val="0"/>
        <w:widowControl w:val="0"/>
        <w:kinsoku/>
        <w:wordWrap/>
        <w:overflowPunct/>
        <w:topLinePunct w:val="0"/>
        <w:autoSpaceDE/>
        <w:autoSpaceDN/>
        <w:bidi w:val="0"/>
        <w:adjustRightInd/>
        <w:spacing w:line="576" w:lineRule="exact"/>
        <w:ind w:left="0" w:firstLine="640" w:firstLineChars="200"/>
        <w:rPr>
          <w:rFonts w:hint="default" w:ascii="Times New Roman" w:hAnsi="Times New Roman" w:eastAsia="仿宋_GB2312" w:cs="Times New Roman"/>
          <w:color w:val="000000"/>
          <w:sz w:val="32"/>
          <w:szCs w:val="32"/>
          <w:u w:val="none" w:color="000000"/>
          <w:lang w:val="en-US" w:eastAsia="zh-CN" w:bidi="ar-SA"/>
        </w:rPr>
      </w:pPr>
      <w:r>
        <w:rPr>
          <w:rFonts w:hint="default" w:ascii="Times New Roman" w:hAnsi="Times New Roman" w:eastAsia="仿宋_GB2312" w:cs="Times New Roman"/>
          <w:color w:val="000000"/>
          <w:sz w:val="32"/>
          <w:szCs w:val="32"/>
          <w:u w:val="none" w:color="000000"/>
          <w:lang w:val="en-US" w:eastAsia="zh-CN" w:bidi="ar-SA"/>
        </w:rPr>
        <w:t>州直机关工委部门2024年度年初预算支出合计669.35万元，其中基本支出555.47万元，含人员经费503.25万元，公用经费52.22万元；项目支出113.87万元。</w:t>
      </w:r>
    </w:p>
    <w:p w14:paraId="4B605A3B">
      <w:pPr>
        <w:keepNext w:val="0"/>
        <w:keepLines w:val="0"/>
        <w:pageBreakBefore w:val="0"/>
        <w:widowControl w:val="0"/>
        <w:kinsoku/>
        <w:wordWrap/>
        <w:overflowPunct/>
        <w:topLinePunct w:val="0"/>
        <w:autoSpaceDE/>
        <w:autoSpaceDN/>
        <w:bidi w:val="0"/>
        <w:adjustRightInd/>
        <w:spacing w:line="576" w:lineRule="exact"/>
        <w:ind w:firstLine="643" w:firstLineChars="200"/>
        <w:jc w:val="both"/>
        <w:textAlignment w:val="auto"/>
        <w:rPr>
          <w:rFonts w:hint="default" w:ascii="Times New Roman" w:hAnsi="Times New Roman" w:eastAsia="方正仿宋_GB2312" w:cs="Times New Roman"/>
          <w:b/>
          <w:bCs/>
          <w:color w:val="000000"/>
          <w:sz w:val="32"/>
          <w:szCs w:val="32"/>
          <w:u w:val="none" w:color="000000"/>
          <w:lang w:val="en-US" w:eastAsia="zh-CN" w:bidi="ar-SA"/>
        </w:rPr>
      </w:pPr>
      <w:r>
        <w:rPr>
          <w:rFonts w:hint="default" w:ascii="Times New Roman" w:hAnsi="Times New Roman" w:eastAsia="方正仿宋_GB2312" w:cs="Times New Roman"/>
          <w:b/>
          <w:bCs/>
          <w:color w:val="000000"/>
          <w:sz w:val="32"/>
          <w:szCs w:val="32"/>
          <w:u w:val="none" w:color="000000"/>
          <w:lang w:val="en-US" w:eastAsia="zh-CN" w:bidi="ar-SA"/>
        </w:rPr>
        <w:t>主要完成工作任务：</w:t>
      </w:r>
    </w:p>
    <w:p w14:paraId="13096AB7">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color w:val="000000"/>
          <w:kern w:val="0"/>
          <w:sz w:val="32"/>
          <w:szCs w:val="32"/>
          <w:u w:val="none" w:color="000000"/>
          <w:lang w:val="en-US" w:eastAsia="zh-CN" w:bidi="ar-SA"/>
        </w:rPr>
      </w:pPr>
      <w:r>
        <w:rPr>
          <w:rFonts w:hint="default" w:ascii="Times New Roman" w:hAnsi="Times New Roman" w:eastAsia="仿宋_GB2312" w:cs="Times New Roman"/>
          <w:b/>
          <w:bCs/>
          <w:color w:val="000000"/>
          <w:kern w:val="0"/>
          <w:sz w:val="32"/>
          <w:szCs w:val="32"/>
          <w:u w:val="none" w:color="000000"/>
          <w:lang w:val="en-US" w:eastAsia="zh-CN" w:bidi="ar-SA"/>
        </w:rPr>
        <w:t>一是加强政治建设。</w:t>
      </w:r>
      <w:r>
        <w:rPr>
          <w:rFonts w:hint="default" w:ascii="Times New Roman" w:hAnsi="Times New Roman" w:eastAsia="仿宋_GB2312" w:cs="Times New Roman"/>
          <w:color w:val="000000"/>
          <w:kern w:val="0"/>
          <w:sz w:val="32"/>
          <w:szCs w:val="32"/>
          <w:u w:val="none" w:color="000000"/>
          <w:lang w:val="en-US" w:eastAsia="zh-CN" w:bidi="ar-SA"/>
        </w:rPr>
        <w:t>督促州直部门（单位）党组织把带头做到“两个维护”作为首要政治纪律，</w:t>
      </w:r>
      <w:r>
        <w:rPr>
          <w:rFonts w:hint="eastAsia" w:eastAsia="仿宋_GB2312" w:cs="Times New Roman"/>
          <w:color w:val="000000"/>
          <w:kern w:val="0"/>
          <w:sz w:val="32"/>
          <w:szCs w:val="32"/>
          <w:u w:val="none" w:color="000000"/>
          <w:lang w:val="en-US" w:eastAsia="zh-CN" w:bidi="ar-SA"/>
        </w:rPr>
        <w:t>深入开展学习贯彻习近平新时代中国特色社会主义思想主题教育</w:t>
      </w:r>
      <w:r>
        <w:rPr>
          <w:rFonts w:hint="default" w:ascii="Times New Roman" w:hAnsi="Times New Roman" w:eastAsia="仿宋_GB2312" w:cs="Times New Roman"/>
          <w:color w:val="000000"/>
          <w:kern w:val="0"/>
          <w:sz w:val="32"/>
          <w:szCs w:val="32"/>
          <w:u w:val="none" w:color="000000"/>
          <w:lang w:val="en-US" w:eastAsia="zh-CN" w:bidi="ar-SA"/>
        </w:rPr>
        <w:t>、优良传统教育和形势政策教育，引导机关党员干部严守党的政治纪律和政治规矩。</w:t>
      </w:r>
      <w:bookmarkStart w:id="72" w:name="_GoBack"/>
      <w:bookmarkEnd w:id="72"/>
    </w:p>
    <w:p w14:paraId="005EFEB3">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color w:val="000000"/>
          <w:kern w:val="0"/>
          <w:sz w:val="32"/>
          <w:szCs w:val="32"/>
          <w:u w:val="none" w:color="000000"/>
          <w:lang w:val="en-US" w:eastAsia="zh-CN" w:bidi="ar-SA"/>
        </w:rPr>
      </w:pPr>
      <w:r>
        <w:rPr>
          <w:rFonts w:hint="default" w:ascii="Times New Roman" w:hAnsi="Times New Roman" w:eastAsia="仿宋_GB2312" w:cs="Times New Roman"/>
          <w:b/>
          <w:bCs/>
          <w:color w:val="000000"/>
          <w:kern w:val="0"/>
          <w:sz w:val="32"/>
          <w:szCs w:val="32"/>
          <w:u w:val="none" w:color="000000"/>
          <w:lang w:val="en-US" w:eastAsia="zh-CN" w:bidi="ar-SA"/>
        </w:rPr>
        <w:t>二是加强宣传教育</w:t>
      </w:r>
      <w:r>
        <w:rPr>
          <w:rFonts w:hint="default" w:ascii="Times New Roman" w:hAnsi="Times New Roman" w:eastAsia="仿宋_GB2312" w:cs="Times New Roman"/>
          <w:color w:val="000000"/>
          <w:kern w:val="0"/>
          <w:sz w:val="32"/>
          <w:szCs w:val="32"/>
          <w:u w:val="none" w:color="000000"/>
          <w:lang w:val="en-US" w:eastAsia="zh-CN" w:bidi="ar-SA"/>
        </w:rPr>
        <w:t>。深入开展对党忠诚教育、优良传统教育和形势政策教育，用活用好“指尖微党建”平台，引导机关党员干部严守党的政治纪律和政治规矩。</w:t>
      </w:r>
    </w:p>
    <w:p w14:paraId="79853AEE">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color w:val="000000"/>
          <w:kern w:val="0"/>
          <w:sz w:val="32"/>
          <w:szCs w:val="32"/>
          <w:u w:val="none" w:color="000000"/>
          <w:lang w:val="en-US" w:eastAsia="zh-CN" w:bidi="ar-SA"/>
        </w:rPr>
      </w:pPr>
      <w:r>
        <w:rPr>
          <w:rFonts w:hint="default" w:ascii="Times New Roman" w:hAnsi="Times New Roman" w:eastAsia="仿宋_GB2312" w:cs="Times New Roman"/>
          <w:b/>
          <w:bCs/>
          <w:color w:val="000000"/>
          <w:kern w:val="0"/>
          <w:sz w:val="32"/>
          <w:szCs w:val="32"/>
          <w:u w:val="none" w:color="000000"/>
          <w:lang w:val="en-US" w:eastAsia="zh-CN" w:bidi="ar-SA"/>
        </w:rPr>
        <w:t>三是强化基层组织</w:t>
      </w:r>
      <w:r>
        <w:rPr>
          <w:rFonts w:hint="default" w:ascii="Times New Roman" w:hAnsi="Times New Roman" w:eastAsia="仿宋_GB2312" w:cs="Times New Roman"/>
          <w:color w:val="000000"/>
          <w:kern w:val="0"/>
          <w:sz w:val="32"/>
          <w:szCs w:val="32"/>
          <w:u w:val="none" w:color="000000"/>
          <w:lang w:val="zh-TW" w:eastAsia="zh-CN" w:bidi="ar-SA"/>
        </w:rPr>
        <w:t>。</w:t>
      </w:r>
      <w:r>
        <w:rPr>
          <w:rFonts w:hint="default" w:ascii="Times New Roman" w:hAnsi="Times New Roman" w:eastAsia="仿宋_GB2312" w:cs="Times New Roman"/>
          <w:color w:val="000000"/>
          <w:kern w:val="0"/>
          <w:sz w:val="32"/>
          <w:szCs w:val="32"/>
          <w:u w:val="none" w:color="000000"/>
          <w:lang w:val="en-US" w:eastAsia="zh-CN" w:bidi="ar-SA"/>
        </w:rPr>
        <w:t>深化“净土先锋”机关党建品牌创建，分层分类开展党员教育培训，强化机关党建分类指导、党内关怀帮扶，常态开展“创先争优”活动。</w:t>
      </w:r>
    </w:p>
    <w:p w14:paraId="3711C1ED">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color w:val="000000"/>
          <w:kern w:val="0"/>
          <w:sz w:val="32"/>
          <w:szCs w:val="32"/>
          <w:u w:val="none" w:color="000000"/>
          <w:lang w:val="en-US" w:eastAsia="zh-CN" w:bidi="ar-SA"/>
        </w:rPr>
      </w:pPr>
      <w:r>
        <w:rPr>
          <w:rFonts w:hint="default" w:ascii="Times New Roman" w:hAnsi="Times New Roman" w:eastAsia="仿宋_GB2312" w:cs="Times New Roman"/>
          <w:b/>
          <w:bCs/>
          <w:color w:val="000000"/>
          <w:kern w:val="0"/>
          <w:sz w:val="32"/>
          <w:szCs w:val="32"/>
          <w:u w:val="none" w:color="000000"/>
          <w:lang w:val="en-US" w:eastAsia="zh-CN" w:bidi="ar-SA"/>
        </w:rPr>
        <w:t>四是管好驻村干部。</w:t>
      </w:r>
      <w:r>
        <w:rPr>
          <w:rFonts w:hint="default" w:ascii="Times New Roman" w:hAnsi="Times New Roman" w:eastAsia="仿宋_GB2312" w:cs="Times New Roman"/>
          <w:color w:val="000000"/>
          <w:kern w:val="0"/>
          <w:sz w:val="32"/>
          <w:szCs w:val="32"/>
          <w:u w:val="none" w:color="000000"/>
          <w:lang w:val="en-US" w:eastAsia="zh-CN" w:bidi="ar-SA"/>
        </w:rPr>
        <w:t>进一步明确联系帮扶力量职责任务，压紧压实工作责任，做好驻村帮扶工作考核、督查等。</w:t>
      </w:r>
    </w:p>
    <w:p w14:paraId="5CFE3064">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color w:val="000000"/>
          <w:kern w:val="0"/>
          <w:sz w:val="32"/>
          <w:szCs w:val="32"/>
          <w:u w:val="none" w:color="000000"/>
          <w:lang w:val="en-US" w:eastAsia="zh-CN" w:bidi="ar-SA"/>
        </w:rPr>
      </w:pPr>
      <w:r>
        <w:rPr>
          <w:rFonts w:hint="default" w:ascii="Times New Roman" w:hAnsi="Times New Roman" w:eastAsia="仿宋_GB2312" w:cs="Times New Roman"/>
          <w:b/>
          <w:bCs/>
          <w:color w:val="000000"/>
          <w:kern w:val="0"/>
          <w:sz w:val="32"/>
          <w:szCs w:val="32"/>
          <w:u w:val="none" w:color="000000"/>
          <w:lang w:val="en-US" w:eastAsia="zh-CN" w:bidi="ar-SA"/>
        </w:rPr>
        <w:t>五是强化政治监督</w:t>
      </w:r>
      <w:r>
        <w:rPr>
          <w:rFonts w:hint="default" w:ascii="Times New Roman" w:hAnsi="Times New Roman" w:eastAsia="仿宋_GB2312" w:cs="Times New Roman"/>
          <w:color w:val="000000"/>
          <w:kern w:val="0"/>
          <w:sz w:val="32"/>
          <w:szCs w:val="32"/>
          <w:u w:val="none" w:color="000000"/>
          <w:lang w:val="en-US" w:eastAsia="zh-CN" w:bidi="ar-SA"/>
        </w:rPr>
        <w:t>。聚焦“两个维护”，加强正风肃纪监督检查，推动全面从严治党主体责任落实，开展廉洁从政教育。</w:t>
      </w:r>
    </w:p>
    <w:p w14:paraId="66CB4175">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color w:val="000000"/>
          <w:kern w:val="2"/>
          <w:sz w:val="32"/>
          <w:szCs w:val="32"/>
          <w:u w:val="none" w:color="000000"/>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sz w:val="32"/>
          <w:szCs w:val="32"/>
        </w:rPr>
        <w:t>结余分配和结转结余情况</w:t>
      </w:r>
      <w:r>
        <w:rPr>
          <w:rFonts w:hint="default" w:ascii="Times New Roman" w:hAnsi="Times New Roman" w:eastAsia="楷体_GB2312" w:cs="Times New Roman"/>
          <w:b/>
          <w:sz w:val="32"/>
          <w:szCs w:val="32"/>
          <w:lang w:eastAsia="zh-CN"/>
        </w:rPr>
        <w:t>。</w:t>
      </w:r>
      <w:r>
        <w:rPr>
          <w:rFonts w:hint="default" w:ascii="Times New Roman" w:hAnsi="Times New Roman" w:eastAsia="仿宋_GB2312" w:cs="Times New Roman"/>
          <w:color w:val="000000"/>
          <w:kern w:val="2"/>
          <w:sz w:val="32"/>
          <w:szCs w:val="32"/>
          <w:u w:val="none" w:color="000000"/>
          <w:lang w:val="en-US" w:eastAsia="zh-CN" w:bidi="ar-SA"/>
        </w:rPr>
        <w:t>州直机关工委2024年决算报表无结转结余情况。</w:t>
      </w:r>
    </w:p>
    <w:p w14:paraId="2F8EF860">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themeColor="text1"/>
          <w:kern w:val="0"/>
          <w:sz w:val="32"/>
          <w:szCs w:val="32"/>
          <w:highlight w:val="none"/>
          <w:shd w:val="clear" w:color="auto" w:fill="FFFFFF"/>
          <w14:textFill>
            <w14:solidFill>
              <w14:schemeClr w14:val="tx1"/>
            </w14:solidFill>
          </w14:textFill>
        </w:rPr>
      </w:pPr>
      <w:r>
        <w:rPr>
          <w:rFonts w:hint="default" w:ascii="Times New Roman" w:hAnsi="Times New Roman" w:eastAsia="黑体" w:cs="Times New Roman"/>
          <w:color w:val="000000"/>
          <w:kern w:val="0"/>
          <w:sz w:val="32"/>
          <w:szCs w:val="32"/>
          <w:highlight w:val="none"/>
          <w:shd w:val="clear" w:color="auto" w:fill="FFFFFF"/>
        </w:rPr>
        <w:t>三、</w:t>
      </w:r>
      <w:r>
        <w:rPr>
          <w:rFonts w:hint="default" w:ascii="Times New Roman" w:hAnsi="Times New Roman" w:eastAsia="黑体" w:cs="Times New Roman"/>
          <w:color w:val="000000"/>
          <w:kern w:val="0"/>
          <w:sz w:val="32"/>
          <w:szCs w:val="32"/>
          <w:highlight w:val="none"/>
          <w:u w:val="none"/>
          <w:shd w:val="clear" w:color="auto" w:fill="FFFFFF"/>
        </w:rPr>
        <w:t>部门</w:t>
      </w:r>
      <w:r>
        <w:rPr>
          <w:rFonts w:hint="default" w:ascii="Times New Roman" w:hAnsi="Times New Roman" w:eastAsia="黑体" w:cs="Times New Roman"/>
          <w:color w:val="000000"/>
          <w:kern w:val="0"/>
          <w:sz w:val="32"/>
          <w:szCs w:val="32"/>
          <w:highlight w:val="none"/>
          <w:u w:val="none"/>
          <w:shd w:val="clear" w:color="auto" w:fill="FFFFFF"/>
          <w:lang w:eastAsia="zh-CN"/>
        </w:rPr>
        <w:t>预算</w:t>
      </w:r>
      <w:r>
        <w:rPr>
          <w:rFonts w:hint="default" w:ascii="Times New Roman" w:hAnsi="Times New Roman" w:eastAsia="黑体" w:cs="Times New Roman"/>
          <w:color w:val="000000"/>
          <w:kern w:val="0"/>
          <w:sz w:val="32"/>
          <w:szCs w:val="32"/>
          <w:highlight w:val="none"/>
          <w:u w:val="none"/>
          <w:shd w:val="clear" w:color="auto" w:fill="FFFFFF"/>
        </w:rPr>
        <w:t>绩效</w:t>
      </w:r>
      <w:r>
        <w:rPr>
          <w:rFonts w:hint="default" w:ascii="Times New Roman" w:hAnsi="Times New Roman" w:eastAsia="黑体" w:cs="Times New Roman"/>
          <w:color w:val="000000"/>
          <w:kern w:val="0"/>
          <w:sz w:val="32"/>
          <w:szCs w:val="32"/>
          <w:highlight w:val="none"/>
          <w:u w:val="none"/>
          <w:shd w:val="clear" w:color="auto" w:fill="FFFFFF"/>
          <w:lang w:eastAsia="zh-CN"/>
        </w:rPr>
        <w:t>分析</w:t>
      </w:r>
    </w:p>
    <w:p w14:paraId="3571CCC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color w:val="000000"/>
          <w:kern w:val="0"/>
          <w:sz w:val="32"/>
          <w:szCs w:val="32"/>
          <w:highlight w:val="yellow"/>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（一）部门预算总体绩效分析。</w:t>
      </w:r>
    </w:p>
    <w:p w14:paraId="5EA0893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en-US" w:eastAsia="zh-CN"/>
        </w:rPr>
        <w:t>1.</w:t>
      </w:r>
      <w:r>
        <w:rPr>
          <w:rFonts w:hint="default" w:ascii="Times New Roman" w:hAnsi="Times New Roman" w:eastAsia="楷体_GB2312" w:cs="Times New Roman"/>
          <w:b/>
          <w:bCs/>
          <w:color w:val="000000"/>
          <w:kern w:val="0"/>
          <w:sz w:val="32"/>
          <w:szCs w:val="32"/>
          <w:highlight w:val="none"/>
          <w:shd w:val="clear" w:color="auto" w:fill="FFFFFF"/>
          <w:lang w:val="zh-CN"/>
        </w:rPr>
        <w:t>履职效能。</w:t>
      </w:r>
    </w:p>
    <w:p w14:paraId="75E50230">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b w:val="0"/>
          <w:bCs w:val="0"/>
          <w:color w:val="000000"/>
          <w:sz w:val="32"/>
          <w:szCs w:val="32"/>
          <w:u w:val="none" w:color="000000"/>
          <w:lang w:val="en-US" w:eastAsia="zh-CN" w:bidi="ar-SA"/>
        </w:rPr>
      </w:pPr>
      <w:r>
        <w:rPr>
          <w:rFonts w:hint="default" w:ascii="Times New Roman" w:hAnsi="Times New Roman" w:eastAsia="仿宋_GB2312" w:cs="Times New Roman"/>
          <w:b/>
          <w:bCs/>
          <w:color w:val="000000"/>
          <w:kern w:val="0"/>
          <w:sz w:val="32"/>
          <w:szCs w:val="32"/>
          <w:highlight w:val="none"/>
          <w:u w:val="none"/>
          <w:shd w:val="clear" w:color="auto" w:fill="FFFFFF"/>
          <w:lang w:val="en-US" w:eastAsia="zh-CN" w:bidi="ar-SA"/>
        </w:rPr>
        <w:t>州直机关党员干部教育培训工作经费：</w:t>
      </w:r>
      <w:r>
        <w:rPr>
          <w:rFonts w:hint="default" w:ascii="Times New Roman" w:hAnsi="Times New Roman" w:eastAsia="仿宋_GB2312" w:cs="Times New Roman"/>
          <w:b w:val="0"/>
          <w:bCs w:val="0"/>
          <w:sz w:val="32"/>
          <w:szCs w:val="32"/>
          <w:lang w:val="en-US" w:eastAsia="zh-CN"/>
        </w:rPr>
        <w:t>分层分类举办党组织书记、党务干部、入党积极分子、</w:t>
      </w:r>
      <w:r>
        <w:rPr>
          <w:rFonts w:hint="default" w:ascii="Times New Roman" w:hAnsi="Times New Roman" w:eastAsia="仿宋_GB2312" w:cs="Times New Roman"/>
          <w:b w:val="0"/>
          <w:bCs w:val="0"/>
          <w:sz w:val="32"/>
          <w:szCs w:val="32"/>
          <w:lang w:eastAsia="zh-CN"/>
        </w:rPr>
        <w:t>青年理论骨干、</w:t>
      </w:r>
      <w:r>
        <w:rPr>
          <w:rFonts w:hint="default" w:ascii="Times New Roman" w:hAnsi="Times New Roman" w:eastAsia="仿宋_GB2312" w:cs="Times New Roman"/>
          <w:b w:val="0"/>
          <w:bCs w:val="0"/>
          <w:sz w:val="32"/>
          <w:szCs w:val="32"/>
          <w:lang w:val="en-US" w:eastAsia="zh-CN"/>
        </w:rPr>
        <w:t>纪检干部、驻村干部等示范培训班7期、培训731人次，指导州直各部门做好全员培训，为奋力建设民族地区高质量发展阿坝典范积蓄思想动能。举办第五届机关公文写作培训暨技能大赛，采取“先学习+后竞赛”的方式，组织82个州级部门、13县（市）共95名选手以赛促学、以赛提能，搭建了青年党员干部锤炼本领、展示风采的平台。</w:t>
      </w:r>
    </w:p>
    <w:p w14:paraId="24C70237">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pPr>
      <w:r>
        <w:rPr>
          <w:rFonts w:hint="default" w:ascii="Times New Roman" w:hAnsi="Times New Roman" w:eastAsia="仿宋_GB2312" w:cs="Times New Roman"/>
          <w:b/>
          <w:bCs/>
          <w:color w:val="000000"/>
          <w:kern w:val="0"/>
          <w:sz w:val="32"/>
          <w:szCs w:val="32"/>
          <w:highlight w:val="none"/>
          <w:u w:val="none"/>
          <w:shd w:val="clear" w:color="auto" w:fill="FFFFFF"/>
          <w:lang w:val="en-US" w:eastAsia="zh-CN" w:bidi="ar-SA"/>
        </w:rPr>
        <w:t>党建品牌创建及机关党建联动工作经费：</w:t>
      </w:r>
      <w:r>
        <w:rPr>
          <w:rFonts w:hint="default" w:ascii="Times New Roman" w:hAnsi="Times New Roman" w:eastAsia="仿宋_GB2312" w:cs="Times New Roman"/>
          <w:b w:val="0"/>
          <w:bCs w:val="0"/>
          <w:sz w:val="32"/>
          <w:szCs w:val="32"/>
          <w:lang w:val="en-US" w:eastAsia="zh-CN"/>
        </w:rPr>
        <w:t>以“净土先锋”党建品牌建设为抓手，深入推动机关党建与业务工作深度融合，以“现场观摩+大会”相结合的方式，盘点总结2023年品牌建设成效，抓实2024年13个部门品牌建设工作，分行业、按类别梯次培育具有阿坝机关特色、部门特点的子品牌25个，形成“1+N”党建品牌创建矩阵。深化机关党建“四分”工作机制，完善考核评估体系，对95个部门</w:t>
      </w:r>
      <w:r>
        <w:rPr>
          <w:rFonts w:hint="default" w:ascii="Times New Roman" w:hAnsi="Times New Roman" w:eastAsia="仿宋_GB2312" w:cs="Times New Roman"/>
          <w:b w:val="0"/>
          <w:bCs w:val="0"/>
          <w:sz w:val="32"/>
          <w:szCs w:val="32"/>
          <w:lang w:eastAsia="zh-CN"/>
        </w:rPr>
        <w:t>（单位）</w:t>
      </w:r>
      <w:r>
        <w:rPr>
          <w:rFonts w:hint="default" w:ascii="Times New Roman" w:hAnsi="Times New Roman" w:eastAsia="仿宋_GB2312" w:cs="Times New Roman"/>
          <w:b w:val="0"/>
          <w:bCs w:val="0"/>
          <w:sz w:val="32"/>
          <w:szCs w:val="32"/>
          <w:lang w:val="en-US" w:eastAsia="zh-CN"/>
        </w:rPr>
        <w:t>党组（党委）全覆盖开展履行党建责任制、推动党组织标准化规范化实战化调研指导，推动各责任主体对标履职尽责。</w:t>
      </w:r>
    </w:p>
    <w:p w14:paraId="76943B3C">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bCs/>
          <w:color w:val="000000"/>
          <w:kern w:val="0"/>
          <w:sz w:val="32"/>
          <w:szCs w:val="32"/>
          <w:highlight w:val="none"/>
          <w:u w:val="none"/>
          <w:shd w:val="clear" w:color="auto" w:fill="FFFFFF"/>
          <w:lang w:val="en-US" w:eastAsia="zh-CN" w:bidi="ar-SA"/>
        </w:rPr>
        <w:t>纪检工作经费</w:t>
      </w:r>
      <w:r>
        <w:rPr>
          <w:rFonts w:hint="default" w:ascii="Times New Roman" w:hAnsi="Times New Roman" w:cs="Times New Roman"/>
          <w:b/>
          <w:bCs/>
          <w:color w:val="000000"/>
          <w:kern w:val="0"/>
          <w:sz w:val="32"/>
          <w:szCs w:val="32"/>
          <w:highlight w:val="none"/>
          <w:u w:val="none"/>
          <w:shd w:val="clear" w:color="auto" w:fill="FFFFFF"/>
          <w:lang w:val="en-US" w:eastAsia="zh-CN" w:bidi="ar-SA"/>
        </w:rPr>
        <w:t>：</w:t>
      </w:r>
      <w:r>
        <w:rPr>
          <w:rFonts w:hint="default" w:ascii="Times New Roman" w:hAnsi="Times New Roman" w:eastAsia="仿宋_GB2312" w:cs="Times New Roman"/>
          <w:b w:val="0"/>
          <w:bCs w:val="0"/>
          <w:sz w:val="32"/>
          <w:szCs w:val="32"/>
          <w:lang w:eastAsia="zh-CN"/>
        </w:rPr>
        <w:t>依纪、依规审理州直机关科级及以下党员干部、公职人员违纪违法案件21件，指导发案部门（单位）扎实开展组织生活会警示教育及以案促改工作。开展州直机关干部担当作为专题调研，对2023年38名违纪人员进行教育回访。</w:t>
      </w:r>
    </w:p>
    <w:p w14:paraId="06E7C287">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color w:val="000000"/>
          <w:kern w:val="0"/>
          <w:sz w:val="32"/>
          <w:szCs w:val="32"/>
          <w:highlight w:val="none"/>
          <w:u w:val="none"/>
          <w:shd w:val="clear" w:color="auto" w:fill="FFFFFF"/>
          <w:lang w:val="en-US" w:eastAsia="zh-CN" w:bidi="ar-SA"/>
        </w:rPr>
        <w:t>统战群工工作经费</w:t>
      </w:r>
      <w:r>
        <w:rPr>
          <w:rFonts w:hint="default" w:ascii="Times New Roman" w:hAnsi="Times New Roman" w:cs="Times New Roman"/>
          <w:b/>
          <w:bCs/>
          <w:color w:val="000000"/>
          <w:kern w:val="0"/>
          <w:sz w:val="32"/>
          <w:szCs w:val="32"/>
          <w:highlight w:val="none"/>
          <w:u w:val="none"/>
          <w:shd w:val="clear" w:color="auto" w:fill="FFFFFF"/>
          <w:lang w:val="en-US" w:eastAsia="zh-CN" w:bidi="ar-SA"/>
        </w:rPr>
        <w:t>：</w:t>
      </w:r>
      <w:r>
        <w:rPr>
          <w:rFonts w:hint="default" w:ascii="Times New Roman" w:hAnsi="Times New Roman" w:eastAsia="仿宋_GB2312" w:cs="Times New Roman"/>
          <w:b w:val="0"/>
          <w:bCs w:val="0"/>
          <w:sz w:val="32"/>
          <w:szCs w:val="32"/>
          <w:lang w:val="en-US" w:eastAsia="zh-CN"/>
        </w:rPr>
        <w:t>将</w:t>
      </w:r>
      <w:r>
        <w:rPr>
          <w:rFonts w:hint="default" w:ascii="Times New Roman" w:hAnsi="Times New Roman" w:eastAsia="仿宋_GB2312" w:cs="Times New Roman"/>
          <w:b w:val="0"/>
          <w:bCs w:val="0"/>
          <w:sz w:val="32"/>
          <w:szCs w:val="32"/>
          <w:lang w:eastAsia="zh-CN"/>
        </w:rPr>
        <w:t>“爱心爸妈”助学结对关爱服务工作作为贯彻落实习近平总书记重要指示精神的实际行动，</w:t>
      </w:r>
      <w:r>
        <w:rPr>
          <w:rFonts w:hint="default" w:ascii="Times New Roman" w:hAnsi="Times New Roman" w:eastAsia="仿宋_GB2312" w:cs="Times New Roman"/>
          <w:b w:val="0"/>
          <w:bCs w:val="0"/>
          <w:sz w:val="32"/>
          <w:szCs w:val="32"/>
        </w:rPr>
        <w:t>坚持一把手亲自抓、逐级抓落实，</w:t>
      </w:r>
      <w:r>
        <w:rPr>
          <w:rFonts w:hint="default" w:ascii="Times New Roman" w:hAnsi="Times New Roman" w:eastAsia="仿宋_GB2312" w:cs="Times New Roman"/>
          <w:b w:val="0"/>
          <w:bCs w:val="0"/>
          <w:sz w:val="32"/>
          <w:szCs w:val="32"/>
          <w:lang w:val="en-US" w:eastAsia="zh-CN"/>
        </w:rPr>
        <w:t>36名</w:t>
      </w:r>
      <w:r>
        <w:rPr>
          <w:rFonts w:hint="default" w:ascii="Times New Roman" w:hAnsi="Times New Roman" w:eastAsia="仿宋_GB2312" w:cs="Times New Roman"/>
          <w:b w:val="0"/>
          <w:bCs w:val="0"/>
          <w:sz w:val="32"/>
          <w:szCs w:val="32"/>
        </w:rPr>
        <w:t>厅级领导干部率先带头，</w:t>
      </w:r>
      <w:r>
        <w:rPr>
          <w:rFonts w:hint="default" w:ascii="Times New Roman" w:hAnsi="Times New Roman" w:eastAsia="仿宋_GB2312" w:cs="Times New Roman"/>
          <w:b w:val="0"/>
          <w:bCs w:val="0"/>
          <w:sz w:val="32"/>
          <w:szCs w:val="32"/>
          <w:lang w:val="en-US" w:eastAsia="zh-CN"/>
        </w:rPr>
        <w:t>137</w:t>
      </w:r>
      <w:r>
        <w:rPr>
          <w:rFonts w:hint="default" w:ascii="Times New Roman" w:hAnsi="Times New Roman" w:eastAsia="仿宋_GB2312" w:cs="Times New Roman"/>
          <w:b w:val="0"/>
          <w:bCs w:val="0"/>
          <w:sz w:val="32"/>
          <w:szCs w:val="32"/>
        </w:rPr>
        <w:t>个州直部门（单位）与</w:t>
      </w:r>
      <w:r>
        <w:rPr>
          <w:rFonts w:hint="default"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b w:val="0"/>
          <w:bCs w:val="0"/>
          <w:sz w:val="32"/>
          <w:szCs w:val="32"/>
          <w:lang w:eastAsia="zh-CN"/>
        </w:rPr>
        <w:t>43</w:t>
      </w:r>
      <w:r>
        <w:rPr>
          <w:rFonts w:hint="default" w:ascii="Times New Roman" w:hAnsi="Times New Roman" w:eastAsia="仿宋_GB2312" w:cs="Times New Roman"/>
          <w:b w:val="0"/>
          <w:bCs w:val="0"/>
          <w:sz w:val="32"/>
          <w:szCs w:val="32"/>
        </w:rPr>
        <w:t>名失辍学返校复学少年儿童完成“爱心爸妈”首轮结对，让结对关爱“联”起来、“动”起来、“暖”起来，推动“爱心爸妈”结对关爱落地见效。</w:t>
      </w:r>
      <w:r>
        <w:rPr>
          <w:rFonts w:hint="default" w:ascii="Times New Roman" w:hAnsi="Times New Roman" w:eastAsia="仿宋_GB2312" w:cs="Times New Roman"/>
          <w:b w:val="0"/>
          <w:bCs w:val="0"/>
          <w:sz w:val="32"/>
          <w:szCs w:val="32"/>
          <w:lang w:val="en-US" w:eastAsia="zh-CN"/>
        </w:rPr>
        <w:t>积极指导3个团组织、9个妇女组织换届选举，巩固群团组织建设根基，提升工作效能。全面推进“八五”普法规划的实施，以“三八”国际妇女节为契机，在州直机关妇女组织开展法治宣传教</w:t>
      </w:r>
      <w:r>
        <w:rPr>
          <w:rFonts w:hint="default" w:ascii="Times New Roman" w:hAnsi="Times New Roman" w:eastAsia="仿宋_GB2312" w:cs="Times New Roman"/>
          <w:b w:val="0"/>
          <w:bCs w:val="0"/>
          <w:sz w:val="32"/>
          <w:szCs w:val="32"/>
          <w:highlight w:val="none"/>
          <w:lang w:val="en-US" w:eastAsia="zh-CN"/>
        </w:rPr>
        <w:t>育，举办</w:t>
      </w:r>
      <w:r>
        <w:rPr>
          <w:rFonts w:hint="default" w:ascii="Times New Roman" w:hAnsi="Times New Roman" w:eastAsia="仿宋_GB2312" w:cs="Times New Roman"/>
          <w:sz w:val="32"/>
          <w:szCs w:val="32"/>
          <w:lang w:val="en-US" w:eastAsia="zh-CN"/>
        </w:rPr>
        <w:t>《中华人民共和国妇女权益保障法》专题讲座，进一步提升了妇女们维护自身合法权益的意识。为州直机关102个妇女组织订阅2025年度《分忧》刊物，充分利用宣传舆论平台，加强思想引领，推动提升工作效能与素质。</w:t>
      </w:r>
    </w:p>
    <w:p w14:paraId="60E993FF">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color w:val="000000"/>
          <w:kern w:val="0"/>
          <w:sz w:val="32"/>
          <w:szCs w:val="32"/>
          <w:highlight w:val="none"/>
          <w:u w:val="none"/>
          <w:shd w:val="clear" w:color="auto" w:fill="FFFFFF"/>
          <w:lang w:val="en-US" w:eastAsia="zh-CN" w:bidi="ar-SA"/>
        </w:rPr>
        <w:t>州驻村帮扶工作经费：</w:t>
      </w:r>
      <w:r>
        <w:rPr>
          <w:rFonts w:hint="default" w:ascii="Times New Roman" w:hAnsi="Times New Roman" w:eastAsia="仿宋_GB2312" w:cs="Times New Roman"/>
          <w:b w:val="0"/>
          <w:bCs w:val="0"/>
          <w:sz w:val="32"/>
          <w:szCs w:val="32"/>
          <w:lang w:val="en-US" w:eastAsia="zh-CN"/>
        </w:rPr>
        <w:t>围绕定点帮扶和托底性帮扶目标任务，建立受扶乡镇、村（社区）和州级帮扶部门（单位）双向对接和“牵头部门抓总包乡镇、责任部门分级负责包村（社区）”工作机制。落实130个州级部门（单位）定点帮扶55个村职责，督促指导州级定点帮扶部门（单位）先后深入定点帮扶联系村开展调研100余次</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严格落实“四个不摘”工作要求，按照“大稳定、小调整”“补短板、扶弱村”和“应派尽派”原则，聚焦已脱贫村、托底性帮扶特别困难村、乡村振兴任务重的村、集体经济薄弱村和党组织软弱涣散村等重点，组织州、县力量，在深入摸排，反复研判的基础上，通过“新增派一批+轮换一批+调整一批”方式，采取“个人自荐+组织推荐+集中审核”，先后2批次，优化调整选派政治素质好、工作能力强、敢于担当的驻村干部134名，其中新增派66人，调整50人，轮换18人，州级选派驻村干部由2023年的204名，增长到269名。</w:t>
      </w:r>
    </w:p>
    <w:p w14:paraId="76A2F7BF">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color w:val="000000"/>
          <w:kern w:val="0"/>
          <w:sz w:val="32"/>
          <w:szCs w:val="32"/>
          <w:highlight w:val="none"/>
          <w:u w:val="none"/>
          <w:shd w:val="clear" w:color="auto" w:fill="FFFFFF"/>
          <w:lang w:val="en-US" w:eastAsia="zh-CN" w:bidi="ar-SA"/>
        </w:rPr>
        <w:t>办公设备购置：</w:t>
      </w:r>
      <w:r>
        <w:rPr>
          <w:rFonts w:hint="default" w:ascii="Times New Roman" w:hAnsi="Times New Roman" w:eastAsia="仿宋_GB2312" w:cs="Times New Roman"/>
          <w:b w:val="0"/>
          <w:bCs w:val="0"/>
          <w:sz w:val="32"/>
          <w:szCs w:val="32"/>
          <w:lang w:val="en-US" w:eastAsia="zh-CN"/>
        </w:rPr>
        <w:t>为切实改善机关办公环境，提升干部职工队伍工作效率，通过公开招标方式完成13台空调设备采购工作，采购的13台2匹立式空调已完成安装投入使用，有效解决了冬季办公区取暖的问题，为干部职工创造了舒适健康的工作环境，切实保障了工作的高效运转。</w:t>
      </w:r>
    </w:p>
    <w:p w14:paraId="0CC969B7">
      <w:pPr>
        <w:keepNext w:val="0"/>
        <w:keepLines w:val="0"/>
        <w:pageBreakBefore w:val="0"/>
        <w:widowControl/>
        <w:kinsoku/>
        <w:wordWrap/>
        <w:overflowPunct/>
        <w:topLinePunct w:val="0"/>
        <w:autoSpaceDE/>
        <w:autoSpaceDN/>
        <w:bidi w:val="0"/>
        <w:adjustRightInd w:val="0"/>
        <w:snapToGrid w:val="0"/>
        <w:spacing w:line="576" w:lineRule="exact"/>
        <w:ind w:left="0" w:firstLine="643" w:firstLineChars="200"/>
        <w:contextualSpacing/>
        <w:jc w:val="left"/>
        <w:textAlignment w:val="auto"/>
        <w:rPr>
          <w:rFonts w:hint="default" w:ascii="Times New Roman" w:hAnsi="Times New Roman" w:eastAsia="仿宋_GB2312" w:cs="Times New Roman"/>
          <w:color w:val="000000"/>
          <w:kern w:val="0"/>
          <w:sz w:val="32"/>
          <w:szCs w:val="32"/>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en-US" w:eastAsia="zh-CN"/>
        </w:rPr>
        <w:t>2.</w:t>
      </w:r>
      <w:r>
        <w:rPr>
          <w:rFonts w:hint="default" w:ascii="Times New Roman" w:hAnsi="Times New Roman" w:eastAsia="楷体_GB2312" w:cs="Times New Roman"/>
          <w:b/>
          <w:bCs/>
          <w:color w:val="000000"/>
          <w:kern w:val="0"/>
          <w:sz w:val="32"/>
          <w:szCs w:val="32"/>
          <w:highlight w:val="none"/>
          <w:shd w:val="clear" w:color="auto" w:fill="FFFFFF"/>
          <w:lang w:val="zh-CN"/>
        </w:rPr>
        <w:t>预算管理</w:t>
      </w:r>
      <w:r>
        <w:rPr>
          <w:rFonts w:hint="default" w:ascii="Times New Roman" w:hAnsi="Times New Roman" w:eastAsia="楷体_GB2312" w:cs="Times New Roman"/>
          <w:color w:val="000000"/>
          <w:kern w:val="0"/>
          <w:sz w:val="32"/>
          <w:szCs w:val="32"/>
          <w:highlight w:val="none"/>
          <w:shd w:val="clear" w:color="auto" w:fill="FFFFFF"/>
          <w:lang w:val="zh-CN"/>
        </w:rPr>
        <w:t>。</w:t>
      </w:r>
      <w:r>
        <w:rPr>
          <w:rFonts w:hint="default" w:ascii="Times New Roman" w:hAnsi="Times New Roman" w:eastAsia="仿宋_GB2312" w:cs="Times New Roman"/>
          <w:color w:val="000000"/>
          <w:kern w:val="0"/>
          <w:sz w:val="32"/>
          <w:szCs w:val="32"/>
          <w:shd w:val="clear" w:color="auto" w:fill="FFFFFF"/>
          <w:lang w:val="en-US" w:eastAsia="zh-CN"/>
        </w:rPr>
        <w:t>严格执行预算管理相关规定，坚持一个部门一本预算，加强全口径预算管理。根据工作开展实际，坚持“依法依规、突出重点、讲求绩效”的基本原则，严格预算编制，不断提高预算完整性、规范性、真实性、准确性。根据日常经济业务的开展，坚持先有预算后有支出，严禁超预算安排支出或开展政府采购，严格按照预算规定的支出用途使用资金，严格执行各项经费开支标准，合理安排支出进度，规范预算执行。会计年度结束后，加强预算绩效管理，推进预算信息公开，不断提高预算管理的规范化、科学化、标准化水平和透明度，增强财政资源统筹能力，硬化预算刚性约束，提高资金使用绩效。</w:t>
      </w:r>
    </w:p>
    <w:p w14:paraId="517FC925">
      <w:pPr>
        <w:keepNext w:val="0"/>
        <w:keepLines w:val="0"/>
        <w:pageBreakBefore w:val="0"/>
        <w:widowControl/>
        <w:kinsoku/>
        <w:wordWrap/>
        <w:overflowPunct/>
        <w:topLinePunct w:val="0"/>
        <w:autoSpaceDE/>
        <w:autoSpaceDN/>
        <w:bidi w:val="0"/>
        <w:adjustRightInd w:val="0"/>
        <w:snapToGrid w:val="0"/>
        <w:spacing w:line="576" w:lineRule="exact"/>
        <w:ind w:left="0" w:firstLine="643" w:firstLineChars="200"/>
        <w:contextualSpacing/>
        <w:jc w:val="left"/>
        <w:textAlignment w:val="auto"/>
        <w:rPr>
          <w:rFonts w:hint="default" w:ascii="Times New Roman" w:hAnsi="Times New Roman" w:cs="Times New Roman"/>
          <w:color w:val="000000"/>
          <w:kern w:val="0"/>
          <w:sz w:val="32"/>
          <w:szCs w:val="32"/>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en-US" w:eastAsia="zh-CN"/>
        </w:rPr>
        <w:t>3.</w:t>
      </w:r>
      <w:r>
        <w:rPr>
          <w:rFonts w:hint="default" w:ascii="Times New Roman" w:hAnsi="Times New Roman" w:eastAsia="楷体_GB2312" w:cs="Times New Roman"/>
          <w:b/>
          <w:bCs/>
          <w:color w:val="000000"/>
          <w:kern w:val="0"/>
          <w:sz w:val="32"/>
          <w:szCs w:val="32"/>
          <w:highlight w:val="none"/>
          <w:shd w:val="clear" w:color="auto" w:fill="FFFFFF"/>
          <w:lang w:val="zh-CN"/>
        </w:rPr>
        <w:t>财务管理。</w:t>
      </w:r>
      <w:r>
        <w:rPr>
          <w:rFonts w:hint="default" w:ascii="Times New Roman" w:hAnsi="Times New Roman" w:eastAsia="仿宋_GB2312" w:cs="Times New Roman"/>
          <w:color w:val="000000"/>
          <w:kern w:val="0"/>
          <w:sz w:val="32"/>
          <w:szCs w:val="32"/>
          <w:shd w:val="clear" w:color="auto" w:fill="FFFFFF"/>
          <w:lang w:val="en-US" w:eastAsia="zh-CN"/>
        </w:rPr>
        <w:t>严格遵循《中华人民共和国会计法》《中华人民共和国预算法》《政府会计准则-基本准则》《政府会计制度-行政事业单位会计科目和报表》等法律、行政法规和规章。制定了《州直机关工委财务管理制度》，建立健全内控相关制度，加强资金使用监管，实时对我委的用款计划进行审核，每一笔资金的拨付过程都处于财政部门和银行相互制约、相互监督的监控之下，提高财政资金运行透明度。</w:t>
      </w:r>
    </w:p>
    <w:p w14:paraId="28970D7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en-US" w:eastAsia="zh-CN"/>
        </w:rPr>
        <w:t>4.</w:t>
      </w:r>
      <w:r>
        <w:rPr>
          <w:rFonts w:hint="default" w:ascii="Times New Roman" w:hAnsi="Times New Roman" w:eastAsia="楷体_GB2312" w:cs="Times New Roman"/>
          <w:b/>
          <w:bCs/>
          <w:color w:val="000000"/>
          <w:kern w:val="0"/>
          <w:sz w:val="32"/>
          <w:szCs w:val="32"/>
          <w:highlight w:val="none"/>
          <w:shd w:val="clear" w:color="auto" w:fill="FFFFFF"/>
          <w:lang w:val="zh-CN"/>
        </w:rPr>
        <w:t>资产管理。</w:t>
      </w:r>
      <w:r>
        <w:rPr>
          <w:rFonts w:hint="default" w:ascii="Times New Roman" w:hAnsi="Times New Roman" w:eastAsia="仿宋_GB2312" w:cs="Times New Roman"/>
          <w:sz w:val="32"/>
          <w:szCs w:val="32"/>
          <w:lang w:bidi="ar-SA"/>
        </w:rPr>
        <w:t>制定了资产管理制度；明确资产配置、使用、处置等程序和审核审批权限。编制部门预算同步编制新增资产配置预算；国有资产交付使用后及时准确入账；在建工程及时转为固定资产。明确资产使用和保管责任人、落实资产使用人在资产管理中的责任；国有资产折旧的计提符合相关会计规范；行政事业性国有资产纳入四川省行政事业单位资产管理信息系统动态管理。行政事业单位资产处置按规定报批，处置收益及时足额上缴财政；</w:t>
      </w:r>
      <w:r>
        <w:rPr>
          <w:rFonts w:hint="default" w:ascii="Times New Roman" w:hAnsi="Times New Roman" w:eastAsia="仿宋_GB2312" w:cs="Times New Roman"/>
          <w:sz w:val="32"/>
          <w:szCs w:val="32"/>
          <w:lang w:val="en-US" w:eastAsia="zh-CN" w:bidi="ar-SA"/>
        </w:rPr>
        <w:t>我委</w:t>
      </w:r>
      <w:r>
        <w:rPr>
          <w:rFonts w:hint="default" w:ascii="Times New Roman" w:hAnsi="Times New Roman" w:eastAsia="仿宋_GB2312" w:cs="Times New Roman"/>
          <w:sz w:val="32"/>
          <w:szCs w:val="32"/>
          <w:lang w:bidi="ar-SA"/>
        </w:rPr>
        <w:t>资产无出租、对外投资情况</w:t>
      </w:r>
      <w:r>
        <w:rPr>
          <w:rFonts w:hint="default" w:ascii="Times New Roman" w:hAnsi="Times New Roman" w:eastAsia="仿宋_GB2312" w:cs="Times New Roman"/>
          <w:color w:val="000000"/>
          <w:kern w:val="0"/>
          <w:sz w:val="32"/>
          <w:szCs w:val="32"/>
          <w:highlight w:val="none"/>
          <w:shd w:val="clear" w:color="auto" w:fill="FFFFFF"/>
          <w:lang w:val="zh-CN"/>
        </w:rPr>
        <w:t>围绕人均资产变化率、资产利用率、资产盘活率进行绩效分析。</w:t>
      </w:r>
    </w:p>
    <w:p w14:paraId="6B4CCFE0">
      <w:pPr>
        <w:spacing w:line="560" w:lineRule="exact"/>
        <w:ind w:firstLine="643" w:firstLineChars="200"/>
        <w:rPr>
          <w:rFonts w:hint="default" w:ascii="Times New Roman" w:hAnsi="Times New Roman" w:eastAsia="仿宋_GB2312" w:cs="Times New Roman"/>
          <w:sz w:val="32"/>
          <w:szCs w:val="32"/>
          <w:lang w:bidi="ar-SA"/>
        </w:rPr>
      </w:pPr>
      <w:r>
        <w:rPr>
          <w:rFonts w:hint="default" w:ascii="Times New Roman" w:hAnsi="Times New Roman" w:eastAsia="楷体_GB2312" w:cs="Times New Roman"/>
          <w:b/>
          <w:bCs/>
          <w:color w:val="000000"/>
          <w:kern w:val="0"/>
          <w:sz w:val="32"/>
          <w:szCs w:val="32"/>
          <w:highlight w:val="none"/>
          <w:shd w:val="clear" w:color="auto" w:fill="FFFFFF"/>
          <w:lang w:val="en-US" w:eastAsia="zh-CN"/>
        </w:rPr>
        <w:t>5.</w:t>
      </w:r>
      <w:r>
        <w:rPr>
          <w:rFonts w:hint="default" w:ascii="Times New Roman" w:hAnsi="Times New Roman" w:eastAsia="楷体_GB2312" w:cs="Times New Roman"/>
          <w:b/>
          <w:bCs/>
          <w:color w:val="000000"/>
          <w:kern w:val="0"/>
          <w:sz w:val="32"/>
          <w:szCs w:val="32"/>
          <w:highlight w:val="none"/>
          <w:shd w:val="clear" w:color="auto" w:fill="FFFFFF"/>
          <w:lang w:val="zh-CN"/>
        </w:rPr>
        <w:t>采购管理。</w:t>
      </w:r>
      <w:r>
        <w:rPr>
          <w:rFonts w:hint="default" w:ascii="Times New Roman" w:hAnsi="Times New Roman" w:eastAsia="仿宋_GB2312" w:cs="Times New Roman"/>
          <w:sz w:val="32"/>
          <w:szCs w:val="32"/>
          <w:lang w:bidi="ar-SA"/>
        </w:rPr>
        <w:t>政府采购编制应编尽编；不存在无预算采购、超预算采购情况；按规定进行政府采购计划备案；按照合同约定及时支付资金</w:t>
      </w:r>
      <w:r>
        <w:rPr>
          <w:rFonts w:hint="default" w:ascii="Times New Roman" w:hAnsi="Times New Roman" w:eastAsia="仿宋_GB2312" w:cs="Times New Roman"/>
          <w:b/>
          <w:bCs/>
          <w:sz w:val="32"/>
          <w:szCs w:val="32"/>
          <w:lang w:bidi="ar-SA"/>
        </w:rPr>
        <w:t>。</w:t>
      </w:r>
      <w:r>
        <w:rPr>
          <w:rFonts w:hint="default" w:ascii="Times New Roman" w:hAnsi="Times New Roman" w:eastAsia="仿宋_GB2312" w:cs="Times New Roman"/>
          <w:sz w:val="32"/>
          <w:szCs w:val="32"/>
          <w:lang w:bidi="ar-SA"/>
        </w:rPr>
        <w:t>按法定采购方式和程序实施采购；不存在拆分项目预算规避政府采购或公开招标情况；按采购文件确定事项签订政府采购合同，按规定公告、备案政府采购合同；政府采购系统中的政府采购信息真实、准确、合法。政府采购行为中不存在限制政府采购供应商及对内外资企业实行差别待遇或歧视等问题。</w:t>
      </w:r>
    </w:p>
    <w:p w14:paraId="134D4069">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color w:val="000000"/>
          <w:kern w:val="0"/>
          <w:sz w:val="32"/>
          <w:szCs w:val="32"/>
          <w:highlight w:val="none"/>
          <w:shd w:val="clear" w:color="auto" w:fill="FFFFFF"/>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69D54B8C">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color w:val="000000"/>
          <w:kern w:val="0"/>
          <w:sz w:val="32"/>
          <w:szCs w:val="32"/>
          <w:highlight w:val="none"/>
          <w:shd w:val="clear" w:color="auto" w:fill="FFFFFF"/>
          <w:lang w:val="zh-CN" w:eastAsia="zh-CN"/>
        </w:rPr>
      </w:pPr>
      <w:r>
        <w:rPr>
          <w:rFonts w:hint="default" w:ascii="Times New Roman" w:hAnsi="Times New Roman" w:eastAsia="仿宋_GB2312" w:cs="Times New Roman"/>
          <w:color w:val="000000"/>
          <w:kern w:val="0"/>
          <w:sz w:val="32"/>
          <w:szCs w:val="32"/>
          <w:highlight w:val="none"/>
          <w:shd w:val="clear" w:color="auto" w:fill="FFFFFF"/>
          <w:lang w:val="en-US" w:eastAsia="zh-CN"/>
        </w:rPr>
        <w:t>常年项目绩效分析。</w:t>
      </w:r>
      <w:r>
        <w:rPr>
          <w:rFonts w:hint="default" w:ascii="Times New Roman" w:hAnsi="Times New Roman" w:eastAsia="仿宋_GB2312" w:cs="Times New Roman"/>
          <w:color w:val="000000"/>
          <w:kern w:val="0"/>
          <w:sz w:val="32"/>
          <w:szCs w:val="32"/>
          <w:highlight w:val="none"/>
          <w:shd w:val="clear" w:color="auto" w:fill="FFFFFF"/>
          <w:lang w:val="zh-CN" w:eastAsia="zh-CN"/>
        </w:rPr>
        <w:t>该类项目总数</w:t>
      </w:r>
      <w:r>
        <w:rPr>
          <w:rFonts w:hint="default" w:ascii="Times New Roman" w:hAnsi="Times New Roman" w:eastAsia="仿宋_GB2312" w:cs="Times New Roman"/>
          <w:color w:val="000000"/>
          <w:kern w:val="0"/>
          <w:sz w:val="32"/>
          <w:szCs w:val="32"/>
          <w:highlight w:val="none"/>
          <w:shd w:val="clear" w:color="auto" w:fill="FFFFFF"/>
          <w:lang w:val="en-US" w:eastAsia="zh-CN"/>
        </w:rPr>
        <w:t>20</w:t>
      </w:r>
      <w:r>
        <w:rPr>
          <w:rFonts w:hint="default" w:ascii="Times New Roman" w:hAnsi="Times New Roman" w:eastAsia="仿宋_GB2312" w:cs="Times New Roman"/>
          <w:color w:val="000000"/>
          <w:kern w:val="0"/>
          <w:sz w:val="32"/>
          <w:szCs w:val="32"/>
          <w:highlight w:val="none"/>
          <w:shd w:val="clear" w:color="auto" w:fill="FFFFFF"/>
          <w:lang w:val="zh-CN" w:eastAsia="zh-CN"/>
        </w:rPr>
        <w:t>个，涉及预算总金额</w:t>
      </w:r>
      <w:r>
        <w:rPr>
          <w:rFonts w:hint="default" w:ascii="Times New Roman" w:hAnsi="Times New Roman" w:eastAsia="仿宋_GB2312" w:cs="Times New Roman"/>
          <w:color w:val="000000"/>
          <w:kern w:val="0"/>
          <w:sz w:val="32"/>
          <w:szCs w:val="32"/>
          <w:highlight w:val="none"/>
          <w:shd w:val="clear" w:color="auto" w:fill="FFFFFF"/>
          <w:lang w:val="en-US" w:eastAsia="zh-CN"/>
        </w:rPr>
        <w:t xml:space="preserve"> 669.35</w:t>
      </w:r>
      <w:r>
        <w:rPr>
          <w:rFonts w:hint="default" w:ascii="Times New Roman" w:hAnsi="Times New Roman" w:eastAsia="仿宋_GB2312" w:cs="Times New Roman"/>
          <w:color w:val="000000"/>
          <w:kern w:val="0"/>
          <w:sz w:val="32"/>
          <w:szCs w:val="32"/>
          <w:highlight w:val="none"/>
          <w:shd w:val="clear" w:color="auto" w:fill="FFFFFF"/>
          <w:lang w:val="zh-CN" w:eastAsia="zh-CN"/>
        </w:rPr>
        <w:t>万元，</w:t>
      </w:r>
      <w:r>
        <w:rPr>
          <w:rFonts w:hint="default" w:ascii="Times New Roman" w:hAnsi="Times New Roman" w:eastAsia="仿宋_GB2312" w:cs="Times New Roman"/>
          <w:color w:val="000000"/>
          <w:kern w:val="0"/>
          <w:sz w:val="32"/>
          <w:szCs w:val="32"/>
          <w:highlight w:val="none"/>
          <w:shd w:val="clear" w:color="auto" w:fill="FFFFFF"/>
          <w:lang w:val="zh-CN"/>
        </w:rPr>
        <w:t>1</w:t>
      </w:r>
      <w:r>
        <w:rPr>
          <w:rFonts w:hint="default" w:ascii="Times New Roman" w:hAnsi="Times New Roman" w:eastAsia="仿宋_GB2312" w:cs="Times New Roman"/>
          <w:color w:val="000000"/>
          <w:kern w:val="0"/>
          <w:sz w:val="32"/>
          <w:szCs w:val="32"/>
          <w:highlight w:val="none"/>
          <w:shd w:val="clear" w:color="auto" w:fill="FFFFFF"/>
          <w:lang w:val="zh-CN" w:eastAsia="zh-CN"/>
        </w:rPr>
        <w:t>—</w:t>
      </w:r>
      <w:r>
        <w:rPr>
          <w:rFonts w:hint="default" w:ascii="Times New Roman" w:hAnsi="Times New Roman" w:eastAsia="仿宋_GB2312" w:cs="Times New Roman"/>
          <w:color w:val="000000"/>
          <w:kern w:val="0"/>
          <w:sz w:val="32"/>
          <w:szCs w:val="32"/>
          <w:highlight w:val="none"/>
          <w:shd w:val="clear" w:color="auto" w:fill="FFFFFF"/>
          <w:lang w:val="zh-CN"/>
        </w:rPr>
        <w:t>1</w:t>
      </w:r>
      <w:r>
        <w:rPr>
          <w:rFonts w:hint="default" w:ascii="Times New Roman" w:hAnsi="Times New Roman" w:eastAsia="仿宋_GB2312" w:cs="Times New Roman"/>
          <w:color w:val="000000"/>
          <w:kern w:val="0"/>
          <w:sz w:val="32"/>
          <w:szCs w:val="32"/>
          <w:highlight w:val="none"/>
          <w:shd w:val="clear" w:color="auto" w:fill="FFFFFF"/>
          <w:lang w:val="en-US" w:eastAsia="zh-CN"/>
        </w:rPr>
        <w:t>2</w:t>
      </w:r>
      <w:r>
        <w:rPr>
          <w:rFonts w:hint="default" w:ascii="Times New Roman" w:hAnsi="Times New Roman" w:eastAsia="仿宋_GB2312" w:cs="Times New Roman"/>
          <w:color w:val="000000"/>
          <w:kern w:val="0"/>
          <w:sz w:val="32"/>
          <w:szCs w:val="32"/>
          <w:highlight w:val="none"/>
          <w:shd w:val="clear" w:color="auto" w:fill="FFFFFF"/>
          <w:lang w:val="zh-CN"/>
        </w:rPr>
        <w:t>月预算执行总体进度为</w:t>
      </w:r>
      <w:r>
        <w:rPr>
          <w:rFonts w:hint="default" w:ascii="Times New Roman" w:hAnsi="Times New Roman" w:eastAsia="仿宋_GB2312" w:cs="Times New Roman"/>
          <w:color w:val="000000"/>
          <w:kern w:val="0"/>
          <w:sz w:val="32"/>
          <w:szCs w:val="32"/>
          <w:highlight w:val="none"/>
          <w:shd w:val="clear" w:color="auto" w:fill="FFFFFF"/>
          <w:lang w:val="en-US" w:eastAsia="zh-CN"/>
        </w:rPr>
        <w:t>100</w:t>
      </w:r>
      <w:r>
        <w:rPr>
          <w:rFonts w:hint="default" w:ascii="Times New Roman" w:hAnsi="Times New Roman" w:eastAsia="仿宋_GB2312" w:cs="Times New Roman"/>
          <w:color w:val="000000"/>
          <w:kern w:val="0"/>
          <w:sz w:val="32"/>
          <w:szCs w:val="32"/>
          <w:highlight w:val="none"/>
          <w:shd w:val="clear" w:color="auto" w:fill="FFFFFF"/>
          <w:lang w:val="zh-CN"/>
        </w:rPr>
        <w:t>%，其中：</w:t>
      </w:r>
      <w:r>
        <w:rPr>
          <w:rFonts w:hint="default" w:ascii="Times New Roman" w:hAnsi="Times New Roman" w:eastAsia="仿宋_GB2312" w:cs="Times New Roman"/>
          <w:color w:val="000000"/>
          <w:kern w:val="0"/>
          <w:sz w:val="32"/>
          <w:szCs w:val="32"/>
          <w:highlight w:val="none"/>
          <w:shd w:val="clear" w:color="auto" w:fill="FFFFFF"/>
          <w:lang w:val="zh-CN" w:eastAsia="zh-CN"/>
        </w:rPr>
        <w:t>预算结余率大于</w:t>
      </w:r>
      <w:r>
        <w:rPr>
          <w:rFonts w:hint="default" w:ascii="Times New Roman" w:hAnsi="Times New Roman" w:eastAsia="仿宋_GB2312" w:cs="Times New Roman"/>
          <w:color w:val="000000"/>
          <w:kern w:val="0"/>
          <w:sz w:val="32"/>
          <w:szCs w:val="32"/>
          <w:highlight w:val="none"/>
          <w:shd w:val="clear" w:color="auto" w:fill="FFFFFF"/>
          <w:lang w:val="en-US" w:eastAsia="zh-CN"/>
        </w:rPr>
        <w:t>10%</w:t>
      </w:r>
      <w:r>
        <w:rPr>
          <w:rFonts w:hint="default" w:ascii="Times New Roman" w:hAnsi="Times New Roman" w:eastAsia="仿宋_GB2312" w:cs="Times New Roman"/>
          <w:color w:val="000000"/>
          <w:kern w:val="0"/>
          <w:sz w:val="32"/>
          <w:szCs w:val="32"/>
          <w:highlight w:val="none"/>
          <w:shd w:val="clear" w:color="auto" w:fill="FFFFFF"/>
          <w:lang w:val="zh-CN" w:eastAsia="zh-CN"/>
        </w:rPr>
        <w:t>的项目共计</w:t>
      </w:r>
      <w:r>
        <w:rPr>
          <w:rFonts w:hint="default" w:ascii="Times New Roman" w:hAnsi="Times New Roman" w:eastAsia="仿宋_GB2312" w:cs="Times New Roman"/>
          <w:color w:val="000000"/>
          <w:kern w:val="0"/>
          <w:sz w:val="32"/>
          <w:szCs w:val="32"/>
          <w:highlight w:val="none"/>
          <w:shd w:val="clear" w:color="auto" w:fill="FFFFFF"/>
          <w:lang w:val="en-US" w:eastAsia="zh-CN"/>
        </w:rPr>
        <w:t>0</w:t>
      </w:r>
      <w:r>
        <w:rPr>
          <w:rFonts w:hint="default" w:ascii="Times New Roman" w:hAnsi="Times New Roman" w:eastAsia="仿宋_GB2312" w:cs="Times New Roman"/>
          <w:color w:val="000000"/>
          <w:kern w:val="0"/>
          <w:sz w:val="32"/>
          <w:szCs w:val="32"/>
          <w:highlight w:val="none"/>
          <w:shd w:val="clear" w:color="auto" w:fill="FFFFFF"/>
          <w:lang w:val="zh-CN" w:eastAsia="zh-CN"/>
        </w:rPr>
        <w:t>个。</w:t>
      </w:r>
    </w:p>
    <w:p w14:paraId="47CFE56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color w:val="000000"/>
          <w:kern w:val="0"/>
          <w:sz w:val="32"/>
          <w:szCs w:val="32"/>
          <w:highlight w:val="none"/>
          <w:shd w:val="clear" w:color="auto" w:fill="FFFFFF"/>
          <w:lang w:val="zh-CN" w:eastAsia="zh-CN"/>
        </w:rPr>
      </w:pPr>
      <w:r>
        <w:rPr>
          <w:rFonts w:hint="default" w:ascii="Times New Roman" w:hAnsi="Times New Roman" w:eastAsia="仿宋_GB2312" w:cs="Times New Roman"/>
          <w:color w:val="000000"/>
          <w:kern w:val="0"/>
          <w:sz w:val="32"/>
          <w:szCs w:val="32"/>
          <w:highlight w:val="none"/>
          <w:shd w:val="clear" w:color="auto" w:fill="FFFFFF"/>
          <w:lang w:val="en-US" w:eastAsia="zh-CN"/>
        </w:rPr>
        <w:t>阶段（一次性）项目绩效分析。</w:t>
      </w:r>
      <w:r>
        <w:rPr>
          <w:rFonts w:hint="default" w:ascii="Times New Roman" w:hAnsi="Times New Roman" w:eastAsia="仿宋_GB2312" w:cs="Times New Roman"/>
          <w:color w:val="000000"/>
          <w:kern w:val="0"/>
          <w:sz w:val="32"/>
          <w:szCs w:val="32"/>
          <w:highlight w:val="none"/>
          <w:shd w:val="clear" w:color="auto" w:fill="FFFFFF"/>
          <w:lang w:val="zh-CN" w:eastAsia="zh-CN"/>
        </w:rPr>
        <w:t>该类项目总数</w:t>
      </w:r>
      <w:r>
        <w:rPr>
          <w:rFonts w:hint="default" w:ascii="Times New Roman" w:hAnsi="Times New Roman" w:eastAsia="仿宋_GB2312" w:cs="Times New Roman"/>
          <w:color w:val="000000"/>
          <w:kern w:val="0"/>
          <w:sz w:val="32"/>
          <w:szCs w:val="32"/>
          <w:highlight w:val="none"/>
          <w:shd w:val="clear" w:color="auto" w:fill="FFFFFF"/>
          <w:lang w:val="en-US" w:eastAsia="zh-CN"/>
        </w:rPr>
        <w:t>0</w:t>
      </w:r>
      <w:r>
        <w:rPr>
          <w:rFonts w:hint="default" w:ascii="Times New Roman" w:hAnsi="Times New Roman" w:eastAsia="仿宋_GB2312" w:cs="Times New Roman"/>
          <w:color w:val="000000"/>
          <w:kern w:val="0"/>
          <w:sz w:val="32"/>
          <w:szCs w:val="32"/>
          <w:highlight w:val="none"/>
          <w:shd w:val="clear" w:color="auto" w:fill="FFFFFF"/>
          <w:lang w:val="zh-CN" w:eastAsia="zh-CN"/>
        </w:rPr>
        <w:t>个。</w:t>
      </w:r>
    </w:p>
    <w:p w14:paraId="0939B36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color w:val="000000"/>
          <w:kern w:val="0"/>
          <w:sz w:val="32"/>
          <w:szCs w:val="32"/>
          <w:highlight w:val="none"/>
          <w:shd w:val="clear" w:color="auto" w:fill="FFFFFF"/>
          <w:lang w:val="en-US" w:eastAsia="zh-CN"/>
        </w:rPr>
      </w:pPr>
      <w:r>
        <w:rPr>
          <w:rFonts w:hint="default" w:ascii="Times New Roman" w:hAnsi="Times New Roman" w:eastAsia="楷体_GB2312" w:cs="Times New Roman"/>
          <w:color w:val="000000"/>
          <w:kern w:val="0"/>
          <w:sz w:val="32"/>
          <w:szCs w:val="32"/>
          <w:highlight w:val="none"/>
          <w:shd w:val="clear" w:color="auto" w:fill="FFFFFF"/>
          <w:lang w:val="en-US" w:eastAsia="zh-CN"/>
        </w:rPr>
        <w:t>1.</w:t>
      </w:r>
      <w:r>
        <w:rPr>
          <w:rFonts w:hint="default" w:ascii="Times New Roman" w:hAnsi="Times New Roman" w:eastAsia="楷体_GB2312" w:cs="Times New Roman"/>
          <w:color w:val="000000"/>
          <w:kern w:val="0"/>
          <w:sz w:val="32"/>
          <w:szCs w:val="32"/>
          <w:highlight w:val="none"/>
          <w:shd w:val="clear" w:color="auto" w:fill="FFFFFF"/>
          <w:lang w:val="zh-CN"/>
        </w:rPr>
        <w:t>项目决策。</w:t>
      </w:r>
      <w:r>
        <w:rPr>
          <w:rFonts w:hint="default" w:ascii="Times New Roman" w:hAnsi="Times New Roman" w:eastAsia="仿宋_GB2312" w:cs="Times New Roman"/>
          <w:color w:val="000000"/>
          <w:kern w:val="0"/>
          <w:sz w:val="32"/>
          <w:szCs w:val="32"/>
          <w:highlight w:val="none"/>
          <w:shd w:val="clear" w:color="auto" w:fill="FFFFFF"/>
          <w:lang w:val="en-US" w:eastAsia="zh-CN"/>
        </w:rPr>
        <w:t>2024年按照州直机关工委职能职责，负责领导州直机关党的工作，年初建立常年项目20个。20个项目都按照相关要求在预算管理一体化系统中进行了项目入库的录入。</w:t>
      </w:r>
    </w:p>
    <w:p w14:paraId="45C6955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color w:val="000000"/>
          <w:kern w:val="0"/>
          <w:sz w:val="32"/>
          <w:szCs w:val="32"/>
          <w:highlight w:val="none"/>
          <w:shd w:val="clear" w:color="auto" w:fill="FFFFFF"/>
          <w:lang w:val="zh-CN" w:eastAsia="zh-CN"/>
        </w:rPr>
      </w:pPr>
      <w:r>
        <w:rPr>
          <w:rFonts w:hint="default" w:ascii="Times New Roman" w:hAnsi="Times New Roman" w:eastAsia="楷体_GB2312" w:cs="Times New Roman"/>
          <w:color w:val="000000"/>
          <w:kern w:val="0"/>
          <w:sz w:val="32"/>
          <w:szCs w:val="32"/>
          <w:highlight w:val="none"/>
          <w:shd w:val="clear" w:color="auto" w:fill="FFFFFF"/>
          <w:lang w:val="en-US" w:eastAsia="zh-CN"/>
        </w:rPr>
        <w:t>2.项目执行</w:t>
      </w:r>
      <w:r>
        <w:rPr>
          <w:rFonts w:hint="default" w:ascii="Times New Roman" w:hAnsi="Times New Roman" w:eastAsia="楷体_GB2312" w:cs="Times New Roman"/>
          <w:color w:val="000000"/>
          <w:kern w:val="0"/>
          <w:sz w:val="32"/>
          <w:szCs w:val="32"/>
          <w:highlight w:val="none"/>
          <w:shd w:val="clear" w:color="auto" w:fill="FFFFFF"/>
          <w:lang w:val="zh-CN"/>
        </w:rPr>
        <w:t>。</w:t>
      </w:r>
      <w:r>
        <w:rPr>
          <w:rFonts w:hint="default" w:ascii="Times New Roman" w:hAnsi="Times New Roman" w:eastAsia="仿宋_GB2312" w:cs="Times New Roman"/>
          <w:color w:val="000000"/>
          <w:kern w:val="0"/>
          <w:sz w:val="32"/>
          <w:szCs w:val="32"/>
          <w:highlight w:val="none"/>
          <w:shd w:val="clear" w:color="auto" w:fill="FFFFFF"/>
          <w:lang w:val="zh-CN" w:eastAsia="zh-CN"/>
        </w:rPr>
        <w:t>实施"额度总控、项目零基"编制办法，在项目支出控制额度内，按轻重缓急和绩效因素优先保障重点、刚性项目支出，严格控制一般性支出，严禁留硬缺口。严格执行相关项目支出标准，真实反映支出需求，不得重复申报或虚假申报项目。坚持先有项目再安排预算，所有支出以项目形式纳入项目库，未入库项目一律不安排预算。做实做细项目储备，纳入预算项目库的项目应当按规定完成可行性研究论证，制定具体实施计划等各项前期工作，做到预算一经批准即可实施。</w:t>
      </w:r>
    </w:p>
    <w:p w14:paraId="15EB0C80">
      <w:pPr>
        <w:keepNext w:val="0"/>
        <w:keepLines w:val="0"/>
        <w:pageBreakBefore w:val="0"/>
        <w:widowControl w:val="0"/>
        <w:kinsoku/>
        <w:wordWrap/>
        <w:overflowPunct/>
        <w:topLinePunct w:val="0"/>
        <w:autoSpaceDE/>
        <w:autoSpaceDN/>
        <w:bidi w:val="0"/>
        <w:ind w:firstLine="640" w:firstLineChars="200"/>
        <w:textAlignment w:val="auto"/>
        <w:rPr>
          <w:rFonts w:hint="default" w:ascii="Times New Roman" w:hAnsi="Times New Roman" w:eastAsia="仿宋_GB2312" w:cs="Times New Roman"/>
          <w:color w:val="000000"/>
          <w:kern w:val="0"/>
          <w:sz w:val="32"/>
          <w:szCs w:val="32"/>
          <w:highlight w:val="none"/>
          <w:shd w:val="clear" w:color="auto" w:fill="FFFFFF"/>
          <w:lang w:val="en-US" w:eastAsia="zh-CN"/>
        </w:rPr>
      </w:pPr>
      <w:r>
        <w:rPr>
          <w:rFonts w:hint="default" w:ascii="Times New Roman" w:hAnsi="Times New Roman" w:eastAsia="楷体_GB2312" w:cs="Times New Roman"/>
          <w:color w:val="000000"/>
          <w:kern w:val="0"/>
          <w:sz w:val="32"/>
          <w:szCs w:val="32"/>
          <w:highlight w:val="none"/>
          <w:shd w:val="clear" w:color="auto" w:fill="FFFFFF"/>
          <w:lang w:val="en-US" w:eastAsia="zh-CN"/>
        </w:rPr>
        <w:t>3.</w:t>
      </w:r>
      <w:r>
        <w:rPr>
          <w:rFonts w:hint="default" w:ascii="Times New Roman" w:hAnsi="Times New Roman" w:eastAsia="楷体_GB2312" w:cs="Times New Roman"/>
          <w:color w:val="000000"/>
          <w:kern w:val="0"/>
          <w:sz w:val="32"/>
          <w:szCs w:val="32"/>
          <w:highlight w:val="none"/>
          <w:shd w:val="clear" w:color="auto" w:fill="FFFFFF"/>
          <w:lang w:val="zh-CN"/>
        </w:rPr>
        <w:t>目标实现。</w:t>
      </w:r>
      <w:r>
        <w:rPr>
          <w:rFonts w:hint="default" w:ascii="Times New Roman" w:hAnsi="Times New Roman" w:eastAsia="仿宋_GB2312" w:cs="Times New Roman"/>
          <w:b/>
          <w:bCs/>
          <w:color w:val="000000"/>
          <w:kern w:val="0"/>
          <w:sz w:val="32"/>
          <w:szCs w:val="32"/>
          <w:highlight w:val="none"/>
          <w:shd w:val="clear" w:color="auto" w:fill="FFFFFF"/>
          <w:lang w:val="en-US" w:eastAsia="zh-CN"/>
        </w:rPr>
        <w:t>一是政治引领筑牢根基。</w:t>
      </w:r>
      <w:r>
        <w:rPr>
          <w:rFonts w:hint="default" w:ascii="Times New Roman" w:hAnsi="Times New Roman" w:eastAsia="仿宋_GB2312" w:cs="Times New Roman"/>
          <w:color w:val="000000"/>
          <w:kern w:val="0"/>
          <w:sz w:val="32"/>
          <w:szCs w:val="32"/>
          <w:highlight w:val="none"/>
          <w:shd w:val="clear" w:color="auto" w:fill="FFFFFF"/>
          <w:lang w:val="en-US" w:eastAsia="zh-CN"/>
        </w:rPr>
        <w:t>坚持把学习贯彻习近平新时代中国特色社会主义思想作为首要政治任务，严格落实党委（党组）理论学习中心组 “第一议题” 制度，通过 “联学 + 列席旁听” 机制实现 86 个州直部门全覆盖督导。通过 “领导干部带头讲 + 专业讲师集中讲 + 共建组分散讲” 模式，开展党的二十届三中全会精神宣讲 200 余场次。</w:t>
      </w:r>
      <w:r>
        <w:rPr>
          <w:rFonts w:hint="default" w:ascii="Times New Roman" w:hAnsi="Times New Roman" w:eastAsia="仿宋_GB2312" w:cs="Times New Roman"/>
          <w:b/>
          <w:bCs/>
          <w:color w:val="000000"/>
          <w:kern w:val="0"/>
          <w:sz w:val="32"/>
          <w:szCs w:val="32"/>
          <w:highlight w:val="none"/>
          <w:shd w:val="clear" w:color="auto" w:fill="FFFFFF"/>
          <w:lang w:val="en-US" w:eastAsia="zh-CN"/>
        </w:rPr>
        <w:t>二是组织建设提质增效。</w:t>
      </w:r>
      <w:r>
        <w:rPr>
          <w:rFonts w:hint="default" w:ascii="Times New Roman" w:hAnsi="Times New Roman" w:eastAsia="仿宋_GB2312" w:cs="Times New Roman"/>
          <w:color w:val="000000"/>
          <w:kern w:val="0"/>
          <w:sz w:val="32"/>
          <w:szCs w:val="32"/>
          <w:highlight w:val="none"/>
          <w:shd w:val="clear" w:color="auto" w:fill="FFFFFF"/>
          <w:lang w:val="en-US" w:eastAsia="zh-CN"/>
        </w:rPr>
        <w:t>全年发展党员 81 名、转正 79 名，完成 103 名入党积极分子培训，发放 “光荣在党 50 年” 纪念章 61 枚，落实党内帮扶资金 11.4 万元。深化 “净土先锋” 党建品牌建设，构建 “1+N” 矩阵体系，培育 25 个特色子品牌，通过 “现场观摩 + 经验交流” 推动 13 个部门党建与业务深度融合。推进 “四强” 党支部建设，实现 10 个部门 “一把手” 兼任支部书记，州公安局政治安全保卫党支部获评全省先进基层党组织。创新党员 “政治生日” 短信提醒机制，全年 5561 名党员获个性化问候。</w:t>
      </w:r>
      <w:r>
        <w:rPr>
          <w:rFonts w:hint="default" w:ascii="Times New Roman" w:hAnsi="Times New Roman" w:eastAsia="仿宋_GB2312" w:cs="Times New Roman"/>
          <w:b/>
          <w:bCs/>
          <w:color w:val="000000"/>
          <w:kern w:val="0"/>
          <w:sz w:val="32"/>
          <w:szCs w:val="32"/>
          <w:highlight w:val="none"/>
          <w:shd w:val="clear" w:color="auto" w:fill="FFFFFF"/>
          <w:lang w:val="en-US" w:eastAsia="zh-CN"/>
        </w:rPr>
        <w:t>三是服务大局彰显担当。</w:t>
      </w:r>
      <w:r>
        <w:rPr>
          <w:rFonts w:hint="default" w:ascii="Times New Roman" w:hAnsi="Times New Roman" w:eastAsia="仿宋_GB2312" w:cs="Times New Roman"/>
          <w:color w:val="000000"/>
          <w:kern w:val="0"/>
          <w:sz w:val="32"/>
          <w:szCs w:val="32"/>
          <w:highlight w:val="none"/>
          <w:shd w:val="clear" w:color="auto" w:fill="FFFFFF"/>
          <w:lang w:val="en-US" w:eastAsia="zh-CN"/>
        </w:rPr>
        <w:t>组建机关党员志愿服务队，深化社区 “双报到” 三单模式，推动 24 项民生需求落地。优化调整 134 名驻村干部，开展州级示范培训 1 期、县级培训 20 余期，实现 269 名驻村队员全覆盖轮训。建立 13 个党建共建组，组织 6500 余名党员开展 “要事共商、资源共享” 活动。创新开展 “爱心爸妈” 结对助学，36 名厅级干部带头、137 个部门结对 443 名失辍学儿童，构建 “联、动、暖” 关爱体系。</w:t>
      </w:r>
      <w:r>
        <w:rPr>
          <w:rFonts w:hint="default" w:ascii="Times New Roman" w:hAnsi="Times New Roman" w:eastAsia="仿宋_GB2312" w:cs="Times New Roman"/>
          <w:b/>
          <w:bCs/>
          <w:color w:val="000000"/>
          <w:kern w:val="0"/>
          <w:sz w:val="32"/>
          <w:szCs w:val="32"/>
          <w:highlight w:val="none"/>
          <w:shd w:val="clear" w:color="auto" w:fill="FFFFFF"/>
          <w:lang w:val="en-US" w:eastAsia="zh-CN"/>
        </w:rPr>
        <w:t>四是清廉机关纵深推进。</w:t>
      </w:r>
      <w:r>
        <w:rPr>
          <w:rFonts w:hint="default" w:ascii="Times New Roman" w:hAnsi="Times New Roman" w:eastAsia="仿宋_GB2312" w:cs="Times New Roman"/>
          <w:color w:val="000000"/>
          <w:kern w:val="0"/>
          <w:sz w:val="32"/>
          <w:szCs w:val="32"/>
          <w:highlight w:val="none"/>
          <w:shd w:val="clear" w:color="auto" w:fill="FFFFFF"/>
          <w:lang w:val="en-US" w:eastAsia="zh-CN"/>
        </w:rPr>
        <w:t>开展机关纪委 “五化” 问题专项整治，建立联动工作机制，组织纪检干部跟班学习。紧盯节日 “四风” 问题，发送廉洁短信 5000 余条，实现公务活动扫码支付全覆盖。完善 “四分” 考核体系，开展 95 个部门党建责任制调研，审理违纪案件 21 件，完成 38 名受处分干部教育回访。创新 “指尖微党建” 监督平台，推动作风建设常态化。五是能力提升精准赋能。举办党纪学习教育专题班，发放《条例》6400 余册，实现县处级干部网络培训全覆盖。分层分类开展党组织书记、党务干部等 6 类示范培训，覆盖 412 人次。创新举办第五届机关公文写作技能大赛，95 名选手以赛促学，搭建青年干部成长平台。</w:t>
      </w:r>
    </w:p>
    <w:p w14:paraId="1E4873B1">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方正仿宋_GB2312" w:cs="Times New Roman"/>
          <w:color w:val="000000"/>
          <w:kern w:val="0"/>
          <w:sz w:val="32"/>
          <w:szCs w:val="32"/>
          <w:highlight w:val="none"/>
          <w:shd w:val="clear" w:color="auto" w:fill="FFFFFF"/>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重点领域</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default" w:ascii="Times New Roman" w:hAnsi="Times New Roman" w:eastAsia="方正仿宋_GB2312" w:cs="Times New Roman"/>
          <w:color w:val="000000"/>
          <w:kern w:val="0"/>
          <w:sz w:val="32"/>
          <w:szCs w:val="32"/>
          <w:highlight w:val="none"/>
          <w:shd w:val="clear" w:color="auto" w:fill="FFFFFF"/>
          <w:lang w:val="en-US" w:eastAsia="zh-CN"/>
        </w:rPr>
        <w:t>州直机关工委2024年末资产220.18元，累计折旧170.18万元，资产净值50万元。2023年工作未实施政府采购项目、不涉及债券资金及政府采购购买服务。</w:t>
      </w:r>
    </w:p>
    <w:p w14:paraId="1F87906D">
      <w:pPr>
        <w:keepNext w:val="0"/>
        <w:keepLines w:val="0"/>
        <w:pageBreakBefore w:val="0"/>
        <w:widowControl/>
        <w:kinsoku/>
        <w:wordWrap/>
        <w:overflowPunct/>
        <w:topLinePunct w:val="0"/>
        <w:autoSpaceDE/>
        <w:autoSpaceDN/>
        <w:bidi w:val="0"/>
        <w:adjustRightInd w:val="0"/>
        <w:snapToGrid w:val="0"/>
        <w:spacing w:line="576" w:lineRule="exact"/>
        <w:ind w:firstLine="643" w:firstLineChars="200"/>
        <w:contextualSpacing/>
        <w:jc w:val="left"/>
        <w:rPr>
          <w:rFonts w:hint="default" w:ascii="Times New Roman" w:hAnsi="Times New Roman" w:eastAsia="仿宋_GB2312" w:cs="Times New Roman"/>
          <w:color w:val="000000"/>
          <w:kern w:val="0"/>
          <w:sz w:val="32"/>
          <w:szCs w:val="32"/>
          <w:highlight w:val="none"/>
          <w:shd w:val="clear" w:color="auto" w:fill="FFFFFF"/>
          <w:lang w:val="en-US" w:eastAsia="zh-CN"/>
        </w:rPr>
      </w:pPr>
      <w:r>
        <w:rPr>
          <w:rFonts w:hint="default" w:ascii="Times New Roman" w:hAnsi="Times New Roman" w:eastAsia="楷体_GB2312" w:cs="Times New Roman"/>
          <w:b/>
          <w:bCs/>
          <w:sz w:val="32"/>
          <w:szCs w:val="32"/>
          <w:lang w:val="zh-CN"/>
        </w:rPr>
        <w:t>（四）绩效结果应用情况。</w:t>
      </w:r>
      <w:r>
        <w:rPr>
          <w:rFonts w:hint="default" w:ascii="Times New Roman" w:hAnsi="Times New Roman" w:eastAsia="仿宋_GB2312" w:cs="Times New Roman"/>
          <w:color w:val="000000"/>
          <w:kern w:val="0"/>
          <w:sz w:val="32"/>
          <w:szCs w:val="32"/>
          <w:highlight w:val="none"/>
          <w:shd w:val="clear" w:color="auto" w:fill="FFFFFF"/>
          <w:lang w:val="en-US" w:eastAsia="zh-CN"/>
        </w:rPr>
        <w:t>通过全面开展部门整体支出绩效评价，强化了我委财政支出绩效管理，进一步科学合理编制年度预算，切实发挥了财政资金资源配置作用。</w:t>
      </w:r>
    </w:p>
    <w:p w14:paraId="34E22122">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rPr>
      </w:pPr>
      <w:r>
        <w:rPr>
          <w:rFonts w:hint="default" w:ascii="Times New Roman" w:hAnsi="Times New Roman" w:eastAsia="黑体" w:cs="Times New Roman"/>
          <w:color w:val="000000"/>
          <w:kern w:val="0"/>
          <w:sz w:val="32"/>
          <w:szCs w:val="32"/>
          <w:highlight w:val="none"/>
          <w:shd w:val="clear" w:color="auto" w:fill="FFFFFF"/>
          <w:lang w:eastAsia="zh-CN"/>
        </w:rPr>
        <w:t>四、</w:t>
      </w:r>
      <w:r>
        <w:rPr>
          <w:rFonts w:hint="default" w:ascii="Times New Roman" w:hAnsi="Times New Roman" w:eastAsia="黑体" w:cs="Times New Roman"/>
          <w:color w:val="000000"/>
          <w:kern w:val="0"/>
          <w:sz w:val="32"/>
          <w:szCs w:val="32"/>
          <w:highlight w:val="none"/>
          <w:shd w:val="clear" w:color="auto" w:fill="FFFFFF"/>
        </w:rPr>
        <w:t>评价结论及建议</w:t>
      </w:r>
    </w:p>
    <w:p w14:paraId="3019F3EB">
      <w:pPr>
        <w:widowControl/>
        <w:adjustRightInd w:val="0"/>
        <w:snapToGrid w:val="0"/>
        <w:spacing w:line="580" w:lineRule="exact"/>
        <w:ind w:firstLine="643" w:firstLineChars="200"/>
        <w:contextualSpacing/>
        <w:jc w:val="left"/>
        <w:rPr>
          <w:rFonts w:hint="default" w:ascii="Times New Roman" w:hAnsi="Times New Roman" w:eastAsia="仿宋_GB2312" w:cs="Times New Roman"/>
          <w:b/>
          <w:bCs/>
          <w:color w:val="000000"/>
          <w:kern w:val="0"/>
          <w:sz w:val="32"/>
          <w:szCs w:val="32"/>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r>
        <w:rPr>
          <w:rFonts w:hint="default" w:ascii="Times New Roman" w:hAnsi="Times New Roman" w:eastAsia="仿宋_GB2312" w:cs="Times New Roman"/>
          <w:color w:val="000000"/>
          <w:kern w:val="0"/>
          <w:sz w:val="32"/>
          <w:szCs w:val="32"/>
          <w:shd w:val="clear" w:color="auto" w:fill="FFFFFF"/>
          <w:lang w:val="en-US" w:eastAsia="zh-CN" w:bidi="ar-SA"/>
        </w:rPr>
        <w:t>2024年度，我委根据年初工作规划和预算编制计划，积极履职、强化管理，较好地完成了年度工作目标，通过加强预算收支管理、建立健全内部控制制度、梳理内部管理流程，部门整体支出管理情况得到提升。2024年度部门整体支出绩效评价自评</w:t>
      </w:r>
      <w:r>
        <w:rPr>
          <w:rFonts w:hint="default" w:ascii="Times New Roman" w:hAnsi="Times New Roman" w:eastAsia="仿宋_GB2312" w:cs="Times New Roman"/>
          <w:color w:val="000000"/>
          <w:kern w:val="0"/>
          <w:sz w:val="32"/>
          <w:szCs w:val="32"/>
          <w:highlight w:val="none"/>
          <w:shd w:val="clear" w:color="auto" w:fill="FFFFFF"/>
          <w:lang w:val="en-US" w:eastAsia="zh-CN" w:bidi="ar-SA"/>
        </w:rPr>
        <w:t>得分为98分。</w:t>
      </w:r>
    </w:p>
    <w:p w14:paraId="05317209">
      <w:pPr>
        <w:widowControl/>
        <w:adjustRightInd w:val="0"/>
        <w:snapToGrid w:val="0"/>
        <w:spacing w:line="580" w:lineRule="exact"/>
        <w:ind w:firstLine="643" w:firstLineChars="200"/>
        <w:contextualSpacing/>
        <w:jc w:val="left"/>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（二）存在问题。</w:t>
      </w:r>
    </w:p>
    <w:p w14:paraId="0234BCA0">
      <w:pPr>
        <w:widowControl/>
        <w:adjustRightInd w:val="0"/>
        <w:snapToGrid w:val="0"/>
        <w:spacing w:line="580"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en-US" w:eastAsia="zh-CN" w:bidi="ar-SA"/>
        </w:rPr>
      </w:pPr>
      <w:r>
        <w:rPr>
          <w:rFonts w:hint="default" w:ascii="Times New Roman" w:hAnsi="Times New Roman" w:eastAsia="仿宋_GB2312" w:cs="Times New Roman"/>
          <w:color w:val="000000"/>
          <w:kern w:val="0"/>
          <w:sz w:val="32"/>
          <w:szCs w:val="32"/>
          <w:shd w:val="clear" w:color="auto" w:fill="FFFFFF"/>
          <w:lang w:val="en-US" w:eastAsia="zh-CN" w:bidi="ar-SA"/>
        </w:rPr>
        <w:t>部分项目预算执行进度相对滞后。</w:t>
      </w:r>
    </w:p>
    <w:p w14:paraId="3A3D314D">
      <w:pPr>
        <w:widowControl/>
        <w:numPr>
          <w:ilvl w:val="0"/>
          <w:numId w:val="2"/>
        </w:numPr>
        <w:adjustRightInd w:val="0"/>
        <w:snapToGrid w:val="0"/>
        <w:spacing w:line="580" w:lineRule="exact"/>
        <w:ind w:firstLine="643" w:firstLineChars="200"/>
        <w:contextualSpacing/>
        <w:jc w:val="left"/>
        <w:rPr>
          <w:rFonts w:hint="default"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改进建议。</w:t>
      </w:r>
    </w:p>
    <w:p w14:paraId="466BC666">
      <w:pPr>
        <w:widowControl/>
        <w:adjustRightInd w:val="0"/>
        <w:snapToGrid w:val="0"/>
        <w:spacing w:line="580" w:lineRule="exact"/>
        <w:ind w:firstLine="640" w:firstLineChars="200"/>
        <w:contextualSpacing/>
        <w:jc w:val="left"/>
        <w:rPr>
          <w:rFonts w:hint="default" w:ascii="Times New Roman" w:hAnsi="Times New Roman" w:eastAsia="仿宋_GB2312" w:cs="Times New Roman"/>
          <w:sz w:val="32"/>
          <w:lang w:val="zh-CN" w:bidi="ar"/>
        </w:rPr>
      </w:pPr>
      <w:bookmarkStart w:id="57" w:name="_Hlk110546638"/>
      <w:r>
        <w:rPr>
          <w:rFonts w:hint="default" w:ascii="Times New Roman" w:hAnsi="Times New Roman" w:eastAsia="仿宋_GB2312" w:cs="Times New Roman"/>
          <w:color w:val="000000"/>
          <w:kern w:val="0"/>
          <w:sz w:val="32"/>
          <w:szCs w:val="32"/>
          <w:shd w:val="clear" w:color="auto" w:fill="FFFFFF"/>
          <w:lang w:val="en-US" w:eastAsia="zh-CN" w:bidi="ar-SA"/>
        </w:rPr>
        <w:t>一是认真做好项目的执行，根据年初预算安排和项目实施进度等认真编制用款计划，待项目完成后，加快资金拨付。二是根据项目执行情况，及时调整项目，加强项目全过程跟踪管理</w:t>
      </w:r>
      <w:bookmarkEnd w:id="57"/>
      <w:r>
        <w:rPr>
          <w:rFonts w:hint="default" w:ascii="Times New Roman" w:hAnsi="Times New Roman" w:eastAsia="仿宋_GB2312" w:cs="Times New Roman"/>
          <w:color w:val="000000"/>
          <w:kern w:val="0"/>
          <w:sz w:val="32"/>
          <w:szCs w:val="32"/>
          <w:shd w:val="clear" w:color="auto" w:fill="FFFFFF"/>
          <w:lang w:val="en-US" w:eastAsia="zh-CN" w:bidi="ar-SA"/>
        </w:rPr>
        <w:t>。</w:t>
      </w:r>
    </w:p>
    <w:p w14:paraId="5B72C019">
      <w:pPr>
        <w:pStyle w:val="8"/>
        <w:spacing w:line="560" w:lineRule="exact"/>
        <w:ind w:left="0" w:leftChars="0" w:firstLine="640"/>
        <w:rPr>
          <w:rFonts w:hint="default" w:ascii="Times New Roman" w:hAnsi="Times New Roman" w:eastAsia="仿宋_GB2312" w:cs="Times New Roman"/>
          <w:sz w:val="32"/>
          <w:lang w:val="zh-CN" w:bidi="ar"/>
        </w:rPr>
      </w:pPr>
      <w:r>
        <w:rPr>
          <w:rFonts w:hint="default" w:ascii="Times New Roman" w:hAnsi="Times New Roman" w:eastAsia="仿宋_GB2312" w:cs="Times New Roman"/>
          <w:sz w:val="32"/>
          <w:lang w:val="zh-CN" w:bidi="ar"/>
        </w:rPr>
        <w:t>附表：</w:t>
      </w:r>
      <w:r>
        <w:rPr>
          <w:rFonts w:hint="default" w:ascii="Times New Roman" w:hAnsi="Times New Roman" w:eastAsia="仿宋_GB2312" w:cs="Times New Roman"/>
          <w:sz w:val="32"/>
          <w:lang w:bidi="ar"/>
        </w:rPr>
        <w:t>部门预算项目支出绩效自评表（2024年度）</w:t>
      </w:r>
    </w:p>
    <w:p w14:paraId="6FA3E27D">
      <w:pPr>
        <w:pStyle w:val="8"/>
        <w:spacing w:line="560" w:lineRule="exact"/>
        <w:ind w:left="0" w:leftChars="0" w:firstLine="0" w:firstLineChars="0"/>
        <w:rPr>
          <w:rFonts w:hint="default" w:ascii="Times New Roman" w:hAnsi="Times New Roman" w:cs="Times New Roman"/>
          <w:sz w:val="32"/>
          <w:highlight w:val="yellow"/>
          <w:lang w:val="zh-CN"/>
        </w:rPr>
      </w:pPr>
    </w:p>
    <w:p w14:paraId="1F8F5A0F">
      <w:pPr>
        <w:keepNext w:val="0"/>
        <w:keepLines w:val="0"/>
        <w:pageBreakBefore w:val="0"/>
        <w:kinsoku/>
        <w:wordWrap/>
        <w:overflowPunct/>
        <w:topLinePunct w:val="0"/>
        <w:autoSpaceDE/>
        <w:autoSpaceDN/>
        <w:bidi w:val="0"/>
        <w:spacing w:line="578" w:lineRule="exact"/>
        <w:ind w:firstLine="4480" w:firstLineChars="1400"/>
        <w:textAlignment w:val="auto"/>
        <w:rPr>
          <w:rFonts w:hint="default" w:ascii="Times New Roman" w:hAnsi="Times New Roman" w:eastAsia="仿宋_GB2312" w:cs="Times New Roman"/>
          <w:kern w:val="2"/>
          <w:sz w:val="32"/>
          <w:szCs w:val="24"/>
          <w:highlight w:val="none"/>
          <w:lang w:val="en-US" w:eastAsia="zh-CN" w:bidi="ar-SA"/>
        </w:rPr>
      </w:pPr>
    </w:p>
    <w:tbl>
      <w:tblPr>
        <w:tblStyle w:val="16"/>
        <w:tblW w:w="10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09"/>
        <w:gridCol w:w="1347"/>
        <w:gridCol w:w="1273"/>
        <w:gridCol w:w="1100"/>
        <w:gridCol w:w="1144"/>
        <w:gridCol w:w="1290"/>
        <w:gridCol w:w="1058"/>
        <w:gridCol w:w="926"/>
        <w:gridCol w:w="1113"/>
      </w:tblGrid>
      <w:tr w14:paraId="25472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62" w:hRule="exact"/>
          <w:jc w:val="center"/>
        </w:trPr>
        <w:tc>
          <w:tcPr>
            <w:tcW w:w="10560" w:type="dxa"/>
            <w:gridSpan w:val="9"/>
            <w:shd w:val="clear" w:color="auto" w:fill="auto"/>
            <w:vAlign w:val="center"/>
          </w:tcPr>
          <w:p w14:paraId="196D4FF7">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9"/>
              <w:rPr>
                <w:rFonts w:hint="default" w:ascii="Times New Roman" w:hAnsi="Times New Roman" w:eastAsia="黑体" w:cs="Times New Roman"/>
                <w:i w:val="0"/>
                <w:color w:val="000000"/>
                <w:sz w:val="28"/>
                <w:szCs w:val="28"/>
                <w:u w:val="none"/>
              </w:rPr>
            </w:pPr>
            <w:r>
              <w:rPr>
                <w:rFonts w:hint="default" w:ascii="Times New Roman" w:hAnsi="Times New Roman" w:eastAsia="微软雅黑" w:cs="Times New Roman"/>
                <w:i w:val="0"/>
                <w:color w:val="000000"/>
                <w:kern w:val="0"/>
                <w:sz w:val="44"/>
                <w:szCs w:val="44"/>
                <w:u w:val="none"/>
                <w:lang w:val="en-US" w:eastAsia="zh-CN" w:bidi="ar"/>
              </w:rPr>
              <w:t>部门预算项目支出绩效自评表</w:t>
            </w:r>
          </w:p>
        </w:tc>
      </w:tr>
      <w:tr w14:paraId="4E3EB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560" w:type="dxa"/>
            <w:gridSpan w:val="9"/>
            <w:shd w:val="clear" w:color="auto" w:fill="auto"/>
            <w:vAlign w:val="center"/>
          </w:tcPr>
          <w:p w14:paraId="6B90484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8"/>
                <w:szCs w:val="28"/>
                <w:u w:val="none"/>
              </w:rPr>
            </w:pPr>
            <w:r>
              <w:rPr>
                <w:rFonts w:hint="default" w:ascii="Times New Roman" w:hAnsi="Times New Roman" w:eastAsia="宋体" w:cs="Times New Roman"/>
                <w:i w:val="0"/>
                <w:color w:val="000000"/>
                <w:kern w:val="0"/>
                <w:sz w:val="28"/>
                <w:szCs w:val="28"/>
                <w:u w:val="none"/>
                <w:lang w:val="en-US" w:eastAsia="zh-CN" w:bidi="ar"/>
              </w:rPr>
              <w:t>（2024年度）</w:t>
            </w:r>
          </w:p>
        </w:tc>
      </w:tr>
      <w:tr w14:paraId="65F29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560" w:type="dxa"/>
            <w:gridSpan w:val="9"/>
            <w:tcBorders>
              <w:bottom w:val="single" w:color="000000" w:sz="4" w:space="0"/>
            </w:tcBorders>
            <w:shd w:val="clear" w:color="auto" w:fill="auto"/>
            <w:vAlign w:val="center"/>
          </w:tcPr>
          <w:p w14:paraId="164FDDCF">
            <w:pPr>
              <w:keepNext w:val="0"/>
              <w:keepLines w:val="0"/>
              <w:pageBreakBefore w:val="0"/>
              <w:widowControl/>
              <w:suppressLineNumbers w:val="0"/>
              <w:kinsoku/>
              <w:wordWrap/>
              <w:overflowPunct/>
              <w:topLinePunct w:val="0"/>
              <w:autoSpaceDE/>
              <w:autoSpaceDN/>
              <w:bidi w:val="0"/>
              <w:adjustRightInd/>
              <w:snapToGrid/>
              <w:spacing w:line="300" w:lineRule="exact"/>
              <w:jc w:val="right"/>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单位：万元</w:t>
            </w:r>
          </w:p>
        </w:tc>
      </w:tr>
      <w:tr w14:paraId="3410C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39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99C93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部门名称</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2E23BE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中共阿坝州直属机关工作委员会</w:t>
            </w:r>
          </w:p>
        </w:tc>
      </w:tr>
      <w:tr w14:paraId="34B52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246D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年度部门整体支出预算</w:t>
            </w: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426A2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资金总额</w:t>
            </w: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D44BF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财政拨款</w:t>
            </w:r>
          </w:p>
        </w:tc>
        <w:tc>
          <w:tcPr>
            <w:tcW w:w="43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A98D3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其他资金</w:t>
            </w:r>
          </w:p>
        </w:tc>
      </w:tr>
      <w:tr w14:paraId="7BED0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899C1">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379CA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669.35</w:t>
            </w: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1350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rPr>
            </w:pPr>
            <w:r>
              <w:rPr>
                <w:rFonts w:hint="default" w:ascii="Times New Roman" w:hAnsi="Times New Roman" w:eastAsia="宋体" w:cs="Times New Roman"/>
                <w:i w:val="0"/>
                <w:color w:val="000000"/>
                <w:kern w:val="0"/>
                <w:sz w:val="24"/>
                <w:szCs w:val="24"/>
                <w:u w:val="none"/>
                <w:lang w:val="en-US" w:eastAsia="zh-CN" w:bidi="ar"/>
              </w:rPr>
              <w:t>669.35</w:t>
            </w:r>
          </w:p>
        </w:tc>
        <w:tc>
          <w:tcPr>
            <w:tcW w:w="43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09701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0</w:t>
            </w:r>
          </w:p>
        </w:tc>
      </w:tr>
      <w:tr w14:paraId="6AE3A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60" w:hRule="atLeast"/>
          <w:jc w:val="center"/>
        </w:trPr>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0A2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年度总体</w:t>
            </w:r>
          </w:p>
          <w:p w14:paraId="52FBA01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目标</w:t>
            </w:r>
          </w:p>
        </w:tc>
        <w:tc>
          <w:tcPr>
            <w:tcW w:w="925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3079BB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一是加强政治建设。督促州直部门（单位）党组织把带头做到“两个维护”作为首要政治纪律，</w:t>
            </w:r>
            <w:r>
              <w:rPr>
                <w:rFonts w:hint="eastAsia" w:cs="Times New Roman"/>
                <w:i w:val="0"/>
                <w:color w:val="000000"/>
                <w:kern w:val="0"/>
                <w:sz w:val="24"/>
                <w:szCs w:val="24"/>
                <w:u w:val="none"/>
                <w:lang w:val="en-US" w:eastAsia="zh-CN" w:bidi="ar"/>
              </w:rPr>
              <w:t>深入开展学习贯彻习近平新时代中国特色社会主义思想主题教育</w:t>
            </w:r>
            <w:r>
              <w:rPr>
                <w:rFonts w:hint="default" w:ascii="Times New Roman" w:hAnsi="Times New Roman" w:eastAsia="宋体" w:cs="Times New Roman"/>
                <w:i w:val="0"/>
                <w:color w:val="000000"/>
                <w:kern w:val="0"/>
                <w:sz w:val="24"/>
                <w:szCs w:val="24"/>
                <w:u w:val="none"/>
                <w:lang w:val="en-US" w:eastAsia="zh-CN" w:bidi="ar"/>
              </w:rPr>
              <w:t>、优良传统教育和形势政策教育，引导机关党员干部严守党的政治纪律和政治规矩。</w:t>
            </w:r>
          </w:p>
          <w:p w14:paraId="37C8078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二是加强宣传教育。深入开展对党忠诚教育、优良传统教育和形势政策教育，用活用好“指尖微党建”平台，引导机关党员干部严守党的政治纪律和政治规矩。</w:t>
            </w:r>
          </w:p>
          <w:p w14:paraId="46F4BFF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三是强化基层组织</w:t>
            </w:r>
            <w:r>
              <w:rPr>
                <w:rFonts w:hint="default" w:ascii="Times New Roman" w:hAnsi="Times New Roman" w:eastAsia="宋体" w:cs="Times New Roman"/>
                <w:i w:val="0"/>
                <w:color w:val="000000"/>
                <w:kern w:val="0"/>
                <w:sz w:val="24"/>
                <w:szCs w:val="24"/>
                <w:u w:val="none"/>
                <w:lang w:val="zh-TW" w:eastAsia="zh-CN" w:bidi="ar"/>
              </w:rPr>
              <w:t>。</w:t>
            </w:r>
            <w:r>
              <w:rPr>
                <w:rFonts w:hint="default" w:ascii="Times New Roman" w:hAnsi="Times New Roman" w:eastAsia="宋体" w:cs="Times New Roman"/>
                <w:i w:val="0"/>
                <w:color w:val="000000"/>
                <w:kern w:val="0"/>
                <w:sz w:val="24"/>
                <w:szCs w:val="24"/>
                <w:u w:val="none"/>
                <w:lang w:val="en-US" w:eastAsia="zh-CN" w:bidi="ar"/>
              </w:rPr>
              <w:t>深化“净土先锋”机关党建品牌创建，分层分类开展党员教育培训，强化机关党建分类指导、党内关怀帮扶，常态开展“创先争优”活动。</w:t>
            </w:r>
          </w:p>
          <w:p w14:paraId="1F36B2F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四是管好驻村干部。进一步明确联系帮扶力量职责任务，压紧压实工作责任，做好驻村帮扶工作考核、督查等。</w:t>
            </w:r>
          </w:p>
          <w:p w14:paraId="604807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五是强化政治监督。聚焦“两个维护”，加强正风肃纪监督检查，推动全面从严治党主体责任落实，开展廉洁从政教育。</w:t>
            </w:r>
          </w:p>
        </w:tc>
      </w:tr>
      <w:tr w14:paraId="22C6E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right w:val="single" w:color="000000" w:sz="4" w:space="0"/>
            </w:tcBorders>
            <w:shd w:val="clear" w:color="auto" w:fill="auto"/>
            <w:vAlign w:val="center"/>
          </w:tcPr>
          <w:p w14:paraId="291727C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年度主要</w:t>
            </w:r>
          </w:p>
          <w:p w14:paraId="5CC9D2F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任务</w:t>
            </w: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C4F3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任务名称</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C4D72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主要内容</w:t>
            </w:r>
          </w:p>
        </w:tc>
      </w:tr>
      <w:tr w14:paraId="60D65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16324A4">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8A1A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纪检工作</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D9FD6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cs="Times New Roman"/>
                <w:lang w:val="en-US" w:eastAsia="zh-CN"/>
              </w:rPr>
            </w:pPr>
            <w:r>
              <w:rPr>
                <w:rFonts w:hint="default" w:ascii="Times New Roman" w:hAnsi="Times New Roman" w:eastAsia="宋体" w:cs="Times New Roman"/>
                <w:i w:val="0"/>
                <w:color w:val="000000"/>
                <w:kern w:val="0"/>
                <w:sz w:val="24"/>
                <w:szCs w:val="24"/>
                <w:u w:val="none"/>
                <w:lang w:val="en-US" w:eastAsia="zh-CN" w:bidi="ar"/>
              </w:rPr>
              <w:t>认真落实党风廉政建设责任制，审理州直机关科级及以下党员干部、公职人员违纪违法案件21件，举办州直机关纪检干部综合业务提升培训班。</w:t>
            </w:r>
          </w:p>
        </w:tc>
      </w:tr>
      <w:tr w14:paraId="3A532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7" w:hRule="atLeast"/>
          <w:jc w:val="center"/>
        </w:trPr>
        <w:tc>
          <w:tcPr>
            <w:tcW w:w="1309" w:type="dxa"/>
            <w:vMerge w:val="continue"/>
            <w:tcBorders>
              <w:left w:val="single" w:color="000000" w:sz="4" w:space="0"/>
              <w:right w:val="single" w:color="000000" w:sz="4" w:space="0"/>
            </w:tcBorders>
            <w:shd w:val="clear" w:color="auto" w:fill="auto"/>
            <w:vAlign w:val="center"/>
          </w:tcPr>
          <w:p w14:paraId="7CD04AB2">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026EB8">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统战群工工作</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57D55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cs="Times New Roman"/>
              </w:rPr>
            </w:pPr>
            <w:r>
              <w:rPr>
                <w:rFonts w:hint="default" w:ascii="Times New Roman" w:hAnsi="Times New Roman" w:eastAsia="宋体" w:cs="Times New Roman"/>
                <w:i w:val="0"/>
                <w:color w:val="000000"/>
                <w:kern w:val="0"/>
                <w:sz w:val="24"/>
                <w:szCs w:val="24"/>
                <w:u w:val="none"/>
                <w:lang w:val="en-US" w:eastAsia="zh-CN" w:bidi="ar"/>
              </w:rPr>
              <w:t>推动群团组织依法依章程开展工作、发挥作用，指导12个群团组织按期换届，举办妇女专题讲座，动员号召139个部门（单位）429人主动报名参与爱心爸妈结对帮扶。全覆盖开展州直部门（单位）、州属企事业单位科级及以下干部职工因私出国（境）证件的清理自查工作。</w:t>
            </w:r>
          </w:p>
        </w:tc>
      </w:tr>
      <w:tr w14:paraId="48000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365F8811">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EA0C72">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党建品牌创建及机关党建联动工作</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228F77">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深入推动机关党建与业务工作深度融合，以“现场观摩+大会”相结合的方式，盘点总结2023年品牌建设成效，抓实2024年13个部门品牌建设工作，分行业、按类别梯次培育具有阿坝机关特色、部门特点的子品牌25个，形成“1+N”党建品牌创建矩阵。</w:t>
            </w:r>
          </w:p>
        </w:tc>
      </w:tr>
      <w:tr w14:paraId="4A97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08" w:hRule="atLeast"/>
          <w:jc w:val="center"/>
        </w:trPr>
        <w:tc>
          <w:tcPr>
            <w:tcW w:w="1309" w:type="dxa"/>
            <w:vMerge w:val="continue"/>
            <w:tcBorders>
              <w:left w:val="single" w:color="000000" w:sz="4" w:space="0"/>
              <w:right w:val="single" w:color="000000" w:sz="4" w:space="0"/>
            </w:tcBorders>
            <w:shd w:val="clear" w:color="auto" w:fill="auto"/>
            <w:vAlign w:val="center"/>
          </w:tcPr>
          <w:p w14:paraId="6043D4AD">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7C8194">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州驻村帮扶工作</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227BCF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督促指导州级定点帮扶部门（单位）先后深入定点帮扶联系村开展调研100余次，通过“新增派一批+轮换一批+调整一批”方式，采取“个人自荐+组织推荐+集中审核”，先后2批次，优化调整选派政治素质好、工作能力强、敢于担当的驻村干部134名，深入红原、阿坝、若尔盖、松潘、九寨沟、金川、马尔康7县20个乡镇，实地调研察看驻村干部在岗履职、后勤保障落实等情况。</w:t>
            </w:r>
          </w:p>
        </w:tc>
      </w:tr>
      <w:tr w14:paraId="577BF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4" w:hRule="atLeast"/>
          <w:jc w:val="center"/>
        </w:trPr>
        <w:tc>
          <w:tcPr>
            <w:tcW w:w="1309" w:type="dxa"/>
            <w:vMerge w:val="continue"/>
            <w:tcBorders>
              <w:left w:val="single" w:color="000000" w:sz="4" w:space="0"/>
              <w:right w:val="single" w:color="000000" w:sz="4" w:space="0"/>
            </w:tcBorders>
            <w:shd w:val="clear" w:color="auto" w:fill="auto"/>
            <w:vAlign w:val="center"/>
          </w:tcPr>
          <w:p w14:paraId="00E28FA9">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F98E4A">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办公设备购置</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A5F8E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通过公开招标方式完成13台空调设备采购工作，采购空调已完成安装投入使用，有效解决了冬季办公区取暖的问题。</w:t>
            </w:r>
          </w:p>
        </w:tc>
      </w:tr>
      <w:tr w14:paraId="741E2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BAFF844">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482E5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州直机关党员干部教育培训工作</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265D5B">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分层分类举办党组织书记、党务干部、入党积极分子、青年理论骨干、纪检干部、驻村干部等示范培训班7期、培训731人次。</w:t>
            </w:r>
          </w:p>
        </w:tc>
      </w:tr>
      <w:tr w14:paraId="3E697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bottom w:val="single" w:color="000000" w:sz="4" w:space="0"/>
              <w:right w:val="single" w:color="000000" w:sz="4" w:space="0"/>
            </w:tcBorders>
            <w:shd w:val="clear" w:color="auto" w:fill="auto"/>
            <w:vAlign w:val="center"/>
          </w:tcPr>
          <w:p w14:paraId="719EB423">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D0DF6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党建调研工作</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86A6E7D">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深化机关党建“四分”工作机制，对95个部门（单位）党组（党委）及小金县、若尔盖县开展履行党建责任制、推动党组织标准化规范化实战化调研指导。</w:t>
            </w:r>
          </w:p>
        </w:tc>
      </w:tr>
      <w:tr w14:paraId="14C0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F7189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年度绩效</w:t>
            </w:r>
          </w:p>
          <w:p w14:paraId="2C43A9F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3C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一级指标</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E89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二级指标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70B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三级指标</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A8D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绩效指标</w:t>
            </w:r>
          </w:p>
          <w:p w14:paraId="27EE954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性质</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CAE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绩效指标值</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5BA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绩效度量单位</w:t>
            </w:r>
          </w:p>
        </w:tc>
        <w:tc>
          <w:tcPr>
            <w:tcW w:w="926" w:type="dxa"/>
            <w:tcBorders>
              <w:top w:val="single" w:color="000000" w:sz="4" w:space="0"/>
              <w:left w:val="single" w:color="000000" w:sz="4" w:space="0"/>
              <w:bottom w:val="single" w:color="000000" w:sz="4" w:space="0"/>
            </w:tcBorders>
            <w:shd w:val="clear" w:color="auto" w:fill="auto"/>
            <w:vAlign w:val="center"/>
          </w:tcPr>
          <w:p w14:paraId="57F9AD4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权重</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A1A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实际完成</w:t>
            </w:r>
          </w:p>
          <w:p w14:paraId="7D87382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指标值</w:t>
            </w:r>
          </w:p>
        </w:tc>
      </w:tr>
      <w:tr w14:paraId="00115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FD743">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F9699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C78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数量指标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315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参训人数</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EA77">
            <w:pPr>
              <w:keepNext w:val="0"/>
              <w:keepLines w:val="0"/>
              <w:pageBreakBefore w:val="0"/>
              <w:widowControl/>
              <w:suppressLineNumbers w:val="0"/>
              <w:kinsoku/>
              <w:wordWrap/>
              <w:overflowPunct/>
              <w:topLinePunct w:val="0"/>
              <w:autoSpaceDE/>
              <w:autoSpaceDN/>
              <w:bidi w:val="0"/>
              <w:adjustRightInd/>
              <w:snapToGrid/>
              <w:spacing w:line="300" w:lineRule="exact"/>
              <w:ind w:firstLine="457"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58E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710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3B9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人</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8A2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25</w:t>
            </w:r>
          </w:p>
        </w:tc>
        <w:tc>
          <w:tcPr>
            <w:tcW w:w="1113" w:type="dxa"/>
            <w:tcBorders>
              <w:left w:val="single" w:color="000000" w:sz="4" w:space="0"/>
              <w:bottom w:val="single" w:color="000000" w:sz="4" w:space="0"/>
              <w:right w:val="single" w:color="000000" w:sz="4" w:space="0"/>
            </w:tcBorders>
            <w:shd w:val="clear" w:color="auto" w:fill="auto"/>
            <w:vAlign w:val="center"/>
          </w:tcPr>
          <w:p w14:paraId="358A2D2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826</w:t>
            </w:r>
          </w:p>
        </w:tc>
      </w:tr>
      <w:tr w14:paraId="6FD83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26B3F">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711A3">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AF4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质量指标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B078">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lang w:val="en-US" w:eastAsia="zh-CN"/>
              </w:rPr>
              <w:t>参训人员</w:t>
            </w:r>
            <w:r>
              <w:rPr>
                <w:rFonts w:hint="default" w:ascii="Times New Roman" w:hAnsi="Times New Roman" w:eastAsia="宋体" w:cs="Times New Roman"/>
                <w:i w:val="0"/>
                <w:color w:val="000000"/>
                <w:sz w:val="24"/>
                <w:szCs w:val="24"/>
                <w:u w:val="none"/>
              </w:rPr>
              <w:t>培训效果</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F90D">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lang w:val="en-US" w:eastAsia="zh-CN"/>
              </w:rPr>
              <w:t>定性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BA4D">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全面提升驻村干部履职能力、党务工作者党建业务水平、青年干部理论素养及公文写作能力。</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4BB3">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31BE">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25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D97C">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lang w:val="en-US" w:eastAsia="zh-CN"/>
              </w:rPr>
            </w:pPr>
          </w:p>
        </w:tc>
      </w:tr>
      <w:tr w14:paraId="283DD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48C65">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A864C">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4E6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时效指标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8808">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项目完成时限</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CF8E">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定性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0434">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2024年12月前</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96A8">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802D5">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25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F0DA">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lang w:val="en-US" w:eastAsia="zh-CN"/>
              </w:rPr>
            </w:pPr>
          </w:p>
        </w:tc>
      </w:tr>
      <w:tr w14:paraId="47D55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6"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7615F">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60A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效益指标</w:t>
            </w:r>
          </w:p>
        </w:tc>
        <w:tc>
          <w:tcPr>
            <w:tcW w:w="1273" w:type="dxa"/>
            <w:tcBorders>
              <w:top w:val="single" w:color="000000" w:sz="4" w:space="0"/>
              <w:left w:val="single" w:color="000000" w:sz="4" w:space="0"/>
              <w:right w:val="single" w:color="000000" w:sz="4" w:space="0"/>
            </w:tcBorders>
            <w:shd w:val="clear" w:color="auto" w:fill="auto"/>
            <w:vAlign w:val="center"/>
          </w:tcPr>
          <w:p w14:paraId="7A6C268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社会效益</w:t>
            </w:r>
          </w:p>
          <w:p w14:paraId="7132563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AB9C">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党建督导的效果</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8F4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定性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0C64">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 xml:space="preserve">通过党建督导 “三会一课”、主题党日等制度落实，基层党组织标准化显著提高。 </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CE1A">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F84F">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25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187E">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r>
      <w:tr w14:paraId="1D891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8"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1ACF3">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F84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C3F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76FB">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服务对象满意度</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14B7">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lang w:val="en-US" w:eastAsia="zh-CN"/>
              </w:rPr>
              <w:t>定性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E9EC">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提</w:t>
            </w:r>
            <w:r>
              <w:rPr>
                <w:rFonts w:hint="default" w:ascii="Times New Roman" w:hAnsi="Times New Roman" w:eastAsia="宋体" w:cs="Times New Roman"/>
                <w:i w:val="0"/>
                <w:color w:val="000000"/>
                <w:kern w:val="0"/>
                <w:sz w:val="24"/>
                <w:szCs w:val="24"/>
                <w:u w:val="none"/>
                <w:lang w:val="en-US" w:eastAsia="zh-CN" w:bidi="ar"/>
              </w:rPr>
              <w:t>升办公区域环境，激发干部职工干事热情，满意度达100%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50CA">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6BF4">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lang w:val="en-US" w:eastAsia="zh-CN"/>
              </w:rPr>
            </w:pPr>
            <w:r>
              <w:rPr>
                <w:rFonts w:hint="default" w:ascii="Times New Roman" w:hAnsi="Times New Roman" w:eastAsia="宋体" w:cs="Times New Roman"/>
                <w:i w:val="0"/>
                <w:color w:val="000000"/>
                <w:sz w:val="24"/>
                <w:szCs w:val="24"/>
                <w:u w:val="none"/>
                <w:lang w:val="en-US" w:eastAsia="zh-CN"/>
              </w:rPr>
              <w:t>25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34EC">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lang w:val="en-US" w:eastAsia="zh-CN"/>
              </w:rPr>
            </w:pPr>
          </w:p>
        </w:tc>
      </w:tr>
    </w:tbl>
    <w:p w14:paraId="0BF36035">
      <w:pPr>
        <w:rPr>
          <w:rFonts w:hint="default" w:ascii="Times New Roman" w:hAnsi="Times New Roman" w:eastAsia="黑体" w:cs="Times New Roman"/>
          <w:kern w:val="0"/>
          <w:sz w:val="32"/>
          <w:szCs w:val="32"/>
          <w:shd w:val="clear" w:color="auto" w:fill="FFFFFF"/>
          <w:lang w:val="en-US" w:eastAsia="zh-CN"/>
        </w:rPr>
      </w:pPr>
    </w:p>
    <w:p w14:paraId="1A2CB258">
      <w:pPr>
        <w:pStyle w:val="2"/>
        <w:rPr>
          <w:rFonts w:hint="default" w:ascii="Times New Roman" w:hAnsi="Times New Roman" w:eastAsia="黑体" w:cs="Times New Roman"/>
          <w:kern w:val="0"/>
          <w:sz w:val="32"/>
          <w:szCs w:val="32"/>
          <w:shd w:val="clear" w:color="auto" w:fill="FFFFFF"/>
          <w:lang w:val="en-US" w:eastAsia="zh-CN"/>
        </w:rPr>
      </w:pPr>
    </w:p>
    <w:p w14:paraId="040132E1">
      <w:pPr>
        <w:rPr>
          <w:rFonts w:hint="default" w:ascii="Times New Roman" w:hAnsi="Times New Roman" w:eastAsia="黑体" w:cs="Times New Roman"/>
          <w:kern w:val="0"/>
          <w:sz w:val="32"/>
          <w:szCs w:val="32"/>
          <w:shd w:val="clear" w:color="auto" w:fill="FFFFFF"/>
          <w:lang w:val="en-US" w:eastAsia="zh-CN"/>
        </w:rPr>
      </w:pPr>
    </w:p>
    <w:p w14:paraId="5B703697">
      <w:pPr>
        <w:pStyle w:val="2"/>
        <w:rPr>
          <w:rFonts w:hint="default" w:ascii="Times New Roman" w:hAnsi="Times New Roman" w:eastAsia="黑体" w:cs="Times New Roman"/>
          <w:kern w:val="0"/>
          <w:sz w:val="32"/>
          <w:szCs w:val="32"/>
          <w:shd w:val="clear" w:color="auto" w:fill="FFFFFF"/>
          <w:lang w:val="en-US" w:eastAsia="zh-CN"/>
        </w:rPr>
      </w:pPr>
    </w:p>
    <w:p w14:paraId="608D9CE7">
      <w:pPr>
        <w:pStyle w:val="2"/>
        <w:ind w:left="0" w:leftChars="0" w:firstLine="0" w:firstLineChars="0"/>
        <w:rPr>
          <w:rFonts w:hint="default" w:ascii="Times New Roman" w:hAnsi="Times New Roman" w:eastAsia="黑体" w:cs="Times New Roman"/>
          <w:kern w:val="0"/>
          <w:sz w:val="32"/>
          <w:szCs w:val="32"/>
          <w:shd w:val="clear" w:color="auto" w:fill="FFFFFF"/>
          <w:lang w:val="en-US" w:eastAsia="zh-CN"/>
        </w:rPr>
      </w:pPr>
    </w:p>
    <w:p w14:paraId="7DC0C453">
      <w:pPr>
        <w:rPr>
          <w:rFonts w:hint="default" w:ascii="Times New Roman" w:hAnsi="Times New Roman" w:cs="Times New Roman"/>
          <w:lang w:val="en-US" w:eastAsia="zh-CN"/>
        </w:rPr>
      </w:pPr>
    </w:p>
    <w:p w14:paraId="1B6BC85D">
      <w:pPr>
        <w:pStyle w:val="2"/>
        <w:ind w:left="0" w:leftChars="0" w:firstLine="0" w:firstLineChars="0"/>
        <w:rPr>
          <w:rFonts w:hint="default" w:ascii="Times New Roman" w:hAnsi="Times New Roman" w:cs="Times New Roman"/>
          <w:lang w:val="en-US" w:eastAsia="zh-CN"/>
        </w:rPr>
      </w:pPr>
    </w:p>
    <w:p w14:paraId="0627CCBC">
      <w:pPr>
        <w:bidi w:val="0"/>
        <w:rPr>
          <w:rFonts w:hint="default" w:ascii="Times New Roman" w:hAnsi="Times New Roman" w:cs="Times New Roman"/>
          <w:lang w:val="en-US" w:eastAsia="zh-CN"/>
        </w:rPr>
      </w:pPr>
    </w:p>
    <w:p w14:paraId="41524894">
      <w:pPr>
        <w:bidi w:val="0"/>
        <w:jc w:val="left"/>
        <w:rPr>
          <w:rFonts w:hint="default" w:ascii="Times New Roman" w:hAnsi="Times New Roman" w:cs="Times New Roman"/>
          <w:lang w:val="en-US" w:eastAsia="zh-CN"/>
        </w:rPr>
        <w:sectPr>
          <w:footerReference r:id="rId6" w:type="first"/>
          <w:footerReference r:id="rId5" w:type="default"/>
          <w:pgSz w:w="11906" w:h="16838"/>
          <w:pgMar w:top="1440" w:right="1800" w:bottom="1440" w:left="1800" w:header="851" w:footer="992" w:gutter="0"/>
          <w:pgNumType w:fmt="numberInDash" w:start="2"/>
          <w:cols w:space="425" w:num="1"/>
          <w:docGrid w:type="lines" w:linePitch="312" w:charSpace="0"/>
        </w:sectPr>
      </w:pPr>
    </w:p>
    <w:tbl>
      <w:tblPr>
        <w:tblStyle w:val="16"/>
        <w:tblpPr w:leftFromText="180" w:rightFromText="180" w:vertAnchor="text" w:horzAnchor="page" w:tblpX="1599" w:tblpY="-158"/>
        <w:tblOverlap w:val="never"/>
        <w:tblW w:w="130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6"/>
        <w:gridCol w:w="1838"/>
        <w:gridCol w:w="1625"/>
        <w:gridCol w:w="1999"/>
        <w:gridCol w:w="814"/>
        <w:gridCol w:w="1852"/>
        <w:gridCol w:w="547"/>
        <w:gridCol w:w="1041"/>
        <w:gridCol w:w="538"/>
        <w:gridCol w:w="875"/>
        <w:gridCol w:w="1330"/>
      </w:tblGrid>
      <w:tr w14:paraId="539C9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728F870C">
            <w:pPr>
              <w:keepNext w:val="0"/>
              <w:keepLines w:val="0"/>
              <w:widowControl/>
              <w:suppressLineNumbers w:val="0"/>
              <w:ind w:firstLine="4006" w:firstLineChars="1900"/>
              <w:jc w:val="both"/>
              <w:textAlignment w:val="center"/>
              <w:rPr>
                <w:rFonts w:hint="default" w:ascii="Times New Roman" w:hAnsi="Times New Roman" w:eastAsia="黑体" w:cs="Times New Roman"/>
                <w:b/>
                <w:bCs/>
                <w:i w:val="0"/>
                <w:iCs w:val="0"/>
                <w:color w:val="000000"/>
                <w:sz w:val="13"/>
                <w:szCs w:val="13"/>
                <w:u w:val="none"/>
              </w:rPr>
            </w:pPr>
            <w:r>
              <w:rPr>
                <w:rFonts w:hint="default" w:ascii="Times New Roman" w:hAnsi="Times New Roman" w:eastAsia="黑体" w:cs="Times New Roman"/>
                <w:b/>
                <w:bCs/>
                <w:i w:val="0"/>
                <w:iCs w:val="0"/>
                <w:color w:val="000000"/>
                <w:kern w:val="0"/>
                <w:sz w:val="21"/>
                <w:szCs w:val="21"/>
                <w:u w:val="none"/>
                <w:lang w:val="en-US" w:eastAsia="zh-CN" w:bidi="ar"/>
              </w:rPr>
              <w:t>部门预算项目支出绩效自评表（2024年度）</w:t>
            </w:r>
          </w:p>
        </w:tc>
      </w:tr>
      <w:tr w14:paraId="4CEE8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241302BB">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5F22C446">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51320021T000000048589</w:t>
            </w:r>
            <w:r>
              <w:rPr>
                <w:rFonts w:hint="eastAsia" w:cs="Times New Roman"/>
                <w:i w:val="0"/>
                <w:iCs w:val="0"/>
                <w:color w:val="000000"/>
                <w:kern w:val="0"/>
                <w:sz w:val="13"/>
                <w:szCs w:val="13"/>
                <w:u w:val="none"/>
                <w:lang w:val="en-US" w:eastAsia="zh-CN" w:bidi="ar"/>
              </w:rPr>
              <w:t>－</w:t>
            </w:r>
            <w:r>
              <w:rPr>
                <w:rFonts w:hint="default" w:ascii="Times New Roman" w:hAnsi="Times New Roman" w:eastAsia="宋体" w:cs="Times New Roman"/>
                <w:i w:val="0"/>
                <w:iCs w:val="0"/>
                <w:color w:val="000000"/>
                <w:kern w:val="0"/>
                <w:sz w:val="13"/>
                <w:szCs w:val="13"/>
                <w:u w:val="none"/>
                <w:lang w:val="en-US" w:eastAsia="zh-CN" w:bidi="ar"/>
              </w:rPr>
              <w:t>纪检工作经费</w:t>
            </w:r>
          </w:p>
        </w:tc>
      </w:tr>
      <w:tr w14:paraId="2F63B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7920EBED">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62711221">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州直机关工委部门</w:t>
            </w:r>
          </w:p>
        </w:tc>
        <w:tc>
          <w:tcPr>
            <w:tcW w:w="1041" w:type="dxa"/>
            <w:tcBorders>
              <w:top w:val="nil"/>
              <w:left w:val="nil"/>
              <w:bottom w:val="nil"/>
              <w:right w:val="nil"/>
            </w:tcBorders>
            <w:noWrap w:val="0"/>
            <w:vAlign w:val="center"/>
          </w:tcPr>
          <w:p w14:paraId="7AA75FF7">
            <w:pPr>
              <w:keepNext w:val="0"/>
              <w:keepLines w:val="0"/>
              <w:widowControl/>
              <w:suppressLineNumbers w:val="0"/>
              <w:jc w:val="left"/>
              <w:textAlignment w:val="center"/>
              <w:rPr>
                <w:rFonts w:hint="default" w:ascii="Times New Roman" w:hAnsi="Times New Roman" w:eastAsia="黑体" w:cs="Times New Roman"/>
                <w:i w:val="0"/>
                <w:iCs w:val="0"/>
                <w:color w:val="000000"/>
                <w:sz w:val="13"/>
                <w:szCs w:val="13"/>
                <w:u w:val="none"/>
              </w:rPr>
            </w:pPr>
            <w:r>
              <w:rPr>
                <w:rFonts w:hint="default" w:ascii="Times New Roman" w:hAnsi="Times New Roman" w:eastAsia="黑体" w:cs="Times New Roman"/>
                <w:i w:val="0"/>
                <w:iCs w:val="0"/>
                <w:color w:val="000000"/>
                <w:kern w:val="0"/>
                <w:sz w:val="13"/>
                <w:szCs w:val="13"/>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01881C7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州直机关工委</w:t>
            </w:r>
          </w:p>
        </w:tc>
      </w:tr>
      <w:tr w14:paraId="10CB8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2F5055D">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7F7BB62A">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23E9E7D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560E1C6A">
            <w:pPr>
              <w:keepNext w:val="0"/>
              <w:keepLines w:val="0"/>
              <w:widowControl/>
              <w:suppressLineNumbers w:val="0"/>
              <w:jc w:val="center"/>
              <w:textAlignment w:val="center"/>
              <w:rPr>
                <w:rFonts w:hint="default" w:ascii="Times New Roman" w:hAnsi="Times New Roman" w:eastAsia="黑体" w:cs="Times New Roman"/>
                <w:i w:val="0"/>
                <w:iCs w:val="0"/>
                <w:color w:val="000000"/>
                <w:sz w:val="13"/>
                <w:szCs w:val="13"/>
                <w:u w:val="none"/>
              </w:rPr>
            </w:pPr>
            <w:r>
              <w:rPr>
                <w:rFonts w:hint="default" w:ascii="Times New Roman" w:hAnsi="Times New Roman" w:eastAsia="黑体" w:cs="Times New Roman"/>
                <w:i w:val="0"/>
                <w:iCs w:val="0"/>
                <w:color w:val="000000"/>
                <w:kern w:val="0"/>
                <w:sz w:val="13"/>
                <w:szCs w:val="13"/>
                <w:u w:val="none"/>
                <w:lang w:val="en-US" w:eastAsia="zh-CN" w:bidi="ar"/>
              </w:rPr>
              <w:t>年度目标完成情况</w:t>
            </w:r>
          </w:p>
        </w:tc>
      </w:tr>
      <w:tr w14:paraId="299F6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081A79">
            <w:pPr>
              <w:rPr>
                <w:rFonts w:hint="default" w:ascii="Times New Roman" w:hAnsi="Times New Roman" w:eastAsia="宋体" w:cs="Times New Roman"/>
                <w:i w:val="0"/>
                <w:iCs w:val="0"/>
                <w:color w:val="000000"/>
                <w:sz w:val="13"/>
                <w:szCs w:val="13"/>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ADFCD3">
            <w:pPr>
              <w:rPr>
                <w:rFonts w:hint="default" w:ascii="Times New Roman" w:hAnsi="Times New Roman" w:eastAsia="宋体" w:cs="Times New Roman"/>
                <w:i w:val="0"/>
                <w:iCs w:val="0"/>
                <w:color w:val="000000"/>
                <w:sz w:val="13"/>
                <w:szCs w:val="13"/>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2B3F8ED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　对州直机关党群部门领导班子和班子成员落实党风廉政建设责任制开展日常监督和考核。完成州直机关科级及以下干部职工违纪违法案的审理，举办1期专题讲座。</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0354CC3D">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保障州直机关纪检监察工委依法依规履行职责。</w:t>
            </w:r>
          </w:p>
        </w:tc>
      </w:tr>
      <w:tr w14:paraId="0396C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5BA51A">
            <w:pP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BA172F1">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2FD822E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开展机关纪委“五化”问题专项整治，转变机关纪委干部作风，制发《机关纪委联动工作机制》，开展元旦春节、五一、国庆、中秋“四风”树新风监督检查，指导95个州直部门（单位）开展党纪学习教育，引导党员干部学纪、知纪、明纪、守纪，依纪、依规审理州直机关科级及以下党员干部、公职人员违纪违法案件21件。</w:t>
            </w:r>
          </w:p>
        </w:tc>
      </w:tr>
      <w:tr w14:paraId="13C73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37E082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88728C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D14C69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362BFA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569842C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3BB592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C0A24F7">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E4246B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50A62F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原因</w:t>
            </w:r>
          </w:p>
        </w:tc>
      </w:tr>
      <w:tr w14:paraId="2D137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3DFB1A">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41B1E2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3183B3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AC6E29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E9D8B6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C680AA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6B711E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8AD495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3C277A3E">
            <w:pPr>
              <w:keepNext w:val="0"/>
              <w:keepLines w:val="0"/>
              <w:widowControl/>
              <w:suppressLineNumbers w:val="0"/>
              <w:jc w:val="left"/>
              <w:textAlignment w:val="center"/>
              <w:rPr>
                <w:rFonts w:hint="default" w:ascii="Times New Roman" w:hAnsi="Times New Roman" w:eastAsia="黑体" w:cs="Times New Roman"/>
                <w:i/>
                <w:iCs/>
                <w:color w:val="000000"/>
                <w:sz w:val="13"/>
                <w:szCs w:val="13"/>
                <w:u w:val="none"/>
              </w:rPr>
            </w:pPr>
          </w:p>
        </w:tc>
      </w:tr>
      <w:tr w14:paraId="482D7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299410">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12159A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DC9B42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B20F5E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5E23904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8D4E6A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96A4AE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7E301D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88376F">
            <w:pPr>
              <w:rPr>
                <w:rFonts w:hint="default" w:ascii="Times New Roman" w:hAnsi="Times New Roman" w:eastAsia="黑体" w:cs="Times New Roman"/>
                <w:i/>
                <w:iCs/>
                <w:color w:val="000000"/>
                <w:sz w:val="13"/>
                <w:szCs w:val="13"/>
                <w:u w:val="none"/>
              </w:rPr>
            </w:pPr>
          </w:p>
        </w:tc>
      </w:tr>
      <w:tr w14:paraId="79954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040AB5">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F6FC31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E4A55D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883E66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A91A877">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3FD587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B2D3F5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7D0E60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492814">
            <w:pPr>
              <w:rPr>
                <w:rFonts w:hint="default" w:ascii="Times New Roman" w:hAnsi="Times New Roman" w:eastAsia="黑体" w:cs="Times New Roman"/>
                <w:i/>
                <w:iCs/>
                <w:color w:val="000000"/>
                <w:sz w:val="13"/>
                <w:szCs w:val="13"/>
                <w:u w:val="none"/>
              </w:rPr>
            </w:pPr>
          </w:p>
        </w:tc>
      </w:tr>
      <w:tr w14:paraId="55C9D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F8831C">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92ECBB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A09A80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6B7CC1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81C727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18F6C1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2257F0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CCEDA7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D719F3">
            <w:pPr>
              <w:rPr>
                <w:rFonts w:hint="default" w:ascii="Times New Roman" w:hAnsi="Times New Roman" w:eastAsia="黑体" w:cs="Times New Roman"/>
                <w:i/>
                <w:iCs/>
                <w:color w:val="000000"/>
                <w:sz w:val="13"/>
                <w:szCs w:val="13"/>
                <w:u w:val="none"/>
              </w:rPr>
            </w:pPr>
          </w:p>
        </w:tc>
      </w:tr>
      <w:tr w14:paraId="31033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A3C29A">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BEC1F5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其他资金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1B10361">
            <w:pPr>
              <w:jc w:val="center"/>
              <w:rPr>
                <w:rFonts w:hint="default" w:ascii="Times New Roman" w:hAnsi="Times New Roman" w:eastAsia="微软雅黑" w:cs="Times New Roman"/>
                <w:i/>
                <w:iCs/>
                <w:color w:val="000000"/>
                <w:sz w:val="13"/>
                <w:szCs w:val="13"/>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6F8BAA2">
            <w:pPr>
              <w:jc w:val="center"/>
              <w:rPr>
                <w:rFonts w:hint="default" w:ascii="Times New Roman" w:hAnsi="Times New Roman" w:eastAsia="微软雅黑" w:cs="Times New Roman"/>
                <w:i/>
                <w:iCs/>
                <w:color w:val="000000"/>
                <w:sz w:val="13"/>
                <w:szCs w:val="13"/>
                <w:u w:val="none"/>
              </w:rPr>
            </w:pP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3C3CA81">
            <w:pPr>
              <w:jc w:val="center"/>
              <w:rPr>
                <w:rFonts w:hint="default" w:ascii="Times New Roman" w:hAnsi="Times New Roman" w:eastAsia="微软雅黑" w:cs="Times New Roman"/>
                <w:i/>
                <w:iCs/>
                <w:color w:val="000000"/>
                <w:sz w:val="13"/>
                <w:szCs w:val="13"/>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6111A0E">
            <w:pPr>
              <w:jc w:val="center"/>
              <w:rPr>
                <w:rFonts w:hint="default" w:ascii="Times New Roman" w:hAnsi="Times New Roman" w:eastAsia="微软雅黑" w:cs="Times New Roman"/>
                <w:i/>
                <w:iCs/>
                <w:color w:val="000000"/>
                <w:sz w:val="13"/>
                <w:szCs w:val="13"/>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E18C80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E22791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469DC7">
            <w:pPr>
              <w:rPr>
                <w:rFonts w:hint="default" w:ascii="Times New Roman" w:hAnsi="Times New Roman" w:eastAsia="黑体" w:cs="Times New Roman"/>
                <w:i/>
                <w:iCs/>
                <w:color w:val="000000"/>
                <w:sz w:val="13"/>
                <w:szCs w:val="13"/>
                <w:u w:val="none"/>
              </w:rPr>
            </w:pPr>
          </w:p>
        </w:tc>
      </w:tr>
      <w:tr w14:paraId="2F452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EBD927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65EC82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EAA9EC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F2DBB0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FD8362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42EF30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382AF6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5A31E17">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A401DA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FB6F99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253E54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未完成原因分析</w:t>
            </w:r>
          </w:p>
        </w:tc>
      </w:tr>
      <w:tr w14:paraId="7BE63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438901">
            <w:pPr>
              <w:jc w:val="center"/>
              <w:rPr>
                <w:rFonts w:hint="default" w:ascii="Times New Roman" w:hAnsi="Times New Roman" w:eastAsia="宋体" w:cs="Times New Roman"/>
                <w:i w:val="0"/>
                <w:iCs w:val="0"/>
                <w:color w:val="000000"/>
                <w:sz w:val="13"/>
                <w:szCs w:val="13"/>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1B84DB9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21B012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656106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州直机关党委</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182AF4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CF3BF2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23</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476938F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个</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AF9804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23</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CC5245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060DF0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08E08A1">
            <w:pPr>
              <w:jc w:val="center"/>
              <w:rPr>
                <w:rFonts w:hint="default" w:ascii="Times New Roman" w:hAnsi="Times New Roman" w:eastAsia="微软雅黑" w:cs="Times New Roman"/>
                <w:i/>
                <w:iCs/>
                <w:color w:val="000000"/>
                <w:sz w:val="13"/>
                <w:szCs w:val="13"/>
                <w:u w:val="none"/>
              </w:rPr>
            </w:pPr>
          </w:p>
        </w:tc>
      </w:tr>
      <w:tr w14:paraId="082E3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2AF2A">
            <w:pPr>
              <w:jc w:val="center"/>
              <w:rPr>
                <w:rFonts w:hint="default" w:ascii="Times New Roman" w:hAnsi="Times New Roman" w:eastAsia="宋体" w:cs="Times New Roman"/>
                <w:i w:val="0"/>
                <w:iCs w:val="0"/>
                <w:color w:val="000000"/>
                <w:sz w:val="13"/>
                <w:szCs w:val="13"/>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19C5DD">
            <w:pPr>
              <w:jc w:val="center"/>
              <w:rPr>
                <w:rFonts w:hint="default" w:ascii="Times New Roman" w:hAnsi="Times New Roman" w:eastAsia="宋体" w:cs="Times New Roman"/>
                <w:i w:val="0"/>
                <w:iCs w:val="0"/>
                <w:color w:val="000000"/>
                <w:sz w:val="13"/>
                <w:szCs w:val="13"/>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1C302A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质量指标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5A9829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州直机关党委</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9EBDB5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62EFDD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720ABE6C">
            <w:pPr>
              <w:jc w:val="center"/>
              <w:rPr>
                <w:rFonts w:hint="default" w:ascii="Times New Roman" w:hAnsi="Times New Roman" w:eastAsia="宋体" w:cs="Times New Roman"/>
                <w:i w:val="0"/>
                <w:iCs w:val="0"/>
                <w:color w:val="000000"/>
                <w:sz w:val="13"/>
                <w:szCs w:val="13"/>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429CC72">
            <w:pPr>
              <w:jc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C4A0987">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6571C6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425CA24">
            <w:pPr>
              <w:jc w:val="center"/>
              <w:rPr>
                <w:rFonts w:hint="default" w:ascii="Times New Roman" w:hAnsi="Times New Roman" w:eastAsia="微软雅黑" w:cs="Times New Roman"/>
                <w:i/>
                <w:iCs/>
                <w:color w:val="000000"/>
                <w:sz w:val="13"/>
                <w:szCs w:val="13"/>
                <w:u w:val="none"/>
              </w:rPr>
            </w:pPr>
          </w:p>
        </w:tc>
      </w:tr>
      <w:tr w14:paraId="68BC4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AB34B6">
            <w:pPr>
              <w:jc w:val="center"/>
              <w:rPr>
                <w:rFonts w:hint="default" w:ascii="Times New Roman" w:hAnsi="Times New Roman" w:eastAsia="宋体" w:cs="Times New Roman"/>
                <w:i w:val="0"/>
                <w:iCs w:val="0"/>
                <w:color w:val="000000"/>
                <w:sz w:val="13"/>
                <w:szCs w:val="13"/>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88179">
            <w:pPr>
              <w:jc w:val="center"/>
              <w:rPr>
                <w:rFonts w:hint="default" w:ascii="Times New Roman" w:hAnsi="Times New Roman" w:eastAsia="宋体" w:cs="Times New Roman"/>
                <w:i w:val="0"/>
                <w:iCs w:val="0"/>
                <w:color w:val="000000"/>
                <w:sz w:val="13"/>
                <w:szCs w:val="13"/>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FF5AC9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时效指标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FFA1E6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项目完成时间</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F3252A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E50669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12月底前</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3ABE950">
            <w:pPr>
              <w:jc w:val="center"/>
              <w:rPr>
                <w:rFonts w:hint="default" w:ascii="Times New Roman" w:hAnsi="Times New Roman" w:eastAsia="宋体" w:cs="Times New Roman"/>
                <w:i w:val="0"/>
                <w:iCs w:val="0"/>
                <w:color w:val="000000"/>
                <w:sz w:val="13"/>
                <w:szCs w:val="13"/>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C309DFB">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已完成</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98A339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D32023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17B8810">
            <w:pPr>
              <w:jc w:val="center"/>
              <w:rPr>
                <w:rFonts w:hint="default" w:ascii="Times New Roman" w:hAnsi="Times New Roman" w:eastAsia="微软雅黑" w:cs="Times New Roman"/>
                <w:i/>
                <w:iCs/>
                <w:color w:val="000000"/>
                <w:sz w:val="13"/>
                <w:szCs w:val="13"/>
                <w:u w:val="none"/>
              </w:rPr>
            </w:pPr>
          </w:p>
        </w:tc>
      </w:tr>
      <w:tr w14:paraId="55031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840368">
            <w:pPr>
              <w:jc w:val="center"/>
              <w:rPr>
                <w:rFonts w:hint="default" w:ascii="Times New Roman" w:hAnsi="Times New Roman" w:eastAsia="宋体" w:cs="Times New Roman"/>
                <w:i w:val="0"/>
                <w:iCs w:val="0"/>
                <w:color w:val="000000"/>
                <w:sz w:val="13"/>
                <w:szCs w:val="13"/>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50415D0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效益指标</w:t>
            </w:r>
          </w:p>
        </w:tc>
        <w:tc>
          <w:tcPr>
            <w:tcW w:w="16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088963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6F02E2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推进州直机关党风廉政建设</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0064FC7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072EAB2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6E1A8429">
            <w:pPr>
              <w:jc w:val="center"/>
              <w:rPr>
                <w:rFonts w:hint="default" w:ascii="Times New Roman" w:hAnsi="Times New Roman" w:eastAsia="宋体" w:cs="Times New Roman"/>
                <w:i w:val="0"/>
                <w:iCs w:val="0"/>
                <w:color w:val="000000"/>
                <w:sz w:val="13"/>
                <w:szCs w:val="13"/>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36579C1">
            <w:pPr>
              <w:jc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F1EF20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6DF713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22F36C9">
            <w:pPr>
              <w:jc w:val="center"/>
              <w:rPr>
                <w:rFonts w:hint="default" w:ascii="Times New Roman" w:hAnsi="Times New Roman" w:eastAsia="微软雅黑" w:cs="Times New Roman"/>
                <w:i/>
                <w:iCs/>
                <w:color w:val="000000"/>
                <w:sz w:val="13"/>
                <w:szCs w:val="13"/>
                <w:u w:val="none"/>
              </w:rPr>
            </w:pPr>
          </w:p>
        </w:tc>
      </w:tr>
      <w:tr w14:paraId="40133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602AA">
            <w:pPr>
              <w:jc w:val="center"/>
              <w:rPr>
                <w:rFonts w:hint="default" w:ascii="Times New Roman" w:hAnsi="Times New Roman" w:eastAsia="宋体" w:cs="Times New Roman"/>
                <w:i w:val="0"/>
                <w:iCs w:val="0"/>
                <w:color w:val="000000"/>
                <w:sz w:val="13"/>
                <w:szCs w:val="13"/>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247FB9">
            <w:pPr>
              <w:jc w:val="center"/>
              <w:rPr>
                <w:rFonts w:hint="default" w:ascii="Times New Roman" w:hAnsi="Times New Roman" w:eastAsia="宋体" w:cs="Times New Roman"/>
                <w:i w:val="0"/>
                <w:iCs w:val="0"/>
                <w:color w:val="000000"/>
                <w:sz w:val="13"/>
                <w:szCs w:val="13"/>
                <w:u w:val="none"/>
              </w:rPr>
            </w:pPr>
          </w:p>
        </w:tc>
        <w:tc>
          <w:tcPr>
            <w:tcW w:w="16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D1D087">
            <w:pPr>
              <w:jc w:val="center"/>
              <w:rPr>
                <w:rFonts w:hint="default" w:ascii="Times New Roman" w:hAnsi="Times New Roman" w:eastAsia="宋体" w:cs="Times New Roman"/>
                <w:i w:val="0"/>
                <w:iCs w:val="0"/>
                <w:color w:val="000000"/>
                <w:sz w:val="13"/>
                <w:szCs w:val="13"/>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69AE50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进一步推动州直机关反腐倡廉工作</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1CDA3CE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A8ECC7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239253BA">
            <w:pPr>
              <w:jc w:val="center"/>
              <w:rPr>
                <w:rFonts w:hint="default" w:ascii="Times New Roman" w:hAnsi="Times New Roman" w:eastAsia="宋体" w:cs="Times New Roman"/>
                <w:i w:val="0"/>
                <w:iCs w:val="0"/>
                <w:color w:val="000000"/>
                <w:sz w:val="13"/>
                <w:szCs w:val="13"/>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5E8099E">
            <w:pPr>
              <w:jc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24C72B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8ACE69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41CD70E">
            <w:pPr>
              <w:jc w:val="center"/>
              <w:rPr>
                <w:rFonts w:hint="default" w:ascii="Times New Roman" w:hAnsi="Times New Roman" w:eastAsia="微软雅黑" w:cs="Times New Roman"/>
                <w:i/>
                <w:iCs/>
                <w:color w:val="000000"/>
                <w:sz w:val="13"/>
                <w:szCs w:val="13"/>
                <w:u w:val="none"/>
              </w:rPr>
            </w:pPr>
          </w:p>
        </w:tc>
      </w:tr>
      <w:tr w14:paraId="278F7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CE9BB9">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AE2F02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满意度指标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69E4DA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服务对象满意度指标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A1A5457">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职工满意度</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B1D00D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0F1C90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90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69F7FC0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388F390">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90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6213B4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31CBE8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1ACA600">
            <w:pPr>
              <w:jc w:val="center"/>
              <w:rPr>
                <w:rFonts w:hint="default" w:ascii="Times New Roman" w:hAnsi="Times New Roman" w:eastAsia="微软雅黑" w:cs="Times New Roman"/>
                <w:i/>
                <w:iCs/>
                <w:color w:val="000000"/>
                <w:sz w:val="13"/>
                <w:szCs w:val="13"/>
                <w:u w:val="none"/>
              </w:rPr>
            </w:pPr>
          </w:p>
        </w:tc>
      </w:tr>
      <w:tr w14:paraId="23F9F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6BE939">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416EB5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成本指标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B8EB22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经济成本指标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6E1BB9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人均成本</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0C95C56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38898AA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470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A6EE89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人/天</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987DE6D">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470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275616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30177A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DB9EC7C">
            <w:pPr>
              <w:jc w:val="center"/>
              <w:rPr>
                <w:rFonts w:hint="default" w:ascii="Times New Roman" w:hAnsi="Times New Roman" w:eastAsia="微软雅黑" w:cs="Times New Roman"/>
                <w:i/>
                <w:iCs/>
                <w:color w:val="000000"/>
                <w:sz w:val="13"/>
                <w:szCs w:val="13"/>
                <w:u w:val="none"/>
              </w:rPr>
            </w:pPr>
          </w:p>
        </w:tc>
      </w:tr>
      <w:tr w14:paraId="22E25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25C0854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89F757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ACFBF09">
            <w:pPr>
              <w:keepNext w:val="0"/>
              <w:keepLines w:val="0"/>
              <w:widowControl/>
              <w:suppressLineNumbers w:val="0"/>
              <w:jc w:val="righ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C084324">
            <w:pPr>
              <w:rPr>
                <w:rFonts w:hint="default" w:ascii="Times New Roman" w:hAnsi="Times New Roman" w:eastAsia="宋体" w:cs="Times New Roman"/>
                <w:i w:val="0"/>
                <w:iCs w:val="0"/>
                <w:color w:val="000000"/>
                <w:sz w:val="13"/>
                <w:szCs w:val="13"/>
                <w:u w:val="none"/>
              </w:rPr>
            </w:pPr>
          </w:p>
        </w:tc>
      </w:tr>
      <w:tr w14:paraId="7191E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08FA57A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43DC69D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通过项目的实施。在培训方面，州直机关纪检干部业务能力水平得到了一次较大的提高；在案件审理方面，全年完成38件违纪案件审理，分别给予不同程度的纪律处分，干部队伍得到了净化；在执纪方面，全覆盖教育回访了2022年受到党纪政务处分人员，勉励他们放下包袱、勤奋工作；在纪检干部教育整顿活动中，牵头开展了州直机关纪检干部教育整顿工作，坚持刀刃向内开展自查自纠，共查摆问题415条，督促问题整改取得实实在在的成效。</w:t>
            </w:r>
          </w:p>
        </w:tc>
      </w:tr>
      <w:tr w14:paraId="62762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62FDA1E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6052D7F9">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3D364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27573F1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749B0A42">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11A47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26F9F01F">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32995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48B3D859">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7DEE585C">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51320021T000000048594</w:t>
            </w:r>
            <w:r>
              <w:rPr>
                <w:rFonts w:hint="eastAsia" w:cs="Times New Roman"/>
                <w:i w:val="0"/>
                <w:iCs w:val="0"/>
                <w:color w:val="000000"/>
                <w:kern w:val="0"/>
                <w:sz w:val="13"/>
                <w:szCs w:val="13"/>
                <w:u w:val="none"/>
                <w:lang w:val="en-US" w:eastAsia="zh-CN" w:bidi="ar"/>
              </w:rPr>
              <w:t>－</w:t>
            </w:r>
            <w:r>
              <w:rPr>
                <w:rFonts w:hint="default" w:ascii="Times New Roman" w:hAnsi="Times New Roman" w:eastAsia="宋体" w:cs="Times New Roman"/>
                <w:i w:val="0"/>
                <w:iCs w:val="0"/>
                <w:color w:val="000000"/>
                <w:kern w:val="0"/>
                <w:sz w:val="13"/>
                <w:szCs w:val="13"/>
                <w:u w:val="none"/>
                <w:lang w:val="en-US" w:eastAsia="zh-CN" w:bidi="ar"/>
              </w:rPr>
              <w:t>党建调研工作经费</w:t>
            </w:r>
          </w:p>
        </w:tc>
      </w:tr>
      <w:tr w14:paraId="67535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049967DA">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5353D4D2">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州直机关工委部门</w:t>
            </w:r>
          </w:p>
        </w:tc>
        <w:tc>
          <w:tcPr>
            <w:tcW w:w="1041" w:type="dxa"/>
            <w:tcBorders>
              <w:top w:val="nil"/>
              <w:left w:val="nil"/>
              <w:bottom w:val="nil"/>
              <w:right w:val="nil"/>
            </w:tcBorders>
            <w:noWrap w:val="0"/>
            <w:vAlign w:val="center"/>
          </w:tcPr>
          <w:p w14:paraId="0699E450">
            <w:pPr>
              <w:keepNext w:val="0"/>
              <w:keepLines w:val="0"/>
              <w:widowControl/>
              <w:suppressLineNumbers w:val="0"/>
              <w:jc w:val="left"/>
              <w:textAlignment w:val="center"/>
              <w:rPr>
                <w:rFonts w:hint="default" w:ascii="Times New Roman" w:hAnsi="Times New Roman" w:eastAsia="黑体" w:cs="Times New Roman"/>
                <w:i w:val="0"/>
                <w:iCs w:val="0"/>
                <w:color w:val="000000"/>
                <w:sz w:val="13"/>
                <w:szCs w:val="13"/>
                <w:u w:val="none"/>
              </w:rPr>
            </w:pPr>
            <w:r>
              <w:rPr>
                <w:rFonts w:hint="default" w:ascii="Times New Roman" w:hAnsi="Times New Roman" w:eastAsia="黑体" w:cs="Times New Roman"/>
                <w:i w:val="0"/>
                <w:iCs w:val="0"/>
                <w:color w:val="000000"/>
                <w:kern w:val="0"/>
                <w:sz w:val="13"/>
                <w:szCs w:val="13"/>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6824339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州直机关工委</w:t>
            </w:r>
          </w:p>
        </w:tc>
      </w:tr>
      <w:tr w14:paraId="583DD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A16C89F">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7624E881">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0B4E5E1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420D37C4">
            <w:pPr>
              <w:keepNext w:val="0"/>
              <w:keepLines w:val="0"/>
              <w:widowControl/>
              <w:suppressLineNumbers w:val="0"/>
              <w:jc w:val="center"/>
              <w:textAlignment w:val="center"/>
              <w:rPr>
                <w:rFonts w:hint="default" w:ascii="Times New Roman" w:hAnsi="Times New Roman" w:eastAsia="黑体" w:cs="Times New Roman"/>
                <w:i w:val="0"/>
                <w:iCs w:val="0"/>
                <w:color w:val="000000"/>
                <w:sz w:val="13"/>
                <w:szCs w:val="13"/>
                <w:u w:val="none"/>
              </w:rPr>
            </w:pPr>
            <w:r>
              <w:rPr>
                <w:rFonts w:hint="default" w:ascii="Times New Roman" w:hAnsi="Times New Roman" w:eastAsia="黑体" w:cs="Times New Roman"/>
                <w:i w:val="0"/>
                <w:iCs w:val="0"/>
                <w:color w:val="000000"/>
                <w:kern w:val="0"/>
                <w:sz w:val="13"/>
                <w:szCs w:val="13"/>
                <w:u w:val="none"/>
                <w:lang w:val="en-US" w:eastAsia="zh-CN" w:bidi="ar"/>
              </w:rPr>
              <w:t>年度目标完成情况</w:t>
            </w:r>
          </w:p>
        </w:tc>
      </w:tr>
      <w:tr w14:paraId="3DED4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853C5">
            <w:pPr>
              <w:rPr>
                <w:rFonts w:hint="default" w:ascii="Times New Roman" w:hAnsi="Times New Roman" w:eastAsia="宋体" w:cs="Times New Roman"/>
                <w:i w:val="0"/>
                <w:iCs w:val="0"/>
                <w:color w:val="000000"/>
                <w:sz w:val="13"/>
                <w:szCs w:val="13"/>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623CDC">
            <w:pPr>
              <w:rPr>
                <w:rFonts w:hint="default" w:ascii="Times New Roman" w:hAnsi="Times New Roman" w:eastAsia="宋体" w:cs="Times New Roman"/>
                <w:i w:val="0"/>
                <w:iCs w:val="0"/>
                <w:color w:val="000000"/>
                <w:sz w:val="13"/>
                <w:szCs w:val="13"/>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3FD6650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围绕机关党建和业务工作融合并进开展调研，对州直部门（单位）及13县（市）进行党建督导，四个片区至少召开1次片区</w:t>
            </w:r>
            <w:r>
              <w:rPr>
                <w:rFonts w:hint="eastAsia" w:cs="Times New Roman"/>
                <w:i w:val="0"/>
                <w:iCs w:val="0"/>
                <w:color w:val="000000"/>
                <w:kern w:val="0"/>
                <w:sz w:val="13"/>
                <w:szCs w:val="13"/>
                <w:u w:val="none"/>
                <w:lang w:val="en-US" w:eastAsia="zh-CN" w:bidi="ar"/>
              </w:rPr>
              <w:t>联席会议</w:t>
            </w:r>
            <w:r>
              <w:rPr>
                <w:rFonts w:hint="default" w:ascii="Times New Roman" w:hAnsi="Times New Roman" w:eastAsia="宋体" w:cs="Times New Roman"/>
                <w:i w:val="0"/>
                <w:iCs w:val="0"/>
                <w:color w:val="000000"/>
                <w:kern w:val="0"/>
                <w:sz w:val="13"/>
                <w:szCs w:val="13"/>
                <w:u w:val="none"/>
                <w:lang w:val="en-US" w:eastAsia="zh-CN" w:bidi="ar"/>
              </w:rPr>
              <w:t>，建立机关党建工作内部督查机制，优化机关党建工作考评机制，推动党建和业务融合并进、良性发展”。</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7ED0042E">
            <w:pPr>
              <w:keepNext w:val="0"/>
              <w:keepLines w:val="0"/>
              <w:pageBreakBefore w:val="0"/>
              <w:widowControl/>
              <w:suppressLineNumbers w:val="0"/>
              <w:tabs>
                <w:tab w:val="left" w:pos="1059"/>
              </w:tabs>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3"/>
                <w:szCs w:val="13"/>
                <w:u w:val="none"/>
                <w:lang w:eastAsia="zh-CN"/>
              </w:rPr>
            </w:pPr>
            <w:r>
              <w:rPr>
                <w:rFonts w:hint="default" w:ascii="Times New Roman" w:hAnsi="Times New Roman" w:eastAsia="黑体" w:cs="Times New Roman"/>
                <w:i w:val="0"/>
                <w:iCs w:val="0"/>
                <w:color w:val="000000"/>
                <w:sz w:val="13"/>
                <w:szCs w:val="13"/>
                <w:u w:val="none"/>
                <w:lang w:eastAsia="zh-CN"/>
              </w:rPr>
              <w:t>围绕有效破解机关党建“两张皮”问题和“灯下黑”等突出问题。</w:t>
            </w:r>
          </w:p>
        </w:tc>
      </w:tr>
      <w:tr w14:paraId="49250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100922">
            <w:pP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F3B4127">
            <w:pPr>
              <w:keepNext w:val="0"/>
              <w:keepLines w:val="0"/>
              <w:widowControl/>
              <w:suppressLineNumbers w:val="0"/>
              <w:jc w:val="left"/>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1E44CFC5">
            <w:pPr>
              <w:tabs>
                <w:tab w:val="left" w:pos="3794"/>
              </w:tabs>
              <w:rPr>
                <w:rFonts w:hint="default" w:ascii="Times New Roman" w:hAnsi="Times New Roman" w:eastAsia="宋体" w:cs="Times New Roman"/>
                <w:i w:val="0"/>
                <w:iCs w:val="0"/>
                <w:color w:val="000000"/>
                <w:sz w:val="13"/>
                <w:szCs w:val="13"/>
                <w:u w:val="none"/>
                <w:lang w:eastAsia="zh-CN"/>
              </w:rPr>
            </w:pPr>
            <w:r>
              <w:rPr>
                <w:rFonts w:hint="default" w:ascii="Times New Roman" w:hAnsi="Times New Roman" w:eastAsia="宋体" w:cs="Times New Roman"/>
                <w:i w:val="0"/>
                <w:iCs w:val="0"/>
                <w:color w:val="000000"/>
                <w:sz w:val="13"/>
                <w:szCs w:val="13"/>
                <w:u w:val="none"/>
                <w:lang w:eastAsia="zh-CN"/>
              </w:rPr>
              <w:t>绕机关党建和业务工作，2024年深入95个州直部门级小金、若尔盖县开展党建调研工作。</w:t>
            </w:r>
          </w:p>
        </w:tc>
      </w:tr>
      <w:tr w14:paraId="1AA8B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8F43F5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48AEFE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617C95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1ED19A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820DED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58B9A6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094A6C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BFD074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DEF133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原因</w:t>
            </w:r>
          </w:p>
        </w:tc>
      </w:tr>
      <w:tr w14:paraId="71F59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AAD15B">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7705A9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3D9196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8B793D7">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6.06</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654499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6.06</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7D5CF5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B131B2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46714EE">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3C11015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3"/>
                <w:szCs w:val="13"/>
                <w:u w:val="none"/>
              </w:rPr>
            </w:pPr>
            <w:r>
              <w:rPr>
                <w:rFonts w:hint="default" w:ascii="Times New Roman" w:hAnsi="Times New Roman" w:eastAsia="黑体" w:cs="Times New Roman"/>
                <w:i w:val="0"/>
                <w:iCs w:val="0"/>
                <w:color w:val="000000"/>
                <w:sz w:val="13"/>
                <w:szCs w:val="13"/>
                <w:u w:val="none"/>
              </w:rPr>
              <w:t>严格执行过紧日子要求，厉行节约。</w:t>
            </w:r>
          </w:p>
        </w:tc>
      </w:tr>
      <w:tr w14:paraId="73E49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74DC86">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D4082D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A6A9A5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3D52D9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6.06</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24116B2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6.06</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1B21CD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36A9BF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0F4B5C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B636FE">
            <w:pPr>
              <w:rPr>
                <w:rFonts w:hint="default" w:ascii="Times New Roman" w:hAnsi="Times New Roman" w:eastAsia="黑体" w:cs="Times New Roman"/>
                <w:i w:val="0"/>
                <w:iCs w:val="0"/>
                <w:color w:val="000000"/>
                <w:sz w:val="13"/>
                <w:szCs w:val="13"/>
                <w:u w:val="none"/>
              </w:rPr>
            </w:pPr>
          </w:p>
        </w:tc>
      </w:tr>
      <w:tr w14:paraId="302DB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196A8C">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F1EB3F7">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5C50EA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682674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0F22265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FDD0407">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45F8B9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87A118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AA06B0">
            <w:pPr>
              <w:rPr>
                <w:rFonts w:hint="default" w:ascii="Times New Roman" w:hAnsi="Times New Roman" w:eastAsia="黑体" w:cs="Times New Roman"/>
                <w:i w:val="0"/>
                <w:iCs w:val="0"/>
                <w:color w:val="000000"/>
                <w:sz w:val="13"/>
                <w:szCs w:val="13"/>
                <w:u w:val="none"/>
              </w:rPr>
            </w:pPr>
          </w:p>
        </w:tc>
      </w:tr>
      <w:tr w14:paraId="23326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17E514">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D4C7F5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263A74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627AA7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A0B16F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60E42C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B0657F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8ABA91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AB160C">
            <w:pPr>
              <w:rPr>
                <w:rFonts w:hint="default" w:ascii="Times New Roman" w:hAnsi="Times New Roman" w:eastAsia="黑体" w:cs="Times New Roman"/>
                <w:i w:val="0"/>
                <w:iCs w:val="0"/>
                <w:color w:val="000000"/>
                <w:sz w:val="13"/>
                <w:szCs w:val="13"/>
                <w:u w:val="none"/>
              </w:rPr>
            </w:pPr>
          </w:p>
        </w:tc>
      </w:tr>
      <w:tr w14:paraId="4C799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30460F">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2583F7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其他资金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0EB8B8B">
            <w:pPr>
              <w:jc w:val="center"/>
              <w:rPr>
                <w:rFonts w:hint="default" w:ascii="Times New Roman" w:hAnsi="Times New Roman" w:eastAsia="微软雅黑" w:cs="Times New Roman"/>
                <w:i w:val="0"/>
                <w:iCs w:val="0"/>
                <w:color w:val="000000"/>
                <w:sz w:val="13"/>
                <w:szCs w:val="13"/>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CC3E482">
            <w:pPr>
              <w:jc w:val="center"/>
              <w:rPr>
                <w:rFonts w:hint="default" w:ascii="Times New Roman" w:hAnsi="Times New Roman" w:eastAsia="微软雅黑" w:cs="Times New Roman"/>
                <w:i w:val="0"/>
                <w:iCs w:val="0"/>
                <w:color w:val="000000"/>
                <w:sz w:val="13"/>
                <w:szCs w:val="13"/>
                <w:u w:val="none"/>
              </w:rPr>
            </w:pP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501660D">
            <w:pPr>
              <w:jc w:val="center"/>
              <w:rPr>
                <w:rFonts w:hint="default" w:ascii="Times New Roman" w:hAnsi="Times New Roman" w:eastAsia="微软雅黑" w:cs="Times New Roman"/>
                <w:i w:val="0"/>
                <w:iCs w:val="0"/>
                <w:color w:val="000000"/>
                <w:sz w:val="13"/>
                <w:szCs w:val="13"/>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B49598B">
            <w:pPr>
              <w:jc w:val="center"/>
              <w:rPr>
                <w:rFonts w:hint="default" w:ascii="Times New Roman" w:hAnsi="Times New Roman" w:eastAsia="微软雅黑" w:cs="Times New Roman"/>
                <w:i w:val="0"/>
                <w:iCs w:val="0"/>
                <w:color w:val="000000"/>
                <w:sz w:val="13"/>
                <w:szCs w:val="13"/>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13744F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B8C763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29ABA5">
            <w:pPr>
              <w:rPr>
                <w:rFonts w:hint="default" w:ascii="Times New Roman" w:hAnsi="Times New Roman" w:eastAsia="黑体" w:cs="Times New Roman"/>
                <w:i w:val="0"/>
                <w:iCs w:val="0"/>
                <w:color w:val="000000"/>
                <w:sz w:val="13"/>
                <w:szCs w:val="13"/>
                <w:u w:val="none"/>
              </w:rPr>
            </w:pPr>
          </w:p>
        </w:tc>
      </w:tr>
      <w:tr w14:paraId="3D367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36963D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464E77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6EF190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9C873C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0157AC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392560F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0862B1B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6ACF65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0E6032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ADB6A1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EB0725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未完成原因分析</w:t>
            </w:r>
          </w:p>
        </w:tc>
      </w:tr>
      <w:tr w14:paraId="7741E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F410B5">
            <w:pPr>
              <w:jc w:val="center"/>
              <w:rPr>
                <w:rFonts w:hint="default" w:ascii="Times New Roman" w:hAnsi="Times New Roman" w:eastAsia="宋体" w:cs="Times New Roman"/>
                <w:i w:val="0"/>
                <w:iCs w:val="0"/>
                <w:color w:val="000000"/>
                <w:sz w:val="13"/>
                <w:szCs w:val="13"/>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3F04A0A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896088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0926582">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召开片区</w:t>
            </w:r>
            <w:r>
              <w:rPr>
                <w:rFonts w:hint="eastAsia" w:cs="Times New Roman"/>
                <w:i w:val="0"/>
                <w:iCs w:val="0"/>
                <w:color w:val="000000"/>
                <w:kern w:val="0"/>
                <w:sz w:val="13"/>
                <w:szCs w:val="13"/>
                <w:u w:val="none"/>
                <w:lang w:val="en-US" w:eastAsia="zh-CN" w:bidi="ar"/>
              </w:rPr>
              <w:t>联席会</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6E5C39D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FF39F1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71744EA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场次</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863B23C">
            <w:pPr>
              <w:jc w:val="center"/>
              <w:rPr>
                <w:rFonts w:hint="default" w:ascii="Times New Roman" w:hAnsi="Times New Roman" w:eastAsia="微软雅黑" w:cs="Times New Roman"/>
                <w:i w:val="0"/>
                <w:iCs w:val="0"/>
                <w:color w:val="000000"/>
                <w:sz w:val="13"/>
                <w:szCs w:val="13"/>
                <w:u w:val="none"/>
                <w:lang w:val="en-US" w:eastAsia="zh-CN"/>
              </w:rPr>
            </w:pPr>
            <w:r>
              <w:rPr>
                <w:rFonts w:hint="default" w:ascii="Times New Roman" w:hAnsi="Times New Roman" w:eastAsia="微软雅黑" w:cs="Times New Roman"/>
                <w:i w:val="0"/>
                <w:iCs w:val="0"/>
                <w:color w:val="000000"/>
                <w:sz w:val="13"/>
                <w:szCs w:val="13"/>
                <w:u w:val="none"/>
                <w:lang w:val="en-US" w:eastAsia="zh-CN"/>
              </w:rPr>
              <w:t>3</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B0DEC4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B931A86">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C0081EC">
            <w:pPr>
              <w:jc w:val="center"/>
              <w:rPr>
                <w:rFonts w:hint="default" w:ascii="Times New Roman" w:hAnsi="Times New Roman" w:eastAsia="微软雅黑" w:cs="Times New Roman"/>
                <w:i w:val="0"/>
                <w:iCs w:val="0"/>
                <w:color w:val="000000"/>
                <w:sz w:val="13"/>
                <w:szCs w:val="13"/>
                <w:u w:val="none"/>
              </w:rPr>
            </w:pPr>
          </w:p>
        </w:tc>
      </w:tr>
      <w:tr w14:paraId="33C36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4B8B56">
            <w:pPr>
              <w:jc w:val="center"/>
              <w:rPr>
                <w:rFonts w:hint="default" w:ascii="Times New Roman" w:hAnsi="Times New Roman" w:eastAsia="宋体" w:cs="Times New Roman"/>
                <w:i w:val="0"/>
                <w:iCs w:val="0"/>
                <w:color w:val="000000"/>
                <w:sz w:val="13"/>
                <w:szCs w:val="13"/>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6FABC6">
            <w:pPr>
              <w:jc w:val="center"/>
              <w:rPr>
                <w:rFonts w:hint="default" w:ascii="Times New Roman" w:hAnsi="Times New Roman" w:eastAsia="宋体" w:cs="Times New Roman"/>
                <w:i w:val="0"/>
                <w:iCs w:val="0"/>
                <w:color w:val="000000"/>
                <w:sz w:val="13"/>
                <w:szCs w:val="13"/>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A96E27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质量指标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9F1CCE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提升片区党建水平</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F06598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699134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进一步推动</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C5CD00B">
            <w:pPr>
              <w:jc w:val="center"/>
              <w:rPr>
                <w:rFonts w:hint="default" w:ascii="Times New Roman" w:hAnsi="Times New Roman" w:eastAsia="宋体" w:cs="Times New Roman"/>
                <w:i w:val="0"/>
                <w:iCs w:val="0"/>
                <w:color w:val="000000"/>
                <w:sz w:val="13"/>
                <w:szCs w:val="13"/>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3E0766D">
            <w:pPr>
              <w:jc w:val="center"/>
              <w:rPr>
                <w:rFonts w:hint="default" w:ascii="Times New Roman" w:hAnsi="Times New Roman" w:eastAsia="微软雅黑"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进一步推动</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1AF48A7">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80190C0">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069A3E7">
            <w:pPr>
              <w:jc w:val="center"/>
              <w:rPr>
                <w:rFonts w:hint="default" w:ascii="Times New Roman" w:hAnsi="Times New Roman" w:eastAsia="微软雅黑" w:cs="Times New Roman"/>
                <w:i w:val="0"/>
                <w:iCs w:val="0"/>
                <w:color w:val="000000"/>
                <w:sz w:val="13"/>
                <w:szCs w:val="13"/>
                <w:u w:val="none"/>
              </w:rPr>
            </w:pPr>
          </w:p>
        </w:tc>
      </w:tr>
      <w:tr w14:paraId="211D8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F1C8AE">
            <w:pPr>
              <w:jc w:val="center"/>
              <w:rPr>
                <w:rFonts w:hint="default" w:ascii="Times New Roman" w:hAnsi="Times New Roman" w:eastAsia="宋体" w:cs="Times New Roman"/>
                <w:i w:val="0"/>
                <w:iCs w:val="0"/>
                <w:color w:val="000000"/>
                <w:sz w:val="13"/>
                <w:szCs w:val="13"/>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A89F74">
            <w:pPr>
              <w:jc w:val="center"/>
              <w:rPr>
                <w:rFonts w:hint="default" w:ascii="Times New Roman" w:hAnsi="Times New Roman" w:eastAsia="宋体" w:cs="Times New Roman"/>
                <w:i w:val="0"/>
                <w:iCs w:val="0"/>
                <w:color w:val="000000"/>
                <w:sz w:val="13"/>
                <w:szCs w:val="13"/>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3BCEE4C">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时效指标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05BBCA6">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项目完成时间</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8B27EC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D8AEF3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12月底前</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81F5BED">
            <w:pPr>
              <w:jc w:val="center"/>
              <w:rPr>
                <w:rFonts w:hint="default" w:ascii="Times New Roman" w:hAnsi="Times New Roman" w:eastAsia="宋体" w:cs="Times New Roman"/>
                <w:i w:val="0"/>
                <w:iCs w:val="0"/>
                <w:color w:val="000000"/>
                <w:sz w:val="13"/>
                <w:szCs w:val="13"/>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F008FD3">
            <w:pPr>
              <w:jc w:val="center"/>
              <w:rPr>
                <w:rFonts w:hint="default" w:ascii="Times New Roman" w:hAnsi="Times New Roman" w:eastAsia="微软雅黑" w:cs="Times New Roman"/>
                <w:i w:val="0"/>
                <w:iCs w:val="0"/>
                <w:color w:val="000000"/>
                <w:sz w:val="13"/>
                <w:szCs w:val="13"/>
                <w:u w:val="none"/>
                <w:lang w:val="en-US" w:eastAsia="zh-CN"/>
              </w:rPr>
            </w:pPr>
            <w:r>
              <w:rPr>
                <w:rFonts w:hint="default" w:ascii="Times New Roman" w:hAnsi="Times New Roman" w:eastAsia="微软雅黑" w:cs="Times New Roman"/>
                <w:i w:val="0"/>
                <w:iCs w:val="0"/>
                <w:color w:val="000000"/>
                <w:sz w:val="13"/>
                <w:szCs w:val="13"/>
                <w:u w:val="none"/>
                <w:lang w:val="en-US" w:eastAsia="zh-CN"/>
              </w:rPr>
              <w:t>已完成</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B0120C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0968962">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2BE1DE6">
            <w:pPr>
              <w:jc w:val="center"/>
              <w:rPr>
                <w:rFonts w:hint="default" w:ascii="Times New Roman" w:hAnsi="Times New Roman" w:eastAsia="微软雅黑" w:cs="Times New Roman"/>
                <w:i w:val="0"/>
                <w:iCs w:val="0"/>
                <w:color w:val="000000"/>
                <w:sz w:val="13"/>
                <w:szCs w:val="13"/>
                <w:u w:val="none"/>
              </w:rPr>
            </w:pPr>
          </w:p>
        </w:tc>
      </w:tr>
      <w:tr w14:paraId="07A8A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1618C4">
            <w:pPr>
              <w:jc w:val="center"/>
              <w:rPr>
                <w:rFonts w:hint="default" w:ascii="Times New Roman" w:hAnsi="Times New Roman" w:eastAsia="宋体" w:cs="Times New Roman"/>
                <w:i w:val="0"/>
                <w:iCs w:val="0"/>
                <w:color w:val="000000"/>
                <w:sz w:val="13"/>
                <w:szCs w:val="13"/>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32889EE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0A66A1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经济效益指标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008E33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党建促进经济发展</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B6E1E0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175E354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进一步推动</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6C5C8FA4">
            <w:pPr>
              <w:jc w:val="center"/>
              <w:rPr>
                <w:rFonts w:hint="default" w:ascii="Times New Roman" w:hAnsi="Times New Roman" w:eastAsia="宋体" w:cs="Times New Roman"/>
                <w:i w:val="0"/>
                <w:iCs w:val="0"/>
                <w:color w:val="000000"/>
                <w:sz w:val="13"/>
                <w:szCs w:val="13"/>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49258E6">
            <w:pPr>
              <w:jc w:val="center"/>
              <w:rPr>
                <w:rFonts w:hint="default" w:ascii="Times New Roman" w:hAnsi="Times New Roman" w:eastAsia="微软雅黑"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进一步推动</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3C17E7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54CD2E7">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31BDE66">
            <w:pPr>
              <w:jc w:val="center"/>
              <w:rPr>
                <w:rFonts w:hint="default" w:ascii="Times New Roman" w:hAnsi="Times New Roman" w:eastAsia="微软雅黑" w:cs="Times New Roman"/>
                <w:i w:val="0"/>
                <w:iCs w:val="0"/>
                <w:color w:val="000000"/>
                <w:sz w:val="13"/>
                <w:szCs w:val="13"/>
                <w:u w:val="none"/>
              </w:rPr>
            </w:pPr>
          </w:p>
        </w:tc>
      </w:tr>
      <w:tr w14:paraId="3E1B5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1384A8">
            <w:pPr>
              <w:jc w:val="center"/>
              <w:rPr>
                <w:rFonts w:hint="default" w:ascii="Times New Roman" w:hAnsi="Times New Roman" w:eastAsia="宋体" w:cs="Times New Roman"/>
                <w:i w:val="0"/>
                <w:iCs w:val="0"/>
                <w:color w:val="000000"/>
                <w:sz w:val="13"/>
                <w:szCs w:val="13"/>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890D7C">
            <w:pPr>
              <w:jc w:val="center"/>
              <w:rPr>
                <w:rFonts w:hint="default" w:ascii="Times New Roman" w:hAnsi="Times New Roman" w:eastAsia="宋体" w:cs="Times New Roman"/>
                <w:i w:val="0"/>
                <w:iCs w:val="0"/>
                <w:color w:val="000000"/>
                <w:sz w:val="13"/>
                <w:szCs w:val="13"/>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417F86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93E58B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优化机关党建工作考核机制</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18C51EE4">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0AE7F4BE">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进一步优化</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BF9F43E">
            <w:pPr>
              <w:jc w:val="center"/>
              <w:rPr>
                <w:rFonts w:hint="default" w:ascii="Times New Roman" w:hAnsi="Times New Roman" w:eastAsia="宋体" w:cs="Times New Roman"/>
                <w:i w:val="0"/>
                <w:iCs w:val="0"/>
                <w:color w:val="000000"/>
                <w:sz w:val="13"/>
                <w:szCs w:val="13"/>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88DA27A">
            <w:pPr>
              <w:jc w:val="center"/>
              <w:rPr>
                <w:rFonts w:hint="default" w:ascii="Times New Roman" w:hAnsi="Times New Roman" w:eastAsia="微软雅黑"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进一步优化</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CE19F6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2B5E16B">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DFA2465">
            <w:pPr>
              <w:jc w:val="center"/>
              <w:rPr>
                <w:rFonts w:hint="default" w:ascii="Times New Roman" w:hAnsi="Times New Roman" w:eastAsia="微软雅黑" w:cs="Times New Roman"/>
                <w:i w:val="0"/>
                <w:iCs w:val="0"/>
                <w:color w:val="000000"/>
                <w:sz w:val="13"/>
                <w:szCs w:val="13"/>
                <w:u w:val="none"/>
              </w:rPr>
            </w:pPr>
          </w:p>
        </w:tc>
      </w:tr>
      <w:tr w14:paraId="5FAA1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E4D53B">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1C6B1DD">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满意度指标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CA8655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服务对象满意度指标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AD78A9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各县组织部大于等于90%</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6B5BAAA">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12A2484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90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09420A5">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40D7041">
            <w:pPr>
              <w:jc w:val="center"/>
              <w:rPr>
                <w:rFonts w:hint="default" w:ascii="Times New Roman" w:hAnsi="Times New Roman" w:eastAsia="微软雅黑" w:cs="Times New Roman"/>
                <w:i w:val="0"/>
                <w:iCs w:val="0"/>
                <w:color w:val="000000"/>
                <w:sz w:val="13"/>
                <w:szCs w:val="13"/>
                <w:u w:val="none"/>
                <w:lang w:val="en-US" w:eastAsia="zh-CN"/>
              </w:rPr>
            </w:pPr>
            <w:r>
              <w:rPr>
                <w:rFonts w:hint="default" w:ascii="Times New Roman" w:hAnsi="Times New Roman" w:eastAsia="微软雅黑" w:cs="Times New Roman"/>
                <w:i w:val="0"/>
                <w:iCs w:val="0"/>
                <w:color w:val="000000"/>
                <w:sz w:val="13"/>
                <w:szCs w:val="13"/>
                <w:u w:val="none"/>
                <w:lang w:val="en-US" w:eastAsia="zh-CN"/>
              </w:rPr>
              <w:t>90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9D1BB0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498D0E2">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996D7E5">
            <w:pPr>
              <w:jc w:val="center"/>
              <w:rPr>
                <w:rFonts w:hint="default" w:ascii="Times New Roman" w:hAnsi="Times New Roman" w:eastAsia="微软雅黑" w:cs="Times New Roman"/>
                <w:i w:val="0"/>
                <w:iCs w:val="0"/>
                <w:color w:val="000000"/>
                <w:sz w:val="13"/>
                <w:szCs w:val="13"/>
                <w:u w:val="none"/>
              </w:rPr>
            </w:pPr>
          </w:p>
        </w:tc>
      </w:tr>
      <w:tr w14:paraId="6C98B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8C244E">
            <w:pPr>
              <w:jc w:val="center"/>
              <w:rPr>
                <w:rFonts w:hint="default" w:ascii="Times New Roman" w:hAnsi="Times New Roman" w:eastAsia="宋体" w:cs="Times New Roman"/>
                <w:i w:val="0"/>
                <w:iCs w:val="0"/>
                <w:color w:val="000000"/>
                <w:sz w:val="13"/>
                <w:szCs w:val="13"/>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D71ABB9">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成本指标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75AC721">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经济成本指标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D52145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人均调研成本</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E771D7B">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1CB4BB93">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470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66725E4">
            <w:pPr>
              <w:jc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人/天</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E8CF138">
            <w:pPr>
              <w:jc w:val="center"/>
              <w:rPr>
                <w:rFonts w:hint="default" w:ascii="Times New Roman" w:hAnsi="Times New Roman" w:eastAsia="微软雅黑" w:cs="Times New Roman"/>
                <w:i w:val="0"/>
                <w:iCs w:val="0"/>
                <w:color w:val="000000"/>
                <w:sz w:val="13"/>
                <w:szCs w:val="13"/>
                <w:u w:val="none"/>
                <w:lang w:val="en-US" w:eastAsia="zh-CN"/>
              </w:rPr>
            </w:pPr>
            <w:r>
              <w:rPr>
                <w:rFonts w:hint="default" w:ascii="Times New Roman" w:hAnsi="Times New Roman" w:eastAsia="微软雅黑" w:cs="Times New Roman"/>
                <w:i w:val="0"/>
                <w:iCs w:val="0"/>
                <w:color w:val="000000"/>
                <w:sz w:val="13"/>
                <w:szCs w:val="13"/>
                <w:u w:val="none"/>
                <w:lang w:val="en-US" w:eastAsia="zh-CN"/>
              </w:rPr>
              <w:t>470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6FE9EFF">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BDAFAC4">
            <w:pPr>
              <w:jc w:val="cente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499C12B">
            <w:pPr>
              <w:jc w:val="center"/>
              <w:rPr>
                <w:rFonts w:hint="default" w:ascii="Times New Roman" w:hAnsi="Times New Roman" w:eastAsia="微软雅黑" w:cs="Times New Roman"/>
                <w:i w:val="0"/>
                <w:iCs w:val="0"/>
                <w:color w:val="000000"/>
                <w:sz w:val="13"/>
                <w:szCs w:val="13"/>
                <w:u w:val="none"/>
              </w:rPr>
            </w:pPr>
          </w:p>
        </w:tc>
      </w:tr>
      <w:tr w14:paraId="0E36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26386248">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99451A0">
            <w:pPr>
              <w:keepNext w:val="0"/>
              <w:keepLines w:val="0"/>
              <w:widowControl/>
              <w:suppressLineNumbers w:val="0"/>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7C9FF01">
            <w:pPr>
              <w:rPr>
                <w:rFonts w:hint="default" w:ascii="Times New Roman" w:hAnsi="Times New Roman" w:eastAsia="宋体" w:cs="Times New Roman"/>
                <w:i w:val="0"/>
                <w:iCs w:val="0"/>
                <w:color w:val="000000"/>
                <w:sz w:val="13"/>
                <w:szCs w:val="13"/>
                <w:u w:val="none"/>
                <w:lang w:val="en-US" w:eastAsia="zh-CN"/>
              </w:rPr>
            </w:pPr>
            <w:r>
              <w:rPr>
                <w:rFonts w:hint="default" w:ascii="Times New Roman" w:hAnsi="Times New Roman" w:eastAsia="宋体" w:cs="Times New Roman"/>
                <w:i w:val="0"/>
                <w:iCs w:val="0"/>
                <w:color w:val="000000"/>
                <w:sz w:val="13"/>
                <w:szCs w:val="13"/>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C6AF62B">
            <w:pPr>
              <w:rPr>
                <w:rFonts w:hint="default" w:ascii="Times New Roman" w:hAnsi="Times New Roman" w:eastAsia="宋体" w:cs="Times New Roman"/>
                <w:i w:val="0"/>
                <w:iCs w:val="0"/>
                <w:color w:val="000000"/>
                <w:sz w:val="13"/>
                <w:szCs w:val="13"/>
                <w:u w:val="none"/>
              </w:rPr>
            </w:pPr>
          </w:p>
        </w:tc>
      </w:tr>
      <w:tr w14:paraId="4768D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2522F4F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2A31DD9E">
            <w:pPr>
              <w:keepNext w:val="0"/>
              <w:keepLines w:val="0"/>
              <w:widowControl/>
              <w:suppressLineNumbers w:val="0"/>
              <w:jc w:val="left"/>
              <w:textAlignment w:val="center"/>
              <w:rPr>
                <w:rFonts w:hint="default" w:ascii="Times New Roman" w:hAnsi="Times New Roman" w:eastAsia="微软雅黑" w:cs="Times New Roman"/>
                <w:i w:val="0"/>
                <w:iCs w:val="0"/>
                <w:color w:val="000000"/>
                <w:sz w:val="13"/>
                <w:szCs w:val="13"/>
                <w:u w:val="none"/>
                <w:lang w:val="en-US"/>
              </w:rPr>
            </w:pPr>
            <w:r>
              <w:rPr>
                <w:rFonts w:hint="default" w:ascii="Times New Roman" w:hAnsi="Times New Roman" w:eastAsia="微软雅黑" w:cs="Times New Roman"/>
                <w:i w:val="0"/>
                <w:iCs w:val="0"/>
                <w:color w:val="000000"/>
                <w:kern w:val="0"/>
                <w:sz w:val="13"/>
                <w:szCs w:val="13"/>
                <w:u w:val="none"/>
                <w:lang w:val="en-US" w:eastAsia="zh-CN" w:bidi="ar"/>
              </w:rPr>
              <w:t>2024年完成了项目设定目标。</w:t>
            </w:r>
          </w:p>
        </w:tc>
      </w:tr>
      <w:tr w14:paraId="0721E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56D744D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0F69AFBA">
            <w:pPr>
              <w:keepNext w:val="0"/>
              <w:keepLines w:val="0"/>
              <w:widowControl/>
              <w:suppressLineNumbers w:val="0"/>
              <w:jc w:val="left"/>
              <w:textAlignment w:val="center"/>
              <w:rPr>
                <w:rFonts w:hint="default" w:ascii="Times New Roman" w:hAnsi="Times New Roman" w:eastAsia="微软雅黑" w:cs="Times New Roman"/>
                <w:i w:val="0"/>
                <w:iCs w:val="0"/>
                <w:color w:val="000000"/>
                <w:sz w:val="13"/>
                <w:szCs w:val="13"/>
                <w:u w:val="none"/>
                <w:lang w:val="en-US" w:eastAsia="zh-CN"/>
              </w:rPr>
            </w:pPr>
            <w:r>
              <w:rPr>
                <w:rFonts w:hint="default" w:ascii="Times New Roman" w:hAnsi="Times New Roman" w:eastAsia="微软雅黑" w:cs="Times New Roman"/>
                <w:i w:val="0"/>
                <w:iCs w:val="0"/>
                <w:color w:val="000000"/>
                <w:sz w:val="13"/>
                <w:szCs w:val="13"/>
                <w:u w:val="none"/>
                <w:lang w:val="en-US" w:eastAsia="zh-CN"/>
              </w:rPr>
              <w:t>无</w:t>
            </w:r>
          </w:p>
        </w:tc>
      </w:tr>
      <w:tr w14:paraId="1F291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1EB9718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3"/>
                <w:szCs w:val="13"/>
                <w:u w:val="none"/>
              </w:rPr>
            </w:pPr>
            <w:r>
              <w:rPr>
                <w:rFonts w:hint="default" w:ascii="Times New Roman" w:hAnsi="Times New Roman" w:eastAsia="宋体" w:cs="Times New Roman"/>
                <w:i w:val="0"/>
                <w:iCs w:val="0"/>
                <w:color w:val="000000"/>
                <w:kern w:val="0"/>
                <w:sz w:val="13"/>
                <w:szCs w:val="13"/>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21442C4D">
            <w:pPr>
              <w:keepNext w:val="0"/>
              <w:keepLines w:val="0"/>
              <w:widowControl/>
              <w:suppressLineNumbers w:val="0"/>
              <w:jc w:val="left"/>
              <w:textAlignment w:val="center"/>
              <w:rPr>
                <w:rFonts w:hint="default" w:ascii="Times New Roman" w:hAnsi="Times New Roman" w:eastAsia="微软雅黑" w:cs="Times New Roman"/>
                <w:i w:val="0"/>
                <w:iCs w:val="0"/>
                <w:color w:val="000000"/>
                <w:sz w:val="13"/>
                <w:szCs w:val="13"/>
                <w:u w:val="none"/>
              </w:rPr>
            </w:pPr>
            <w:r>
              <w:rPr>
                <w:rFonts w:hint="default" w:ascii="Times New Roman" w:hAnsi="Times New Roman" w:eastAsia="微软雅黑" w:cs="Times New Roman"/>
                <w:i w:val="0"/>
                <w:iCs w:val="0"/>
                <w:color w:val="000000"/>
                <w:kern w:val="0"/>
                <w:sz w:val="13"/>
                <w:szCs w:val="13"/>
                <w:u w:val="none"/>
                <w:lang w:val="en-US" w:eastAsia="zh-CN" w:bidi="ar"/>
              </w:rPr>
              <w:t>无</w:t>
            </w:r>
          </w:p>
        </w:tc>
      </w:tr>
      <w:tr w14:paraId="54AAF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62B2B967">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78C57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67BE0E30">
            <w:pPr>
              <w:keepNext w:val="0"/>
              <w:keepLines w:val="0"/>
              <w:widowControl/>
              <w:suppressLineNumbers w:val="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4645E2FA">
            <w:pPr>
              <w:keepNext w:val="0"/>
              <w:keepLines w:val="0"/>
              <w:widowControl/>
              <w:suppressLineNumbers w:val="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51320021T000000048597-统战群工工作经费</w:t>
            </w:r>
          </w:p>
        </w:tc>
      </w:tr>
      <w:tr w14:paraId="148D7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46B0A6F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78AE9BA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州直机关工委部门</w:t>
            </w:r>
          </w:p>
        </w:tc>
        <w:tc>
          <w:tcPr>
            <w:tcW w:w="1041" w:type="dxa"/>
            <w:tcBorders>
              <w:top w:val="nil"/>
              <w:left w:val="nil"/>
              <w:bottom w:val="nil"/>
              <w:right w:val="nil"/>
            </w:tcBorders>
            <w:noWrap w:val="0"/>
            <w:vAlign w:val="center"/>
          </w:tcPr>
          <w:p w14:paraId="10CDE45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5"/>
                <w:szCs w:val="15"/>
                <w:u w:val="none"/>
              </w:rPr>
            </w:pPr>
            <w:r>
              <w:rPr>
                <w:rFonts w:hint="default" w:ascii="Times New Roman" w:hAnsi="Times New Roman" w:eastAsia="黑体" w:cs="Times New Roman"/>
                <w:i w:val="0"/>
                <w:iCs w:val="0"/>
                <w:color w:val="000000"/>
                <w:kern w:val="0"/>
                <w:sz w:val="15"/>
                <w:szCs w:val="15"/>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0804977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州直机关工委</w:t>
            </w:r>
          </w:p>
        </w:tc>
      </w:tr>
      <w:tr w14:paraId="6DB8D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8FD6A50">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7E9537D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4509C92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6D0BE91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黑体" w:cs="Times New Roman"/>
                <w:i w:val="0"/>
                <w:iCs w:val="0"/>
                <w:color w:val="000000"/>
                <w:sz w:val="15"/>
                <w:szCs w:val="15"/>
                <w:u w:val="none"/>
              </w:rPr>
            </w:pPr>
            <w:r>
              <w:rPr>
                <w:rFonts w:hint="default" w:ascii="Times New Roman" w:hAnsi="Times New Roman" w:eastAsia="黑体" w:cs="Times New Roman"/>
                <w:i w:val="0"/>
                <w:iCs w:val="0"/>
                <w:color w:val="000000"/>
                <w:kern w:val="0"/>
                <w:sz w:val="15"/>
                <w:szCs w:val="15"/>
                <w:u w:val="none"/>
                <w:lang w:val="en-US" w:eastAsia="zh-CN" w:bidi="ar"/>
              </w:rPr>
              <w:t>年度目标完成情况</w:t>
            </w:r>
          </w:p>
        </w:tc>
      </w:tr>
      <w:tr w14:paraId="71BE0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691BBF">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B39EF2">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63AE041A">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　开展驻村帮扶、统战群团、因私出国（境）证件管理等日常工作，举办1</w:t>
            </w:r>
            <w:r>
              <w:rPr>
                <w:rFonts w:hint="eastAsia" w:cs="Times New Roman"/>
                <w:i w:val="0"/>
                <w:iCs w:val="0"/>
                <w:color w:val="000000"/>
                <w:kern w:val="0"/>
                <w:sz w:val="15"/>
                <w:szCs w:val="15"/>
                <w:u w:val="none"/>
                <w:lang w:val="en-US" w:eastAsia="zh-CN" w:bidi="ar"/>
              </w:rPr>
              <w:t>次</w:t>
            </w:r>
            <w:r>
              <w:rPr>
                <w:rFonts w:hint="default" w:ascii="Times New Roman" w:hAnsi="Times New Roman" w:eastAsia="宋体" w:cs="Times New Roman"/>
                <w:i w:val="0"/>
                <w:iCs w:val="0"/>
                <w:color w:val="000000"/>
                <w:kern w:val="0"/>
                <w:sz w:val="15"/>
                <w:szCs w:val="15"/>
                <w:u w:val="none"/>
                <w:lang w:val="en-US" w:eastAsia="zh-CN" w:bidi="ar"/>
              </w:rPr>
              <w:t>州直机关300名妇女干部参加的婚姻家庭纠纷预防化解暨妇女儿童维权工作专题讲座，举办州直机关团员青年、妇女参加宣传宣讲活动，指导州直各部门党组织开展统战工作，抓实工委民族团结相关工作。</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7E1ECD2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全面完成年初设定目标。</w:t>
            </w:r>
          </w:p>
        </w:tc>
      </w:tr>
      <w:tr w14:paraId="5150C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F6F5E6">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3064E6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41B867FD">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sz w:val="15"/>
                <w:szCs w:val="15"/>
                <w:u w:val="none"/>
              </w:rPr>
              <w:t>举办了《中华人民共和国妇女权益保障法》等专题讲座2场，积极动员州直部门434名干部职工、18个机关妇女组织24位爱心妈妈结对帮扶455名留守困境失掇学儿童，深入推进关爱行动；指导新成立1</w:t>
            </w:r>
            <w:r>
              <w:rPr>
                <w:rFonts w:hint="eastAsia" w:cs="Times New Roman"/>
                <w:i w:val="0"/>
                <w:iCs w:val="0"/>
                <w:color w:val="000000"/>
                <w:sz w:val="15"/>
                <w:szCs w:val="15"/>
                <w:u w:val="none"/>
                <w:lang w:eastAsia="zh-CN"/>
              </w:rPr>
              <w:t>个独</w:t>
            </w:r>
            <w:r>
              <w:rPr>
                <w:rFonts w:hint="default" w:ascii="Times New Roman" w:hAnsi="Times New Roman" w:eastAsia="宋体" w:cs="Times New Roman"/>
                <w:i w:val="0"/>
                <w:iCs w:val="0"/>
                <w:color w:val="000000"/>
                <w:sz w:val="15"/>
                <w:szCs w:val="15"/>
                <w:u w:val="none"/>
              </w:rPr>
              <w:t>立妇委会，12个群团组织按期换届，配强了群团干部，全覆盖开展州直部门（单位）、州属企事业单位科级及以下干部职工因私出国（境）证件的清理自查工作，持续巩固因私出入国（境）证件集中管理成果。</w:t>
            </w:r>
          </w:p>
        </w:tc>
      </w:tr>
      <w:tr w14:paraId="34E25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9B3524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2888A8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3FA8AA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E69668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2505DE4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2D7EAD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D001C1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C7454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BB4B39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原因</w:t>
            </w:r>
          </w:p>
        </w:tc>
      </w:tr>
      <w:tr w14:paraId="534D8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859A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FE20D4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B22DED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07F9D0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5D3CF7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933124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31E9D9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325AE1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6FBA84E5">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5"/>
                <w:szCs w:val="15"/>
                <w:u w:val="none"/>
              </w:rPr>
            </w:pPr>
          </w:p>
        </w:tc>
      </w:tr>
      <w:tr w14:paraId="4C3B9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418AB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3D4D307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DC5F28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F14DC4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FBD7C7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EFAB07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ACB129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2C6B80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E8D868">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5"/>
                <w:szCs w:val="15"/>
                <w:u w:val="none"/>
              </w:rPr>
            </w:pPr>
          </w:p>
        </w:tc>
      </w:tr>
      <w:tr w14:paraId="11EAA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0DDF4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831965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C8F077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3BD029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5E9B4FF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331DA7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58C122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F8E829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7D20E8">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5"/>
                <w:szCs w:val="15"/>
                <w:u w:val="none"/>
              </w:rPr>
            </w:pPr>
          </w:p>
        </w:tc>
      </w:tr>
      <w:tr w14:paraId="04011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ED13B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F92CD5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F6F6B1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AECFF0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0BF50D2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6F9132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125AE7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D4F499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43EEA3">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5"/>
                <w:szCs w:val="15"/>
                <w:u w:val="none"/>
              </w:rPr>
            </w:pPr>
          </w:p>
        </w:tc>
      </w:tr>
      <w:tr w14:paraId="69E4E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5A2D2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47CA96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其他资金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F16A75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30B990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2275955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DA364B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3E8FDA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9AD719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AC2D84">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5"/>
                <w:szCs w:val="15"/>
                <w:u w:val="none"/>
              </w:rPr>
            </w:pPr>
          </w:p>
        </w:tc>
      </w:tr>
      <w:tr w14:paraId="3B438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1FA445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D5BC5E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5F1EF7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09ECE3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55BEFD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70E0FB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2AAF751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D0FAAF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7FDAAD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D232EF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2F9644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未完成原因分析</w:t>
            </w:r>
          </w:p>
        </w:tc>
      </w:tr>
      <w:tr w14:paraId="593C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C66E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43E6A5F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EDD579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5AD577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州直机关部门（单位）</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E4FF60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42004D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103</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3368E8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个</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5DB854A">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103</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1B52AF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A0A6D9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EE0EA4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2F752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E34F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5A1CE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9CE36A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质量指标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07A4EB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提升群团工作水平</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673AC7D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D22DA5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进一步提升</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7BAB171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ABF72C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进一步提升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76EB84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414997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69307A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1625A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DBA8C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D7F9B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472A8D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时效指标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E06EF0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活动开展时间</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A6C735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AA09CE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12月底前</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157B71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FEC372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已完成</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D5DF15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A53D9A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2227DFA">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7B085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DADF4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C6E5D2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D4299F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BEA186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促进州直机关群团工作有序发展</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B0AAE4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03ED61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进一步促进</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D4333C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FDC053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进一步促进</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26A1FB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3AF365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62615D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469C2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BE1EF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9315C7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满意度指标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DECAA9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服务对象满意度指标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F37F28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州直机关群团满意度</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897D55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0FA49E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41CAC9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0A1532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90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985291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FA6615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04D0BE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0823D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ADAD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3BB6EE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成本指标</w:t>
            </w:r>
          </w:p>
        </w:tc>
        <w:tc>
          <w:tcPr>
            <w:tcW w:w="16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B1997C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经济成本指标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A54062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出差人均成本</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7768BF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C1580D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470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5BC297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人/天</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C65486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470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83349F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7F6140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642CE9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47557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23013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88977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98D15A">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634E28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开展活动人均成本</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6488F8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3994105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230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F6FD2A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人/天</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30DFFC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150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74AB96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39B8400">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791C03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61A31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678AFA3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D6A4A4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71436E1">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FED0CCC">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r>
      <w:tr w14:paraId="086CE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7A88CDD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4CA097B6">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项目总体运行良好，项目自评总分100分。</w:t>
            </w:r>
          </w:p>
        </w:tc>
      </w:tr>
      <w:tr w14:paraId="1E86F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15E6F19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56B9FD13">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无</w:t>
            </w:r>
          </w:p>
        </w:tc>
      </w:tr>
      <w:tr w14:paraId="3391D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04CB009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67AE53D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无</w:t>
            </w:r>
          </w:p>
        </w:tc>
      </w:tr>
      <w:tr w14:paraId="1A869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4508080E">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548AF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66A64F79">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49EF9E35">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51320021T000000048598-州直机关党员干部教育培训工作经费</w:t>
            </w:r>
          </w:p>
        </w:tc>
      </w:tr>
      <w:tr w14:paraId="1DB12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66E045F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59B025B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州直机关工委部门</w:t>
            </w:r>
          </w:p>
        </w:tc>
        <w:tc>
          <w:tcPr>
            <w:tcW w:w="1041" w:type="dxa"/>
            <w:tcBorders>
              <w:top w:val="nil"/>
              <w:left w:val="nil"/>
              <w:bottom w:val="nil"/>
              <w:right w:val="nil"/>
            </w:tcBorders>
            <w:noWrap w:val="0"/>
            <w:vAlign w:val="center"/>
          </w:tcPr>
          <w:p w14:paraId="0641B08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5"/>
                <w:szCs w:val="15"/>
                <w:u w:val="none"/>
              </w:rPr>
            </w:pPr>
            <w:r>
              <w:rPr>
                <w:rFonts w:hint="default" w:ascii="Times New Roman" w:hAnsi="Times New Roman" w:eastAsia="黑体" w:cs="Times New Roman"/>
                <w:i w:val="0"/>
                <w:iCs w:val="0"/>
                <w:color w:val="000000"/>
                <w:kern w:val="0"/>
                <w:sz w:val="15"/>
                <w:szCs w:val="15"/>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623B49C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州直机关工委</w:t>
            </w:r>
          </w:p>
        </w:tc>
      </w:tr>
      <w:tr w14:paraId="224C5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EB0034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608CF9F9">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051C87B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7FAC8F8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黑体" w:cs="Times New Roman"/>
                <w:i w:val="0"/>
                <w:iCs w:val="0"/>
                <w:color w:val="000000"/>
                <w:sz w:val="15"/>
                <w:szCs w:val="15"/>
                <w:u w:val="none"/>
              </w:rPr>
            </w:pPr>
            <w:r>
              <w:rPr>
                <w:rFonts w:hint="default" w:ascii="Times New Roman" w:hAnsi="Times New Roman" w:eastAsia="黑体" w:cs="Times New Roman"/>
                <w:i w:val="0"/>
                <w:iCs w:val="0"/>
                <w:color w:val="000000"/>
                <w:kern w:val="0"/>
                <w:sz w:val="15"/>
                <w:szCs w:val="15"/>
                <w:u w:val="none"/>
                <w:lang w:val="en-US" w:eastAsia="zh-CN" w:bidi="ar"/>
              </w:rPr>
              <w:t>年度目标完成情况</w:t>
            </w:r>
          </w:p>
        </w:tc>
      </w:tr>
      <w:tr w14:paraId="4408E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6541D9">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34B0F4">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27238775">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举办州直机关党组织书记培训</w:t>
            </w:r>
            <w:r>
              <w:rPr>
                <w:rFonts w:hint="default" w:ascii="Times New Roman" w:hAnsi="Times New Roman" w:cs="Times New Roman"/>
                <w:i w:val="0"/>
                <w:iCs w:val="0"/>
                <w:color w:val="000000"/>
                <w:kern w:val="0"/>
                <w:sz w:val="15"/>
                <w:szCs w:val="15"/>
                <w:u w:val="none"/>
                <w:lang w:val="en-US" w:eastAsia="zh-CN" w:bidi="ar"/>
              </w:rPr>
              <w:t>、</w:t>
            </w:r>
            <w:r>
              <w:rPr>
                <w:rFonts w:hint="default" w:ascii="Times New Roman" w:hAnsi="Times New Roman" w:eastAsia="宋体" w:cs="Times New Roman"/>
                <w:i w:val="0"/>
                <w:iCs w:val="0"/>
                <w:color w:val="000000"/>
                <w:kern w:val="0"/>
                <w:sz w:val="15"/>
                <w:szCs w:val="15"/>
                <w:u w:val="none"/>
                <w:lang w:val="en-US" w:eastAsia="zh-CN" w:bidi="ar"/>
              </w:rPr>
              <w:t>入党积极分子培训</w:t>
            </w:r>
            <w:r>
              <w:rPr>
                <w:rFonts w:hint="default" w:ascii="Times New Roman" w:hAnsi="Times New Roman" w:cs="Times New Roman"/>
                <w:i w:val="0"/>
                <w:iCs w:val="0"/>
                <w:color w:val="000000"/>
                <w:kern w:val="0"/>
                <w:sz w:val="15"/>
                <w:szCs w:val="15"/>
                <w:u w:val="none"/>
                <w:lang w:val="en-US" w:eastAsia="zh-CN" w:bidi="ar"/>
              </w:rPr>
              <w:t>、</w:t>
            </w:r>
            <w:r>
              <w:rPr>
                <w:rFonts w:hint="default" w:ascii="Times New Roman" w:hAnsi="Times New Roman" w:eastAsia="宋体" w:cs="Times New Roman"/>
                <w:i w:val="0"/>
                <w:iCs w:val="0"/>
                <w:color w:val="000000"/>
                <w:kern w:val="0"/>
                <w:sz w:val="15"/>
                <w:szCs w:val="15"/>
                <w:u w:val="none"/>
                <w:lang w:val="en-US" w:eastAsia="zh-CN" w:bidi="ar"/>
              </w:rPr>
              <w:t>党务干部培训</w:t>
            </w:r>
            <w:r>
              <w:rPr>
                <w:rFonts w:hint="default" w:ascii="Times New Roman" w:hAnsi="Times New Roman" w:cs="Times New Roman"/>
                <w:i w:val="0"/>
                <w:iCs w:val="0"/>
                <w:color w:val="000000"/>
                <w:kern w:val="0"/>
                <w:sz w:val="15"/>
                <w:szCs w:val="15"/>
                <w:u w:val="none"/>
                <w:lang w:val="en-US" w:eastAsia="zh-CN" w:bidi="ar"/>
              </w:rPr>
              <w:t>、</w:t>
            </w:r>
            <w:r>
              <w:rPr>
                <w:rFonts w:hint="default" w:ascii="Times New Roman" w:hAnsi="Times New Roman" w:eastAsia="宋体" w:cs="Times New Roman"/>
                <w:i w:val="0"/>
                <w:iCs w:val="0"/>
                <w:color w:val="000000"/>
                <w:kern w:val="0"/>
                <w:sz w:val="15"/>
                <w:szCs w:val="15"/>
                <w:u w:val="none"/>
                <w:lang w:val="en-US" w:eastAsia="zh-CN" w:bidi="ar"/>
              </w:rPr>
              <w:t>州直机关青年干部理论素养和能力素质提升培训班</w:t>
            </w:r>
            <w:r>
              <w:rPr>
                <w:rFonts w:hint="default" w:ascii="Times New Roman" w:hAnsi="Times New Roman" w:cs="Times New Roman"/>
                <w:i w:val="0"/>
                <w:iCs w:val="0"/>
                <w:color w:val="000000"/>
                <w:kern w:val="0"/>
                <w:sz w:val="15"/>
                <w:szCs w:val="15"/>
                <w:u w:val="none"/>
                <w:lang w:val="en-US" w:eastAsia="zh-CN" w:bidi="ar"/>
              </w:rPr>
              <w:t>及</w:t>
            </w:r>
            <w:r>
              <w:rPr>
                <w:rFonts w:hint="default" w:ascii="Times New Roman" w:hAnsi="Times New Roman" w:eastAsia="宋体" w:cs="Times New Roman"/>
                <w:i w:val="0"/>
                <w:iCs w:val="0"/>
                <w:color w:val="000000"/>
                <w:kern w:val="0"/>
                <w:sz w:val="15"/>
                <w:szCs w:val="15"/>
                <w:u w:val="none"/>
                <w:lang w:val="en-US" w:eastAsia="zh-CN" w:bidi="ar"/>
              </w:rPr>
              <w:t>对州直机关选派的驻村干部示范培训</w:t>
            </w:r>
            <w:r>
              <w:rPr>
                <w:rFonts w:hint="default" w:ascii="Times New Roman" w:hAnsi="Times New Roman" w:cs="Times New Roman"/>
                <w:i w:val="0"/>
                <w:iCs w:val="0"/>
                <w:color w:val="000000"/>
                <w:kern w:val="0"/>
                <w:sz w:val="15"/>
                <w:szCs w:val="15"/>
                <w:u w:val="none"/>
                <w:lang w:val="en-US" w:eastAsia="zh-CN" w:bidi="ar"/>
              </w:rPr>
              <w:t>等7期培训。</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05BAAF9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分层分类举办党组织书记、党务干部、入党积极分子、青年理论骨干、纪检干部、驻村干部等培训班8期、培训班，826人参训，有效提升了机关党员干部的政治素养和履职能力。</w:t>
            </w:r>
          </w:p>
        </w:tc>
      </w:tr>
      <w:tr w14:paraId="4D2AB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24419B">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80AEC0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58FF8079">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sz w:val="15"/>
                <w:szCs w:val="15"/>
                <w:u w:val="none"/>
              </w:rPr>
              <w:t>2024 年，州直机关党员干部教育培训工作以学习贯彻党的二十大精神为主线，围绕州委中心工作，以 “提素质、强能力、促发展” 为目标，深入学习习近平新时代中国特色社会主义思想、党的二十大精神及习近平总书记关于四川、阿坝工作的重要指示批示精神，围绕乡村振兴、基层治理等中心工作，设置专题课程。</w:t>
            </w:r>
          </w:p>
        </w:tc>
      </w:tr>
      <w:tr w14:paraId="06818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3D1E24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916B51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FDBF20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ACB4BB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7A5A14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B809C5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618E0E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11742F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2C9336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原因</w:t>
            </w:r>
          </w:p>
        </w:tc>
      </w:tr>
      <w:tr w14:paraId="5D0C7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B92D7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326EA6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E65FB5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BB70FF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20D7512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385105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A803A0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110F06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5F742CE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5"/>
                <w:szCs w:val="15"/>
                <w:u w:val="none"/>
              </w:rPr>
            </w:pPr>
          </w:p>
        </w:tc>
      </w:tr>
      <w:tr w14:paraId="6EC72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CE362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16B108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CC0424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4BCCB0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D9F5B4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BEE40B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FF44C9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A30AA9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C4E618">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5"/>
                <w:szCs w:val="15"/>
                <w:u w:val="none"/>
              </w:rPr>
            </w:pPr>
          </w:p>
        </w:tc>
      </w:tr>
      <w:tr w14:paraId="4959B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8EEDC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457780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C8CFBD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3DA207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3106E6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62E648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2D5E3F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4DA6CF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17E291">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5"/>
                <w:szCs w:val="15"/>
                <w:u w:val="none"/>
              </w:rPr>
            </w:pPr>
          </w:p>
        </w:tc>
      </w:tr>
      <w:tr w14:paraId="3A811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236D7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36BBF08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64D493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48004C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4AA7D05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E39DBD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43E2C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24DB13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69D8E1">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5"/>
                <w:szCs w:val="15"/>
                <w:u w:val="none"/>
              </w:rPr>
            </w:pPr>
          </w:p>
        </w:tc>
      </w:tr>
      <w:tr w14:paraId="14A7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A031DB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547497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185BF1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4E5E9D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C689BA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1B123D4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A8F8CE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2F18CD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43CF9D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C52EE2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99DFA3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未完成原因分析</w:t>
            </w:r>
          </w:p>
        </w:tc>
      </w:tr>
      <w:tr w14:paraId="39CFD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C01DA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5D218B5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产出指标</w:t>
            </w:r>
          </w:p>
        </w:tc>
        <w:tc>
          <w:tcPr>
            <w:tcW w:w="16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E217E7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FAE0C3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参训人数</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16C83D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EF0714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70AF8DD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人</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7D1E54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826</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39F4A2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A830C2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4A8AAD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793A6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08611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188D3A">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B719F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3FDF7E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举办培训班场次</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82118E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10CFA15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B8DCEE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次</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BD9B57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8</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3DEAA0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5C5B56A">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246D40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6EAA6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AC9DF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F06CA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C25FEB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质量指标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C219FD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按照年初计划完成</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19BE691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930554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B2DFE4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F90133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8</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F544C8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F7E2DB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552DAB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23795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4EA3A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EE4EC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779C40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时效指标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FFC664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项目完成时间</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487657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3B2A426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12月底前</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00877D0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ABB86D0">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11月前完成</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0BD92B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AAA6B0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37FA4F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4BC82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0522E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C474BA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2651AC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540B99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提升参训人员业务水平</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791512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0DB355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进一步提升</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7520FC8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4F6E5E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进一步提升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26D03B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B4568E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E3AFE1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68C48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1C425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026F9B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满意度指标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77F822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服务对象满意度指标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E82CDB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参训人员满意度</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515AAB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62FD15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667EDC6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782814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90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E8AAD9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E21633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FA9E09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1FA53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8219B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1EFA23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成本指标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566845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经济成本指标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C5B870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人均培训成本</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5F4A25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05E3897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7080EE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元/天</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79FABC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400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B5142E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CCF8AB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7C2E14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1F75B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11D3136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FFEAC6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6271E8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C2FDFD9">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r>
      <w:tr w14:paraId="6F03F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4273435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0FB66626">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该项目总体运行良好，项目自评总分100分。</w:t>
            </w:r>
          </w:p>
        </w:tc>
      </w:tr>
      <w:tr w14:paraId="10CEF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701F4A7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21EDFE5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无</w:t>
            </w:r>
          </w:p>
        </w:tc>
      </w:tr>
      <w:tr w14:paraId="1A7E0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01821F9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5F5F439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无</w:t>
            </w:r>
          </w:p>
        </w:tc>
      </w:tr>
      <w:tr w14:paraId="1A25C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1935E32E">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30F0C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2D0DCE8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4D5764D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51320021T000000048599-州驻村帮扶工作经费</w:t>
            </w:r>
          </w:p>
        </w:tc>
      </w:tr>
      <w:tr w14:paraId="5B2F8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38BA52D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354B5B77">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州直机关工委部门</w:t>
            </w:r>
          </w:p>
        </w:tc>
        <w:tc>
          <w:tcPr>
            <w:tcW w:w="1041" w:type="dxa"/>
            <w:tcBorders>
              <w:top w:val="nil"/>
              <w:left w:val="nil"/>
              <w:bottom w:val="nil"/>
              <w:right w:val="nil"/>
            </w:tcBorders>
            <w:noWrap w:val="0"/>
            <w:vAlign w:val="center"/>
          </w:tcPr>
          <w:p w14:paraId="123250D9">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5"/>
                <w:szCs w:val="15"/>
                <w:u w:val="none"/>
              </w:rPr>
            </w:pPr>
            <w:r>
              <w:rPr>
                <w:rFonts w:hint="default" w:ascii="Times New Roman" w:hAnsi="Times New Roman" w:eastAsia="黑体" w:cs="Times New Roman"/>
                <w:i w:val="0"/>
                <w:iCs w:val="0"/>
                <w:color w:val="000000"/>
                <w:kern w:val="0"/>
                <w:sz w:val="15"/>
                <w:szCs w:val="15"/>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695F39A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州直机关工委</w:t>
            </w:r>
          </w:p>
        </w:tc>
      </w:tr>
      <w:tr w14:paraId="41F6E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E7007B7">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2C6329D5">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1BB035F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7FEEED1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黑体" w:cs="Times New Roman"/>
                <w:i w:val="0"/>
                <w:iCs w:val="0"/>
                <w:color w:val="000000"/>
                <w:sz w:val="15"/>
                <w:szCs w:val="15"/>
                <w:u w:val="none"/>
              </w:rPr>
            </w:pPr>
            <w:r>
              <w:rPr>
                <w:rFonts w:hint="default" w:ascii="Times New Roman" w:hAnsi="Times New Roman" w:eastAsia="黑体" w:cs="Times New Roman"/>
                <w:i w:val="0"/>
                <w:iCs w:val="0"/>
                <w:color w:val="000000"/>
                <w:kern w:val="0"/>
                <w:sz w:val="15"/>
                <w:szCs w:val="15"/>
                <w:u w:val="none"/>
                <w:lang w:val="en-US" w:eastAsia="zh-CN" w:bidi="ar"/>
              </w:rPr>
              <w:t>年度目标完成情况</w:t>
            </w:r>
          </w:p>
        </w:tc>
      </w:tr>
      <w:tr w14:paraId="1BB90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3B5087">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B031B6">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61FB3359">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　做好13县（市）和州直各部门开展驻村帮扶工作督促指导。</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6DD506A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sz w:val="15"/>
                <w:szCs w:val="15"/>
                <w:u w:val="none"/>
              </w:rPr>
              <w:t>聚焦帮扶工作“对象、措施、成效”三个精准，通过“优选派、实举措、建机制、提能力、强管理”，充分发挥州级帮扶部门（单位）和广大驻村干部作用，积极服务乡村振兴发展战略，为奋力建设民族地区高质量发展阿坝典范夯基赋能。</w:t>
            </w:r>
          </w:p>
        </w:tc>
      </w:tr>
      <w:tr w14:paraId="55B10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ECDF6C">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30503A9A">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19EAACB6">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sz w:val="15"/>
                <w:szCs w:val="15"/>
                <w:u w:val="none"/>
              </w:rPr>
              <w:t>通过“新增派一批+轮换一批+调整一批”方式，采取“个人自荐+组织推荐+集中审核”，先后2批次，优化调整选派政治素质好、工作能力强、敢于担当的驻村干部134名；坚持州、县联动，采取分层次、分类别、分专题等方式，先后举办州级示范培训1期，县级兜底培训20余期，确保269名州级选派驻村第一书记和工作队员专题培训全覆盖，成立4个工作调研督导组，深入92个州直部门（单位），采取看、听、查、谈等方式，调研督促指导州直部门（单位）定点帮扶、驻村干部跟踪管理工作，发现问题10个，督促限期整改10个，采取“四不两直”方式，由常务副书记和分管领导带队先后深入红原、阿坝、若尔盖、松潘、九寨沟、金川、马尔康7县20个乡镇,实地调研察看驻村干部在岗履职、后勤保障落实等情况。</w:t>
            </w:r>
          </w:p>
        </w:tc>
      </w:tr>
      <w:tr w14:paraId="654E4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227534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13E79B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877452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015F36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BDFE00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364388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888FFC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A3B80C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CCFD37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原因</w:t>
            </w:r>
          </w:p>
        </w:tc>
      </w:tr>
      <w:tr w14:paraId="501DA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57AB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7A1805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6B9DB2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DF1139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11.60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7849A7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11.60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A5DC7F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17282F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329727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13E59E7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5"/>
                <w:szCs w:val="15"/>
                <w:u w:val="none"/>
              </w:rPr>
            </w:pPr>
          </w:p>
        </w:tc>
      </w:tr>
      <w:tr w14:paraId="43EA7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FF3CE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DEAC5B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E54FD7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B305F5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11.60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00417DD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11.60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A0FC21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846D21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D8EEFF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50A426">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5"/>
                <w:szCs w:val="15"/>
                <w:u w:val="none"/>
              </w:rPr>
            </w:pPr>
          </w:p>
        </w:tc>
      </w:tr>
      <w:tr w14:paraId="30B9D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689F5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451052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B176CF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C7C663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7621A8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9ACA76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759028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D513E4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266654">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5"/>
                <w:szCs w:val="15"/>
                <w:u w:val="none"/>
              </w:rPr>
            </w:pPr>
          </w:p>
        </w:tc>
      </w:tr>
      <w:tr w14:paraId="00FFB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084C7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190885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872AAD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D610B4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E4EF4B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2A277B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E346BC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AE6BDC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BBC7C5">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5"/>
                <w:szCs w:val="15"/>
                <w:u w:val="none"/>
              </w:rPr>
            </w:pPr>
          </w:p>
        </w:tc>
      </w:tr>
      <w:tr w14:paraId="67960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8C7A0A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E1A8F4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10DB8A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37B270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713DC8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C6E3F5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142CF6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283DF9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15B293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A9E392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EECEF5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未完成原因分析</w:t>
            </w:r>
          </w:p>
        </w:tc>
      </w:tr>
      <w:tr w14:paraId="4311B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B54A6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348E6C6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0558BD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CB1DB1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选派驻村干部的州级部门（单位））</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4086C3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6BCA70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103</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41E5BA0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个</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87A0AF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103</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98E7F8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F1B36C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964E93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2E07A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B8357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342F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0B4060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质量指标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B9DEC1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通过考核</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C95C3A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5CE7D6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进一步</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05F5F42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625F97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进一步</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507DD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4ED8F5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CC49B4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40D58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C1186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5F1DF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4A56F5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时效指标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DF8FB8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项目完成时间</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8514F0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9421D3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12月底前</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4192695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98ADA0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11月底前</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1BA55B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4AD356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EE0C66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286A9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0BF4D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0B6E2E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7061C2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C35A69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促进全面乡村振兴</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10B456A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6D9DE9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进一步促进</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0910C56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71C7A0A">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进一步促进</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13758F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A32974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83C259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0BC67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28925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2B9CB94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满意度指标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F10237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服务对象满意度指标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0DBD0A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驻村干部</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18C855F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18D9F2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73A0773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E0C049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90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89EC1A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A3C31A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396E19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074E8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69556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F59CE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22923A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帮扶对象满意度指标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E33E35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定点帮扶村满意度</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693A52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3783692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B66D7F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137D7B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90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50A09E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71E1FA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13E7D5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35D13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C69BA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577AE3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成本指标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E865D7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经济成本指标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CD60D3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出差成本</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151A424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BFD9A8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470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ACF7E9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元/天</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3E8115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470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F4EEF0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96070C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37DAECA">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rPr>
            </w:pPr>
          </w:p>
        </w:tc>
      </w:tr>
      <w:tr w14:paraId="7C80C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1370D6D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5E7617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2DF413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8383490">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r>
      <w:tr w14:paraId="21682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55A20C6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3BCF8DA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该项目总体运行良好，项目自评总分100分。</w:t>
            </w:r>
          </w:p>
        </w:tc>
      </w:tr>
      <w:tr w14:paraId="6F1F6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714AABF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1C44DE16">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无</w:t>
            </w:r>
          </w:p>
        </w:tc>
      </w:tr>
      <w:tr w14:paraId="5EC23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6FC4CFF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727E5CE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无</w:t>
            </w:r>
          </w:p>
        </w:tc>
      </w:tr>
      <w:tr w14:paraId="14689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0FC3325E">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6907B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3AFF65D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13E6BD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51320022R000005203810-追加州级部门建房补贴</w:t>
            </w:r>
          </w:p>
        </w:tc>
      </w:tr>
      <w:tr w14:paraId="50BB1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3D1FAD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390007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1041" w:type="dxa"/>
            <w:tcBorders>
              <w:top w:val="nil"/>
              <w:left w:val="nil"/>
              <w:bottom w:val="nil"/>
              <w:right w:val="nil"/>
            </w:tcBorders>
            <w:noWrap w:val="0"/>
            <w:vAlign w:val="center"/>
          </w:tcPr>
          <w:p w14:paraId="62806733">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298022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4D29B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D4E67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2F32B46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70EE4D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2A9B4846">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5918A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FE653B">
            <w:pP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3FEE82">
            <w:pPr>
              <w:rPr>
                <w:rFonts w:hint="default" w:ascii="Times New Roman" w:hAnsi="Times New Roman" w:eastAsia="宋体" w:cs="Times New Roman"/>
                <w:i w:val="0"/>
                <w:iCs w:val="0"/>
                <w:color w:val="000000"/>
                <w:sz w:val="18"/>
                <w:szCs w:val="18"/>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5910CE76">
            <w:pPr>
              <w:rPr>
                <w:rFonts w:hint="default" w:ascii="Times New Roman" w:hAnsi="Times New Roman" w:eastAsia="宋体" w:cs="Times New Roman"/>
                <w:i w:val="0"/>
                <w:iCs w:val="0"/>
                <w:color w:val="000000"/>
                <w:sz w:val="18"/>
                <w:szCs w:val="18"/>
                <w:u w:val="none"/>
                <w:lang w:eastAsia="zh-CN"/>
              </w:rPr>
            </w:pPr>
            <w:r>
              <w:rPr>
                <w:rFonts w:hint="default" w:ascii="Times New Roman" w:hAnsi="Times New Roman" w:cs="Times New Roman"/>
                <w:color w:val="000000"/>
                <w:kern w:val="0"/>
                <w:sz w:val="18"/>
                <w:szCs w:val="18"/>
                <w:lang w:bidi="ar"/>
              </w:rPr>
              <w:t>严格执行相关政策，保障工资及时、足额发放或社保及时、足额缴纳，预算编制科学合理，减少结余资金</w:t>
            </w:r>
            <w:r>
              <w:rPr>
                <w:rFonts w:hint="default" w:ascii="Times New Roman" w:hAnsi="Times New Roman" w:cs="Times New Roman"/>
                <w:color w:val="000000"/>
                <w:kern w:val="0"/>
                <w:sz w:val="18"/>
                <w:szCs w:val="18"/>
                <w:lang w:eastAsia="zh-CN" w:bidi="ar"/>
              </w:rPr>
              <w:t>。</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3A08547A">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w:t>
            </w:r>
          </w:p>
        </w:tc>
      </w:tr>
      <w:tr w14:paraId="00D48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1602DB">
            <w:pP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3B18BF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18844B75">
            <w:pP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严格执行相关政策，保障工资及时、足额发放或社保及时、足额缴纳，预算编制科学合理，减少结余资金</w:t>
            </w:r>
            <w:r>
              <w:rPr>
                <w:rFonts w:hint="default" w:ascii="Times New Roman" w:hAnsi="Times New Roman" w:cs="Times New Roman"/>
                <w:color w:val="000000"/>
                <w:kern w:val="0"/>
                <w:sz w:val="18"/>
                <w:szCs w:val="18"/>
                <w:lang w:eastAsia="zh-CN" w:bidi="ar"/>
              </w:rPr>
              <w:t>。</w:t>
            </w:r>
          </w:p>
        </w:tc>
      </w:tr>
      <w:tr w14:paraId="3F5F3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B95F7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4C4FB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0FA06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EC33B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47610F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F7F6F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DED57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A148A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35B98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52647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3E1F12">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34467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CEBE9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CB0B3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E5EA7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65571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67350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7A75F78">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32449F45">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p>
        </w:tc>
      </w:tr>
      <w:tr w14:paraId="4417E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46098B">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5D49F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A1871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9D0AB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DF540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481EE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ABD5D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E3A4A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F6C93">
            <w:pPr>
              <w:rPr>
                <w:rFonts w:hint="default" w:ascii="Times New Roman" w:hAnsi="Times New Roman" w:eastAsia="黑体" w:cs="Times New Roman"/>
                <w:i/>
                <w:iCs/>
                <w:color w:val="000000"/>
                <w:sz w:val="18"/>
                <w:szCs w:val="18"/>
                <w:u w:val="none"/>
              </w:rPr>
            </w:pPr>
          </w:p>
        </w:tc>
      </w:tr>
      <w:tr w14:paraId="1FEF7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0DF6BA">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481CE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50F36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A0F14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C30FE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E2430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5A476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44820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4ABAF8">
            <w:pPr>
              <w:rPr>
                <w:rFonts w:hint="default" w:ascii="Times New Roman" w:hAnsi="Times New Roman" w:eastAsia="黑体" w:cs="Times New Roman"/>
                <w:i/>
                <w:iCs/>
                <w:color w:val="000000"/>
                <w:sz w:val="18"/>
                <w:szCs w:val="18"/>
                <w:u w:val="none"/>
              </w:rPr>
            </w:pPr>
          </w:p>
        </w:tc>
      </w:tr>
      <w:tr w14:paraId="56146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4E2CCA">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722B5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928A2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E4FA3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293E02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D1BDE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2D9BE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BABDA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7FD886">
            <w:pPr>
              <w:rPr>
                <w:rFonts w:hint="default" w:ascii="Times New Roman" w:hAnsi="Times New Roman" w:eastAsia="黑体" w:cs="Times New Roman"/>
                <w:i/>
                <w:iCs/>
                <w:color w:val="000000"/>
                <w:sz w:val="18"/>
                <w:szCs w:val="18"/>
                <w:u w:val="none"/>
              </w:rPr>
            </w:pPr>
          </w:p>
        </w:tc>
      </w:tr>
      <w:tr w14:paraId="02929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98A1FC">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AAFE1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其他资金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132E727">
            <w:pPr>
              <w:jc w:val="center"/>
              <w:rPr>
                <w:rFonts w:hint="default" w:ascii="Times New Roman" w:hAnsi="Times New Roman" w:eastAsia="微软雅黑" w:cs="Times New Roman"/>
                <w:i/>
                <w:iCs/>
                <w:color w:val="000000"/>
                <w:sz w:val="16"/>
                <w:szCs w:val="16"/>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462345C">
            <w:pPr>
              <w:jc w:val="center"/>
              <w:rPr>
                <w:rFonts w:hint="default" w:ascii="Times New Roman" w:hAnsi="Times New Roman" w:eastAsia="微软雅黑" w:cs="Times New Roman"/>
                <w:i/>
                <w:iCs/>
                <w:color w:val="000000"/>
                <w:sz w:val="16"/>
                <w:szCs w:val="16"/>
                <w:u w:val="none"/>
              </w:rPr>
            </w:pP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68EDCD1">
            <w:pPr>
              <w:jc w:val="center"/>
              <w:rPr>
                <w:rFonts w:hint="default" w:ascii="Times New Roman" w:hAnsi="Times New Roman" w:eastAsia="微软雅黑" w:cs="Times New Roman"/>
                <w:i/>
                <w:iCs/>
                <w:color w:val="000000"/>
                <w:sz w:val="16"/>
                <w:szCs w:val="16"/>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F016744">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BE8C7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D7259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C69F4C">
            <w:pPr>
              <w:rPr>
                <w:rFonts w:hint="default" w:ascii="Times New Roman" w:hAnsi="Times New Roman" w:eastAsia="黑体" w:cs="Times New Roman"/>
                <w:i/>
                <w:iCs/>
                <w:color w:val="000000"/>
                <w:sz w:val="18"/>
                <w:szCs w:val="18"/>
                <w:u w:val="none"/>
              </w:rPr>
            </w:pPr>
          </w:p>
        </w:tc>
      </w:tr>
      <w:tr w14:paraId="62234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4C8E2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E8811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8760D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98759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73D2E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A63A8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0DB15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4D7C6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6F566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01ADF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2A43D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74C5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44730B">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6E4F24D">
            <w:pPr>
              <w:jc w:val="center"/>
              <w:rPr>
                <w:rFonts w:hint="default" w:ascii="Times New Roman" w:hAnsi="Times New Roman" w:eastAsia="宋体" w:cs="Times New Roman"/>
                <w:i w:val="0"/>
                <w:iCs w:val="0"/>
                <w:color w:val="000000"/>
                <w:sz w:val="18"/>
                <w:szCs w:val="18"/>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71173D0">
            <w:pPr>
              <w:jc w:val="center"/>
              <w:rPr>
                <w:rFonts w:hint="default" w:ascii="Times New Roman" w:hAnsi="Times New Roman" w:eastAsia="宋体" w:cs="Times New Roman"/>
                <w:i w:val="0"/>
                <w:iCs w:val="0"/>
                <w:color w:val="000000"/>
                <w:sz w:val="18"/>
                <w:szCs w:val="18"/>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D8410A5">
            <w:pPr>
              <w:jc w:val="center"/>
              <w:rPr>
                <w:rFonts w:hint="default" w:ascii="Times New Roman" w:hAnsi="Times New Roman" w:eastAsia="宋体" w:cs="Times New Roman"/>
                <w:i w:val="0"/>
                <w:iCs w:val="0"/>
                <w:color w:val="000000"/>
                <w:sz w:val="18"/>
                <w:szCs w:val="18"/>
                <w:u w:val="none"/>
              </w:rPr>
            </w:pP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1EE0255">
            <w:pPr>
              <w:jc w:val="center"/>
              <w:rPr>
                <w:rFonts w:hint="default" w:ascii="Times New Roman" w:hAnsi="Times New Roman" w:eastAsia="宋体" w:cs="Times New Roman"/>
                <w:i w:val="0"/>
                <w:iCs w:val="0"/>
                <w:color w:val="000000"/>
                <w:sz w:val="18"/>
                <w:szCs w:val="18"/>
                <w:u w:val="none"/>
              </w:rPr>
            </w:pP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38F55ADB">
            <w:pPr>
              <w:jc w:val="center"/>
              <w:rPr>
                <w:rFonts w:hint="default" w:ascii="Times New Roman" w:hAnsi="Times New Roman" w:eastAsia="宋体" w:cs="Times New Roman"/>
                <w:i w:val="0"/>
                <w:iCs w:val="0"/>
                <w:color w:val="000000"/>
                <w:sz w:val="18"/>
                <w:szCs w:val="18"/>
                <w:u w:val="none"/>
              </w:rPr>
            </w:pP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3953CF7">
            <w:pPr>
              <w:jc w:val="center"/>
              <w:rPr>
                <w:rFonts w:hint="default" w:ascii="Times New Roman" w:hAnsi="Times New Roman" w:eastAsia="宋体" w:cs="Times New Roman"/>
                <w:i w:val="0"/>
                <w:iCs w:val="0"/>
                <w:color w:val="000000"/>
                <w:sz w:val="18"/>
                <w:szCs w:val="18"/>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45E7631">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F6A2119">
            <w:pPr>
              <w:jc w:val="center"/>
              <w:rPr>
                <w:rFonts w:hint="default" w:ascii="Times New Roman" w:hAnsi="Times New Roman" w:eastAsia="宋体" w:cs="Times New Roman"/>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DE24040">
            <w:pPr>
              <w:jc w:val="center"/>
              <w:rPr>
                <w:rFonts w:hint="default" w:ascii="Times New Roman" w:hAnsi="Times New Roman" w:eastAsia="宋体" w:cs="Times New Roman"/>
                <w:i w:val="0"/>
                <w:iCs w:val="0"/>
                <w:color w:val="000000"/>
                <w:sz w:val="18"/>
                <w:szCs w:val="18"/>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CFAC06F">
            <w:pPr>
              <w:jc w:val="center"/>
              <w:rPr>
                <w:rFonts w:hint="default" w:ascii="Times New Roman" w:hAnsi="Times New Roman" w:eastAsia="微软雅黑" w:cs="Times New Roman"/>
                <w:i/>
                <w:iCs/>
                <w:color w:val="000000"/>
                <w:sz w:val="16"/>
                <w:szCs w:val="16"/>
                <w:u w:val="none"/>
              </w:rPr>
            </w:pPr>
          </w:p>
        </w:tc>
      </w:tr>
      <w:tr w14:paraId="03FF5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5A9B48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B7D3D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4FE0081">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F2A4DFF">
            <w:pPr>
              <w:jc w:val="center"/>
              <w:rPr>
                <w:rFonts w:hint="default" w:ascii="Times New Roman" w:hAnsi="Times New Roman" w:eastAsia="宋体" w:cs="Times New Roman"/>
                <w:i w:val="0"/>
                <w:iCs w:val="0"/>
                <w:color w:val="000000"/>
                <w:sz w:val="18"/>
                <w:szCs w:val="18"/>
                <w:u w:val="none"/>
              </w:rPr>
            </w:pPr>
          </w:p>
        </w:tc>
      </w:tr>
      <w:tr w14:paraId="13E0C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77384F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4E740CE2">
            <w:pPr>
              <w:keepNext w:val="0"/>
              <w:keepLines w:val="0"/>
              <w:widowControl/>
              <w:suppressLineNumbers w:val="0"/>
              <w:jc w:val="left"/>
              <w:textAlignment w:val="center"/>
              <w:rPr>
                <w:rFonts w:hint="default" w:ascii="Times New Roman" w:hAnsi="Times New Roman" w:eastAsia="微软雅黑" w:cs="Times New Roman"/>
                <w:i/>
                <w:iCs/>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项目总体执行良好。</w:t>
            </w:r>
          </w:p>
        </w:tc>
      </w:tr>
      <w:tr w14:paraId="09351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7D0001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5CEF013E">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52E95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3E18DE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1738195B">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5B2A4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tcBorders>
              <w:top w:val="nil"/>
              <w:left w:val="nil"/>
              <w:bottom w:val="nil"/>
              <w:right w:val="nil"/>
            </w:tcBorders>
            <w:noWrap w:val="0"/>
            <w:vAlign w:val="center"/>
          </w:tcPr>
          <w:p w14:paraId="6D647AB5">
            <w:pPr>
              <w:rPr>
                <w:rFonts w:hint="default" w:ascii="Times New Roman" w:hAnsi="Times New Roman" w:eastAsia="宋体" w:cs="Times New Roman"/>
                <w:i w:val="0"/>
                <w:iCs w:val="0"/>
                <w:color w:val="000000"/>
                <w:sz w:val="18"/>
                <w:szCs w:val="18"/>
                <w:u w:val="none"/>
              </w:rPr>
            </w:pPr>
          </w:p>
        </w:tc>
        <w:tc>
          <w:tcPr>
            <w:tcW w:w="1838" w:type="dxa"/>
            <w:tcBorders>
              <w:top w:val="nil"/>
              <w:left w:val="nil"/>
              <w:bottom w:val="nil"/>
              <w:right w:val="nil"/>
            </w:tcBorders>
            <w:noWrap w:val="0"/>
            <w:vAlign w:val="center"/>
          </w:tcPr>
          <w:p w14:paraId="572B9D11">
            <w:pPr>
              <w:rPr>
                <w:rFonts w:hint="default" w:ascii="Times New Roman" w:hAnsi="Times New Roman" w:eastAsia="宋体" w:cs="Times New Roman"/>
                <w:i w:val="0"/>
                <w:iCs w:val="0"/>
                <w:color w:val="000000"/>
                <w:sz w:val="18"/>
                <w:szCs w:val="18"/>
                <w:u w:val="none"/>
              </w:rPr>
            </w:pPr>
          </w:p>
        </w:tc>
        <w:tc>
          <w:tcPr>
            <w:tcW w:w="1625" w:type="dxa"/>
            <w:tcBorders>
              <w:top w:val="nil"/>
              <w:left w:val="nil"/>
              <w:bottom w:val="nil"/>
              <w:right w:val="nil"/>
            </w:tcBorders>
            <w:noWrap w:val="0"/>
            <w:vAlign w:val="center"/>
          </w:tcPr>
          <w:p w14:paraId="387C74ED">
            <w:pPr>
              <w:rPr>
                <w:rFonts w:hint="default" w:ascii="Times New Roman" w:hAnsi="Times New Roman" w:eastAsia="宋体" w:cs="Times New Roman"/>
                <w:i w:val="0"/>
                <w:iCs w:val="0"/>
                <w:color w:val="000000"/>
                <w:sz w:val="18"/>
                <w:szCs w:val="18"/>
                <w:u w:val="none"/>
              </w:rPr>
            </w:pPr>
          </w:p>
        </w:tc>
        <w:tc>
          <w:tcPr>
            <w:tcW w:w="1999" w:type="dxa"/>
            <w:tcBorders>
              <w:top w:val="nil"/>
              <w:left w:val="nil"/>
              <w:bottom w:val="nil"/>
              <w:right w:val="nil"/>
            </w:tcBorders>
            <w:noWrap w:val="0"/>
            <w:vAlign w:val="center"/>
          </w:tcPr>
          <w:p w14:paraId="3CAD8124">
            <w:pPr>
              <w:rPr>
                <w:rFonts w:hint="default" w:ascii="Times New Roman" w:hAnsi="Times New Roman" w:eastAsia="宋体" w:cs="Times New Roman"/>
                <w:i w:val="0"/>
                <w:iCs w:val="0"/>
                <w:color w:val="000000"/>
                <w:sz w:val="18"/>
                <w:szCs w:val="18"/>
                <w:u w:val="none"/>
              </w:rPr>
            </w:pPr>
          </w:p>
        </w:tc>
        <w:tc>
          <w:tcPr>
            <w:tcW w:w="814" w:type="dxa"/>
            <w:tcBorders>
              <w:top w:val="nil"/>
              <w:left w:val="nil"/>
              <w:bottom w:val="nil"/>
              <w:right w:val="nil"/>
            </w:tcBorders>
            <w:noWrap w:val="0"/>
            <w:vAlign w:val="center"/>
          </w:tcPr>
          <w:p w14:paraId="3E4B96CC">
            <w:pPr>
              <w:rPr>
                <w:rFonts w:hint="default" w:ascii="Times New Roman" w:hAnsi="Times New Roman" w:eastAsia="宋体" w:cs="Times New Roman"/>
                <w:i w:val="0"/>
                <w:iCs w:val="0"/>
                <w:color w:val="000000"/>
                <w:sz w:val="18"/>
                <w:szCs w:val="18"/>
                <w:u w:val="none"/>
              </w:rPr>
            </w:pPr>
          </w:p>
        </w:tc>
        <w:tc>
          <w:tcPr>
            <w:tcW w:w="1852" w:type="dxa"/>
            <w:tcBorders>
              <w:top w:val="nil"/>
              <w:left w:val="nil"/>
              <w:bottom w:val="nil"/>
              <w:right w:val="nil"/>
            </w:tcBorders>
            <w:noWrap w:val="0"/>
            <w:vAlign w:val="center"/>
          </w:tcPr>
          <w:p w14:paraId="621CD3AB">
            <w:pPr>
              <w:rPr>
                <w:rFonts w:hint="default" w:ascii="Times New Roman" w:hAnsi="Times New Roman" w:eastAsia="宋体" w:cs="Times New Roman"/>
                <w:i w:val="0"/>
                <w:iCs w:val="0"/>
                <w:color w:val="000000"/>
                <w:sz w:val="18"/>
                <w:szCs w:val="18"/>
                <w:u w:val="none"/>
              </w:rPr>
            </w:pPr>
          </w:p>
        </w:tc>
        <w:tc>
          <w:tcPr>
            <w:tcW w:w="547" w:type="dxa"/>
            <w:tcBorders>
              <w:top w:val="nil"/>
              <w:left w:val="nil"/>
              <w:bottom w:val="nil"/>
              <w:right w:val="nil"/>
            </w:tcBorders>
            <w:noWrap w:val="0"/>
            <w:vAlign w:val="center"/>
          </w:tcPr>
          <w:p w14:paraId="0B5A17D9">
            <w:pPr>
              <w:rPr>
                <w:rFonts w:hint="default" w:ascii="Times New Roman" w:hAnsi="Times New Roman" w:eastAsia="宋体" w:cs="Times New Roman"/>
                <w:i w:val="0"/>
                <w:iCs w:val="0"/>
                <w:color w:val="000000"/>
                <w:sz w:val="18"/>
                <w:szCs w:val="18"/>
                <w:u w:val="none"/>
              </w:rPr>
            </w:pPr>
          </w:p>
        </w:tc>
        <w:tc>
          <w:tcPr>
            <w:tcW w:w="1041" w:type="dxa"/>
            <w:tcBorders>
              <w:top w:val="nil"/>
              <w:left w:val="nil"/>
              <w:bottom w:val="nil"/>
              <w:right w:val="nil"/>
            </w:tcBorders>
            <w:noWrap w:val="0"/>
            <w:vAlign w:val="center"/>
          </w:tcPr>
          <w:p w14:paraId="6C2CE94D">
            <w:pPr>
              <w:rPr>
                <w:rFonts w:hint="default" w:ascii="Times New Roman" w:hAnsi="Times New Roman" w:eastAsia="宋体" w:cs="Times New Roman"/>
                <w:i w:val="0"/>
                <w:iCs w:val="0"/>
                <w:color w:val="000000"/>
                <w:sz w:val="18"/>
                <w:szCs w:val="18"/>
                <w:u w:val="none"/>
              </w:rPr>
            </w:pPr>
          </w:p>
        </w:tc>
        <w:tc>
          <w:tcPr>
            <w:tcW w:w="538" w:type="dxa"/>
            <w:tcBorders>
              <w:top w:val="nil"/>
              <w:left w:val="nil"/>
              <w:bottom w:val="nil"/>
              <w:right w:val="nil"/>
            </w:tcBorders>
            <w:noWrap w:val="0"/>
            <w:vAlign w:val="center"/>
          </w:tcPr>
          <w:p w14:paraId="33C868F3">
            <w:pPr>
              <w:rPr>
                <w:rFonts w:hint="default" w:ascii="Times New Roman" w:hAnsi="Times New Roman" w:eastAsia="宋体" w:cs="Times New Roman"/>
                <w:i w:val="0"/>
                <w:iCs w:val="0"/>
                <w:color w:val="000000"/>
                <w:sz w:val="18"/>
                <w:szCs w:val="18"/>
                <w:u w:val="none"/>
              </w:rPr>
            </w:pPr>
          </w:p>
        </w:tc>
        <w:tc>
          <w:tcPr>
            <w:tcW w:w="875" w:type="dxa"/>
            <w:tcBorders>
              <w:top w:val="nil"/>
              <w:left w:val="nil"/>
              <w:bottom w:val="nil"/>
              <w:right w:val="nil"/>
            </w:tcBorders>
            <w:noWrap w:val="0"/>
            <w:vAlign w:val="center"/>
          </w:tcPr>
          <w:p w14:paraId="7DEED9EC">
            <w:pPr>
              <w:rPr>
                <w:rFonts w:hint="default" w:ascii="Times New Roman" w:hAnsi="Times New Roman" w:eastAsia="宋体" w:cs="Times New Roman"/>
                <w:i w:val="0"/>
                <w:iCs w:val="0"/>
                <w:color w:val="000000"/>
                <w:sz w:val="18"/>
                <w:szCs w:val="18"/>
                <w:u w:val="none"/>
              </w:rPr>
            </w:pPr>
          </w:p>
        </w:tc>
        <w:tc>
          <w:tcPr>
            <w:tcW w:w="1330" w:type="dxa"/>
            <w:tcBorders>
              <w:top w:val="nil"/>
              <w:left w:val="nil"/>
              <w:bottom w:val="nil"/>
              <w:right w:val="nil"/>
            </w:tcBorders>
            <w:noWrap w:val="0"/>
            <w:vAlign w:val="center"/>
          </w:tcPr>
          <w:p w14:paraId="477D85B3">
            <w:pPr>
              <w:rPr>
                <w:rFonts w:hint="default" w:ascii="Times New Roman" w:hAnsi="Times New Roman" w:eastAsia="宋体" w:cs="Times New Roman"/>
                <w:i w:val="0"/>
                <w:iCs w:val="0"/>
                <w:color w:val="000000"/>
                <w:sz w:val="18"/>
                <w:szCs w:val="18"/>
                <w:u w:val="none"/>
              </w:rPr>
            </w:pPr>
          </w:p>
        </w:tc>
      </w:tr>
      <w:tr w14:paraId="7739B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4E17870E">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77513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159FB1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278969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51320023R000008958406-年度考核奖预发（30%）</w:t>
            </w:r>
          </w:p>
        </w:tc>
      </w:tr>
      <w:tr w14:paraId="26C1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23B9CFC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1674CA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1041" w:type="dxa"/>
            <w:tcBorders>
              <w:top w:val="nil"/>
              <w:left w:val="nil"/>
              <w:bottom w:val="nil"/>
              <w:right w:val="nil"/>
            </w:tcBorders>
            <w:noWrap w:val="0"/>
            <w:vAlign w:val="center"/>
          </w:tcPr>
          <w:p w14:paraId="44E6A59E">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实施单位 （盖章）</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0CEB3F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7F7DC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4331FB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212737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7C6985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1C0405DA">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088A9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D74EC4">
            <w:pP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822BB4">
            <w:pPr>
              <w:rPr>
                <w:rFonts w:hint="default" w:ascii="Times New Roman" w:hAnsi="Times New Roman" w:eastAsia="宋体" w:cs="Times New Roman"/>
                <w:i w:val="0"/>
                <w:iCs w:val="0"/>
                <w:color w:val="000000"/>
                <w:sz w:val="18"/>
                <w:szCs w:val="18"/>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56B2012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r>
              <w:rPr>
                <w:rFonts w:hint="default" w:ascii="Times New Roman" w:hAnsi="Times New Roman" w:cs="Times New Roman"/>
                <w:i w:val="0"/>
                <w:iCs w:val="0"/>
                <w:color w:val="000000"/>
                <w:kern w:val="0"/>
                <w:sz w:val="18"/>
                <w:szCs w:val="18"/>
                <w:u w:val="none"/>
                <w:lang w:val="en-US" w:eastAsia="zh-CN" w:bidi="ar"/>
              </w:rPr>
              <w:t>。</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6571AA5E">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w:t>
            </w:r>
          </w:p>
        </w:tc>
      </w:tr>
      <w:tr w14:paraId="758D8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F3968E">
            <w:pP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F8F806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5ECB8420">
            <w:pP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w:t>
            </w:r>
          </w:p>
        </w:tc>
      </w:tr>
      <w:tr w14:paraId="05EFE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7F45B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D0CA6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C4861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93AD4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60395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B8363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5E573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D0777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DBB95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7A141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80BB5F">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50CE9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7FA98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8ED11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23.27</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31263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23.27</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51DB7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E8CF9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00FFC55">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73454D02">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p>
        </w:tc>
      </w:tr>
      <w:tr w14:paraId="7D1D8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880460">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58D70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8A6D8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FC2F4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23.27</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44AAA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23.27</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65C4E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C5748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3152D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FD2DF8">
            <w:pPr>
              <w:rPr>
                <w:rFonts w:hint="default" w:ascii="Times New Roman" w:hAnsi="Times New Roman" w:eastAsia="黑体" w:cs="Times New Roman"/>
                <w:i/>
                <w:iCs/>
                <w:color w:val="000000"/>
                <w:sz w:val="18"/>
                <w:szCs w:val="18"/>
                <w:u w:val="none"/>
              </w:rPr>
            </w:pPr>
          </w:p>
        </w:tc>
      </w:tr>
      <w:tr w14:paraId="50EA8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B9549E">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12D3D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7D3D4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96554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40F3DD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329B0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332A4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CD049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B8781D">
            <w:pPr>
              <w:rPr>
                <w:rFonts w:hint="default" w:ascii="Times New Roman" w:hAnsi="Times New Roman" w:eastAsia="黑体" w:cs="Times New Roman"/>
                <w:i/>
                <w:iCs/>
                <w:color w:val="000000"/>
                <w:sz w:val="18"/>
                <w:szCs w:val="18"/>
                <w:u w:val="none"/>
              </w:rPr>
            </w:pPr>
          </w:p>
        </w:tc>
      </w:tr>
      <w:tr w14:paraId="6ADDA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4DB9B">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FEA2A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7804C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ED68F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75FEF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63E67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CEB53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B88F7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86E8C4">
            <w:pPr>
              <w:rPr>
                <w:rFonts w:hint="default" w:ascii="Times New Roman" w:hAnsi="Times New Roman" w:eastAsia="黑体" w:cs="Times New Roman"/>
                <w:i/>
                <w:iCs/>
                <w:color w:val="000000"/>
                <w:sz w:val="18"/>
                <w:szCs w:val="18"/>
                <w:u w:val="none"/>
              </w:rPr>
            </w:pPr>
          </w:p>
        </w:tc>
      </w:tr>
      <w:tr w14:paraId="0A216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550EA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A1CAC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237B3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D1CA0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CFCBD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083588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6FB493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FA838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052B6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08BB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F3749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4F8BA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DDEF03">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FBB5B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AAFD0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FF777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发放（缴纳）覆盖率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BC255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E49F1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0BB81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4EE0403">
            <w:pPr>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C7A41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C96A0F8">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60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31C2903">
            <w:pPr>
              <w:jc w:val="center"/>
              <w:rPr>
                <w:rFonts w:hint="default" w:ascii="Times New Roman" w:hAnsi="Times New Roman" w:eastAsia="微软雅黑" w:cs="Times New Roman"/>
                <w:i/>
                <w:iCs/>
                <w:color w:val="000000"/>
                <w:sz w:val="16"/>
                <w:szCs w:val="16"/>
                <w:u w:val="none"/>
              </w:rPr>
            </w:pPr>
          </w:p>
        </w:tc>
      </w:tr>
      <w:tr w14:paraId="700FA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DA7455">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662B9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F0DD0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994BF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足额保障率（参保率）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6B08CB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BE0AE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7AB2B8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9460C27">
            <w:pPr>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E2476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74F7764">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6E00B54">
            <w:pPr>
              <w:jc w:val="center"/>
              <w:rPr>
                <w:rFonts w:hint="default" w:ascii="Times New Roman" w:hAnsi="Times New Roman" w:eastAsia="微软雅黑" w:cs="Times New Roman"/>
                <w:i/>
                <w:iCs/>
                <w:color w:val="000000"/>
                <w:sz w:val="16"/>
                <w:szCs w:val="16"/>
                <w:u w:val="none"/>
              </w:rPr>
            </w:pPr>
          </w:p>
        </w:tc>
      </w:tr>
      <w:tr w14:paraId="2A980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4C3CFF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FFD14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A756518">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76E4553">
            <w:pPr>
              <w:jc w:val="center"/>
              <w:rPr>
                <w:rFonts w:hint="default" w:ascii="Times New Roman" w:hAnsi="Times New Roman" w:eastAsia="宋体" w:cs="Times New Roman"/>
                <w:i w:val="0"/>
                <w:iCs w:val="0"/>
                <w:color w:val="000000"/>
                <w:sz w:val="18"/>
                <w:szCs w:val="18"/>
                <w:u w:val="none"/>
              </w:rPr>
            </w:pPr>
          </w:p>
        </w:tc>
      </w:tr>
      <w:tr w14:paraId="31404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7B8FD3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58C14A45">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0EC6D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7FA2CD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3AC965EC">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08975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61C4CB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225391A7">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2AC49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7DC57A50">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3EE2C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346220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341423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51320023R000009914893-工资性支出</w:t>
            </w:r>
          </w:p>
        </w:tc>
      </w:tr>
      <w:tr w14:paraId="4D5F8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0B5051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19ED59E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1041" w:type="dxa"/>
            <w:tcBorders>
              <w:top w:val="nil"/>
              <w:left w:val="nil"/>
              <w:bottom w:val="nil"/>
              <w:right w:val="nil"/>
            </w:tcBorders>
            <w:noWrap w:val="0"/>
            <w:vAlign w:val="center"/>
          </w:tcPr>
          <w:p w14:paraId="2BD3A6BE">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414072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3A019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C44AB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665EED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794A5C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1A37383D">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67D9F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D6BA12">
            <w:pP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EE02E0">
            <w:pPr>
              <w:rPr>
                <w:rFonts w:hint="default" w:ascii="Times New Roman" w:hAnsi="Times New Roman" w:eastAsia="宋体" w:cs="Times New Roman"/>
                <w:i w:val="0"/>
                <w:iCs w:val="0"/>
                <w:color w:val="000000"/>
                <w:sz w:val="18"/>
                <w:szCs w:val="18"/>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0FAE2B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7FACC276">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w:t>
            </w:r>
          </w:p>
        </w:tc>
      </w:tr>
      <w:tr w14:paraId="2C12D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99C299">
            <w:pP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3D38515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0A060F47">
            <w:pP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w:t>
            </w:r>
          </w:p>
        </w:tc>
      </w:tr>
      <w:tr w14:paraId="172CC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613E0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72C6E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1B137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9D975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0A5FD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F9F4F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22DE7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384A5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2B25C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2975E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DC3224">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3CD237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80091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169.68</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D0D3A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178.01</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2D68F3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178.01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064F1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BC61C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579B62E">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50806931">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r>
              <w:rPr>
                <w:rFonts w:hint="default" w:ascii="Times New Roman" w:hAnsi="Times New Roman" w:eastAsia="黑体" w:cs="Times New Roman"/>
                <w:i/>
                <w:iCs/>
                <w:color w:val="000000"/>
                <w:kern w:val="0"/>
                <w:sz w:val="18"/>
                <w:szCs w:val="18"/>
                <w:u w:val="none"/>
                <w:lang w:val="en-US" w:eastAsia="zh-CN" w:bidi="ar"/>
              </w:rPr>
              <w:t>.</w:t>
            </w:r>
          </w:p>
        </w:tc>
      </w:tr>
      <w:tr w14:paraId="645FE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02EB8A">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53EC4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2ABFB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169.68</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0B49B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178.01</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D5427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178.01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6FA4E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2511C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13837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20AF2E">
            <w:pPr>
              <w:rPr>
                <w:rFonts w:hint="default" w:ascii="Times New Roman" w:hAnsi="Times New Roman" w:eastAsia="黑体" w:cs="Times New Roman"/>
                <w:i/>
                <w:iCs/>
                <w:color w:val="000000"/>
                <w:sz w:val="18"/>
                <w:szCs w:val="18"/>
                <w:u w:val="none"/>
              </w:rPr>
            </w:pPr>
          </w:p>
        </w:tc>
      </w:tr>
      <w:tr w14:paraId="45C33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8B9C40">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9E73F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FE96D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D7847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401C5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35CFF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F8274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F2BFB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728BDF">
            <w:pPr>
              <w:rPr>
                <w:rFonts w:hint="default" w:ascii="Times New Roman" w:hAnsi="Times New Roman" w:eastAsia="黑体" w:cs="Times New Roman"/>
                <w:i/>
                <w:iCs/>
                <w:color w:val="000000"/>
                <w:sz w:val="18"/>
                <w:szCs w:val="18"/>
                <w:u w:val="none"/>
              </w:rPr>
            </w:pPr>
          </w:p>
        </w:tc>
      </w:tr>
      <w:tr w14:paraId="6D438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1E5754">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61927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6C266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25DB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F8175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A360D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555C0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6E06D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5A9035">
            <w:pPr>
              <w:rPr>
                <w:rFonts w:hint="default" w:ascii="Times New Roman" w:hAnsi="Times New Roman" w:eastAsia="黑体" w:cs="Times New Roman"/>
                <w:i/>
                <w:iCs/>
                <w:color w:val="000000"/>
                <w:sz w:val="18"/>
                <w:szCs w:val="18"/>
                <w:u w:val="none"/>
              </w:rPr>
            </w:pPr>
          </w:p>
        </w:tc>
      </w:tr>
      <w:tr w14:paraId="43EF4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5B378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CEA98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A0748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BFA79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6701A8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FB6D9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80C8D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1495A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ADF2C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A2ADF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A4F56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503A2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5F34BF">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AECA2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9EB6E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9FEFE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发放（缴纳）覆盖率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6E7C5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40756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272B7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091830A">
            <w:pPr>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6DE74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744E354">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60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F910E82">
            <w:pPr>
              <w:jc w:val="center"/>
              <w:rPr>
                <w:rFonts w:hint="default" w:ascii="Times New Roman" w:hAnsi="Times New Roman" w:eastAsia="微软雅黑" w:cs="Times New Roman"/>
                <w:i/>
                <w:iCs/>
                <w:color w:val="000000"/>
                <w:sz w:val="16"/>
                <w:szCs w:val="16"/>
                <w:u w:val="none"/>
              </w:rPr>
            </w:pPr>
          </w:p>
        </w:tc>
      </w:tr>
      <w:tr w14:paraId="043DE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C6EA71">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260F6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241E8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2B7F7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足额保障率（参保率）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F9A11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EBA7F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2C079E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B3F897C">
            <w:pPr>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A8F5E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BA2BCC3">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4EFBE6C">
            <w:pPr>
              <w:jc w:val="center"/>
              <w:rPr>
                <w:rFonts w:hint="default" w:ascii="Times New Roman" w:hAnsi="Times New Roman" w:eastAsia="微软雅黑" w:cs="Times New Roman"/>
                <w:i/>
                <w:iCs/>
                <w:color w:val="000000"/>
                <w:sz w:val="16"/>
                <w:szCs w:val="16"/>
                <w:u w:val="none"/>
              </w:rPr>
            </w:pPr>
          </w:p>
        </w:tc>
      </w:tr>
      <w:tr w14:paraId="3F1C3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05639C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754E5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56824DE">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9AB1FD6">
            <w:pPr>
              <w:rPr>
                <w:rFonts w:hint="default" w:ascii="Times New Roman" w:hAnsi="Times New Roman" w:eastAsia="宋体" w:cs="Times New Roman"/>
                <w:i w:val="0"/>
                <w:iCs w:val="0"/>
                <w:color w:val="000000"/>
                <w:sz w:val="18"/>
                <w:szCs w:val="18"/>
                <w:u w:val="none"/>
              </w:rPr>
            </w:pPr>
          </w:p>
        </w:tc>
      </w:tr>
      <w:tr w14:paraId="792A6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6F2FCC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2C858B6F">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77085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074924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131D60E3">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3FD2F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1DBFAB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527B68F8">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5DCCE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005BB746">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6114F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0B3DAE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0D27BC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51320023R000009915221-单位缴费</w:t>
            </w:r>
          </w:p>
        </w:tc>
      </w:tr>
      <w:tr w14:paraId="26D41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3C14F0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7F1D1F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1041" w:type="dxa"/>
            <w:tcBorders>
              <w:top w:val="nil"/>
              <w:left w:val="nil"/>
              <w:bottom w:val="nil"/>
              <w:right w:val="nil"/>
            </w:tcBorders>
            <w:noWrap w:val="0"/>
            <w:vAlign w:val="center"/>
          </w:tcPr>
          <w:p w14:paraId="221BA6B2">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2DC7A2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11090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A52ABD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44DD7B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584161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1D5A00ED">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6F71D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CAF6DE">
            <w:pP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744625">
            <w:pPr>
              <w:rPr>
                <w:rFonts w:hint="default" w:ascii="Times New Roman" w:hAnsi="Times New Roman" w:eastAsia="宋体" w:cs="Times New Roman"/>
                <w:i w:val="0"/>
                <w:iCs w:val="0"/>
                <w:color w:val="000000"/>
                <w:sz w:val="18"/>
                <w:szCs w:val="18"/>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2AB9FE9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01446DB0">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w:t>
            </w:r>
          </w:p>
        </w:tc>
      </w:tr>
      <w:tr w14:paraId="70B4E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DE51E8">
            <w:pP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FE3A8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0D0D1390">
            <w:pP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w:t>
            </w:r>
          </w:p>
        </w:tc>
      </w:tr>
      <w:tr w14:paraId="6710A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9B263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67A76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67D57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5746F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5D4AB1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1CBBD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69D39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66E41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34DAF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7F10B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511550">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C36D2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12DF3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110.07</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88DE6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108.50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A047D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108.50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4CB75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FA9E5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D4C86F2">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0F9525A1">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p>
        </w:tc>
      </w:tr>
      <w:tr w14:paraId="0FAA3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8D6E57">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6DA7C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0EB6C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110.07</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2D340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108.50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52F2C0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108.50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E328A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78548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DBC4C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B47887">
            <w:pPr>
              <w:rPr>
                <w:rFonts w:hint="default" w:ascii="Times New Roman" w:hAnsi="Times New Roman" w:eastAsia="黑体" w:cs="Times New Roman"/>
                <w:i/>
                <w:iCs/>
                <w:color w:val="000000"/>
                <w:sz w:val="18"/>
                <w:szCs w:val="18"/>
                <w:u w:val="none"/>
              </w:rPr>
            </w:pPr>
          </w:p>
        </w:tc>
      </w:tr>
      <w:tr w14:paraId="4EEC9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6347C3">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34F05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6F74C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9A46F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03A68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F2A90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54151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ABBE5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30B00">
            <w:pPr>
              <w:rPr>
                <w:rFonts w:hint="default" w:ascii="Times New Roman" w:hAnsi="Times New Roman" w:eastAsia="黑体" w:cs="Times New Roman"/>
                <w:i/>
                <w:iCs/>
                <w:color w:val="000000"/>
                <w:sz w:val="18"/>
                <w:szCs w:val="18"/>
                <w:u w:val="none"/>
              </w:rPr>
            </w:pPr>
          </w:p>
        </w:tc>
      </w:tr>
      <w:tr w14:paraId="29D52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85359F">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39FF9D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38A84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E0DBB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297D0E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FA7F5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7E400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85009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B05ADD">
            <w:pPr>
              <w:rPr>
                <w:rFonts w:hint="default" w:ascii="Times New Roman" w:hAnsi="Times New Roman" w:eastAsia="黑体" w:cs="Times New Roman"/>
                <w:i/>
                <w:iCs/>
                <w:color w:val="000000"/>
                <w:sz w:val="18"/>
                <w:szCs w:val="18"/>
                <w:u w:val="none"/>
              </w:rPr>
            </w:pPr>
          </w:p>
        </w:tc>
      </w:tr>
      <w:tr w14:paraId="564D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A94275">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BB35E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其他资金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7D3B176">
            <w:pPr>
              <w:jc w:val="center"/>
              <w:rPr>
                <w:rFonts w:hint="default" w:ascii="Times New Roman" w:hAnsi="Times New Roman" w:eastAsia="微软雅黑" w:cs="Times New Roman"/>
                <w:i/>
                <w:iCs/>
                <w:color w:val="000000"/>
                <w:sz w:val="16"/>
                <w:szCs w:val="16"/>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1E19E15">
            <w:pPr>
              <w:jc w:val="center"/>
              <w:rPr>
                <w:rFonts w:hint="default" w:ascii="Times New Roman" w:hAnsi="Times New Roman" w:eastAsia="微软雅黑" w:cs="Times New Roman"/>
                <w:i/>
                <w:iCs/>
                <w:color w:val="000000"/>
                <w:sz w:val="16"/>
                <w:szCs w:val="16"/>
                <w:u w:val="none"/>
              </w:rPr>
            </w:pP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6E40287">
            <w:pPr>
              <w:jc w:val="center"/>
              <w:rPr>
                <w:rFonts w:hint="default" w:ascii="Times New Roman" w:hAnsi="Times New Roman" w:eastAsia="微软雅黑" w:cs="Times New Roman"/>
                <w:i/>
                <w:iCs/>
                <w:color w:val="000000"/>
                <w:sz w:val="16"/>
                <w:szCs w:val="16"/>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1F2E11E">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C9342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21346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A432C">
            <w:pPr>
              <w:rPr>
                <w:rFonts w:hint="default" w:ascii="Times New Roman" w:hAnsi="Times New Roman" w:eastAsia="黑体" w:cs="Times New Roman"/>
                <w:i/>
                <w:iCs/>
                <w:color w:val="000000"/>
                <w:sz w:val="18"/>
                <w:szCs w:val="18"/>
                <w:u w:val="none"/>
              </w:rPr>
            </w:pPr>
          </w:p>
        </w:tc>
      </w:tr>
      <w:tr w14:paraId="0503B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8"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21207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FF04D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2DA35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4FE70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FD35A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1DB9B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6EE05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D68E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08958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64669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5940B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04D86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C72813">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78208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DDF62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EF3E5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发放（缴纳）覆盖率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8AC5F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0E8232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658CB9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9121851">
            <w:pPr>
              <w:jc w:val="center"/>
              <w:rPr>
                <w:rFonts w:hint="default" w:ascii="Times New Roman" w:hAnsi="Times New Roman" w:eastAsia="微软雅黑" w:cs="Times New Roman"/>
                <w:i/>
                <w:iCs/>
                <w:color w:val="000000"/>
                <w:sz w:val="16"/>
                <w:szCs w:val="16"/>
                <w:u w:val="none"/>
                <w:lang w:val="en-US" w:eastAsia="zh-CN"/>
              </w:rPr>
            </w:pPr>
            <w:r>
              <w:rPr>
                <w:rFonts w:hint="default" w:ascii="Times New Roman" w:hAnsi="Times New Roman" w:eastAsia="微软雅黑" w:cs="Times New Roman"/>
                <w:i/>
                <w:iCs/>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7E1A1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B5FE875">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60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5E81CD2">
            <w:pPr>
              <w:jc w:val="center"/>
              <w:rPr>
                <w:rFonts w:hint="default" w:ascii="Times New Roman" w:hAnsi="Times New Roman" w:eastAsia="微软雅黑" w:cs="Times New Roman"/>
                <w:i/>
                <w:iCs/>
                <w:color w:val="000000"/>
                <w:sz w:val="16"/>
                <w:szCs w:val="16"/>
                <w:u w:val="none"/>
              </w:rPr>
            </w:pPr>
          </w:p>
        </w:tc>
      </w:tr>
      <w:tr w14:paraId="6D07C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D0CA08">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34A25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CE1C8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BAA89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足额保障率（参保率）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9E2A5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CB1C1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236900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1DABC2F">
            <w:pPr>
              <w:jc w:val="center"/>
              <w:rPr>
                <w:rFonts w:hint="default" w:ascii="Times New Roman" w:hAnsi="Times New Roman" w:eastAsia="微软雅黑" w:cs="Times New Roman"/>
                <w:i/>
                <w:iCs/>
                <w:color w:val="000000"/>
                <w:sz w:val="16"/>
                <w:szCs w:val="16"/>
                <w:u w:val="none"/>
                <w:lang w:val="en-US" w:eastAsia="zh-CN"/>
              </w:rPr>
            </w:pPr>
            <w:r>
              <w:rPr>
                <w:rFonts w:hint="default" w:ascii="Times New Roman" w:hAnsi="Times New Roman" w:eastAsia="微软雅黑" w:cs="Times New Roman"/>
                <w:i/>
                <w:iCs/>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210C3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E17824C">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79A3752">
            <w:pPr>
              <w:jc w:val="center"/>
              <w:rPr>
                <w:rFonts w:hint="default" w:ascii="Times New Roman" w:hAnsi="Times New Roman" w:eastAsia="微软雅黑" w:cs="Times New Roman"/>
                <w:i/>
                <w:iCs/>
                <w:color w:val="000000"/>
                <w:sz w:val="16"/>
                <w:szCs w:val="16"/>
                <w:u w:val="none"/>
              </w:rPr>
            </w:pPr>
          </w:p>
        </w:tc>
      </w:tr>
      <w:tr w14:paraId="56D72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75A7E1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CB296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37C02B7">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B85C8D2">
            <w:pPr>
              <w:jc w:val="center"/>
              <w:rPr>
                <w:rFonts w:hint="default" w:ascii="Times New Roman" w:hAnsi="Times New Roman" w:eastAsia="宋体" w:cs="Times New Roman"/>
                <w:i w:val="0"/>
                <w:iCs w:val="0"/>
                <w:color w:val="000000"/>
                <w:sz w:val="18"/>
                <w:szCs w:val="18"/>
                <w:u w:val="none"/>
              </w:rPr>
            </w:pPr>
          </w:p>
        </w:tc>
      </w:tr>
      <w:tr w14:paraId="1195F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0C98C7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7072E36D">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4B1BA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1808CF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77713CFA">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02058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0B44B9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6D337FD4">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1E6CE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3EF46ED0">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7D2F7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7E65C29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740A04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51320023R000009915925-聘用人员经费</w:t>
            </w:r>
          </w:p>
        </w:tc>
      </w:tr>
      <w:tr w14:paraId="6D92B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130325D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69C83B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1041" w:type="dxa"/>
            <w:tcBorders>
              <w:top w:val="nil"/>
              <w:left w:val="nil"/>
              <w:bottom w:val="nil"/>
              <w:right w:val="nil"/>
            </w:tcBorders>
            <w:noWrap w:val="0"/>
            <w:vAlign w:val="center"/>
          </w:tcPr>
          <w:p w14:paraId="14237839">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575018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3D9FA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F9FF0D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33F8F32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78552E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259E6CD5">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2A3AA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A79324">
            <w:pP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7B070F">
            <w:pPr>
              <w:rPr>
                <w:rFonts w:hint="default" w:ascii="Times New Roman" w:hAnsi="Times New Roman" w:eastAsia="宋体" w:cs="Times New Roman"/>
                <w:i w:val="0"/>
                <w:iCs w:val="0"/>
                <w:color w:val="000000"/>
                <w:sz w:val="18"/>
                <w:szCs w:val="18"/>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106D885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540038E5">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w:t>
            </w:r>
          </w:p>
        </w:tc>
      </w:tr>
      <w:tr w14:paraId="6698F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00FE8C">
            <w:pP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FED10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40A30286">
            <w:pP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w:t>
            </w:r>
          </w:p>
        </w:tc>
      </w:tr>
      <w:tr w14:paraId="0BD60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E794A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F8337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98E13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FC489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4F8250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548DB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856A8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963E5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B19CC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43F56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CD9976">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633CA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76303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35.14</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529D3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35.14</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F9837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35.14</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F88C0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7C203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3A8E58A">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54D0E421">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p>
        </w:tc>
      </w:tr>
      <w:tr w14:paraId="5F59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5E266D">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CE640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2F084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35.14</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E7704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35.14</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4AC308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35.14</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2B0A6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31A93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A2C28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08C307">
            <w:pPr>
              <w:rPr>
                <w:rFonts w:hint="default" w:ascii="Times New Roman" w:hAnsi="Times New Roman" w:eastAsia="黑体" w:cs="Times New Roman"/>
                <w:i/>
                <w:iCs/>
                <w:color w:val="000000"/>
                <w:sz w:val="18"/>
                <w:szCs w:val="18"/>
                <w:u w:val="none"/>
              </w:rPr>
            </w:pPr>
          </w:p>
        </w:tc>
      </w:tr>
      <w:tr w14:paraId="03D87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1469B1">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10D57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4C578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C0FB2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28E951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A2B7B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A00C4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AF333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E42308">
            <w:pPr>
              <w:rPr>
                <w:rFonts w:hint="default" w:ascii="Times New Roman" w:hAnsi="Times New Roman" w:eastAsia="黑体" w:cs="Times New Roman"/>
                <w:i/>
                <w:iCs/>
                <w:color w:val="000000"/>
                <w:sz w:val="18"/>
                <w:szCs w:val="18"/>
                <w:u w:val="none"/>
              </w:rPr>
            </w:pPr>
          </w:p>
        </w:tc>
      </w:tr>
      <w:tr w14:paraId="52DBE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39EDC6">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98CEA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B7877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4104E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142A5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D75E5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CA8A5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A55A4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5EED30">
            <w:pPr>
              <w:rPr>
                <w:rFonts w:hint="default" w:ascii="Times New Roman" w:hAnsi="Times New Roman" w:eastAsia="黑体" w:cs="Times New Roman"/>
                <w:i/>
                <w:iCs/>
                <w:color w:val="000000"/>
                <w:sz w:val="18"/>
                <w:szCs w:val="18"/>
                <w:u w:val="none"/>
              </w:rPr>
            </w:pPr>
          </w:p>
        </w:tc>
      </w:tr>
      <w:tr w14:paraId="22CD7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F7CE66">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33DF1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其他资金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D59F561">
            <w:pPr>
              <w:jc w:val="center"/>
              <w:rPr>
                <w:rFonts w:hint="default" w:ascii="Times New Roman" w:hAnsi="Times New Roman" w:eastAsia="微软雅黑" w:cs="Times New Roman"/>
                <w:i/>
                <w:iCs/>
                <w:color w:val="000000"/>
                <w:sz w:val="16"/>
                <w:szCs w:val="16"/>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FFFC1C6">
            <w:pPr>
              <w:jc w:val="center"/>
              <w:rPr>
                <w:rFonts w:hint="default" w:ascii="Times New Roman" w:hAnsi="Times New Roman" w:eastAsia="微软雅黑" w:cs="Times New Roman"/>
                <w:i/>
                <w:iCs/>
                <w:color w:val="000000"/>
                <w:sz w:val="16"/>
                <w:szCs w:val="16"/>
                <w:u w:val="none"/>
              </w:rPr>
            </w:pP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B843677">
            <w:pPr>
              <w:jc w:val="center"/>
              <w:rPr>
                <w:rFonts w:hint="default" w:ascii="Times New Roman" w:hAnsi="Times New Roman" w:eastAsia="微软雅黑" w:cs="Times New Roman"/>
                <w:i/>
                <w:iCs/>
                <w:color w:val="000000"/>
                <w:sz w:val="16"/>
                <w:szCs w:val="16"/>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812A0B1">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0149F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64FBB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14814">
            <w:pPr>
              <w:rPr>
                <w:rFonts w:hint="default" w:ascii="Times New Roman" w:hAnsi="Times New Roman" w:eastAsia="黑体" w:cs="Times New Roman"/>
                <w:i/>
                <w:iCs/>
                <w:color w:val="000000"/>
                <w:sz w:val="18"/>
                <w:szCs w:val="18"/>
                <w:u w:val="none"/>
              </w:rPr>
            </w:pPr>
          </w:p>
        </w:tc>
      </w:tr>
      <w:tr w14:paraId="2DFE1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72F7C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F0571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637F5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C3E25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565DA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1385DF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072A09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365CE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F0850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89A0A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F212E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47355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BA474A">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D0435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F07D1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3FDBB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发放（缴纳）覆盖率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66B38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E3BF6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363C8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E377D5A">
            <w:pPr>
              <w:jc w:val="center"/>
              <w:rPr>
                <w:rFonts w:hint="default" w:ascii="Times New Roman" w:hAnsi="Times New Roman" w:eastAsia="微软雅黑" w:cs="Times New Roman"/>
                <w:i/>
                <w:iCs/>
                <w:color w:val="000000"/>
                <w:sz w:val="16"/>
                <w:szCs w:val="16"/>
                <w:u w:val="none"/>
                <w:lang w:val="en-US" w:eastAsia="zh-CN"/>
              </w:rPr>
            </w:pPr>
            <w:r>
              <w:rPr>
                <w:rFonts w:hint="default" w:ascii="Times New Roman" w:hAnsi="Times New Roman" w:eastAsia="微软雅黑" w:cs="Times New Roman"/>
                <w:i/>
                <w:iCs/>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C5D61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4D92F3">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D95D0AA">
            <w:pPr>
              <w:jc w:val="center"/>
              <w:rPr>
                <w:rFonts w:hint="default" w:ascii="Times New Roman" w:hAnsi="Times New Roman" w:eastAsia="微软雅黑" w:cs="Times New Roman"/>
                <w:i/>
                <w:iCs/>
                <w:color w:val="000000"/>
                <w:sz w:val="16"/>
                <w:szCs w:val="16"/>
                <w:u w:val="none"/>
              </w:rPr>
            </w:pPr>
          </w:p>
        </w:tc>
      </w:tr>
      <w:tr w14:paraId="7A883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588D41">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6E592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19630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B5746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足额保障率（参保率）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523AC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0AC28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BD0E3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BDF83B6">
            <w:pPr>
              <w:jc w:val="center"/>
              <w:rPr>
                <w:rFonts w:hint="default" w:ascii="Times New Roman" w:hAnsi="Times New Roman" w:eastAsia="微软雅黑" w:cs="Times New Roman"/>
                <w:i/>
                <w:iCs/>
                <w:color w:val="000000"/>
                <w:sz w:val="16"/>
                <w:szCs w:val="16"/>
                <w:u w:val="none"/>
                <w:lang w:val="en-US" w:eastAsia="zh-CN"/>
              </w:rPr>
            </w:pPr>
            <w:r>
              <w:rPr>
                <w:rFonts w:hint="default" w:ascii="Times New Roman" w:hAnsi="Times New Roman" w:eastAsia="微软雅黑" w:cs="Times New Roman"/>
                <w:i/>
                <w:iCs/>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C99D3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95FF7A0">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509B698">
            <w:pPr>
              <w:jc w:val="center"/>
              <w:rPr>
                <w:rFonts w:hint="default" w:ascii="Times New Roman" w:hAnsi="Times New Roman" w:eastAsia="微软雅黑" w:cs="Times New Roman"/>
                <w:i/>
                <w:iCs/>
                <w:color w:val="000000"/>
                <w:sz w:val="16"/>
                <w:szCs w:val="16"/>
                <w:u w:val="none"/>
              </w:rPr>
            </w:pPr>
          </w:p>
        </w:tc>
      </w:tr>
      <w:tr w14:paraId="47D8D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2F12AD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EBA97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0B3CFE8">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CDF047D">
            <w:pPr>
              <w:jc w:val="center"/>
              <w:rPr>
                <w:rFonts w:hint="default" w:ascii="Times New Roman" w:hAnsi="Times New Roman" w:eastAsia="宋体" w:cs="Times New Roman"/>
                <w:i w:val="0"/>
                <w:iCs w:val="0"/>
                <w:color w:val="000000"/>
                <w:sz w:val="18"/>
                <w:szCs w:val="18"/>
                <w:u w:val="none"/>
              </w:rPr>
            </w:pPr>
          </w:p>
        </w:tc>
      </w:tr>
      <w:tr w14:paraId="35208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368A31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4114BFE6">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529DC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6E34E5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3D4DCFB6">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1C227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7CC1F2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1A172F87">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0541A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29E27212">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562BF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338CF88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34512E43">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51320023Y000009917272-日常公用经费</w:t>
            </w:r>
          </w:p>
        </w:tc>
      </w:tr>
      <w:tr w14:paraId="677CD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6E90C0E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290AEBE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州直机关工委部门</w:t>
            </w:r>
          </w:p>
        </w:tc>
        <w:tc>
          <w:tcPr>
            <w:tcW w:w="1041" w:type="dxa"/>
            <w:tcBorders>
              <w:top w:val="nil"/>
              <w:left w:val="nil"/>
              <w:bottom w:val="nil"/>
              <w:right w:val="nil"/>
            </w:tcBorders>
            <w:noWrap w:val="0"/>
            <w:vAlign w:val="center"/>
          </w:tcPr>
          <w:p w14:paraId="1D53983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5"/>
                <w:szCs w:val="15"/>
                <w:u w:val="none"/>
              </w:rPr>
            </w:pPr>
            <w:r>
              <w:rPr>
                <w:rFonts w:hint="default" w:ascii="Times New Roman" w:hAnsi="Times New Roman" w:eastAsia="黑体" w:cs="Times New Roman"/>
                <w:i w:val="0"/>
                <w:iCs w:val="0"/>
                <w:color w:val="000000"/>
                <w:kern w:val="0"/>
                <w:sz w:val="15"/>
                <w:szCs w:val="15"/>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168E61D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州直机关工委</w:t>
            </w:r>
          </w:p>
        </w:tc>
      </w:tr>
      <w:tr w14:paraId="5D7C7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22ECE61">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77125B8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7F5CE6B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11C8E38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黑体" w:cs="Times New Roman"/>
                <w:i w:val="0"/>
                <w:iCs w:val="0"/>
                <w:color w:val="000000"/>
                <w:sz w:val="15"/>
                <w:szCs w:val="15"/>
                <w:u w:val="none"/>
              </w:rPr>
            </w:pPr>
            <w:r>
              <w:rPr>
                <w:rFonts w:hint="default" w:ascii="Times New Roman" w:hAnsi="Times New Roman" w:eastAsia="黑体" w:cs="Times New Roman"/>
                <w:i w:val="0"/>
                <w:iCs w:val="0"/>
                <w:color w:val="000000"/>
                <w:kern w:val="0"/>
                <w:sz w:val="15"/>
                <w:szCs w:val="15"/>
                <w:u w:val="none"/>
                <w:lang w:val="en-US" w:eastAsia="zh-CN" w:bidi="ar"/>
              </w:rPr>
              <w:t>年度目标完成情况</w:t>
            </w:r>
          </w:p>
        </w:tc>
      </w:tr>
      <w:tr w14:paraId="4E9EA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50C071">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B869ED">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57747BE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提高预算编制质量，严格执行预算，保障单位日常运转。</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14366EB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kern w:val="0"/>
                <w:sz w:val="15"/>
                <w:szCs w:val="15"/>
                <w:u w:val="none"/>
                <w:lang w:val="en-US" w:eastAsia="zh-CN" w:bidi="ar"/>
              </w:rPr>
              <w:t>严格执行预算，保障单位日常运转。</w:t>
            </w:r>
          </w:p>
        </w:tc>
      </w:tr>
      <w:tr w14:paraId="0F5A7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623457">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7C0BE71">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47347B79">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5"/>
                <w:szCs w:val="15"/>
                <w:u w:val="none"/>
              </w:rPr>
            </w:pPr>
            <w:r>
              <w:rPr>
                <w:rFonts w:hint="default" w:ascii="Times New Roman" w:hAnsi="Times New Roman" w:cs="Times New Roman"/>
                <w:color w:val="000000"/>
                <w:kern w:val="0"/>
                <w:sz w:val="15"/>
                <w:szCs w:val="15"/>
                <w:lang w:bidi="ar"/>
              </w:rPr>
              <w:t>财务按产生的经济科目，对预算进行调剂，保障会计核算经济科目与决算一致。</w:t>
            </w:r>
          </w:p>
        </w:tc>
      </w:tr>
      <w:tr w14:paraId="403F7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CE83A8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8AC55C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CD25AD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81F65C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81FCEE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99267D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05AA30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69241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4604F5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原因</w:t>
            </w:r>
          </w:p>
        </w:tc>
      </w:tr>
      <w:tr w14:paraId="6096A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FFB77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715B56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B365D3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60.97</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61F319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60.71</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34C3C6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60.71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BD83BA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DFCFD1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2A3983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4B6EC3D6">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iCs/>
                <w:color w:val="000000"/>
                <w:sz w:val="15"/>
                <w:szCs w:val="15"/>
                <w:u w:val="none"/>
              </w:rPr>
            </w:pPr>
          </w:p>
        </w:tc>
      </w:tr>
      <w:tr w14:paraId="27CF0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F7AA2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8B8418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7FB855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60.97</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7DEB11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60.71</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9F2C62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60.71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96083B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AA4815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326157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95E77D">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iCs/>
                <w:color w:val="000000"/>
                <w:sz w:val="15"/>
                <w:szCs w:val="15"/>
                <w:u w:val="none"/>
              </w:rPr>
            </w:pPr>
          </w:p>
        </w:tc>
      </w:tr>
      <w:tr w14:paraId="57D7E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A6646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7EED30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5B6C5D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231ED9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0A77E61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92DE01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60C83F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F2C60F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37D22F">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iCs/>
                <w:color w:val="000000"/>
                <w:sz w:val="15"/>
                <w:szCs w:val="15"/>
                <w:u w:val="none"/>
              </w:rPr>
            </w:pPr>
          </w:p>
        </w:tc>
      </w:tr>
      <w:tr w14:paraId="7D115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184C5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6A762C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0212CF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88E68B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BC5C55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ACC294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85EBB4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489F45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D25BAF">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iCs/>
                <w:color w:val="000000"/>
                <w:sz w:val="15"/>
                <w:szCs w:val="15"/>
                <w:u w:val="none"/>
              </w:rPr>
            </w:pPr>
          </w:p>
        </w:tc>
      </w:tr>
      <w:tr w14:paraId="0CE2B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DD6FD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D5743F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其他资金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F39E24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iCs/>
                <w:color w:val="000000"/>
                <w:sz w:val="15"/>
                <w:szCs w:val="15"/>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A9B1EB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iCs/>
                <w:color w:val="000000"/>
                <w:sz w:val="15"/>
                <w:szCs w:val="15"/>
                <w:u w:val="none"/>
              </w:rPr>
            </w:pP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9B05CE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iCs/>
                <w:color w:val="000000"/>
                <w:sz w:val="15"/>
                <w:szCs w:val="15"/>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0F4E16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iCs/>
                <w:color w:val="000000"/>
                <w:sz w:val="15"/>
                <w:szCs w:val="15"/>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C7DAB6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5D9735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606CA5">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iCs/>
                <w:color w:val="000000"/>
                <w:sz w:val="15"/>
                <w:szCs w:val="15"/>
                <w:u w:val="none"/>
              </w:rPr>
            </w:pPr>
          </w:p>
        </w:tc>
      </w:tr>
      <w:tr w14:paraId="6C9A3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7C8872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B14CB9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97146D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00AD68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3935D7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A970EC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5663DC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BF1FA6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6F6606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3D0F64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618D85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未完成原因分析</w:t>
            </w:r>
          </w:p>
        </w:tc>
      </w:tr>
      <w:tr w14:paraId="5A9E0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A7987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5384D6F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B6E743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2E920F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科目调整次数</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4D1F4E7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68FD7A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AA5EA0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次</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BC87CA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5</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649E49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324F33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D6C24F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iCs/>
                <w:color w:val="000000"/>
                <w:sz w:val="15"/>
                <w:szCs w:val="15"/>
                <w:u w:val="none"/>
              </w:rPr>
            </w:pPr>
          </w:p>
        </w:tc>
      </w:tr>
      <w:tr w14:paraId="2B590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8AA0D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BF75F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C515DC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质量指标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4FA404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预算编制准确率（计算方法为：∣（执行数-预算数）/预算数∣）</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6168998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EC799C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8030B1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C115F2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5</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A121C5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647A8B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663E09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iCs/>
                <w:color w:val="000000"/>
                <w:sz w:val="15"/>
                <w:szCs w:val="15"/>
                <w:u w:val="none"/>
              </w:rPr>
            </w:pPr>
          </w:p>
        </w:tc>
      </w:tr>
      <w:tr w14:paraId="7AEAE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ADD950">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698150F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F60925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经济效益指标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6D10B2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eastAsia" w:cs="Times New Roman"/>
                <w:i w:val="0"/>
                <w:iCs w:val="0"/>
                <w:color w:val="000000"/>
                <w:kern w:val="0"/>
                <w:sz w:val="15"/>
                <w:szCs w:val="15"/>
                <w:u w:val="none"/>
                <w:lang w:val="en-US" w:eastAsia="zh-CN" w:bidi="ar"/>
              </w:rPr>
              <w:t>“三公”经费</w:t>
            </w:r>
            <w:r>
              <w:rPr>
                <w:rFonts w:hint="default" w:ascii="Times New Roman" w:hAnsi="Times New Roman" w:eastAsia="宋体" w:cs="Times New Roman"/>
                <w:i w:val="0"/>
                <w:iCs w:val="0"/>
                <w:color w:val="000000"/>
                <w:kern w:val="0"/>
                <w:sz w:val="15"/>
                <w:szCs w:val="15"/>
                <w:u w:val="none"/>
                <w:lang w:val="en-US" w:eastAsia="zh-CN" w:bidi="ar"/>
              </w:rPr>
              <w:t>控制率[计算方法为：（</w:t>
            </w:r>
            <w:r>
              <w:rPr>
                <w:rFonts w:hint="eastAsia" w:cs="Times New Roman"/>
                <w:i w:val="0"/>
                <w:iCs w:val="0"/>
                <w:color w:val="000000"/>
                <w:kern w:val="0"/>
                <w:sz w:val="15"/>
                <w:szCs w:val="15"/>
                <w:u w:val="none"/>
                <w:lang w:val="en-US" w:eastAsia="zh-CN" w:bidi="ar"/>
              </w:rPr>
              <w:t>“三公”经费</w:t>
            </w:r>
            <w:r>
              <w:rPr>
                <w:rFonts w:hint="default" w:ascii="Times New Roman" w:hAnsi="Times New Roman" w:eastAsia="宋体" w:cs="Times New Roman"/>
                <w:i w:val="0"/>
                <w:iCs w:val="0"/>
                <w:color w:val="000000"/>
                <w:kern w:val="0"/>
                <w:sz w:val="15"/>
                <w:szCs w:val="15"/>
                <w:u w:val="none"/>
                <w:lang w:val="en-US" w:eastAsia="zh-CN" w:bidi="ar"/>
              </w:rPr>
              <w:t>实际支出数/预算安排数]×100%）</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0F4D117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87176D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3E4F167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0C6D61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630DE0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99D5840">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1032CE0">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iCs/>
                <w:color w:val="000000"/>
                <w:sz w:val="15"/>
                <w:szCs w:val="15"/>
                <w:u w:val="none"/>
              </w:rPr>
            </w:pPr>
          </w:p>
        </w:tc>
      </w:tr>
      <w:tr w14:paraId="6521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1EC23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B6AFF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FFDA64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83F6CA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运转保障率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D29DEA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F6FDC3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2AFD51A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E954DB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5"/>
                <w:szCs w:val="15"/>
                <w:u w:val="none"/>
                <w:lang w:val="en-US" w:eastAsia="zh-CN"/>
              </w:rPr>
            </w:pPr>
            <w:r>
              <w:rPr>
                <w:rFonts w:hint="default" w:ascii="Times New Roman" w:hAnsi="Times New Roman" w:eastAsia="微软雅黑" w:cs="Times New Roman"/>
                <w:i w:val="0"/>
                <w:iCs w:val="0"/>
                <w:color w:val="000000"/>
                <w:sz w:val="15"/>
                <w:szCs w:val="15"/>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861E86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3E4FF3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1F4297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iCs/>
                <w:color w:val="000000"/>
                <w:sz w:val="15"/>
                <w:szCs w:val="15"/>
                <w:u w:val="none"/>
              </w:rPr>
            </w:pPr>
          </w:p>
        </w:tc>
      </w:tr>
      <w:tr w14:paraId="303C8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5DA3325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448588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BE7231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E9B178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5"/>
                <w:szCs w:val="15"/>
                <w:u w:val="none"/>
              </w:rPr>
            </w:pPr>
          </w:p>
        </w:tc>
      </w:tr>
      <w:tr w14:paraId="7EBC5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5D3874B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26CD817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42B22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564EBC3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05E76E0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无</w:t>
            </w:r>
          </w:p>
        </w:tc>
      </w:tr>
      <w:tr w14:paraId="159BC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4EC91D3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726BB846">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5"/>
                <w:szCs w:val="15"/>
                <w:u w:val="none"/>
              </w:rPr>
            </w:pPr>
            <w:r>
              <w:rPr>
                <w:rFonts w:hint="default" w:ascii="Times New Roman" w:hAnsi="Times New Roman" w:eastAsia="微软雅黑" w:cs="Times New Roman"/>
                <w:i w:val="0"/>
                <w:iCs w:val="0"/>
                <w:color w:val="000000"/>
                <w:kern w:val="0"/>
                <w:sz w:val="15"/>
                <w:szCs w:val="15"/>
                <w:u w:val="none"/>
                <w:lang w:val="en-US" w:eastAsia="zh-CN" w:bidi="ar"/>
              </w:rPr>
              <w:t>无</w:t>
            </w:r>
          </w:p>
        </w:tc>
      </w:tr>
      <w:tr w14:paraId="75CA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48C3BC0F">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676B2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5301C01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03BA7C7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51320024R000010654282-离休人员经费</w:t>
            </w:r>
          </w:p>
        </w:tc>
      </w:tr>
      <w:tr w14:paraId="63244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364B619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0AA7FA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1041" w:type="dxa"/>
            <w:tcBorders>
              <w:top w:val="nil"/>
              <w:left w:val="nil"/>
              <w:bottom w:val="nil"/>
              <w:right w:val="nil"/>
            </w:tcBorders>
            <w:noWrap w:val="0"/>
            <w:vAlign w:val="center"/>
          </w:tcPr>
          <w:p w14:paraId="191024A3">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实施单位</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2711D9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305C2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392BE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1A5645C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0E7D6A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4885BF12">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1C90E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FC14A2">
            <w:pP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D8F4F">
            <w:pPr>
              <w:rPr>
                <w:rFonts w:hint="default" w:ascii="Times New Roman" w:hAnsi="Times New Roman" w:eastAsia="宋体" w:cs="Times New Roman"/>
                <w:i w:val="0"/>
                <w:iCs w:val="0"/>
                <w:color w:val="000000"/>
                <w:sz w:val="18"/>
                <w:szCs w:val="18"/>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4E1E028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4E3A63B9">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color w:val="000000"/>
                <w:kern w:val="0"/>
                <w:sz w:val="18"/>
                <w:szCs w:val="18"/>
                <w:lang w:bidi="ar"/>
              </w:rPr>
              <w:t>严格执行相关政策，保障工资及时、足额发放。</w:t>
            </w:r>
          </w:p>
        </w:tc>
      </w:tr>
      <w:tr w14:paraId="43D50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AADE93">
            <w:pP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248CD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5C01782A">
            <w:pP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r>
      <w:tr w14:paraId="6327D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07950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2E9DF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370C9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9C955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404257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B6940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5B161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73F0B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49467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4878C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EDDE6F">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3F8521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5B05E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22.52</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F9A32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22.06</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4B670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22.06</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BA4A9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3C76C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33692AA">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3A9D5D26">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p>
        </w:tc>
      </w:tr>
      <w:tr w14:paraId="79F46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3E3249">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6C120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B733E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22.52</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4A4C9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22.06</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283B93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22.06</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4E783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42C69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3F241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C917A7">
            <w:pPr>
              <w:rPr>
                <w:rFonts w:hint="default" w:ascii="Times New Roman" w:hAnsi="Times New Roman" w:eastAsia="黑体" w:cs="Times New Roman"/>
                <w:i/>
                <w:iCs/>
                <w:color w:val="000000"/>
                <w:sz w:val="18"/>
                <w:szCs w:val="18"/>
                <w:u w:val="none"/>
              </w:rPr>
            </w:pPr>
          </w:p>
        </w:tc>
      </w:tr>
      <w:tr w14:paraId="01F9F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E3C3C0">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0E5E2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ABAB2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EFDAF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A00BD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2219E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ABC50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92B8A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C7609">
            <w:pPr>
              <w:rPr>
                <w:rFonts w:hint="default" w:ascii="Times New Roman" w:hAnsi="Times New Roman" w:eastAsia="黑体" w:cs="Times New Roman"/>
                <w:i/>
                <w:iCs/>
                <w:color w:val="000000"/>
                <w:sz w:val="18"/>
                <w:szCs w:val="18"/>
                <w:u w:val="none"/>
              </w:rPr>
            </w:pPr>
          </w:p>
        </w:tc>
      </w:tr>
      <w:tr w14:paraId="51C80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21FE3">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3DB51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685CD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42F1F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9BFDC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B6C46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B40A9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893F9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7AB51F">
            <w:pPr>
              <w:rPr>
                <w:rFonts w:hint="default" w:ascii="Times New Roman" w:hAnsi="Times New Roman" w:eastAsia="黑体" w:cs="Times New Roman"/>
                <w:i/>
                <w:iCs/>
                <w:color w:val="000000"/>
                <w:sz w:val="18"/>
                <w:szCs w:val="18"/>
                <w:u w:val="none"/>
              </w:rPr>
            </w:pPr>
          </w:p>
        </w:tc>
      </w:tr>
      <w:tr w14:paraId="29F81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4C36F4">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1A543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其他资金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D838853">
            <w:pPr>
              <w:jc w:val="center"/>
              <w:rPr>
                <w:rFonts w:hint="default" w:ascii="Times New Roman" w:hAnsi="Times New Roman" w:eastAsia="微软雅黑" w:cs="Times New Roman"/>
                <w:i/>
                <w:iCs/>
                <w:color w:val="000000"/>
                <w:sz w:val="16"/>
                <w:szCs w:val="16"/>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132258A">
            <w:pPr>
              <w:jc w:val="center"/>
              <w:rPr>
                <w:rFonts w:hint="default" w:ascii="Times New Roman" w:hAnsi="Times New Roman" w:eastAsia="微软雅黑" w:cs="Times New Roman"/>
                <w:i/>
                <w:iCs/>
                <w:color w:val="000000"/>
                <w:sz w:val="16"/>
                <w:szCs w:val="16"/>
                <w:u w:val="none"/>
              </w:rPr>
            </w:pP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7BA2ED0">
            <w:pPr>
              <w:jc w:val="center"/>
              <w:rPr>
                <w:rFonts w:hint="default" w:ascii="Times New Roman" w:hAnsi="Times New Roman" w:eastAsia="微软雅黑" w:cs="Times New Roman"/>
                <w:i/>
                <w:iCs/>
                <w:color w:val="000000"/>
                <w:sz w:val="16"/>
                <w:szCs w:val="16"/>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3F30459">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BC24D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C5AB9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3415E6">
            <w:pPr>
              <w:rPr>
                <w:rFonts w:hint="default" w:ascii="Times New Roman" w:hAnsi="Times New Roman" w:eastAsia="黑体" w:cs="Times New Roman"/>
                <w:i/>
                <w:iCs/>
                <w:color w:val="000000"/>
                <w:sz w:val="18"/>
                <w:szCs w:val="18"/>
                <w:u w:val="none"/>
              </w:rPr>
            </w:pPr>
          </w:p>
        </w:tc>
      </w:tr>
      <w:tr w14:paraId="2B0A8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2"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55DCB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8F1B6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7B15D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D001D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6E5B61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66B7A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2B2FA7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A9590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4EFBF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0F3CA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C1BDB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64989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6D1501">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9ADDE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33272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31594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发放（缴纳）覆盖率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C7DBB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D6AF3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A424F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3B9026B">
            <w:pPr>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E53D4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791B69B">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60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888F18F">
            <w:pPr>
              <w:jc w:val="center"/>
              <w:rPr>
                <w:rFonts w:hint="default" w:ascii="Times New Roman" w:hAnsi="Times New Roman" w:eastAsia="微软雅黑" w:cs="Times New Roman"/>
                <w:i/>
                <w:iCs/>
                <w:color w:val="000000"/>
                <w:sz w:val="16"/>
                <w:szCs w:val="16"/>
                <w:u w:val="none"/>
              </w:rPr>
            </w:pPr>
          </w:p>
        </w:tc>
      </w:tr>
      <w:tr w14:paraId="64D7D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3801A5">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2ABD9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58628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1BBE6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足额保障率（参保率）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5ACA3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4B269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0CC069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350828B">
            <w:pPr>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C5A06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9A5368A">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86DA1C6">
            <w:pPr>
              <w:jc w:val="center"/>
              <w:rPr>
                <w:rFonts w:hint="default" w:ascii="Times New Roman" w:hAnsi="Times New Roman" w:eastAsia="微软雅黑" w:cs="Times New Roman"/>
                <w:i/>
                <w:iCs/>
                <w:color w:val="000000"/>
                <w:sz w:val="16"/>
                <w:szCs w:val="16"/>
                <w:u w:val="none"/>
              </w:rPr>
            </w:pPr>
          </w:p>
        </w:tc>
      </w:tr>
      <w:tr w14:paraId="38BC6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63B058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BCAE4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129E41F">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62BCA06">
            <w:pPr>
              <w:jc w:val="center"/>
              <w:rPr>
                <w:rFonts w:hint="default" w:ascii="Times New Roman" w:hAnsi="Times New Roman" w:eastAsia="宋体" w:cs="Times New Roman"/>
                <w:i w:val="0"/>
                <w:iCs w:val="0"/>
                <w:color w:val="000000"/>
                <w:sz w:val="18"/>
                <w:szCs w:val="18"/>
                <w:u w:val="none"/>
              </w:rPr>
            </w:pPr>
          </w:p>
        </w:tc>
      </w:tr>
      <w:tr w14:paraId="548EA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438719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287AA895">
            <w:pPr>
              <w:keepNext w:val="0"/>
              <w:keepLines w:val="0"/>
              <w:widowControl/>
              <w:suppressLineNumbers w:val="0"/>
              <w:jc w:val="left"/>
              <w:textAlignment w:val="center"/>
              <w:rPr>
                <w:rFonts w:hint="default" w:ascii="Times New Roman" w:hAnsi="Times New Roman" w:eastAsia="微软雅黑" w:cs="Times New Roman"/>
                <w:i/>
                <w:iCs/>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54B1F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63F2EC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58C717ED">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0CA1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11714A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0AF32AC1">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6B6BE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1F2A162F">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008A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792E120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7EF3E4D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51320024R000010654621-退休人员经费</w:t>
            </w:r>
          </w:p>
        </w:tc>
      </w:tr>
      <w:tr w14:paraId="4AA32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733D67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14DD0CA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1041" w:type="dxa"/>
            <w:tcBorders>
              <w:top w:val="nil"/>
              <w:left w:val="nil"/>
              <w:bottom w:val="nil"/>
              <w:right w:val="nil"/>
            </w:tcBorders>
            <w:noWrap w:val="0"/>
            <w:vAlign w:val="center"/>
          </w:tcPr>
          <w:p w14:paraId="47A5C8CE">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实施单位 （盖章）</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679D2B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32CAA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2AD8D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6C6C02F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231155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36FA3D04">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2C98F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4D6584">
            <w:pP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AF1505">
            <w:pPr>
              <w:rPr>
                <w:rFonts w:hint="default" w:ascii="Times New Roman" w:hAnsi="Times New Roman" w:eastAsia="宋体" w:cs="Times New Roman"/>
                <w:i w:val="0"/>
                <w:iCs w:val="0"/>
                <w:color w:val="000000"/>
                <w:sz w:val="18"/>
                <w:szCs w:val="18"/>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4E8F0F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314F7831">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b w:val="0"/>
                <w:bCs w:val="0"/>
                <w:color w:val="000000"/>
                <w:kern w:val="0"/>
                <w:sz w:val="18"/>
                <w:szCs w:val="18"/>
                <w:lang w:bidi="ar"/>
              </w:rPr>
              <w:t>严格执行相关政策，保障工资及时、足额发放</w:t>
            </w:r>
          </w:p>
        </w:tc>
      </w:tr>
      <w:tr w14:paraId="39E3D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CF93B5">
            <w:pP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EA7699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32E4C1F7">
            <w:pP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r>
      <w:tr w14:paraId="2C08D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3278C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1583B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8FC9D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052C9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539A7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42B6A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8584D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89EB8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FBFFF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64085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D54CFF">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1691D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BE02D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25.97</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71FAA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25.87</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77CA0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25.87</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DA307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22A93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2084C49">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4C619988">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p>
        </w:tc>
      </w:tr>
      <w:tr w14:paraId="07795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E176EB">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729D5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CAF83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25.97</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4BCE0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25.87</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0A8D3C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25.87</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AA0D5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679A3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F887E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FA790E">
            <w:pPr>
              <w:rPr>
                <w:rFonts w:hint="default" w:ascii="Times New Roman" w:hAnsi="Times New Roman" w:eastAsia="黑体" w:cs="Times New Roman"/>
                <w:i/>
                <w:iCs/>
                <w:color w:val="000000"/>
                <w:sz w:val="18"/>
                <w:szCs w:val="18"/>
                <w:u w:val="none"/>
              </w:rPr>
            </w:pPr>
          </w:p>
        </w:tc>
      </w:tr>
      <w:tr w14:paraId="0EC8D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F0F3F1">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B05EC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17DB6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8566E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57EB34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EEE8C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9D5E7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B8640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C81B91">
            <w:pPr>
              <w:rPr>
                <w:rFonts w:hint="default" w:ascii="Times New Roman" w:hAnsi="Times New Roman" w:eastAsia="黑体" w:cs="Times New Roman"/>
                <w:i/>
                <w:iCs/>
                <w:color w:val="000000"/>
                <w:sz w:val="18"/>
                <w:szCs w:val="18"/>
                <w:u w:val="none"/>
              </w:rPr>
            </w:pPr>
          </w:p>
        </w:tc>
      </w:tr>
      <w:tr w14:paraId="00A6C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9A8C1C">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31EB9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238FA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C0BB5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CC528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6DD6E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BE2FC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C2AB2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896CD2">
            <w:pPr>
              <w:rPr>
                <w:rFonts w:hint="default" w:ascii="Times New Roman" w:hAnsi="Times New Roman" w:eastAsia="黑体" w:cs="Times New Roman"/>
                <w:i/>
                <w:iCs/>
                <w:color w:val="000000"/>
                <w:sz w:val="18"/>
                <w:szCs w:val="18"/>
                <w:u w:val="none"/>
              </w:rPr>
            </w:pPr>
          </w:p>
        </w:tc>
      </w:tr>
      <w:tr w14:paraId="20513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02A3BA">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842BE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其他资金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03E66F2">
            <w:pPr>
              <w:jc w:val="center"/>
              <w:rPr>
                <w:rFonts w:hint="default" w:ascii="Times New Roman" w:hAnsi="Times New Roman" w:eastAsia="微软雅黑" w:cs="Times New Roman"/>
                <w:i/>
                <w:iCs/>
                <w:color w:val="000000"/>
                <w:sz w:val="16"/>
                <w:szCs w:val="16"/>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F188A84">
            <w:pPr>
              <w:jc w:val="center"/>
              <w:rPr>
                <w:rFonts w:hint="default" w:ascii="Times New Roman" w:hAnsi="Times New Roman" w:eastAsia="微软雅黑" w:cs="Times New Roman"/>
                <w:i/>
                <w:iCs/>
                <w:color w:val="000000"/>
                <w:sz w:val="16"/>
                <w:szCs w:val="16"/>
                <w:u w:val="none"/>
              </w:rPr>
            </w:pP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7091BC1">
            <w:pPr>
              <w:jc w:val="center"/>
              <w:rPr>
                <w:rFonts w:hint="default" w:ascii="Times New Roman" w:hAnsi="Times New Roman" w:eastAsia="微软雅黑" w:cs="Times New Roman"/>
                <w:i/>
                <w:iCs/>
                <w:color w:val="000000"/>
                <w:sz w:val="16"/>
                <w:szCs w:val="16"/>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C084498">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94844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71051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633DF0">
            <w:pPr>
              <w:rPr>
                <w:rFonts w:hint="default" w:ascii="Times New Roman" w:hAnsi="Times New Roman" w:eastAsia="黑体" w:cs="Times New Roman"/>
                <w:i/>
                <w:iCs/>
                <w:color w:val="000000"/>
                <w:sz w:val="18"/>
                <w:szCs w:val="18"/>
                <w:u w:val="none"/>
              </w:rPr>
            </w:pPr>
          </w:p>
        </w:tc>
      </w:tr>
      <w:tr w14:paraId="457D9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DEA48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51379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FF0B5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E1020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9BF27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074D05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26B39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50EA3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2C2BE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A7F88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6F540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53BD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F336FA">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B97B3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79BF6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A2DBF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发放（缴纳）覆盖率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6D876A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4C470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A9D39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FCACA4E">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9D11D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606C6A4">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60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A586AAA">
            <w:pPr>
              <w:jc w:val="center"/>
              <w:rPr>
                <w:rFonts w:hint="default" w:ascii="Times New Roman" w:hAnsi="Times New Roman" w:eastAsia="微软雅黑" w:cs="Times New Roman"/>
                <w:i/>
                <w:iCs/>
                <w:color w:val="000000"/>
                <w:sz w:val="16"/>
                <w:szCs w:val="16"/>
                <w:u w:val="none"/>
              </w:rPr>
            </w:pPr>
          </w:p>
        </w:tc>
      </w:tr>
      <w:tr w14:paraId="26057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3D6D04">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883BF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B858C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C308B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足额保障率（参保率）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D589D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5C73D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A8C13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02DDEC0">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44536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A4809C4">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D2589F4">
            <w:pPr>
              <w:jc w:val="center"/>
              <w:rPr>
                <w:rFonts w:hint="default" w:ascii="Times New Roman" w:hAnsi="Times New Roman" w:eastAsia="微软雅黑" w:cs="Times New Roman"/>
                <w:i/>
                <w:iCs/>
                <w:color w:val="000000"/>
                <w:sz w:val="16"/>
                <w:szCs w:val="16"/>
                <w:u w:val="none"/>
              </w:rPr>
            </w:pPr>
          </w:p>
        </w:tc>
      </w:tr>
      <w:tr w14:paraId="761FA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1ECF53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9884B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8E3DA5D">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54CC786">
            <w:pPr>
              <w:jc w:val="center"/>
              <w:rPr>
                <w:rFonts w:hint="default" w:ascii="Times New Roman" w:hAnsi="Times New Roman" w:eastAsia="宋体" w:cs="Times New Roman"/>
                <w:i w:val="0"/>
                <w:iCs w:val="0"/>
                <w:color w:val="000000"/>
                <w:sz w:val="18"/>
                <w:szCs w:val="18"/>
                <w:u w:val="none"/>
              </w:rPr>
            </w:pPr>
          </w:p>
        </w:tc>
      </w:tr>
      <w:tr w14:paraId="2BDC6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3D2EDE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475445B8">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5E77F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7936C6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1F639E1E">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63FDC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4B4710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114F9600">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74996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7E78C27C">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62F7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0393343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1917FB8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51320024R000010655518-目标绩效奖（行政按月随工资发放70%部分）</w:t>
            </w:r>
          </w:p>
        </w:tc>
      </w:tr>
      <w:tr w14:paraId="1AC69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1AA8DDD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7E71F2F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1041" w:type="dxa"/>
            <w:tcBorders>
              <w:top w:val="nil"/>
              <w:left w:val="nil"/>
              <w:bottom w:val="nil"/>
              <w:right w:val="nil"/>
            </w:tcBorders>
            <w:noWrap w:val="0"/>
            <w:vAlign w:val="center"/>
          </w:tcPr>
          <w:p w14:paraId="4387C21A">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20110A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31A79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119E2B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560765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04EE35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51F416DA">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6099C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083E69">
            <w:pP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D4A1EB">
            <w:pPr>
              <w:rPr>
                <w:rFonts w:hint="default" w:ascii="Times New Roman" w:hAnsi="Times New Roman" w:eastAsia="宋体" w:cs="Times New Roman"/>
                <w:i w:val="0"/>
                <w:iCs w:val="0"/>
                <w:color w:val="000000"/>
                <w:sz w:val="18"/>
                <w:szCs w:val="18"/>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70DCF0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63177DA4">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b w:val="0"/>
                <w:bCs w:val="0"/>
                <w:color w:val="000000"/>
                <w:kern w:val="0"/>
                <w:sz w:val="18"/>
                <w:szCs w:val="18"/>
                <w:lang w:bidi="ar"/>
              </w:rPr>
              <w:t>严格执行相关政策，保障工资及时、足额发放</w:t>
            </w:r>
          </w:p>
        </w:tc>
      </w:tr>
      <w:tr w14:paraId="3EC61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C3BD4">
            <w:pP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21829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6E09C322">
            <w:pP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r>
      <w:tr w14:paraId="2F430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B5BFE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78981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BAA95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32B0F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68871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98EC1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357D0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D617C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FEB04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2E3DF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FCD93">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63FB5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6A5CD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66.80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4F0C0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68.36</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5EE609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68.36</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6C9ED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871DF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AAE2ECE">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7E5B1C1C">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r>
              <w:rPr>
                <w:rFonts w:hint="default" w:ascii="Times New Roman" w:hAnsi="Times New Roman" w:eastAsia="黑体" w:cs="Times New Roman"/>
                <w:i/>
                <w:iCs/>
                <w:color w:val="000000"/>
                <w:kern w:val="0"/>
                <w:sz w:val="18"/>
                <w:szCs w:val="18"/>
                <w:u w:val="none"/>
                <w:lang w:val="en-US" w:eastAsia="zh-CN" w:bidi="ar"/>
              </w:rPr>
              <w:t>.</w:t>
            </w:r>
          </w:p>
        </w:tc>
      </w:tr>
      <w:tr w14:paraId="6E488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6B9D1">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3442A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AF42E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66.80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66CB8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68.36</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5372A7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68.36</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66626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3525F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F4343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59449D">
            <w:pPr>
              <w:rPr>
                <w:rFonts w:hint="default" w:ascii="Times New Roman" w:hAnsi="Times New Roman" w:eastAsia="黑体" w:cs="Times New Roman"/>
                <w:i/>
                <w:iCs/>
                <w:color w:val="000000"/>
                <w:sz w:val="18"/>
                <w:szCs w:val="18"/>
                <w:u w:val="none"/>
              </w:rPr>
            </w:pPr>
          </w:p>
        </w:tc>
      </w:tr>
      <w:tr w14:paraId="6DC53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21C622">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352C4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476DE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93589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2CCE24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E45CA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FD743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778E3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8BC5DD">
            <w:pPr>
              <w:rPr>
                <w:rFonts w:hint="default" w:ascii="Times New Roman" w:hAnsi="Times New Roman" w:eastAsia="黑体" w:cs="Times New Roman"/>
                <w:i/>
                <w:iCs/>
                <w:color w:val="000000"/>
                <w:sz w:val="18"/>
                <w:szCs w:val="18"/>
                <w:u w:val="none"/>
              </w:rPr>
            </w:pPr>
          </w:p>
        </w:tc>
      </w:tr>
      <w:tr w14:paraId="0802F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2B4047">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B586F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5AD581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F5B03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CD6E9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2789B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E196B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57BC4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46994">
            <w:pPr>
              <w:rPr>
                <w:rFonts w:hint="default" w:ascii="Times New Roman" w:hAnsi="Times New Roman" w:eastAsia="黑体" w:cs="Times New Roman"/>
                <w:i/>
                <w:iCs/>
                <w:color w:val="000000"/>
                <w:sz w:val="18"/>
                <w:szCs w:val="18"/>
                <w:u w:val="none"/>
              </w:rPr>
            </w:pPr>
          </w:p>
        </w:tc>
      </w:tr>
      <w:tr w14:paraId="22C18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EC8175">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B25EA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其他资金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1EEDCD7">
            <w:pPr>
              <w:jc w:val="center"/>
              <w:rPr>
                <w:rFonts w:hint="default" w:ascii="Times New Roman" w:hAnsi="Times New Roman" w:eastAsia="微软雅黑" w:cs="Times New Roman"/>
                <w:i/>
                <w:iCs/>
                <w:color w:val="000000"/>
                <w:sz w:val="16"/>
                <w:szCs w:val="16"/>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A82D87F">
            <w:pPr>
              <w:jc w:val="center"/>
              <w:rPr>
                <w:rFonts w:hint="default" w:ascii="Times New Roman" w:hAnsi="Times New Roman" w:eastAsia="微软雅黑" w:cs="Times New Roman"/>
                <w:i/>
                <w:iCs/>
                <w:color w:val="000000"/>
                <w:sz w:val="16"/>
                <w:szCs w:val="16"/>
                <w:u w:val="none"/>
              </w:rPr>
            </w:pP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4C1CE1EC">
            <w:pPr>
              <w:jc w:val="center"/>
              <w:rPr>
                <w:rFonts w:hint="default" w:ascii="Times New Roman" w:hAnsi="Times New Roman" w:eastAsia="微软雅黑" w:cs="Times New Roman"/>
                <w:i/>
                <w:iCs/>
                <w:color w:val="000000"/>
                <w:sz w:val="16"/>
                <w:szCs w:val="16"/>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0BE42CA">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34E4B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44E3F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64C69C">
            <w:pPr>
              <w:rPr>
                <w:rFonts w:hint="default" w:ascii="Times New Roman" w:hAnsi="Times New Roman" w:eastAsia="黑体" w:cs="Times New Roman"/>
                <w:i/>
                <w:iCs/>
                <w:color w:val="000000"/>
                <w:sz w:val="18"/>
                <w:szCs w:val="18"/>
                <w:u w:val="none"/>
              </w:rPr>
            </w:pPr>
          </w:p>
        </w:tc>
      </w:tr>
      <w:tr w14:paraId="321B3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95A22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ECA38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549E3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66A60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608EA7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56821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DC019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5C695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2E489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25D04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7F09F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498BE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9A60C7">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C267A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53B56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DE357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发放（缴纳）覆盖率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7EB45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31A140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4A90D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C8A3F12">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D27D2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84CAF22">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60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094B4E4">
            <w:pPr>
              <w:jc w:val="center"/>
              <w:rPr>
                <w:rFonts w:hint="default" w:ascii="Times New Roman" w:hAnsi="Times New Roman" w:eastAsia="微软雅黑" w:cs="Times New Roman"/>
                <w:i/>
                <w:iCs/>
                <w:color w:val="000000"/>
                <w:sz w:val="16"/>
                <w:szCs w:val="16"/>
                <w:u w:val="none"/>
              </w:rPr>
            </w:pPr>
          </w:p>
        </w:tc>
      </w:tr>
      <w:tr w14:paraId="268E6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E77E91">
            <w:pPr>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1D219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C1AE2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CA724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足额保障率（参保率）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E0506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4F7CBC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626D7D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E73DD05">
            <w:pPr>
              <w:jc w:val="center"/>
              <w:rPr>
                <w:rFonts w:hint="default" w:ascii="Times New Roman" w:hAnsi="Times New Roman" w:eastAsia="微软雅黑" w:cs="Times New Roman"/>
                <w:i/>
                <w:iCs/>
                <w:color w:val="000000"/>
                <w:sz w:val="16"/>
                <w:szCs w:val="16"/>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9D076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937319F">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0376621">
            <w:pPr>
              <w:jc w:val="center"/>
              <w:rPr>
                <w:rFonts w:hint="default" w:ascii="Times New Roman" w:hAnsi="Times New Roman" w:eastAsia="微软雅黑" w:cs="Times New Roman"/>
                <w:i/>
                <w:iCs/>
                <w:color w:val="000000"/>
                <w:sz w:val="16"/>
                <w:szCs w:val="16"/>
                <w:u w:val="none"/>
              </w:rPr>
            </w:pPr>
          </w:p>
        </w:tc>
      </w:tr>
      <w:tr w14:paraId="74E08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1E7B98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34E1A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FC1B365">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F78B100">
            <w:pPr>
              <w:jc w:val="center"/>
              <w:rPr>
                <w:rFonts w:hint="default" w:ascii="Times New Roman" w:hAnsi="Times New Roman" w:eastAsia="宋体" w:cs="Times New Roman"/>
                <w:i w:val="0"/>
                <w:iCs w:val="0"/>
                <w:color w:val="000000"/>
                <w:sz w:val="18"/>
                <w:szCs w:val="18"/>
                <w:u w:val="none"/>
              </w:rPr>
            </w:pPr>
          </w:p>
        </w:tc>
      </w:tr>
      <w:tr w14:paraId="7C4E6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421FDE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3664AE95">
            <w:pPr>
              <w:keepNext w:val="0"/>
              <w:keepLines w:val="0"/>
              <w:widowControl/>
              <w:suppressLineNumbers w:val="0"/>
              <w:jc w:val="left"/>
              <w:textAlignment w:val="center"/>
              <w:rPr>
                <w:rFonts w:hint="default" w:ascii="Times New Roman" w:hAnsi="Times New Roman" w:eastAsia="微软雅黑" w:cs="Times New Roman"/>
                <w:i/>
                <w:iCs/>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40C42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64D2E5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40BE6A00">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1394E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3BA5E4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70853DF5">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74FB8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095CFC5B">
            <w:pPr>
              <w:keepNext w:val="0"/>
              <w:keepLines w:val="0"/>
              <w:widowControl/>
              <w:suppressLineNumbers w:val="0"/>
              <w:ind w:firstLine="4216" w:firstLineChars="1400"/>
              <w:jc w:val="both"/>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5E811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3790839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061F0A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51320024T000010422534-党建品牌创建及机关党建联动工作经费</w:t>
            </w:r>
          </w:p>
        </w:tc>
      </w:tr>
      <w:tr w14:paraId="030F5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2A766D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30D157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1041" w:type="dxa"/>
            <w:tcBorders>
              <w:top w:val="nil"/>
              <w:left w:val="nil"/>
              <w:bottom w:val="nil"/>
              <w:right w:val="nil"/>
            </w:tcBorders>
            <w:noWrap w:val="0"/>
            <w:vAlign w:val="center"/>
          </w:tcPr>
          <w:p w14:paraId="10E4EB99">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实施单位</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23C866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42F87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4E2411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46B4D33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5F79007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43BC00B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12AA8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E44B86">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1E3BB6">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8"/>
                <w:szCs w:val="18"/>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5C3F5815">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建立市（州）、州县（市）、州直机关党建三级联动机制，联动提升机关党建工作水平。2.2022年起，以品牌建设为突破、为载体、为举措，树牢州直机关“净土先锋”机关党建品牌和州直部门子品牌的创建工作，在全省、全国行业系创建特色品牌，同时，规范党内各项基本制度，切实达到州委刘坪书记要求的把州直机关党的建设工作开展的“红红火火、有声有色”。</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516D17E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持续破解机关党建与业务工作“两张皮”问题，推动机关党建与业务工作深度融合，全面深化2022年-2024年“净土先锋”党建总品牌+行业（系统）党建子品牌的“1+N”党建品牌矩阵，有效推动党建工作与中心工作深度融合、相互促进，持续推动州县机关党建联动提升。</w:t>
            </w:r>
          </w:p>
        </w:tc>
      </w:tr>
      <w:tr w14:paraId="5E363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419213">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2C1534D">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234E56D6">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rPr>
              <w:t>持续构建州县党建联动机制，实现资源共享、难题共解；将95个州直部门组建为13个共建组，6500余名党员参与党组织共建活动。</w:t>
            </w:r>
          </w:p>
        </w:tc>
      </w:tr>
      <w:tr w14:paraId="64202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6ED863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0CADBE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9039F1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B670AA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6F1B4CF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B84CC5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907E2E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1CC0C0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DAC2E3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2A732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ACC10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97E7D3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92F5D5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A0362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8.22</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A5B918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8.22</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889BE1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1DCFD7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941B6E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1E730856">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8"/>
                <w:szCs w:val="18"/>
                <w:u w:val="none"/>
              </w:rPr>
            </w:pPr>
          </w:p>
        </w:tc>
      </w:tr>
      <w:tr w14:paraId="32EC8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5BDBF0">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4DF9DCD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C95549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98831C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8.22</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4624A9F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8.22</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65EA38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1C80B6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202BAE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636699">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8"/>
                <w:szCs w:val="18"/>
                <w:u w:val="none"/>
              </w:rPr>
            </w:pPr>
          </w:p>
        </w:tc>
      </w:tr>
      <w:tr w14:paraId="71F8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8A725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E488C3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CA1E80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BEB4C0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143C559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F9BAFA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8943E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8DDCF8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2D9453">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8"/>
                <w:szCs w:val="18"/>
                <w:u w:val="none"/>
              </w:rPr>
            </w:pPr>
          </w:p>
        </w:tc>
      </w:tr>
      <w:tr w14:paraId="5FCB4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C7D9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BD263E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034013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A14660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F446AA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708699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3ACE3B7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10B214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F03D6B">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8"/>
                <w:szCs w:val="18"/>
                <w:u w:val="none"/>
              </w:rPr>
            </w:pPr>
          </w:p>
        </w:tc>
      </w:tr>
      <w:tr w14:paraId="7325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93A132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8C6063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161D2E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73F296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6DC281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1921D3D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5A29D63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5D1FD0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7745F8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A9E6A1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8C777E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52300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BE76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4879507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732AA8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67C6E8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每年从州直机关推选党建品牌</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F2BDBF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9A44D8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09DA952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个</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19D87B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12</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739A22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113981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FF16D5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1E290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89EA3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A08FA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3B5631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质量指标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047DB8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通过验收合格</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02E1AD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E4F299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46C0C5A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2161D3A">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12</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B1C389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9FD12C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D109F6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3A0DD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3544F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5FBFA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221447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时效指标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C08F75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工作完成时间</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1BD0CB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6E90BF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12月底前</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2183C8D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B5D964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已经完成</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4869BA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DE645E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D372D2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0D7E5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1FC30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7D0093B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E71ACD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80D53D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保障工作正常开展</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52C4A1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E74B52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有效保障</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419D268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21F1FF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宋体" w:cs="Times New Roman"/>
                <w:i w:val="0"/>
                <w:iCs w:val="0"/>
                <w:color w:val="000000"/>
                <w:kern w:val="0"/>
                <w:sz w:val="18"/>
                <w:szCs w:val="18"/>
                <w:u w:val="none"/>
                <w:lang w:val="en-US" w:eastAsia="zh-CN" w:bidi="ar"/>
              </w:rPr>
              <w:t>有效保障</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BFA1B3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0A7DFC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648AA6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0E2B1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68D4B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38C96F0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满意度指标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A1E7C4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服务对象满意度指标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5514A7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创建单位≥90%</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F792BE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08FA8B7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D5828A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700489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DC260D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09AF06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DB3A81E">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70C96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084D8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996629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成本指标</w:t>
            </w:r>
          </w:p>
        </w:tc>
        <w:tc>
          <w:tcPr>
            <w:tcW w:w="16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DD7F0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经济成本指标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93DA29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会议成本</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5445C4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2253C4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48B3750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人/天</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1771180">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230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B4D1D3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851FA5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859FC9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4E654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F714D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EF232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6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E23B6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DAEF46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人均成本</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1BD1C6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3929B1E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470</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4F85862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元/天</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FFC401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470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B5E369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DC49E55">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ACCEA00">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24B5B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3B12994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F18B2E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8401AE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67C959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r>
      <w:tr w14:paraId="2A484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42271CA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1973EF3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6B418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2B016C2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5B04808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394ED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44E4D45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4061C7B1">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1D0D4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13075" w:type="dxa"/>
            <w:gridSpan w:val="11"/>
            <w:tcBorders>
              <w:top w:val="single" w:color="000000" w:sz="4" w:space="0"/>
              <w:left w:val="single" w:color="000000" w:sz="4" w:space="0"/>
              <w:bottom w:val="single" w:color="000000" w:sz="4" w:space="0"/>
              <w:right w:val="single" w:color="000000" w:sz="4" w:space="0"/>
            </w:tcBorders>
            <w:noWrap w:val="0"/>
            <w:vAlign w:val="center"/>
          </w:tcPr>
          <w:p w14:paraId="630323B9">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39936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0D491CF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5DF6B89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51320024T000010422539-办公设备购置</w:t>
            </w:r>
          </w:p>
        </w:tc>
      </w:tr>
      <w:tr w14:paraId="32214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2454" w:type="dxa"/>
            <w:gridSpan w:val="2"/>
            <w:tcBorders>
              <w:top w:val="single" w:color="000000" w:sz="4" w:space="0"/>
              <w:left w:val="single" w:color="000000" w:sz="4" w:space="0"/>
              <w:bottom w:val="single" w:color="000000" w:sz="4" w:space="0"/>
              <w:right w:val="single" w:color="000000" w:sz="4" w:space="0"/>
            </w:tcBorders>
            <w:noWrap w:val="0"/>
            <w:vAlign w:val="center"/>
          </w:tcPr>
          <w:p w14:paraId="044908C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6B630125">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1041" w:type="dxa"/>
            <w:tcBorders>
              <w:top w:val="nil"/>
              <w:left w:val="nil"/>
              <w:bottom w:val="nil"/>
              <w:right w:val="nil"/>
            </w:tcBorders>
            <w:noWrap w:val="0"/>
            <w:vAlign w:val="center"/>
          </w:tcPr>
          <w:p w14:paraId="52A5D3D6">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 xml:space="preserve">实施单位 </w:t>
            </w:r>
          </w:p>
        </w:tc>
        <w:tc>
          <w:tcPr>
            <w:tcW w:w="2743" w:type="dxa"/>
            <w:gridSpan w:val="3"/>
            <w:tcBorders>
              <w:top w:val="single" w:color="000000" w:sz="4" w:space="0"/>
              <w:left w:val="single" w:color="000000" w:sz="4" w:space="0"/>
              <w:bottom w:val="single" w:color="000000" w:sz="4" w:space="0"/>
              <w:right w:val="single" w:color="000000" w:sz="4" w:space="0"/>
            </w:tcBorders>
            <w:noWrap w:val="0"/>
            <w:vAlign w:val="center"/>
          </w:tcPr>
          <w:p w14:paraId="71E4AB1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44658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61288A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7FB836B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3C740BA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63EDBD5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25388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B6A10">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47A663">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8"/>
                <w:szCs w:val="18"/>
                <w:u w:val="none"/>
              </w:rPr>
            </w:pPr>
          </w:p>
        </w:tc>
        <w:tc>
          <w:tcPr>
            <w:tcW w:w="6837" w:type="dxa"/>
            <w:gridSpan w:val="5"/>
            <w:tcBorders>
              <w:top w:val="single" w:color="000000" w:sz="4" w:space="0"/>
              <w:left w:val="single" w:color="000000" w:sz="4" w:space="0"/>
              <w:bottom w:val="single" w:color="000000" w:sz="4" w:space="0"/>
              <w:right w:val="single" w:color="000000" w:sz="4" w:space="0"/>
            </w:tcBorders>
            <w:noWrap w:val="0"/>
            <w:vAlign w:val="center"/>
          </w:tcPr>
          <w:p w14:paraId="7F671600">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根据会议精神，2024年开始，党员组织关系转接需安装大组工网（涉密）的国产电脑操作。为切实做好党员信息保密工作，同时，为便于开展年底集中会审、党统数据统计等工作，实现党员信息管理信息化，需采购2台电脑，其中一台为便携式笔记本电脑（国产化）、另外一台为安装大组工（涉密）的台式电脑。2.购置空调13台。每台3500元，更好的满足干部职工冬季取暖需求</w:t>
            </w:r>
            <w:r>
              <w:rPr>
                <w:rFonts w:hint="default" w:ascii="Times New Roman" w:hAnsi="Times New Roman" w:cs="Times New Roman"/>
                <w:i w:val="0"/>
                <w:iCs w:val="0"/>
                <w:color w:val="000000"/>
                <w:kern w:val="0"/>
                <w:sz w:val="18"/>
                <w:szCs w:val="18"/>
                <w:u w:val="none"/>
                <w:lang w:val="en-US" w:eastAsia="zh-CN" w:bidi="ar"/>
              </w:rPr>
              <w:t>。</w:t>
            </w:r>
          </w:p>
        </w:tc>
        <w:tc>
          <w:tcPr>
            <w:tcW w:w="3784" w:type="dxa"/>
            <w:gridSpan w:val="4"/>
            <w:tcBorders>
              <w:top w:val="single" w:color="000000" w:sz="4" w:space="0"/>
              <w:left w:val="single" w:color="000000" w:sz="4" w:space="0"/>
              <w:bottom w:val="single" w:color="000000" w:sz="4" w:space="0"/>
              <w:right w:val="single" w:color="000000" w:sz="4" w:space="0"/>
            </w:tcBorders>
            <w:noWrap w:val="0"/>
            <w:vAlign w:val="center"/>
          </w:tcPr>
          <w:p w14:paraId="11017FD1">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根据年初目标，采购了13台空调；因相关要求，未采购2台电脑。</w:t>
            </w:r>
          </w:p>
        </w:tc>
      </w:tr>
      <w:tr w14:paraId="0D1C0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0BE20D">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CAF1C7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621" w:type="dxa"/>
            <w:gridSpan w:val="9"/>
            <w:tcBorders>
              <w:top w:val="single" w:color="000000" w:sz="4" w:space="0"/>
              <w:left w:val="single" w:color="000000" w:sz="4" w:space="0"/>
              <w:bottom w:val="single" w:color="000000" w:sz="4" w:space="0"/>
              <w:right w:val="single" w:color="000000" w:sz="4" w:space="0"/>
            </w:tcBorders>
            <w:noWrap w:val="0"/>
            <w:vAlign w:val="center"/>
          </w:tcPr>
          <w:p w14:paraId="0C4EAB52">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rPr>
              <w:t>根据年初目标，采购了13台空调；因相关要求，未采购2台电脑。</w:t>
            </w:r>
          </w:p>
        </w:tc>
      </w:tr>
      <w:tr w14:paraId="4A4A6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AA965D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CFEE0A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C45FFF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DD11B2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8D3370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E960B6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61FD64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CE520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1DF7BA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29188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00B15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E7B4F9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8577CB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68D587C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594402C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67F447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F49BC2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4522F2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14:paraId="3D27F397">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黑体" w:cs="Times New Roman"/>
                <w:i w:val="0"/>
                <w:iCs w:val="0"/>
                <w:color w:val="000000"/>
                <w:sz w:val="18"/>
                <w:szCs w:val="18"/>
                <w:u w:val="none"/>
              </w:rPr>
            </w:pPr>
          </w:p>
        </w:tc>
      </w:tr>
      <w:tr w14:paraId="5A1E4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397E3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6358588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483AF4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85F68B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4A712FE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BA4FC7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B1315A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FB3EC0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D97F2B">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8"/>
                <w:szCs w:val="18"/>
                <w:u w:val="none"/>
              </w:rPr>
            </w:pPr>
          </w:p>
        </w:tc>
      </w:tr>
      <w:tr w14:paraId="07542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EF41F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3F05C67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9AB1F2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2DBB241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3469C5F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E23335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C50C7E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3DA9CD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F59A7B">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8"/>
                <w:szCs w:val="18"/>
                <w:u w:val="none"/>
              </w:rPr>
            </w:pPr>
          </w:p>
        </w:tc>
      </w:tr>
      <w:tr w14:paraId="5DAB9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18AE80">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1ECAAD6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D0985B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06C05E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13" w:type="dxa"/>
            <w:gridSpan w:val="3"/>
            <w:tcBorders>
              <w:top w:val="single" w:color="000000" w:sz="4" w:space="0"/>
              <w:left w:val="single" w:color="000000" w:sz="4" w:space="0"/>
              <w:bottom w:val="single" w:color="000000" w:sz="4" w:space="0"/>
              <w:right w:val="single" w:color="000000" w:sz="4" w:space="0"/>
            </w:tcBorders>
            <w:noWrap w:val="0"/>
            <w:vAlign w:val="center"/>
          </w:tcPr>
          <w:p w14:paraId="7815090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2803E7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1E122D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102EC9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7DDED7">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黑体" w:cs="Times New Roman"/>
                <w:i w:val="0"/>
                <w:iCs w:val="0"/>
                <w:color w:val="000000"/>
                <w:sz w:val="18"/>
                <w:szCs w:val="18"/>
                <w:u w:val="none"/>
              </w:rPr>
            </w:pPr>
          </w:p>
        </w:tc>
      </w:tr>
      <w:tr w14:paraId="52DB8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520193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5A5F746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18DEBE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74A354B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6DE63F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119F12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6620DD88">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i w:val="0"/>
                <w:iCs w:val="0"/>
                <w:color w:val="000000"/>
                <w:kern w:val="0"/>
                <w:sz w:val="18"/>
                <w:szCs w:val="18"/>
                <w:u w:val="none"/>
                <w:lang w:val="en-US" w:eastAsia="zh-CN" w:bidi="ar"/>
              </w:rPr>
              <w:t>度</w:t>
            </w:r>
            <w:r>
              <w:rPr>
                <w:rFonts w:hint="default" w:ascii="Times New Roman" w:hAnsi="Times New Roman" w:eastAsia="宋体" w:cs="Times New Roman"/>
                <w:i w:val="0"/>
                <w:iCs w:val="0"/>
                <w:color w:val="000000"/>
                <w:kern w:val="0"/>
                <w:sz w:val="18"/>
                <w:szCs w:val="18"/>
                <w:u w:val="none"/>
                <w:lang w:val="en-US" w:eastAsia="zh-CN" w:bidi="ar"/>
              </w:rPr>
              <w:t>量单位</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5755AE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D516C4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13A41E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411EF9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25274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7D208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51EA43D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1DE1DBE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31E970C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购买办公设备数量</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DEDC53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5B4DEE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5C62E7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09A688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13</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2D1F10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212A13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086585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6D1A2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8D174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3F719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3A02514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质量指标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0654C1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验收合格</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57518B1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CFC6E6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48B0B31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9E6173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C33D3D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2375EB">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B00E39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5EB2D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55B51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A930AC">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8DFEC1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时效指标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DA9562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项目完成情况</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EE21FF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7F8E9E0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12月底前</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41D8729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6798402">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10月前</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61FF30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DB2CDC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9A302A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38975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8923B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vMerge w:val="restart"/>
            <w:tcBorders>
              <w:top w:val="single" w:color="000000" w:sz="4" w:space="0"/>
              <w:left w:val="single" w:color="000000" w:sz="4" w:space="0"/>
              <w:bottom w:val="single" w:color="000000" w:sz="4" w:space="0"/>
              <w:right w:val="single" w:color="000000" w:sz="4" w:space="0"/>
            </w:tcBorders>
            <w:noWrap w:val="0"/>
            <w:vAlign w:val="center"/>
          </w:tcPr>
          <w:p w14:paraId="50501A3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60BEBD4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经济效益指标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DA3CE5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促进市场消费</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2408C22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5DAB692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2989ED7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F2B19AA">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4.25</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289BFF1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856322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7B93AC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01B11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4ABB5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A2CE1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717A19B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52391B3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提升工作效率</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7C7FDD5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定性</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3B5B834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进一步提升</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188DED33">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18E305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宋体" w:cs="Times New Roman"/>
                <w:i w:val="0"/>
                <w:iCs w:val="0"/>
                <w:color w:val="000000"/>
                <w:kern w:val="0"/>
                <w:sz w:val="18"/>
                <w:szCs w:val="18"/>
                <w:u w:val="none"/>
                <w:lang w:val="en-US" w:eastAsia="zh-CN" w:bidi="ar"/>
              </w:rPr>
              <w:t>进一步提升</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08FE5BD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4182A6D">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D07D708">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03B21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709571">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0925035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满意度指标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47C77A0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服务对象满意度指标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4115207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干部职工满意度</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07995A6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2CA2090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20443FE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B86A67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7FEC77A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9E35DB6">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8E82389">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46231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97190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rPr>
            </w:pPr>
          </w:p>
        </w:tc>
        <w:tc>
          <w:tcPr>
            <w:tcW w:w="1838" w:type="dxa"/>
            <w:tcBorders>
              <w:top w:val="single" w:color="000000" w:sz="4" w:space="0"/>
              <w:left w:val="single" w:color="000000" w:sz="4" w:space="0"/>
              <w:bottom w:val="single" w:color="000000" w:sz="4" w:space="0"/>
              <w:right w:val="single" w:color="000000" w:sz="4" w:space="0"/>
            </w:tcBorders>
            <w:noWrap w:val="0"/>
            <w:vAlign w:val="center"/>
          </w:tcPr>
          <w:p w14:paraId="2A86EE9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成本指标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2882A27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经济成本指标</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0B3A1C6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采购设备成本</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C51594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2" w:type="dxa"/>
            <w:tcBorders>
              <w:top w:val="single" w:color="000000" w:sz="4" w:space="0"/>
              <w:left w:val="single" w:color="000000" w:sz="4" w:space="0"/>
              <w:bottom w:val="single" w:color="000000" w:sz="4" w:space="0"/>
              <w:right w:val="single" w:color="000000" w:sz="4" w:space="0"/>
            </w:tcBorders>
            <w:noWrap w:val="0"/>
            <w:vAlign w:val="center"/>
          </w:tcPr>
          <w:p w14:paraId="6870C80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14:paraId="236ADC0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A5D8934">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4.25</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87F2BA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1625E07">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20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EA542AA">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微软雅黑" w:cs="Times New Roman"/>
                <w:i w:val="0"/>
                <w:iCs w:val="0"/>
                <w:color w:val="000000"/>
                <w:sz w:val="16"/>
                <w:szCs w:val="16"/>
                <w:u w:val="none"/>
              </w:rPr>
            </w:pPr>
          </w:p>
        </w:tc>
      </w:tr>
      <w:tr w14:paraId="670EF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332" w:type="dxa"/>
            <w:gridSpan w:val="8"/>
            <w:tcBorders>
              <w:top w:val="single" w:color="000000" w:sz="4" w:space="0"/>
              <w:left w:val="single" w:color="000000" w:sz="4" w:space="0"/>
              <w:bottom w:val="single" w:color="000000" w:sz="4" w:space="0"/>
              <w:right w:val="single" w:color="000000" w:sz="4" w:space="0"/>
            </w:tcBorders>
            <w:noWrap w:val="0"/>
            <w:vAlign w:val="center"/>
          </w:tcPr>
          <w:p w14:paraId="622E8F6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143BE2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8CFC91F">
            <w:pPr>
              <w:keepNext w:val="0"/>
              <w:keepLines w:val="0"/>
              <w:pageBreakBefore w:val="0"/>
              <w:widowControl/>
              <w:kinsoku/>
              <w:wordWrap/>
              <w:overflowPunct/>
              <w:topLinePunct w:val="0"/>
              <w:autoSpaceDE/>
              <w:autoSpaceDN/>
              <w:bidi w:val="0"/>
              <w:adjustRightInd/>
              <w:snapToGrid/>
              <w:spacing w:line="200" w:lineRule="exact"/>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74549E3">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eastAsia="宋体" w:cs="Times New Roman"/>
                <w:i w:val="0"/>
                <w:iCs w:val="0"/>
                <w:color w:val="000000"/>
                <w:sz w:val="18"/>
                <w:szCs w:val="18"/>
                <w:u w:val="none"/>
              </w:rPr>
            </w:pPr>
          </w:p>
        </w:tc>
      </w:tr>
      <w:tr w14:paraId="1B063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02834E4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65FB0DA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07792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1BCF9C1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4D6BDEED">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27D9D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14:paraId="30ABFB4A">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459" w:type="dxa"/>
            <w:gridSpan w:val="10"/>
            <w:tcBorders>
              <w:top w:val="single" w:color="000000" w:sz="4" w:space="0"/>
              <w:left w:val="single" w:color="000000" w:sz="4" w:space="0"/>
              <w:bottom w:val="single" w:color="000000" w:sz="4" w:space="0"/>
              <w:right w:val="single" w:color="000000" w:sz="4" w:space="0"/>
            </w:tcBorders>
            <w:noWrap w:val="0"/>
            <w:vAlign w:val="center"/>
          </w:tcPr>
          <w:p w14:paraId="6DC822F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无</w:t>
            </w:r>
          </w:p>
        </w:tc>
      </w:tr>
    </w:tbl>
    <w:p w14:paraId="478173F2">
      <w:pPr>
        <w:pStyle w:val="6"/>
        <w:spacing w:beforeLines="0"/>
        <w:rPr>
          <w:rFonts w:hint="default" w:ascii="Times New Roman" w:hAnsi="Times New Roman" w:eastAsia="黑体" w:cs="Times New Roman"/>
          <w:sz w:val="32"/>
          <w:szCs w:val="32"/>
        </w:rPr>
      </w:pPr>
    </w:p>
    <w:p w14:paraId="2E6E8B07">
      <w:pPr>
        <w:pStyle w:val="2"/>
        <w:rPr>
          <w:rFonts w:hint="default" w:ascii="Times New Roman" w:hAnsi="Times New Roman" w:cs="Times New Roman"/>
        </w:rPr>
      </w:pPr>
    </w:p>
    <w:p w14:paraId="780E5650">
      <w:pPr>
        <w:rPr>
          <w:rFonts w:hint="default" w:ascii="Times New Roman" w:hAnsi="Times New Roman" w:cs="Times New Roman"/>
        </w:rPr>
      </w:pPr>
    </w:p>
    <w:p w14:paraId="52256F29">
      <w:pPr>
        <w:rPr>
          <w:rFonts w:hint="default" w:ascii="Times New Roman" w:hAnsi="Times New Roman" w:cs="Times New Roman"/>
        </w:rPr>
        <w:sectPr>
          <w:pgSz w:w="16838" w:h="11906" w:orient="landscape"/>
          <w:pgMar w:top="0" w:right="0" w:bottom="0" w:left="0" w:header="720" w:footer="720" w:gutter="0"/>
          <w:cols w:space="720" w:num="1"/>
          <w:docGrid w:type="lines" w:linePitch="312" w:charSpace="0"/>
        </w:sectPr>
      </w:pP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1"/>
        <w:gridCol w:w="2049"/>
        <w:gridCol w:w="1766"/>
        <w:gridCol w:w="2257"/>
        <w:gridCol w:w="680"/>
        <w:gridCol w:w="1315"/>
        <w:gridCol w:w="729"/>
        <w:gridCol w:w="1114"/>
        <w:gridCol w:w="539"/>
        <w:gridCol w:w="486"/>
        <w:gridCol w:w="2568"/>
      </w:tblGrid>
      <w:tr w14:paraId="0C7D6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vAlign w:val="center"/>
          </w:tcPr>
          <w:p w14:paraId="7C8384F4">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44ED8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60" w:type="pct"/>
            <w:gridSpan w:val="2"/>
            <w:tcBorders>
              <w:top w:val="single" w:color="000000" w:sz="4" w:space="0"/>
              <w:left w:val="single" w:color="000000" w:sz="4" w:space="0"/>
              <w:bottom w:val="single" w:color="000000" w:sz="4" w:space="0"/>
              <w:right w:val="single" w:color="000000" w:sz="4" w:space="0"/>
            </w:tcBorders>
            <w:noWrap w:val="0"/>
            <w:vAlign w:val="center"/>
          </w:tcPr>
          <w:p w14:paraId="66C0ED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4039" w:type="pct"/>
            <w:gridSpan w:val="9"/>
            <w:tcBorders>
              <w:top w:val="single" w:color="000000" w:sz="4" w:space="0"/>
              <w:left w:val="single" w:color="000000" w:sz="4" w:space="0"/>
              <w:bottom w:val="single" w:color="000000" w:sz="4" w:space="0"/>
              <w:right w:val="single" w:color="000000" w:sz="4" w:space="0"/>
            </w:tcBorders>
            <w:noWrap w:val="0"/>
            <w:vAlign w:val="center"/>
          </w:tcPr>
          <w:p w14:paraId="387CD8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51320025R000012338995-追加人员工资性支出</w:t>
            </w:r>
          </w:p>
        </w:tc>
      </w:tr>
      <w:tr w14:paraId="566F8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60" w:type="pct"/>
            <w:gridSpan w:val="2"/>
            <w:tcBorders>
              <w:top w:val="single" w:color="000000" w:sz="4" w:space="0"/>
              <w:left w:val="single" w:color="000000" w:sz="4" w:space="0"/>
              <w:bottom w:val="single" w:color="000000" w:sz="4" w:space="0"/>
              <w:right w:val="single" w:color="000000" w:sz="4" w:space="0"/>
            </w:tcBorders>
            <w:noWrap w:val="0"/>
            <w:vAlign w:val="center"/>
          </w:tcPr>
          <w:p w14:paraId="2B3724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2380" w:type="pct"/>
            <w:gridSpan w:val="5"/>
            <w:tcBorders>
              <w:top w:val="single" w:color="000000" w:sz="4" w:space="0"/>
              <w:left w:val="single" w:color="000000" w:sz="4" w:space="0"/>
              <w:bottom w:val="single" w:color="000000" w:sz="4" w:space="0"/>
              <w:right w:val="single" w:color="000000" w:sz="4" w:space="0"/>
            </w:tcBorders>
            <w:noWrap w:val="0"/>
            <w:vAlign w:val="center"/>
          </w:tcPr>
          <w:p w14:paraId="1E897C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390" w:type="pct"/>
            <w:tcBorders>
              <w:top w:val="nil"/>
              <w:left w:val="nil"/>
              <w:bottom w:val="nil"/>
              <w:right w:val="nil"/>
            </w:tcBorders>
            <w:noWrap w:val="0"/>
            <w:vAlign w:val="center"/>
          </w:tcPr>
          <w:p w14:paraId="045078D6">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实施单位 （盖章）</w:t>
            </w:r>
          </w:p>
        </w:tc>
        <w:tc>
          <w:tcPr>
            <w:tcW w:w="1268" w:type="pct"/>
            <w:gridSpan w:val="3"/>
            <w:tcBorders>
              <w:top w:val="single" w:color="000000" w:sz="4" w:space="0"/>
              <w:left w:val="single" w:color="000000" w:sz="4" w:space="0"/>
              <w:bottom w:val="single" w:color="000000" w:sz="4" w:space="0"/>
              <w:right w:val="single" w:color="000000" w:sz="4" w:space="0"/>
            </w:tcBorders>
            <w:noWrap w:val="0"/>
            <w:vAlign w:val="center"/>
          </w:tcPr>
          <w:p w14:paraId="09FF2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州基层帮扶工作服务中心</w:t>
            </w:r>
          </w:p>
        </w:tc>
      </w:tr>
      <w:tr w14:paraId="346A4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237" w:type="pct"/>
            <w:vMerge w:val="restart"/>
            <w:tcBorders>
              <w:top w:val="single" w:color="000000" w:sz="4" w:space="0"/>
              <w:left w:val="single" w:color="000000" w:sz="4" w:space="0"/>
              <w:bottom w:val="single" w:color="000000" w:sz="4" w:space="0"/>
              <w:right w:val="single" w:color="000000" w:sz="4" w:space="0"/>
            </w:tcBorders>
            <w:noWrap w:val="0"/>
            <w:vAlign w:val="center"/>
          </w:tcPr>
          <w:p w14:paraId="2FFCE8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722" w:type="pct"/>
            <w:vMerge w:val="restart"/>
            <w:tcBorders>
              <w:top w:val="single" w:color="000000" w:sz="4" w:space="0"/>
              <w:left w:val="single" w:color="000000" w:sz="4" w:space="0"/>
              <w:bottom w:val="single" w:color="000000" w:sz="4" w:space="0"/>
              <w:right w:val="single" w:color="000000" w:sz="4" w:space="0"/>
            </w:tcBorders>
            <w:noWrap w:val="0"/>
            <w:vAlign w:val="center"/>
          </w:tcPr>
          <w:p w14:paraId="4630B71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2380" w:type="pct"/>
            <w:gridSpan w:val="5"/>
            <w:tcBorders>
              <w:top w:val="single" w:color="000000" w:sz="4" w:space="0"/>
              <w:left w:val="single" w:color="000000" w:sz="4" w:space="0"/>
              <w:bottom w:val="single" w:color="000000" w:sz="4" w:space="0"/>
              <w:right w:val="single" w:color="000000" w:sz="4" w:space="0"/>
            </w:tcBorders>
            <w:noWrap w:val="0"/>
            <w:vAlign w:val="center"/>
          </w:tcPr>
          <w:p w14:paraId="63FC4E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1658" w:type="pct"/>
            <w:gridSpan w:val="4"/>
            <w:tcBorders>
              <w:top w:val="single" w:color="000000" w:sz="4" w:space="0"/>
              <w:left w:val="single" w:color="000000" w:sz="4" w:space="0"/>
              <w:bottom w:val="single" w:color="000000" w:sz="4" w:space="0"/>
              <w:right w:val="single" w:color="000000" w:sz="4" w:space="0"/>
            </w:tcBorders>
            <w:noWrap w:val="0"/>
            <w:vAlign w:val="center"/>
          </w:tcPr>
          <w:p w14:paraId="20570A8A">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5F415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4E45BF">
            <w:pPr>
              <w:rPr>
                <w:rFonts w:hint="default" w:ascii="Times New Roman" w:hAnsi="Times New Roman" w:eastAsia="宋体" w:cs="Times New Roman"/>
                <w:i w:val="0"/>
                <w:iCs w:val="0"/>
                <w:color w:val="000000"/>
                <w:sz w:val="18"/>
                <w:szCs w:val="18"/>
                <w:u w:val="none"/>
              </w:rPr>
            </w:pPr>
          </w:p>
        </w:tc>
        <w:tc>
          <w:tcPr>
            <w:tcW w:w="72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205513">
            <w:pPr>
              <w:rPr>
                <w:rFonts w:hint="default" w:ascii="Times New Roman" w:hAnsi="Times New Roman" w:eastAsia="宋体" w:cs="Times New Roman"/>
                <w:i w:val="0"/>
                <w:iCs w:val="0"/>
                <w:color w:val="000000"/>
                <w:sz w:val="18"/>
                <w:szCs w:val="18"/>
                <w:u w:val="none"/>
              </w:rPr>
            </w:pPr>
          </w:p>
        </w:tc>
        <w:tc>
          <w:tcPr>
            <w:tcW w:w="2380" w:type="pct"/>
            <w:gridSpan w:val="5"/>
            <w:tcBorders>
              <w:top w:val="single" w:color="000000" w:sz="4" w:space="0"/>
              <w:left w:val="single" w:color="000000" w:sz="4" w:space="0"/>
              <w:bottom w:val="single" w:color="000000" w:sz="4" w:space="0"/>
              <w:right w:val="single" w:color="000000" w:sz="4" w:space="0"/>
            </w:tcBorders>
            <w:noWrap w:val="0"/>
            <w:vAlign w:val="center"/>
          </w:tcPr>
          <w:p w14:paraId="51E996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1658" w:type="pct"/>
            <w:gridSpan w:val="4"/>
            <w:tcBorders>
              <w:top w:val="single" w:color="000000" w:sz="4" w:space="0"/>
              <w:left w:val="single" w:color="000000" w:sz="4" w:space="0"/>
              <w:bottom w:val="single" w:color="000000" w:sz="4" w:space="0"/>
              <w:right w:val="single" w:color="000000" w:sz="4" w:space="0"/>
            </w:tcBorders>
            <w:noWrap w:val="0"/>
            <w:vAlign w:val="center"/>
          </w:tcPr>
          <w:p w14:paraId="7804BE88">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color w:val="000000"/>
                <w:kern w:val="0"/>
                <w:sz w:val="18"/>
                <w:szCs w:val="18"/>
                <w:lang w:bidi="ar"/>
              </w:rPr>
              <w:t>严格执行相关政策，保障工资及时、足额发放。</w:t>
            </w:r>
          </w:p>
        </w:tc>
      </w:tr>
      <w:tr w14:paraId="12B80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2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A4A47A">
            <w:pPr>
              <w:rPr>
                <w:rFonts w:hint="default" w:ascii="Times New Roman" w:hAnsi="Times New Roman" w:eastAsia="宋体" w:cs="Times New Roman"/>
                <w:i w:val="0"/>
                <w:iCs w:val="0"/>
                <w:color w:val="000000"/>
                <w:sz w:val="18"/>
                <w:szCs w:val="18"/>
                <w:u w:val="none"/>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683FEC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5"/>
                <w:szCs w:val="15"/>
                <w:u w:val="none"/>
                <w:lang w:val="en-US" w:eastAsia="zh-CN" w:bidi="ar"/>
              </w:rPr>
              <w:t>2.项目实施内容及过程概述</w:t>
            </w:r>
          </w:p>
        </w:tc>
        <w:tc>
          <w:tcPr>
            <w:tcW w:w="4039" w:type="pct"/>
            <w:gridSpan w:val="9"/>
            <w:tcBorders>
              <w:top w:val="single" w:color="000000" w:sz="4" w:space="0"/>
              <w:left w:val="single" w:color="000000" w:sz="4" w:space="0"/>
              <w:bottom w:val="single" w:color="000000" w:sz="4" w:space="0"/>
              <w:right w:val="single" w:color="000000" w:sz="4" w:space="0"/>
            </w:tcBorders>
            <w:noWrap w:val="0"/>
            <w:vAlign w:val="center"/>
          </w:tcPr>
          <w:p w14:paraId="5CCE3729">
            <w:pP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严格执行相关政策，保障在职人员工资及时发放、足额发放，预算编制科学合理。</w:t>
            </w:r>
          </w:p>
        </w:tc>
      </w:tr>
      <w:tr w14:paraId="5464F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37" w:type="pct"/>
            <w:vMerge w:val="restart"/>
            <w:tcBorders>
              <w:top w:val="single" w:color="000000" w:sz="4" w:space="0"/>
              <w:left w:val="single" w:color="000000" w:sz="4" w:space="0"/>
              <w:bottom w:val="single" w:color="000000" w:sz="4" w:space="0"/>
              <w:right w:val="single" w:color="000000" w:sz="4" w:space="0"/>
            </w:tcBorders>
            <w:noWrap w:val="0"/>
            <w:vAlign w:val="center"/>
          </w:tcPr>
          <w:p w14:paraId="7DF3FF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73C546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623" w:type="pct"/>
            <w:tcBorders>
              <w:top w:val="single" w:color="000000" w:sz="4" w:space="0"/>
              <w:left w:val="single" w:color="000000" w:sz="4" w:space="0"/>
              <w:bottom w:val="single" w:color="000000" w:sz="4" w:space="0"/>
              <w:right w:val="single" w:color="000000" w:sz="4" w:space="0"/>
            </w:tcBorders>
            <w:noWrap w:val="0"/>
            <w:vAlign w:val="center"/>
          </w:tcPr>
          <w:p w14:paraId="4260B4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796" w:type="pct"/>
            <w:tcBorders>
              <w:top w:val="single" w:color="000000" w:sz="4" w:space="0"/>
              <w:left w:val="single" w:color="000000" w:sz="4" w:space="0"/>
              <w:bottom w:val="single" w:color="000000" w:sz="4" w:space="0"/>
              <w:right w:val="single" w:color="000000" w:sz="4" w:space="0"/>
            </w:tcBorders>
            <w:noWrap w:val="0"/>
            <w:vAlign w:val="center"/>
          </w:tcPr>
          <w:p w14:paraId="6951B8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960" w:type="pct"/>
            <w:gridSpan w:val="3"/>
            <w:tcBorders>
              <w:top w:val="single" w:color="000000" w:sz="4" w:space="0"/>
              <w:left w:val="single" w:color="000000" w:sz="4" w:space="0"/>
              <w:bottom w:val="single" w:color="000000" w:sz="4" w:space="0"/>
              <w:right w:val="single" w:color="000000" w:sz="4" w:space="0"/>
            </w:tcBorders>
            <w:noWrap w:val="0"/>
            <w:vAlign w:val="center"/>
          </w:tcPr>
          <w:p w14:paraId="0A1729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061636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190" w:type="pct"/>
            <w:tcBorders>
              <w:top w:val="single" w:color="000000" w:sz="4" w:space="0"/>
              <w:left w:val="single" w:color="000000" w:sz="4" w:space="0"/>
              <w:bottom w:val="single" w:color="000000" w:sz="4" w:space="0"/>
              <w:right w:val="single" w:color="000000" w:sz="4" w:space="0"/>
            </w:tcBorders>
            <w:noWrap w:val="0"/>
            <w:vAlign w:val="center"/>
          </w:tcPr>
          <w:p w14:paraId="53A4C9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171" w:type="pct"/>
            <w:tcBorders>
              <w:top w:val="single" w:color="000000" w:sz="4" w:space="0"/>
              <w:left w:val="single" w:color="000000" w:sz="4" w:space="0"/>
              <w:bottom w:val="single" w:color="000000" w:sz="4" w:space="0"/>
              <w:right w:val="single" w:color="000000" w:sz="4" w:space="0"/>
            </w:tcBorders>
            <w:noWrap w:val="0"/>
            <w:vAlign w:val="center"/>
          </w:tcPr>
          <w:p w14:paraId="1F400C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906" w:type="pct"/>
            <w:tcBorders>
              <w:top w:val="single" w:color="000000" w:sz="4" w:space="0"/>
              <w:left w:val="single" w:color="000000" w:sz="4" w:space="0"/>
              <w:bottom w:val="single" w:color="000000" w:sz="4" w:space="0"/>
              <w:right w:val="single" w:color="000000" w:sz="4" w:space="0"/>
            </w:tcBorders>
            <w:noWrap w:val="0"/>
            <w:vAlign w:val="center"/>
          </w:tcPr>
          <w:p w14:paraId="0209F3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01717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2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29DD82">
            <w:pPr>
              <w:jc w:val="center"/>
              <w:rPr>
                <w:rFonts w:hint="default" w:ascii="Times New Roman" w:hAnsi="Times New Roman" w:eastAsia="宋体" w:cs="Times New Roman"/>
                <w:i w:val="0"/>
                <w:iCs w:val="0"/>
                <w:color w:val="000000"/>
                <w:sz w:val="18"/>
                <w:szCs w:val="18"/>
                <w:u w:val="none"/>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613340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623" w:type="pct"/>
            <w:tcBorders>
              <w:top w:val="single" w:color="000000" w:sz="4" w:space="0"/>
              <w:left w:val="single" w:color="000000" w:sz="4" w:space="0"/>
              <w:bottom w:val="single" w:color="000000" w:sz="4" w:space="0"/>
              <w:right w:val="single" w:color="000000" w:sz="4" w:space="0"/>
            </w:tcBorders>
            <w:noWrap w:val="0"/>
            <w:vAlign w:val="center"/>
          </w:tcPr>
          <w:p w14:paraId="20E94F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796" w:type="pct"/>
            <w:tcBorders>
              <w:top w:val="single" w:color="000000" w:sz="4" w:space="0"/>
              <w:left w:val="single" w:color="000000" w:sz="4" w:space="0"/>
              <w:bottom w:val="single" w:color="000000" w:sz="4" w:space="0"/>
              <w:right w:val="single" w:color="000000" w:sz="4" w:space="0"/>
            </w:tcBorders>
            <w:noWrap w:val="0"/>
            <w:vAlign w:val="center"/>
          </w:tcPr>
          <w:p w14:paraId="53DE9B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960" w:type="pct"/>
            <w:gridSpan w:val="3"/>
            <w:tcBorders>
              <w:top w:val="single" w:color="000000" w:sz="4" w:space="0"/>
              <w:left w:val="single" w:color="000000" w:sz="4" w:space="0"/>
              <w:bottom w:val="single" w:color="000000" w:sz="4" w:space="0"/>
              <w:right w:val="single" w:color="000000" w:sz="4" w:space="0"/>
            </w:tcBorders>
            <w:noWrap w:val="0"/>
            <w:vAlign w:val="center"/>
          </w:tcPr>
          <w:p w14:paraId="37DE36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5FFACE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190" w:type="pct"/>
            <w:tcBorders>
              <w:top w:val="single" w:color="000000" w:sz="4" w:space="0"/>
              <w:left w:val="single" w:color="000000" w:sz="4" w:space="0"/>
              <w:bottom w:val="single" w:color="000000" w:sz="4" w:space="0"/>
              <w:right w:val="single" w:color="000000" w:sz="4" w:space="0"/>
            </w:tcBorders>
            <w:noWrap w:val="0"/>
            <w:vAlign w:val="center"/>
          </w:tcPr>
          <w:p w14:paraId="22723C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71" w:type="pct"/>
            <w:tcBorders>
              <w:top w:val="single" w:color="000000" w:sz="4" w:space="0"/>
              <w:left w:val="single" w:color="000000" w:sz="4" w:space="0"/>
              <w:bottom w:val="single" w:color="000000" w:sz="4" w:space="0"/>
              <w:right w:val="single" w:color="000000" w:sz="4" w:space="0"/>
            </w:tcBorders>
            <w:noWrap w:val="0"/>
            <w:vAlign w:val="center"/>
          </w:tcPr>
          <w:p w14:paraId="38EA9543">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906" w:type="pct"/>
            <w:vMerge w:val="restart"/>
            <w:tcBorders>
              <w:top w:val="single" w:color="000000" w:sz="4" w:space="0"/>
              <w:left w:val="single" w:color="000000" w:sz="4" w:space="0"/>
              <w:bottom w:val="single" w:color="000000" w:sz="4" w:space="0"/>
              <w:right w:val="single" w:color="000000" w:sz="4" w:space="0"/>
            </w:tcBorders>
            <w:noWrap w:val="0"/>
            <w:vAlign w:val="center"/>
          </w:tcPr>
          <w:p w14:paraId="423967B2">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p>
        </w:tc>
      </w:tr>
      <w:tr w14:paraId="5C8A2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2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AF2E40">
            <w:pPr>
              <w:jc w:val="center"/>
              <w:rPr>
                <w:rFonts w:hint="default" w:ascii="Times New Roman" w:hAnsi="Times New Roman" w:eastAsia="宋体" w:cs="Times New Roman"/>
                <w:i w:val="0"/>
                <w:iCs w:val="0"/>
                <w:color w:val="000000"/>
                <w:sz w:val="18"/>
                <w:szCs w:val="18"/>
                <w:u w:val="none"/>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080127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623" w:type="pct"/>
            <w:tcBorders>
              <w:top w:val="single" w:color="000000" w:sz="4" w:space="0"/>
              <w:left w:val="single" w:color="000000" w:sz="4" w:space="0"/>
              <w:bottom w:val="single" w:color="000000" w:sz="4" w:space="0"/>
              <w:right w:val="single" w:color="000000" w:sz="4" w:space="0"/>
            </w:tcBorders>
            <w:noWrap w:val="0"/>
            <w:vAlign w:val="center"/>
          </w:tcPr>
          <w:p w14:paraId="28F421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796" w:type="pct"/>
            <w:tcBorders>
              <w:top w:val="single" w:color="000000" w:sz="4" w:space="0"/>
              <w:left w:val="single" w:color="000000" w:sz="4" w:space="0"/>
              <w:bottom w:val="single" w:color="000000" w:sz="4" w:space="0"/>
              <w:right w:val="single" w:color="000000" w:sz="4" w:space="0"/>
            </w:tcBorders>
            <w:noWrap w:val="0"/>
            <w:vAlign w:val="center"/>
          </w:tcPr>
          <w:p w14:paraId="71EAF2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960" w:type="pct"/>
            <w:gridSpan w:val="3"/>
            <w:tcBorders>
              <w:top w:val="single" w:color="000000" w:sz="4" w:space="0"/>
              <w:left w:val="single" w:color="000000" w:sz="4" w:space="0"/>
              <w:bottom w:val="single" w:color="000000" w:sz="4" w:space="0"/>
              <w:right w:val="single" w:color="000000" w:sz="4" w:space="0"/>
            </w:tcBorders>
            <w:noWrap w:val="0"/>
            <w:vAlign w:val="center"/>
          </w:tcPr>
          <w:p w14:paraId="615102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6AAC69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190" w:type="pct"/>
            <w:tcBorders>
              <w:top w:val="single" w:color="000000" w:sz="4" w:space="0"/>
              <w:left w:val="single" w:color="000000" w:sz="4" w:space="0"/>
              <w:bottom w:val="single" w:color="000000" w:sz="4" w:space="0"/>
              <w:right w:val="single" w:color="000000" w:sz="4" w:space="0"/>
            </w:tcBorders>
            <w:noWrap w:val="0"/>
            <w:vAlign w:val="center"/>
          </w:tcPr>
          <w:p w14:paraId="5732C3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1" w:type="pct"/>
            <w:tcBorders>
              <w:top w:val="single" w:color="000000" w:sz="4" w:space="0"/>
              <w:left w:val="single" w:color="000000" w:sz="4" w:space="0"/>
              <w:bottom w:val="single" w:color="000000" w:sz="4" w:space="0"/>
              <w:right w:val="single" w:color="000000" w:sz="4" w:space="0"/>
            </w:tcBorders>
            <w:noWrap w:val="0"/>
            <w:vAlign w:val="center"/>
          </w:tcPr>
          <w:p w14:paraId="623930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0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502611">
            <w:pPr>
              <w:rPr>
                <w:rFonts w:hint="default" w:ascii="Times New Roman" w:hAnsi="Times New Roman" w:eastAsia="黑体" w:cs="Times New Roman"/>
                <w:i/>
                <w:iCs/>
                <w:color w:val="000000"/>
                <w:sz w:val="18"/>
                <w:szCs w:val="18"/>
                <w:u w:val="none"/>
              </w:rPr>
            </w:pPr>
          </w:p>
        </w:tc>
      </w:tr>
      <w:tr w14:paraId="2F85B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2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074226">
            <w:pPr>
              <w:jc w:val="center"/>
              <w:rPr>
                <w:rFonts w:hint="default" w:ascii="Times New Roman" w:hAnsi="Times New Roman" w:eastAsia="宋体" w:cs="Times New Roman"/>
                <w:i w:val="0"/>
                <w:iCs w:val="0"/>
                <w:color w:val="000000"/>
                <w:sz w:val="18"/>
                <w:szCs w:val="18"/>
                <w:u w:val="none"/>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0394BC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623" w:type="pct"/>
            <w:tcBorders>
              <w:top w:val="single" w:color="000000" w:sz="4" w:space="0"/>
              <w:left w:val="single" w:color="000000" w:sz="4" w:space="0"/>
              <w:bottom w:val="single" w:color="000000" w:sz="4" w:space="0"/>
              <w:right w:val="single" w:color="000000" w:sz="4" w:space="0"/>
            </w:tcBorders>
            <w:noWrap w:val="0"/>
            <w:vAlign w:val="center"/>
          </w:tcPr>
          <w:p w14:paraId="12C957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796" w:type="pct"/>
            <w:tcBorders>
              <w:top w:val="single" w:color="000000" w:sz="4" w:space="0"/>
              <w:left w:val="single" w:color="000000" w:sz="4" w:space="0"/>
              <w:bottom w:val="single" w:color="000000" w:sz="4" w:space="0"/>
              <w:right w:val="single" w:color="000000" w:sz="4" w:space="0"/>
            </w:tcBorders>
            <w:noWrap w:val="0"/>
            <w:vAlign w:val="center"/>
          </w:tcPr>
          <w:p w14:paraId="446CD5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960" w:type="pct"/>
            <w:gridSpan w:val="3"/>
            <w:tcBorders>
              <w:top w:val="single" w:color="000000" w:sz="4" w:space="0"/>
              <w:left w:val="single" w:color="000000" w:sz="4" w:space="0"/>
              <w:bottom w:val="single" w:color="000000" w:sz="4" w:space="0"/>
              <w:right w:val="single" w:color="000000" w:sz="4" w:space="0"/>
            </w:tcBorders>
            <w:noWrap w:val="0"/>
            <w:vAlign w:val="center"/>
          </w:tcPr>
          <w:p w14:paraId="51411A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5A76D2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0" w:type="pct"/>
            <w:tcBorders>
              <w:top w:val="single" w:color="000000" w:sz="4" w:space="0"/>
              <w:left w:val="single" w:color="000000" w:sz="4" w:space="0"/>
              <w:bottom w:val="single" w:color="000000" w:sz="4" w:space="0"/>
              <w:right w:val="single" w:color="000000" w:sz="4" w:space="0"/>
            </w:tcBorders>
            <w:noWrap w:val="0"/>
            <w:vAlign w:val="center"/>
          </w:tcPr>
          <w:p w14:paraId="3FD1B7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1" w:type="pct"/>
            <w:tcBorders>
              <w:top w:val="single" w:color="000000" w:sz="4" w:space="0"/>
              <w:left w:val="single" w:color="000000" w:sz="4" w:space="0"/>
              <w:bottom w:val="single" w:color="000000" w:sz="4" w:space="0"/>
              <w:right w:val="single" w:color="000000" w:sz="4" w:space="0"/>
            </w:tcBorders>
            <w:noWrap w:val="0"/>
            <w:vAlign w:val="center"/>
          </w:tcPr>
          <w:p w14:paraId="4CB333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0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2DB2A6">
            <w:pPr>
              <w:rPr>
                <w:rFonts w:hint="default" w:ascii="Times New Roman" w:hAnsi="Times New Roman" w:eastAsia="黑体" w:cs="Times New Roman"/>
                <w:i/>
                <w:iCs/>
                <w:color w:val="000000"/>
                <w:sz w:val="18"/>
                <w:szCs w:val="18"/>
                <w:u w:val="none"/>
              </w:rPr>
            </w:pPr>
          </w:p>
        </w:tc>
      </w:tr>
      <w:tr w14:paraId="0D141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B4E886">
            <w:pPr>
              <w:jc w:val="center"/>
              <w:rPr>
                <w:rFonts w:hint="default" w:ascii="Times New Roman" w:hAnsi="Times New Roman" w:eastAsia="宋体" w:cs="Times New Roman"/>
                <w:i w:val="0"/>
                <w:iCs w:val="0"/>
                <w:color w:val="000000"/>
                <w:sz w:val="18"/>
                <w:szCs w:val="18"/>
                <w:u w:val="none"/>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17541A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623" w:type="pct"/>
            <w:tcBorders>
              <w:top w:val="single" w:color="000000" w:sz="4" w:space="0"/>
              <w:left w:val="single" w:color="000000" w:sz="4" w:space="0"/>
              <w:bottom w:val="single" w:color="000000" w:sz="4" w:space="0"/>
              <w:right w:val="single" w:color="000000" w:sz="4" w:space="0"/>
            </w:tcBorders>
            <w:noWrap w:val="0"/>
            <w:vAlign w:val="center"/>
          </w:tcPr>
          <w:p w14:paraId="201B7E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796" w:type="pct"/>
            <w:tcBorders>
              <w:top w:val="single" w:color="000000" w:sz="4" w:space="0"/>
              <w:left w:val="single" w:color="000000" w:sz="4" w:space="0"/>
              <w:bottom w:val="single" w:color="000000" w:sz="4" w:space="0"/>
              <w:right w:val="single" w:color="000000" w:sz="4" w:space="0"/>
            </w:tcBorders>
            <w:noWrap w:val="0"/>
            <w:vAlign w:val="center"/>
          </w:tcPr>
          <w:p w14:paraId="715D78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960" w:type="pct"/>
            <w:gridSpan w:val="3"/>
            <w:tcBorders>
              <w:top w:val="single" w:color="000000" w:sz="4" w:space="0"/>
              <w:left w:val="single" w:color="000000" w:sz="4" w:space="0"/>
              <w:bottom w:val="single" w:color="000000" w:sz="4" w:space="0"/>
              <w:right w:val="single" w:color="000000" w:sz="4" w:space="0"/>
            </w:tcBorders>
            <w:noWrap w:val="0"/>
            <w:vAlign w:val="center"/>
          </w:tcPr>
          <w:p w14:paraId="06C134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7ACCDE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190" w:type="pct"/>
            <w:tcBorders>
              <w:top w:val="single" w:color="000000" w:sz="4" w:space="0"/>
              <w:left w:val="single" w:color="000000" w:sz="4" w:space="0"/>
              <w:bottom w:val="single" w:color="000000" w:sz="4" w:space="0"/>
              <w:right w:val="single" w:color="000000" w:sz="4" w:space="0"/>
            </w:tcBorders>
            <w:noWrap w:val="0"/>
            <w:vAlign w:val="center"/>
          </w:tcPr>
          <w:p w14:paraId="193C4B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1" w:type="pct"/>
            <w:tcBorders>
              <w:top w:val="single" w:color="000000" w:sz="4" w:space="0"/>
              <w:left w:val="single" w:color="000000" w:sz="4" w:space="0"/>
              <w:bottom w:val="single" w:color="000000" w:sz="4" w:space="0"/>
              <w:right w:val="single" w:color="000000" w:sz="4" w:space="0"/>
            </w:tcBorders>
            <w:noWrap w:val="0"/>
            <w:vAlign w:val="center"/>
          </w:tcPr>
          <w:p w14:paraId="5F6F8D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0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52DA34">
            <w:pPr>
              <w:rPr>
                <w:rFonts w:hint="default" w:ascii="Times New Roman" w:hAnsi="Times New Roman" w:eastAsia="黑体" w:cs="Times New Roman"/>
                <w:i/>
                <w:iCs/>
                <w:color w:val="000000"/>
                <w:sz w:val="18"/>
                <w:szCs w:val="18"/>
                <w:u w:val="none"/>
              </w:rPr>
            </w:pPr>
          </w:p>
        </w:tc>
      </w:tr>
      <w:tr w14:paraId="6A377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237" w:type="pct"/>
            <w:vMerge w:val="restart"/>
            <w:tcBorders>
              <w:top w:val="single" w:color="000000" w:sz="4" w:space="0"/>
              <w:left w:val="single" w:color="000000" w:sz="4" w:space="0"/>
              <w:bottom w:val="single" w:color="000000" w:sz="4" w:space="0"/>
              <w:right w:val="single" w:color="000000" w:sz="4" w:space="0"/>
            </w:tcBorders>
            <w:noWrap w:val="0"/>
            <w:vAlign w:val="center"/>
          </w:tcPr>
          <w:p w14:paraId="76F804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20C51C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623" w:type="pct"/>
            <w:tcBorders>
              <w:top w:val="single" w:color="000000" w:sz="4" w:space="0"/>
              <w:left w:val="single" w:color="000000" w:sz="4" w:space="0"/>
              <w:bottom w:val="single" w:color="000000" w:sz="4" w:space="0"/>
              <w:right w:val="single" w:color="000000" w:sz="4" w:space="0"/>
            </w:tcBorders>
            <w:noWrap w:val="0"/>
            <w:vAlign w:val="center"/>
          </w:tcPr>
          <w:p w14:paraId="73B63B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796" w:type="pct"/>
            <w:tcBorders>
              <w:top w:val="single" w:color="000000" w:sz="4" w:space="0"/>
              <w:left w:val="single" w:color="000000" w:sz="4" w:space="0"/>
              <w:bottom w:val="single" w:color="000000" w:sz="4" w:space="0"/>
              <w:right w:val="single" w:color="000000" w:sz="4" w:space="0"/>
            </w:tcBorders>
            <w:noWrap w:val="0"/>
            <w:vAlign w:val="center"/>
          </w:tcPr>
          <w:p w14:paraId="050B6E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240" w:type="pct"/>
            <w:tcBorders>
              <w:top w:val="single" w:color="000000" w:sz="4" w:space="0"/>
              <w:left w:val="single" w:color="000000" w:sz="4" w:space="0"/>
              <w:bottom w:val="single" w:color="000000" w:sz="4" w:space="0"/>
              <w:right w:val="single" w:color="000000" w:sz="4" w:space="0"/>
            </w:tcBorders>
            <w:noWrap w:val="0"/>
            <w:vAlign w:val="center"/>
          </w:tcPr>
          <w:p w14:paraId="3D584D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A6E27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4BA0E1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635DB7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190" w:type="pct"/>
            <w:tcBorders>
              <w:top w:val="single" w:color="000000" w:sz="4" w:space="0"/>
              <w:left w:val="single" w:color="000000" w:sz="4" w:space="0"/>
              <w:bottom w:val="single" w:color="000000" w:sz="4" w:space="0"/>
              <w:right w:val="single" w:color="000000" w:sz="4" w:space="0"/>
            </w:tcBorders>
            <w:noWrap w:val="0"/>
            <w:vAlign w:val="center"/>
          </w:tcPr>
          <w:p w14:paraId="16C886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171" w:type="pct"/>
            <w:tcBorders>
              <w:top w:val="single" w:color="000000" w:sz="4" w:space="0"/>
              <w:left w:val="single" w:color="000000" w:sz="4" w:space="0"/>
              <w:bottom w:val="single" w:color="000000" w:sz="4" w:space="0"/>
              <w:right w:val="single" w:color="000000" w:sz="4" w:space="0"/>
            </w:tcBorders>
            <w:noWrap w:val="0"/>
            <w:vAlign w:val="center"/>
          </w:tcPr>
          <w:p w14:paraId="57CC31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906" w:type="pct"/>
            <w:tcBorders>
              <w:top w:val="single" w:color="000000" w:sz="4" w:space="0"/>
              <w:left w:val="single" w:color="000000" w:sz="4" w:space="0"/>
              <w:bottom w:val="single" w:color="000000" w:sz="4" w:space="0"/>
              <w:right w:val="single" w:color="000000" w:sz="4" w:space="0"/>
            </w:tcBorders>
            <w:noWrap w:val="0"/>
            <w:vAlign w:val="center"/>
          </w:tcPr>
          <w:p w14:paraId="132C22C3">
            <w:pPr>
              <w:keepNext w:val="0"/>
              <w:keepLines w:val="0"/>
              <w:widowControl/>
              <w:suppressLineNumbers w:val="0"/>
              <w:ind w:firstLine="360" w:firstLineChars="20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62FBD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C45A4A">
            <w:pPr>
              <w:jc w:val="center"/>
              <w:rPr>
                <w:rFonts w:hint="default" w:ascii="Times New Roman" w:hAnsi="Times New Roman" w:eastAsia="宋体" w:cs="Times New Roman"/>
                <w:i w:val="0"/>
                <w:iCs w:val="0"/>
                <w:color w:val="000000"/>
                <w:sz w:val="18"/>
                <w:szCs w:val="18"/>
                <w:u w:val="none"/>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588B24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623" w:type="pct"/>
            <w:tcBorders>
              <w:top w:val="single" w:color="000000" w:sz="4" w:space="0"/>
              <w:left w:val="single" w:color="000000" w:sz="4" w:space="0"/>
              <w:bottom w:val="single" w:color="000000" w:sz="4" w:space="0"/>
              <w:right w:val="single" w:color="000000" w:sz="4" w:space="0"/>
            </w:tcBorders>
            <w:noWrap w:val="0"/>
            <w:vAlign w:val="center"/>
          </w:tcPr>
          <w:p w14:paraId="1C2B80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796" w:type="pct"/>
            <w:tcBorders>
              <w:top w:val="single" w:color="000000" w:sz="4" w:space="0"/>
              <w:left w:val="single" w:color="000000" w:sz="4" w:space="0"/>
              <w:bottom w:val="single" w:color="000000" w:sz="4" w:space="0"/>
              <w:right w:val="single" w:color="000000" w:sz="4" w:space="0"/>
            </w:tcBorders>
            <w:noWrap w:val="0"/>
            <w:vAlign w:val="center"/>
          </w:tcPr>
          <w:p w14:paraId="6255D2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发放（缴纳）覆盖率</w:t>
            </w:r>
          </w:p>
        </w:tc>
        <w:tc>
          <w:tcPr>
            <w:tcW w:w="240" w:type="pct"/>
            <w:tcBorders>
              <w:top w:val="single" w:color="000000" w:sz="4" w:space="0"/>
              <w:left w:val="single" w:color="000000" w:sz="4" w:space="0"/>
              <w:bottom w:val="single" w:color="000000" w:sz="4" w:space="0"/>
              <w:right w:val="single" w:color="000000" w:sz="4" w:space="0"/>
            </w:tcBorders>
            <w:noWrap w:val="0"/>
            <w:vAlign w:val="center"/>
          </w:tcPr>
          <w:p w14:paraId="559778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4AAE9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1576F4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657FF0E9">
            <w:pPr>
              <w:jc w:val="center"/>
              <w:rPr>
                <w:rFonts w:hint="default" w:ascii="Times New Roman" w:hAnsi="Times New Roman" w:eastAsia="微软雅黑" w:cs="Times New Roman"/>
                <w:i/>
                <w:iCs/>
                <w:color w:val="000000"/>
                <w:sz w:val="16"/>
                <w:szCs w:val="16"/>
                <w:u w:val="none"/>
              </w:rPr>
            </w:pPr>
          </w:p>
        </w:tc>
        <w:tc>
          <w:tcPr>
            <w:tcW w:w="190" w:type="pct"/>
            <w:tcBorders>
              <w:top w:val="single" w:color="000000" w:sz="4" w:space="0"/>
              <w:left w:val="single" w:color="000000" w:sz="4" w:space="0"/>
              <w:bottom w:val="single" w:color="000000" w:sz="4" w:space="0"/>
              <w:right w:val="single" w:color="000000" w:sz="4" w:space="0"/>
            </w:tcBorders>
            <w:noWrap w:val="0"/>
            <w:vAlign w:val="center"/>
          </w:tcPr>
          <w:p w14:paraId="784B09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171" w:type="pct"/>
            <w:tcBorders>
              <w:top w:val="single" w:color="000000" w:sz="4" w:space="0"/>
              <w:left w:val="single" w:color="000000" w:sz="4" w:space="0"/>
              <w:bottom w:val="single" w:color="000000" w:sz="4" w:space="0"/>
              <w:right w:val="single" w:color="000000" w:sz="4" w:space="0"/>
            </w:tcBorders>
            <w:noWrap w:val="0"/>
            <w:vAlign w:val="center"/>
          </w:tcPr>
          <w:p w14:paraId="16815D17">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60</w:t>
            </w:r>
          </w:p>
        </w:tc>
        <w:tc>
          <w:tcPr>
            <w:tcW w:w="906" w:type="pct"/>
            <w:tcBorders>
              <w:top w:val="single" w:color="000000" w:sz="4" w:space="0"/>
              <w:left w:val="single" w:color="000000" w:sz="4" w:space="0"/>
              <w:bottom w:val="single" w:color="000000" w:sz="4" w:space="0"/>
              <w:right w:val="single" w:color="000000" w:sz="4" w:space="0"/>
            </w:tcBorders>
            <w:noWrap w:val="0"/>
            <w:vAlign w:val="center"/>
          </w:tcPr>
          <w:p w14:paraId="562E20CE">
            <w:pPr>
              <w:jc w:val="center"/>
              <w:rPr>
                <w:rFonts w:hint="default" w:ascii="Times New Roman" w:hAnsi="Times New Roman" w:eastAsia="微软雅黑" w:cs="Times New Roman"/>
                <w:i/>
                <w:iCs/>
                <w:color w:val="000000"/>
                <w:sz w:val="16"/>
                <w:szCs w:val="16"/>
                <w:u w:val="none"/>
              </w:rPr>
            </w:pPr>
          </w:p>
        </w:tc>
      </w:tr>
      <w:tr w14:paraId="1B5A5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FE3FD1">
            <w:pPr>
              <w:jc w:val="center"/>
              <w:rPr>
                <w:rFonts w:hint="default" w:ascii="Times New Roman" w:hAnsi="Times New Roman" w:eastAsia="宋体" w:cs="Times New Roman"/>
                <w:i w:val="0"/>
                <w:iCs w:val="0"/>
                <w:color w:val="000000"/>
                <w:sz w:val="18"/>
                <w:szCs w:val="18"/>
                <w:u w:val="none"/>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6464BA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623" w:type="pct"/>
            <w:tcBorders>
              <w:top w:val="single" w:color="000000" w:sz="4" w:space="0"/>
              <w:left w:val="single" w:color="000000" w:sz="4" w:space="0"/>
              <w:bottom w:val="single" w:color="000000" w:sz="4" w:space="0"/>
              <w:right w:val="single" w:color="000000" w:sz="4" w:space="0"/>
            </w:tcBorders>
            <w:noWrap w:val="0"/>
            <w:vAlign w:val="center"/>
          </w:tcPr>
          <w:p w14:paraId="24B192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796" w:type="pct"/>
            <w:tcBorders>
              <w:top w:val="single" w:color="000000" w:sz="4" w:space="0"/>
              <w:left w:val="single" w:color="000000" w:sz="4" w:space="0"/>
              <w:bottom w:val="single" w:color="000000" w:sz="4" w:space="0"/>
              <w:right w:val="single" w:color="000000" w:sz="4" w:space="0"/>
            </w:tcBorders>
            <w:noWrap w:val="0"/>
            <w:vAlign w:val="center"/>
          </w:tcPr>
          <w:p w14:paraId="7F5319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足额保障率（参保率）</w:t>
            </w:r>
          </w:p>
        </w:tc>
        <w:tc>
          <w:tcPr>
            <w:tcW w:w="240" w:type="pct"/>
            <w:tcBorders>
              <w:top w:val="single" w:color="000000" w:sz="4" w:space="0"/>
              <w:left w:val="single" w:color="000000" w:sz="4" w:space="0"/>
              <w:bottom w:val="single" w:color="000000" w:sz="4" w:space="0"/>
              <w:right w:val="single" w:color="000000" w:sz="4" w:space="0"/>
            </w:tcBorders>
            <w:noWrap w:val="0"/>
            <w:vAlign w:val="center"/>
          </w:tcPr>
          <w:p w14:paraId="47EF15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1228B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0F01F8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2DFBB54E">
            <w:pPr>
              <w:jc w:val="center"/>
              <w:rPr>
                <w:rFonts w:hint="default" w:ascii="Times New Roman" w:hAnsi="Times New Roman" w:eastAsia="微软雅黑" w:cs="Times New Roman"/>
                <w:i/>
                <w:iCs/>
                <w:color w:val="000000"/>
                <w:sz w:val="16"/>
                <w:szCs w:val="16"/>
                <w:u w:val="none"/>
              </w:rPr>
            </w:pPr>
          </w:p>
        </w:tc>
        <w:tc>
          <w:tcPr>
            <w:tcW w:w="190" w:type="pct"/>
            <w:tcBorders>
              <w:top w:val="single" w:color="000000" w:sz="4" w:space="0"/>
              <w:left w:val="single" w:color="000000" w:sz="4" w:space="0"/>
              <w:bottom w:val="single" w:color="000000" w:sz="4" w:space="0"/>
              <w:right w:val="single" w:color="000000" w:sz="4" w:space="0"/>
            </w:tcBorders>
            <w:noWrap w:val="0"/>
            <w:vAlign w:val="center"/>
          </w:tcPr>
          <w:p w14:paraId="162CCF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171" w:type="pct"/>
            <w:tcBorders>
              <w:top w:val="single" w:color="000000" w:sz="4" w:space="0"/>
              <w:left w:val="single" w:color="000000" w:sz="4" w:space="0"/>
              <w:bottom w:val="single" w:color="000000" w:sz="4" w:space="0"/>
              <w:right w:val="single" w:color="000000" w:sz="4" w:space="0"/>
            </w:tcBorders>
            <w:noWrap w:val="0"/>
            <w:vAlign w:val="center"/>
          </w:tcPr>
          <w:p w14:paraId="60BED3B0">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30</w:t>
            </w:r>
          </w:p>
        </w:tc>
        <w:tc>
          <w:tcPr>
            <w:tcW w:w="906" w:type="pct"/>
            <w:tcBorders>
              <w:top w:val="single" w:color="000000" w:sz="4" w:space="0"/>
              <w:left w:val="single" w:color="000000" w:sz="4" w:space="0"/>
              <w:bottom w:val="single" w:color="000000" w:sz="4" w:space="0"/>
              <w:right w:val="single" w:color="000000" w:sz="4" w:space="0"/>
            </w:tcBorders>
            <w:noWrap w:val="0"/>
            <w:vAlign w:val="center"/>
          </w:tcPr>
          <w:p w14:paraId="4EA5EFA8">
            <w:pPr>
              <w:jc w:val="center"/>
              <w:rPr>
                <w:rFonts w:hint="default" w:ascii="Times New Roman" w:hAnsi="Times New Roman" w:eastAsia="微软雅黑" w:cs="Times New Roman"/>
                <w:i/>
                <w:iCs/>
                <w:color w:val="000000"/>
                <w:sz w:val="16"/>
                <w:szCs w:val="16"/>
                <w:u w:val="none"/>
              </w:rPr>
            </w:pPr>
          </w:p>
        </w:tc>
      </w:tr>
      <w:tr w14:paraId="4CD21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31" w:type="pct"/>
            <w:gridSpan w:val="8"/>
            <w:tcBorders>
              <w:top w:val="single" w:color="000000" w:sz="4" w:space="0"/>
              <w:left w:val="single" w:color="000000" w:sz="4" w:space="0"/>
              <w:bottom w:val="single" w:color="000000" w:sz="4" w:space="0"/>
              <w:right w:val="single" w:color="000000" w:sz="4" w:space="0"/>
            </w:tcBorders>
            <w:noWrap w:val="0"/>
            <w:vAlign w:val="center"/>
          </w:tcPr>
          <w:p w14:paraId="0E3D0F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190" w:type="pct"/>
            <w:tcBorders>
              <w:top w:val="single" w:color="000000" w:sz="4" w:space="0"/>
              <w:left w:val="single" w:color="000000" w:sz="4" w:space="0"/>
              <w:bottom w:val="single" w:color="000000" w:sz="4" w:space="0"/>
              <w:right w:val="single" w:color="000000" w:sz="4" w:space="0"/>
            </w:tcBorders>
            <w:noWrap w:val="0"/>
            <w:vAlign w:val="center"/>
          </w:tcPr>
          <w:p w14:paraId="2337C6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71" w:type="pct"/>
            <w:tcBorders>
              <w:top w:val="single" w:color="000000" w:sz="4" w:space="0"/>
              <w:left w:val="single" w:color="000000" w:sz="4" w:space="0"/>
              <w:bottom w:val="single" w:color="000000" w:sz="4" w:space="0"/>
              <w:right w:val="single" w:color="000000" w:sz="4" w:space="0"/>
            </w:tcBorders>
            <w:noWrap w:val="0"/>
            <w:vAlign w:val="center"/>
          </w:tcPr>
          <w:p w14:paraId="1A2EF16E">
            <w:pP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906" w:type="pct"/>
            <w:tcBorders>
              <w:top w:val="single" w:color="000000" w:sz="4" w:space="0"/>
              <w:left w:val="single" w:color="000000" w:sz="4" w:space="0"/>
              <w:bottom w:val="single" w:color="000000" w:sz="4" w:space="0"/>
              <w:right w:val="single" w:color="000000" w:sz="4" w:space="0"/>
            </w:tcBorders>
            <w:noWrap w:val="0"/>
            <w:vAlign w:val="center"/>
          </w:tcPr>
          <w:p w14:paraId="4E4C2A56">
            <w:pPr>
              <w:rPr>
                <w:rFonts w:hint="default" w:ascii="Times New Roman" w:hAnsi="Times New Roman" w:eastAsia="宋体" w:cs="Times New Roman"/>
                <w:i w:val="0"/>
                <w:iCs w:val="0"/>
                <w:color w:val="000000"/>
                <w:sz w:val="18"/>
                <w:szCs w:val="18"/>
                <w:u w:val="none"/>
              </w:rPr>
            </w:pPr>
          </w:p>
        </w:tc>
      </w:tr>
      <w:tr w14:paraId="621C6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237" w:type="pct"/>
            <w:tcBorders>
              <w:top w:val="single" w:color="000000" w:sz="4" w:space="0"/>
              <w:left w:val="single" w:color="000000" w:sz="4" w:space="0"/>
              <w:bottom w:val="single" w:color="000000" w:sz="4" w:space="0"/>
              <w:right w:val="single" w:color="000000" w:sz="4" w:space="0"/>
            </w:tcBorders>
            <w:noWrap w:val="0"/>
            <w:vAlign w:val="center"/>
          </w:tcPr>
          <w:p w14:paraId="2F1B77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4762" w:type="pct"/>
            <w:gridSpan w:val="10"/>
            <w:tcBorders>
              <w:top w:val="single" w:color="000000" w:sz="4" w:space="0"/>
              <w:left w:val="single" w:color="000000" w:sz="4" w:space="0"/>
              <w:bottom w:val="single" w:color="000000" w:sz="4" w:space="0"/>
              <w:right w:val="single" w:color="000000" w:sz="4" w:space="0"/>
            </w:tcBorders>
            <w:noWrap w:val="0"/>
            <w:vAlign w:val="center"/>
          </w:tcPr>
          <w:p w14:paraId="06CA1C8F">
            <w:pPr>
              <w:keepNext w:val="0"/>
              <w:keepLines w:val="0"/>
              <w:widowControl/>
              <w:suppressLineNumbers w:val="0"/>
              <w:jc w:val="left"/>
              <w:textAlignment w:val="center"/>
              <w:rPr>
                <w:rFonts w:hint="default" w:ascii="Times New Roman" w:hAnsi="Times New Roman" w:eastAsia="微软雅黑" w:cs="Times New Roman"/>
                <w:i/>
                <w:iCs/>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7B656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37" w:type="pct"/>
            <w:tcBorders>
              <w:top w:val="single" w:color="000000" w:sz="4" w:space="0"/>
              <w:left w:val="single" w:color="000000" w:sz="4" w:space="0"/>
              <w:bottom w:val="single" w:color="000000" w:sz="4" w:space="0"/>
              <w:right w:val="single" w:color="000000" w:sz="4" w:space="0"/>
            </w:tcBorders>
            <w:noWrap w:val="0"/>
            <w:vAlign w:val="center"/>
          </w:tcPr>
          <w:p w14:paraId="608AB3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4762" w:type="pct"/>
            <w:gridSpan w:val="10"/>
            <w:tcBorders>
              <w:top w:val="single" w:color="000000" w:sz="4" w:space="0"/>
              <w:left w:val="single" w:color="000000" w:sz="4" w:space="0"/>
              <w:bottom w:val="single" w:color="000000" w:sz="4" w:space="0"/>
              <w:right w:val="single" w:color="000000" w:sz="4" w:space="0"/>
            </w:tcBorders>
            <w:noWrap w:val="0"/>
            <w:vAlign w:val="center"/>
          </w:tcPr>
          <w:p w14:paraId="5534534C">
            <w:pPr>
              <w:keepNext w:val="0"/>
              <w:keepLines w:val="0"/>
              <w:widowControl/>
              <w:suppressLineNumbers w:val="0"/>
              <w:jc w:val="left"/>
              <w:textAlignment w:val="center"/>
              <w:rPr>
                <w:rFonts w:hint="default" w:ascii="Times New Roman" w:hAnsi="Times New Roman" w:eastAsia="微软雅黑" w:cs="Times New Roman"/>
                <w:i/>
                <w:iCs/>
                <w:color w:val="000000"/>
                <w:sz w:val="16"/>
                <w:szCs w:val="16"/>
                <w:u w:val="none"/>
              </w:rPr>
            </w:pPr>
            <w:r>
              <w:rPr>
                <w:rFonts w:hint="default" w:ascii="Times New Roman" w:hAnsi="Times New Roman" w:eastAsia="微软雅黑" w:cs="Times New Roman"/>
                <w:i w:val="0"/>
                <w:iCs w:val="0"/>
                <w:color w:val="000000"/>
                <w:sz w:val="16"/>
                <w:szCs w:val="16"/>
                <w:u w:val="none"/>
                <w:lang w:val="en-US" w:eastAsia="zh-CN"/>
              </w:rPr>
              <w:t>无</w:t>
            </w:r>
          </w:p>
        </w:tc>
      </w:tr>
      <w:tr w14:paraId="775F6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37" w:type="pct"/>
            <w:tcBorders>
              <w:top w:val="single" w:color="000000" w:sz="4" w:space="0"/>
              <w:left w:val="single" w:color="000000" w:sz="4" w:space="0"/>
              <w:bottom w:val="single" w:color="000000" w:sz="4" w:space="0"/>
              <w:right w:val="single" w:color="000000" w:sz="4" w:space="0"/>
            </w:tcBorders>
            <w:noWrap w:val="0"/>
            <w:vAlign w:val="center"/>
          </w:tcPr>
          <w:p w14:paraId="2D01B4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4762" w:type="pct"/>
            <w:gridSpan w:val="10"/>
            <w:tcBorders>
              <w:top w:val="single" w:color="000000" w:sz="4" w:space="0"/>
              <w:left w:val="single" w:color="000000" w:sz="4" w:space="0"/>
              <w:bottom w:val="single" w:color="000000" w:sz="4" w:space="0"/>
              <w:right w:val="single" w:color="000000" w:sz="4" w:space="0"/>
            </w:tcBorders>
            <w:noWrap w:val="0"/>
            <w:vAlign w:val="center"/>
          </w:tcPr>
          <w:p w14:paraId="67876C88">
            <w:pPr>
              <w:keepNext w:val="0"/>
              <w:keepLines w:val="0"/>
              <w:widowControl/>
              <w:suppressLineNumbers w:val="0"/>
              <w:jc w:val="left"/>
              <w:textAlignment w:val="center"/>
              <w:rPr>
                <w:rFonts w:hint="default" w:ascii="Times New Roman" w:hAnsi="Times New Roman" w:eastAsia="微软雅黑" w:cs="Times New Roman"/>
                <w:i/>
                <w:iCs/>
                <w:color w:val="000000"/>
                <w:sz w:val="16"/>
                <w:szCs w:val="16"/>
                <w:u w:val="none"/>
              </w:rPr>
            </w:pPr>
            <w:r>
              <w:rPr>
                <w:rFonts w:hint="default" w:ascii="Times New Roman" w:hAnsi="Times New Roman" w:eastAsia="微软雅黑" w:cs="Times New Roman"/>
                <w:i w:val="0"/>
                <w:iCs w:val="0"/>
                <w:color w:val="000000"/>
                <w:sz w:val="16"/>
                <w:szCs w:val="16"/>
                <w:u w:val="none"/>
                <w:lang w:val="en-US" w:eastAsia="zh-CN"/>
              </w:rPr>
              <w:t>无</w:t>
            </w:r>
          </w:p>
        </w:tc>
      </w:tr>
      <w:tr w14:paraId="6A0E1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37" w:type="pct"/>
            <w:tcBorders>
              <w:top w:val="nil"/>
              <w:left w:val="nil"/>
              <w:bottom w:val="nil"/>
              <w:right w:val="nil"/>
            </w:tcBorders>
            <w:noWrap w:val="0"/>
            <w:vAlign w:val="center"/>
          </w:tcPr>
          <w:p w14:paraId="51137654">
            <w:pPr>
              <w:rPr>
                <w:rFonts w:hint="default" w:ascii="Times New Roman" w:hAnsi="Times New Roman" w:eastAsia="宋体" w:cs="Times New Roman"/>
                <w:i w:val="0"/>
                <w:iCs w:val="0"/>
                <w:color w:val="000000"/>
                <w:sz w:val="18"/>
                <w:szCs w:val="18"/>
                <w:u w:val="none"/>
              </w:rPr>
            </w:pPr>
          </w:p>
        </w:tc>
        <w:tc>
          <w:tcPr>
            <w:tcW w:w="722" w:type="pct"/>
            <w:tcBorders>
              <w:top w:val="nil"/>
              <w:left w:val="nil"/>
              <w:bottom w:val="nil"/>
              <w:right w:val="nil"/>
            </w:tcBorders>
            <w:noWrap w:val="0"/>
            <w:vAlign w:val="center"/>
          </w:tcPr>
          <w:p w14:paraId="10B4AB1B">
            <w:pPr>
              <w:rPr>
                <w:rFonts w:hint="default" w:ascii="Times New Roman" w:hAnsi="Times New Roman" w:eastAsia="宋体" w:cs="Times New Roman"/>
                <w:i w:val="0"/>
                <w:iCs w:val="0"/>
                <w:color w:val="000000"/>
                <w:sz w:val="18"/>
                <w:szCs w:val="18"/>
                <w:u w:val="none"/>
              </w:rPr>
            </w:pPr>
          </w:p>
        </w:tc>
        <w:tc>
          <w:tcPr>
            <w:tcW w:w="623" w:type="pct"/>
            <w:tcBorders>
              <w:top w:val="nil"/>
              <w:left w:val="nil"/>
              <w:bottom w:val="nil"/>
              <w:right w:val="nil"/>
            </w:tcBorders>
            <w:noWrap w:val="0"/>
            <w:vAlign w:val="center"/>
          </w:tcPr>
          <w:p w14:paraId="15D968B7">
            <w:pPr>
              <w:rPr>
                <w:rFonts w:hint="default" w:ascii="Times New Roman" w:hAnsi="Times New Roman" w:eastAsia="宋体" w:cs="Times New Roman"/>
                <w:i w:val="0"/>
                <w:iCs w:val="0"/>
                <w:color w:val="000000"/>
                <w:sz w:val="18"/>
                <w:szCs w:val="18"/>
                <w:u w:val="none"/>
              </w:rPr>
            </w:pPr>
          </w:p>
        </w:tc>
        <w:tc>
          <w:tcPr>
            <w:tcW w:w="796" w:type="pct"/>
            <w:tcBorders>
              <w:top w:val="nil"/>
              <w:left w:val="nil"/>
              <w:bottom w:val="nil"/>
              <w:right w:val="nil"/>
            </w:tcBorders>
            <w:noWrap w:val="0"/>
            <w:vAlign w:val="center"/>
          </w:tcPr>
          <w:p w14:paraId="19659056">
            <w:pPr>
              <w:rPr>
                <w:rFonts w:hint="default" w:ascii="Times New Roman" w:hAnsi="Times New Roman" w:eastAsia="宋体" w:cs="Times New Roman"/>
                <w:i w:val="0"/>
                <w:iCs w:val="0"/>
                <w:color w:val="000000"/>
                <w:sz w:val="18"/>
                <w:szCs w:val="18"/>
                <w:u w:val="none"/>
              </w:rPr>
            </w:pPr>
          </w:p>
        </w:tc>
        <w:tc>
          <w:tcPr>
            <w:tcW w:w="240" w:type="pct"/>
            <w:tcBorders>
              <w:top w:val="nil"/>
              <w:left w:val="nil"/>
              <w:bottom w:val="nil"/>
              <w:right w:val="nil"/>
            </w:tcBorders>
            <w:noWrap w:val="0"/>
            <w:vAlign w:val="center"/>
          </w:tcPr>
          <w:p w14:paraId="0FBF8AD9">
            <w:pPr>
              <w:rPr>
                <w:rFonts w:hint="default" w:ascii="Times New Roman" w:hAnsi="Times New Roman" w:eastAsia="宋体" w:cs="Times New Roman"/>
                <w:i w:val="0"/>
                <w:iCs w:val="0"/>
                <w:color w:val="000000"/>
                <w:sz w:val="18"/>
                <w:szCs w:val="18"/>
                <w:u w:val="none"/>
              </w:rPr>
            </w:pPr>
          </w:p>
        </w:tc>
        <w:tc>
          <w:tcPr>
            <w:tcW w:w="464" w:type="pct"/>
            <w:tcBorders>
              <w:top w:val="nil"/>
              <w:left w:val="nil"/>
              <w:bottom w:val="nil"/>
              <w:right w:val="nil"/>
            </w:tcBorders>
            <w:noWrap w:val="0"/>
            <w:vAlign w:val="center"/>
          </w:tcPr>
          <w:p w14:paraId="0CEBF789">
            <w:pPr>
              <w:rPr>
                <w:rFonts w:hint="default" w:ascii="Times New Roman" w:hAnsi="Times New Roman" w:eastAsia="宋体" w:cs="Times New Roman"/>
                <w:i w:val="0"/>
                <w:iCs w:val="0"/>
                <w:color w:val="000000"/>
                <w:sz w:val="18"/>
                <w:szCs w:val="18"/>
                <w:u w:val="none"/>
              </w:rPr>
            </w:pPr>
          </w:p>
        </w:tc>
        <w:tc>
          <w:tcPr>
            <w:tcW w:w="255" w:type="pct"/>
            <w:tcBorders>
              <w:top w:val="nil"/>
              <w:left w:val="nil"/>
              <w:bottom w:val="nil"/>
              <w:right w:val="nil"/>
            </w:tcBorders>
            <w:noWrap w:val="0"/>
            <w:vAlign w:val="center"/>
          </w:tcPr>
          <w:p w14:paraId="130BDC65">
            <w:pPr>
              <w:rPr>
                <w:rFonts w:hint="default" w:ascii="Times New Roman" w:hAnsi="Times New Roman" w:eastAsia="宋体" w:cs="Times New Roman"/>
                <w:i w:val="0"/>
                <w:iCs w:val="0"/>
                <w:color w:val="000000"/>
                <w:sz w:val="18"/>
                <w:szCs w:val="18"/>
                <w:u w:val="none"/>
              </w:rPr>
            </w:pPr>
          </w:p>
        </w:tc>
        <w:tc>
          <w:tcPr>
            <w:tcW w:w="390" w:type="pct"/>
            <w:tcBorders>
              <w:top w:val="nil"/>
              <w:left w:val="nil"/>
              <w:bottom w:val="nil"/>
              <w:right w:val="nil"/>
            </w:tcBorders>
            <w:noWrap w:val="0"/>
            <w:vAlign w:val="center"/>
          </w:tcPr>
          <w:p w14:paraId="0F1F6C51">
            <w:pPr>
              <w:rPr>
                <w:rFonts w:hint="default" w:ascii="Times New Roman" w:hAnsi="Times New Roman" w:eastAsia="宋体" w:cs="Times New Roman"/>
                <w:i w:val="0"/>
                <w:iCs w:val="0"/>
                <w:color w:val="000000"/>
                <w:sz w:val="18"/>
                <w:szCs w:val="18"/>
                <w:u w:val="none"/>
              </w:rPr>
            </w:pPr>
          </w:p>
        </w:tc>
        <w:tc>
          <w:tcPr>
            <w:tcW w:w="190" w:type="pct"/>
            <w:tcBorders>
              <w:top w:val="nil"/>
              <w:left w:val="nil"/>
              <w:bottom w:val="nil"/>
              <w:right w:val="nil"/>
            </w:tcBorders>
            <w:noWrap w:val="0"/>
            <w:vAlign w:val="center"/>
          </w:tcPr>
          <w:p w14:paraId="0FB5D507">
            <w:pPr>
              <w:rPr>
                <w:rFonts w:hint="default" w:ascii="Times New Roman" w:hAnsi="Times New Roman" w:eastAsia="宋体" w:cs="Times New Roman"/>
                <w:i w:val="0"/>
                <w:iCs w:val="0"/>
                <w:color w:val="000000"/>
                <w:sz w:val="18"/>
                <w:szCs w:val="18"/>
                <w:u w:val="none"/>
              </w:rPr>
            </w:pPr>
          </w:p>
        </w:tc>
        <w:tc>
          <w:tcPr>
            <w:tcW w:w="171" w:type="pct"/>
            <w:tcBorders>
              <w:top w:val="nil"/>
              <w:left w:val="nil"/>
              <w:bottom w:val="nil"/>
              <w:right w:val="nil"/>
            </w:tcBorders>
            <w:noWrap w:val="0"/>
            <w:vAlign w:val="center"/>
          </w:tcPr>
          <w:p w14:paraId="2319723D">
            <w:pPr>
              <w:rPr>
                <w:rFonts w:hint="default" w:ascii="Times New Roman" w:hAnsi="Times New Roman" w:eastAsia="宋体" w:cs="Times New Roman"/>
                <w:i w:val="0"/>
                <w:iCs w:val="0"/>
                <w:color w:val="000000"/>
                <w:sz w:val="18"/>
                <w:szCs w:val="18"/>
                <w:u w:val="none"/>
              </w:rPr>
            </w:pPr>
          </w:p>
        </w:tc>
        <w:tc>
          <w:tcPr>
            <w:tcW w:w="906" w:type="pct"/>
            <w:tcBorders>
              <w:top w:val="nil"/>
              <w:left w:val="nil"/>
              <w:bottom w:val="nil"/>
              <w:right w:val="nil"/>
            </w:tcBorders>
            <w:noWrap w:val="0"/>
            <w:vAlign w:val="center"/>
          </w:tcPr>
          <w:p w14:paraId="32A34AA1">
            <w:pPr>
              <w:rPr>
                <w:rFonts w:hint="default" w:ascii="Times New Roman" w:hAnsi="Times New Roman" w:eastAsia="宋体" w:cs="Times New Roman"/>
                <w:i w:val="0"/>
                <w:iCs w:val="0"/>
                <w:color w:val="000000"/>
                <w:sz w:val="18"/>
                <w:szCs w:val="18"/>
                <w:u w:val="none"/>
              </w:rPr>
            </w:pPr>
          </w:p>
        </w:tc>
      </w:tr>
    </w:tbl>
    <w:p w14:paraId="09B29973">
      <w:pPr>
        <w:rPr>
          <w:rFonts w:hint="default" w:ascii="Times New Roman" w:hAnsi="Times New Roman" w:cs="Times New Roman"/>
          <w:lang w:eastAsia="zh-CN"/>
        </w:rPr>
      </w:pPr>
    </w:p>
    <w:p w14:paraId="2BC7D3A5">
      <w:pPr>
        <w:pStyle w:val="2"/>
        <w:rPr>
          <w:rFonts w:hint="default" w:ascii="Times New Roman" w:hAnsi="Times New Roman" w:cs="Times New Roman"/>
          <w:lang w:eastAsia="zh-CN"/>
        </w:rPr>
      </w:pPr>
    </w:p>
    <w:p w14:paraId="7DAA9601">
      <w:pPr>
        <w:rPr>
          <w:rFonts w:hint="default" w:ascii="Times New Roman" w:hAnsi="Times New Roman" w:cs="Times New Roman"/>
          <w:lang w:eastAsia="zh-CN"/>
        </w:rPr>
      </w:pPr>
    </w:p>
    <w:p w14:paraId="11928A3D">
      <w:pPr>
        <w:pStyle w:val="2"/>
        <w:rPr>
          <w:rFonts w:hint="default" w:ascii="Times New Roman" w:hAnsi="Times New Roman" w:cs="Times New Roman"/>
          <w:lang w:eastAsia="zh-CN"/>
        </w:rPr>
      </w:pPr>
    </w:p>
    <w:tbl>
      <w:tblPr>
        <w:tblStyle w:val="16"/>
        <w:tblW w:w="1268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5"/>
        <w:gridCol w:w="1826"/>
        <w:gridCol w:w="1581"/>
        <w:gridCol w:w="2014"/>
        <w:gridCol w:w="649"/>
        <w:gridCol w:w="1029"/>
        <w:gridCol w:w="750"/>
        <w:gridCol w:w="980"/>
        <w:gridCol w:w="486"/>
        <w:gridCol w:w="486"/>
        <w:gridCol w:w="2269"/>
      </w:tblGrid>
      <w:tr w14:paraId="74C38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12685" w:type="dxa"/>
            <w:gridSpan w:val="11"/>
            <w:tcBorders>
              <w:top w:val="single" w:color="000000" w:sz="4" w:space="0"/>
              <w:left w:val="single" w:color="000000" w:sz="4" w:space="0"/>
              <w:bottom w:val="single" w:color="000000" w:sz="4" w:space="0"/>
              <w:right w:val="single" w:color="000000" w:sz="4" w:space="0"/>
            </w:tcBorders>
            <w:noWrap w:val="0"/>
            <w:vAlign w:val="center"/>
          </w:tcPr>
          <w:p w14:paraId="51F6B41D">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78A79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41" w:type="dxa"/>
            <w:gridSpan w:val="2"/>
            <w:tcBorders>
              <w:top w:val="single" w:color="000000" w:sz="4" w:space="0"/>
              <w:left w:val="single" w:color="000000" w:sz="4" w:space="0"/>
              <w:bottom w:val="single" w:color="000000" w:sz="4" w:space="0"/>
              <w:right w:val="single" w:color="000000" w:sz="4" w:space="0"/>
            </w:tcBorders>
            <w:noWrap w:val="0"/>
            <w:vAlign w:val="center"/>
          </w:tcPr>
          <w:p w14:paraId="1286BD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244" w:type="dxa"/>
            <w:gridSpan w:val="9"/>
            <w:tcBorders>
              <w:top w:val="single" w:color="000000" w:sz="4" w:space="0"/>
              <w:left w:val="single" w:color="000000" w:sz="4" w:space="0"/>
              <w:bottom w:val="single" w:color="000000" w:sz="4" w:space="0"/>
              <w:right w:val="single" w:color="000000" w:sz="4" w:space="0"/>
            </w:tcBorders>
            <w:noWrap w:val="0"/>
            <w:vAlign w:val="center"/>
          </w:tcPr>
          <w:p w14:paraId="3F6F05A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51320025R000012339333-追加社保缴费支出</w:t>
            </w:r>
          </w:p>
        </w:tc>
      </w:tr>
      <w:tr w14:paraId="7F055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2441" w:type="dxa"/>
            <w:gridSpan w:val="2"/>
            <w:tcBorders>
              <w:top w:val="single" w:color="000000" w:sz="4" w:space="0"/>
              <w:left w:val="single" w:color="000000" w:sz="4" w:space="0"/>
              <w:bottom w:val="single" w:color="000000" w:sz="4" w:space="0"/>
              <w:right w:val="single" w:color="000000" w:sz="4" w:space="0"/>
            </w:tcBorders>
            <w:noWrap w:val="0"/>
            <w:vAlign w:val="center"/>
          </w:tcPr>
          <w:p w14:paraId="6233B99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023" w:type="dxa"/>
            <w:gridSpan w:val="5"/>
            <w:tcBorders>
              <w:top w:val="single" w:color="000000" w:sz="4" w:space="0"/>
              <w:left w:val="single" w:color="000000" w:sz="4" w:space="0"/>
              <w:bottom w:val="single" w:color="000000" w:sz="4" w:space="0"/>
              <w:right w:val="single" w:color="000000" w:sz="4" w:space="0"/>
            </w:tcBorders>
            <w:noWrap w:val="0"/>
            <w:vAlign w:val="center"/>
          </w:tcPr>
          <w:p w14:paraId="747A1A4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980" w:type="dxa"/>
            <w:tcBorders>
              <w:top w:val="nil"/>
              <w:left w:val="nil"/>
              <w:bottom w:val="nil"/>
              <w:right w:val="nil"/>
            </w:tcBorders>
            <w:noWrap w:val="0"/>
            <w:vAlign w:val="center"/>
          </w:tcPr>
          <w:p w14:paraId="3768D891">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实施单位 （盖章）</w:t>
            </w:r>
          </w:p>
        </w:tc>
        <w:tc>
          <w:tcPr>
            <w:tcW w:w="3241" w:type="dxa"/>
            <w:gridSpan w:val="3"/>
            <w:tcBorders>
              <w:top w:val="single" w:color="000000" w:sz="4" w:space="0"/>
              <w:left w:val="single" w:color="000000" w:sz="4" w:space="0"/>
              <w:bottom w:val="single" w:color="000000" w:sz="4" w:space="0"/>
              <w:right w:val="single" w:color="000000" w:sz="4" w:space="0"/>
            </w:tcBorders>
            <w:noWrap w:val="0"/>
            <w:vAlign w:val="center"/>
          </w:tcPr>
          <w:p w14:paraId="23CF24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州基层帮扶工作服务中心</w:t>
            </w:r>
          </w:p>
        </w:tc>
      </w:tr>
      <w:tr w14:paraId="0A7BE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5" w:type="dxa"/>
            <w:vMerge w:val="restart"/>
            <w:tcBorders>
              <w:top w:val="single" w:color="000000" w:sz="4" w:space="0"/>
              <w:left w:val="single" w:color="000000" w:sz="4" w:space="0"/>
              <w:bottom w:val="single" w:color="000000" w:sz="4" w:space="0"/>
              <w:right w:val="single" w:color="000000" w:sz="4" w:space="0"/>
            </w:tcBorders>
            <w:noWrap w:val="0"/>
            <w:vAlign w:val="center"/>
          </w:tcPr>
          <w:p w14:paraId="0B607C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26" w:type="dxa"/>
            <w:vMerge w:val="restart"/>
            <w:tcBorders>
              <w:top w:val="single" w:color="000000" w:sz="4" w:space="0"/>
              <w:left w:val="single" w:color="000000" w:sz="4" w:space="0"/>
              <w:bottom w:val="single" w:color="000000" w:sz="4" w:space="0"/>
              <w:right w:val="single" w:color="000000" w:sz="4" w:space="0"/>
            </w:tcBorders>
            <w:noWrap w:val="0"/>
            <w:vAlign w:val="center"/>
          </w:tcPr>
          <w:p w14:paraId="6BABCF9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023" w:type="dxa"/>
            <w:gridSpan w:val="5"/>
            <w:tcBorders>
              <w:top w:val="single" w:color="000000" w:sz="4" w:space="0"/>
              <w:left w:val="single" w:color="000000" w:sz="4" w:space="0"/>
              <w:bottom w:val="single" w:color="000000" w:sz="4" w:space="0"/>
              <w:right w:val="single" w:color="000000" w:sz="4" w:space="0"/>
            </w:tcBorders>
            <w:noWrap w:val="0"/>
            <w:vAlign w:val="center"/>
          </w:tcPr>
          <w:p w14:paraId="4C35C1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4221" w:type="dxa"/>
            <w:gridSpan w:val="4"/>
            <w:tcBorders>
              <w:top w:val="single" w:color="000000" w:sz="4" w:space="0"/>
              <w:left w:val="single" w:color="000000" w:sz="4" w:space="0"/>
              <w:bottom w:val="single" w:color="000000" w:sz="4" w:space="0"/>
              <w:right w:val="single" w:color="000000" w:sz="4" w:space="0"/>
            </w:tcBorders>
            <w:noWrap w:val="0"/>
            <w:vAlign w:val="center"/>
          </w:tcPr>
          <w:p w14:paraId="3CDF5D9E">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358ED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E0CC78">
            <w:pPr>
              <w:rPr>
                <w:rFonts w:hint="default" w:ascii="Times New Roman" w:hAnsi="Times New Roman" w:eastAsia="宋体" w:cs="Times New Roman"/>
                <w:i w:val="0"/>
                <w:iCs w:val="0"/>
                <w:color w:val="000000"/>
                <w:sz w:val="18"/>
                <w:szCs w:val="18"/>
                <w:u w:val="none"/>
              </w:rPr>
            </w:pPr>
          </w:p>
        </w:tc>
        <w:tc>
          <w:tcPr>
            <w:tcW w:w="182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91CBB3">
            <w:pPr>
              <w:rPr>
                <w:rFonts w:hint="default" w:ascii="Times New Roman" w:hAnsi="Times New Roman" w:eastAsia="宋体" w:cs="Times New Roman"/>
                <w:i w:val="0"/>
                <w:iCs w:val="0"/>
                <w:color w:val="000000"/>
                <w:sz w:val="18"/>
                <w:szCs w:val="18"/>
                <w:u w:val="none"/>
              </w:rPr>
            </w:pPr>
          </w:p>
        </w:tc>
        <w:tc>
          <w:tcPr>
            <w:tcW w:w="6023" w:type="dxa"/>
            <w:gridSpan w:val="5"/>
            <w:tcBorders>
              <w:top w:val="single" w:color="000000" w:sz="4" w:space="0"/>
              <w:left w:val="single" w:color="000000" w:sz="4" w:space="0"/>
              <w:bottom w:val="single" w:color="000000" w:sz="4" w:space="0"/>
              <w:right w:val="single" w:color="000000" w:sz="4" w:space="0"/>
            </w:tcBorders>
            <w:noWrap w:val="0"/>
            <w:vAlign w:val="center"/>
          </w:tcPr>
          <w:p w14:paraId="3CD21BE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4221" w:type="dxa"/>
            <w:gridSpan w:val="4"/>
            <w:tcBorders>
              <w:top w:val="single" w:color="000000" w:sz="4" w:space="0"/>
              <w:left w:val="single" w:color="000000" w:sz="4" w:space="0"/>
              <w:bottom w:val="single" w:color="000000" w:sz="4" w:space="0"/>
              <w:right w:val="single" w:color="000000" w:sz="4" w:space="0"/>
            </w:tcBorders>
            <w:noWrap w:val="0"/>
            <w:vAlign w:val="center"/>
          </w:tcPr>
          <w:p w14:paraId="010A7AF6">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严格执行相关政策，保障工资及时、足额发放或社保及时、足额缴纳。</w:t>
            </w:r>
          </w:p>
        </w:tc>
      </w:tr>
      <w:tr w14:paraId="686C6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20D423">
            <w:pP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12196B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244" w:type="dxa"/>
            <w:gridSpan w:val="9"/>
            <w:tcBorders>
              <w:top w:val="single" w:color="000000" w:sz="4" w:space="0"/>
              <w:left w:val="single" w:color="000000" w:sz="4" w:space="0"/>
              <w:bottom w:val="single" w:color="000000" w:sz="4" w:space="0"/>
              <w:right w:val="single" w:color="000000" w:sz="4" w:space="0"/>
            </w:tcBorders>
            <w:noWrap w:val="0"/>
            <w:vAlign w:val="center"/>
          </w:tcPr>
          <w:p w14:paraId="024D918C">
            <w:pP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color w:val="000000"/>
                <w:kern w:val="0"/>
                <w:sz w:val="18"/>
                <w:szCs w:val="18"/>
                <w:lang w:bidi="ar"/>
              </w:rPr>
              <w:t>严格执行相关政策，保障工资及时、足额发放或社保及时、足额缴纳，预算编制科学合理，减少结余资金。</w:t>
            </w:r>
          </w:p>
        </w:tc>
      </w:tr>
      <w:tr w14:paraId="27F7D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5" w:type="dxa"/>
            <w:vMerge w:val="restart"/>
            <w:tcBorders>
              <w:top w:val="single" w:color="000000" w:sz="4" w:space="0"/>
              <w:left w:val="single" w:color="000000" w:sz="4" w:space="0"/>
              <w:bottom w:val="single" w:color="000000" w:sz="4" w:space="0"/>
              <w:right w:val="single" w:color="000000" w:sz="4" w:space="0"/>
            </w:tcBorders>
            <w:noWrap w:val="0"/>
            <w:vAlign w:val="center"/>
          </w:tcPr>
          <w:p w14:paraId="22AD13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4E4FFC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47E617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2014" w:type="dxa"/>
            <w:tcBorders>
              <w:top w:val="single" w:color="000000" w:sz="4" w:space="0"/>
              <w:left w:val="single" w:color="000000" w:sz="4" w:space="0"/>
              <w:bottom w:val="single" w:color="000000" w:sz="4" w:space="0"/>
              <w:right w:val="single" w:color="000000" w:sz="4" w:space="0"/>
            </w:tcBorders>
            <w:noWrap w:val="0"/>
            <w:vAlign w:val="center"/>
          </w:tcPr>
          <w:p w14:paraId="275E53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6A5499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48B6C8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FC8BD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7523C5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166E0F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70379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8853C2">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716E1B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77C82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4" w:type="dxa"/>
            <w:tcBorders>
              <w:top w:val="single" w:color="000000" w:sz="4" w:space="0"/>
              <w:left w:val="single" w:color="000000" w:sz="4" w:space="0"/>
              <w:bottom w:val="single" w:color="000000" w:sz="4" w:space="0"/>
              <w:right w:val="single" w:color="000000" w:sz="4" w:space="0"/>
            </w:tcBorders>
            <w:noWrap w:val="0"/>
            <w:vAlign w:val="center"/>
          </w:tcPr>
          <w:p w14:paraId="64895B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69F9AA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4AEDEF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AFC27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38E48DC3">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2269" w:type="dxa"/>
            <w:vMerge w:val="restart"/>
            <w:tcBorders>
              <w:top w:val="single" w:color="000000" w:sz="4" w:space="0"/>
              <w:left w:val="single" w:color="000000" w:sz="4" w:space="0"/>
              <w:bottom w:val="single" w:color="000000" w:sz="4" w:space="0"/>
              <w:right w:val="single" w:color="000000" w:sz="4" w:space="0"/>
            </w:tcBorders>
            <w:noWrap w:val="0"/>
            <w:vAlign w:val="center"/>
          </w:tcPr>
          <w:p w14:paraId="61B762B9">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p>
        </w:tc>
      </w:tr>
      <w:tr w14:paraId="11C67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E3CE6F">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5C5765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F0AE6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4" w:type="dxa"/>
            <w:tcBorders>
              <w:top w:val="single" w:color="000000" w:sz="4" w:space="0"/>
              <w:left w:val="single" w:color="000000" w:sz="4" w:space="0"/>
              <w:bottom w:val="single" w:color="000000" w:sz="4" w:space="0"/>
              <w:right w:val="single" w:color="000000" w:sz="4" w:space="0"/>
            </w:tcBorders>
            <w:noWrap w:val="0"/>
            <w:vAlign w:val="center"/>
          </w:tcPr>
          <w:p w14:paraId="0D7B5C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4766A9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30599A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464733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52F159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22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9BDAC">
            <w:pPr>
              <w:rPr>
                <w:rFonts w:hint="default" w:ascii="Times New Roman" w:hAnsi="Times New Roman" w:eastAsia="黑体" w:cs="Times New Roman"/>
                <w:i/>
                <w:iCs/>
                <w:color w:val="000000"/>
                <w:sz w:val="18"/>
                <w:szCs w:val="18"/>
                <w:u w:val="none"/>
              </w:rPr>
            </w:pPr>
          </w:p>
        </w:tc>
      </w:tr>
      <w:tr w14:paraId="00F17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79FF01">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0D4C6A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18CC61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4" w:type="dxa"/>
            <w:tcBorders>
              <w:top w:val="single" w:color="000000" w:sz="4" w:space="0"/>
              <w:left w:val="single" w:color="000000" w:sz="4" w:space="0"/>
              <w:bottom w:val="single" w:color="000000" w:sz="4" w:space="0"/>
              <w:right w:val="single" w:color="000000" w:sz="4" w:space="0"/>
            </w:tcBorders>
            <w:noWrap w:val="0"/>
            <w:vAlign w:val="center"/>
          </w:tcPr>
          <w:p w14:paraId="51A5D7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743F1F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43DBAF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4B133E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5F5E66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22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8EBA40">
            <w:pPr>
              <w:rPr>
                <w:rFonts w:hint="default" w:ascii="Times New Roman" w:hAnsi="Times New Roman" w:eastAsia="黑体" w:cs="Times New Roman"/>
                <w:i/>
                <w:iCs/>
                <w:color w:val="000000"/>
                <w:sz w:val="18"/>
                <w:szCs w:val="18"/>
                <w:u w:val="none"/>
              </w:rPr>
            </w:pPr>
          </w:p>
        </w:tc>
      </w:tr>
      <w:tr w14:paraId="4F82F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A9365F">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623B8E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651F8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4" w:type="dxa"/>
            <w:tcBorders>
              <w:top w:val="single" w:color="000000" w:sz="4" w:space="0"/>
              <w:left w:val="single" w:color="000000" w:sz="4" w:space="0"/>
              <w:bottom w:val="single" w:color="000000" w:sz="4" w:space="0"/>
              <w:right w:val="single" w:color="000000" w:sz="4" w:space="0"/>
            </w:tcBorders>
            <w:noWrap w:val="0"/>
            <w:vAlign w:val="center"/>
          </w:tcPr>
          <w:p w14:paraId="35F485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1F7F47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710954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1446A3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3F63E5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22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6E74D2">
            <w:pPr>
              <w:rPr>
                <w:rFonts w:hint="default" w:ascii="Times New Roman" w:hAnsi="Times New Roman" w:eastAsia="黑体" w:cs="Times New Roman"/>
                <w:i/>
                <w:iCs/>
                <w:color w:val="000000"/>
                <w:sz w:val="18"/>
                <w:szCs w:val="18"/>
                <w:u w:val="none"/>
              </w:rPr>
            </w:pPr>
          </w:p>
        </w:tc>
      </w:tr>
      <w:tr w14:paraId="3ECEC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5" w:type="dxa"/>
            <w:vMerge w:val="restart"/>
            <w:tcBorders>
              <w:top w:val="single" w:color="000000" w:sz="4" w:space="0"/>
              <w:left w:val="single" w:color="000000" w:sz="4" w:space="0"/>
              <w:bottom w:val="single" w:color="000000" w:sz="4" w:space="0"/>
              <w:right w:val="single" w:color="000000" w:sz="4" w:space="0"/>
            </w:tcBorders>
            <w:noWrap w:val="0"/>
            <w:vAlign w:val="center"/>
          </w:tcPr>
          <w:p w14:paraId="5DA02B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36FF4B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48FD21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2014" w:type="dxa"/>
            <w:tcBorders>
              <w:top w:val="single" w:color="000000" w:sz="4" w:space="0"/>
              <w:left w:val="single" w:color="000000" w:sz="4" w:space="0"/>
              <w:bottom w:val="single" w:color="000000" w:sz="4" w:space="0"/>
              <w:right w:val="single" w:color="000000" w:sz="4" w:space="0"/>
            </w:tcBorders>
            <w:noWrap w:val="0"/>
            <w:vAlign w:val="center"/>
          </w:tcPr>
          <w:p w14:paraId="6B9B89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649" w:type="dxa"/>
            <w:tcBorders>
              <w:top w:val="single" w:color="000000" w:sz="4" w:space="0"/>
              <w:left w:val="single" w:color="000000" w:sz="4" w:space="0"/>
              <w:bottom w:val="single" w:color="000000" w:sz="4" w:space="0"/>
              <w:right w:val="single" w:color="000000" w:sz="4" w:space="0"/>
            </w:tcBorders>
            <w:noWrap w:val="0"/>
            <w:vAlign w:val="center"/>
          </w:tcPr>
          <w:p w14:paraId="5C3DA0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B4DD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63A81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05A715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19D4C7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B1271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70434E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5D0DC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7B9F7F">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0E571F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产出指标</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5976C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数量指标</w:t>
            </w:r>
          </w:p>
        </w:tc>
        <w:tc>
          <w:tcPr>
            <w:tcW w:w="2014" w:type="dxa"/>
            <w:tcBorders>
              <w:top w:val="single" w:color="000000" w:sz="4" w:space="0"/>
              <w:left w:val="single" w:color="000000" w:sz="4" w:space="0"/>
              <w:bottom w:val="single" w:color="000000" w:sz="4" w:space="0"/>
              <w:right w:val="single" w:color="000000" w:sz="4" w:space="0"/>
            </w:tcBorders>
            <w:noWrap w:val="0"/>
            <w:vAlign w:val="center"/>
          </w:tcPr>
          <w:p w14:paraId="1672E2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发放（缴纳）覆盖率</w:t>
            </w:r>
          </w:p>
        </w:tc>
        <w:tc>
          <w:tcPr>
            <w:tcW w:w="649" w:type="dxa"/>
            <w:tcBorders>
              <w:top w:val="single" w:color="000000" w:sz="4" w:space="0"/>
              <w:left w:val="single" w:color="000000" w:sz="4" w:space="0"/>
              <w:bottom w:val="single" w:color="000000" w:sz="4" w:space="0"/>
              <w:right w:val="single" w:color="000000" w:sz="4" w:space="0"/>
            </w:tcBorders>
            <w:noWrap w:val="0"/>
            <w:vAlign w:val="center"/>
          </w:tcPr>
          <w:p w14:paraId="7B42FF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712218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3F80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65D18027">
            <w:pPr>
              <w:jc w:val="center"/>
              <w:rPr>
                <w:rFonts w:hint="default" w:ascii="Times New Roman" w:hAnsi="Times New Roman" w:eastAsia="微软雅黑" w:cs="Times New Roman"/>
                <w:i/>
                <w:iCs/>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3EF7A6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3E7E9FCF">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60</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2FC6EDAA">
            <w:pPr>
              <w:jc w:val="center"/>
              <w:rPr>
                <w:rFonts w:hint="default" w:ascii="Times New Roman" w:hAnsi="Times New Roman" w:eastAsia="微软雅黑" w:cs="Times New Roman"/>
                <w:i/>
                <w:iCs/>
                <w:color w:val="000000"/>
                <w:sz w:val="16"/>
                <w:szCs w:val="16"/>
                <w:u w:val="none"/>
              </w:rPr>
            </w:pPr>
          </w:p>
        </w:tc>
      </w:tr>
      <w:tr w14:paraId="0E605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2349EF">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667401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效益指标</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6ECD2F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社会效益指标</w:t>
            </w:r>
          </w:p>
        </w:tc>
        <w:tc>
          <w:tcPr>
            <w:tcW w:w="2014" w:type="dxa"/>
            <w:tcBorders>
              <w:top w:val="single" w:color="000000" w:sz="4" w:space="0"/>
              <w:left w:val="single" w:color="000000" w:sz="4" w:space="0"/>
              <w:bottom w:val="single" w:color="000000" w:sz="4" w:space="0"/>
              <w:right w:val="single" w:color="000000" w:sz="4" w:space="0"/>
            </w:tcBorders>
            <w:noWrap w:val="0"/>
            <w:vAlign w:val="center"/>
          </w:tcPr>
          <w:p w14:paraId="2FFD64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足额保障率（参保率）</w:t>
            </w:r>
          </w:p>
        </w:tc>
        <w:tc>
          <w:tcPr>
            <w:tcW w:w="649" w:type="dxa"/>
            <w:tcBorders>
              <w:top w:val="single" w:color="000000" w:sz="4" w:space="0"/>
              <w:left w:val="single" w:color="000000" w:sz="4" w:space="0"/>
              <w:bottom w:val="single" w:color="000000" w:sz="4" w:space="0"/>
              <w:right w:val="single" w:color="000000" w:sz="4" w:space="0"/>
            </w:tcBorders>
            <w:noWrap w:val="0"/>
            <w:vAlign w:val="center"/>
          </w:tcPr>
          <w:p w14:paraId="65124A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C2740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0981C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15BE646F">
            <w:pPr>
              <w:jc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100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FBC88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BAC9BF6">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30</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593B9975">
            <w:pPr>
              <w:jc w:val="center"/>
              <w:rPr>
                <w:rFonts w:hint="default" w:ascii="Times New Roman" w:hAnsi="Times New Roman" w:eastAsia="微软雅黑" w:cs="Times New Roman"/>
                <w:i/>
                <w:iCs/>
                <w:color w:val="000000"/>
                <w:sz w:val="16"/>
                <w:szCs w:val="16"/>
                <w:u w:val="none"/>
              </w:rPr>
            </w:pPr>
          </w:p>
        </w:tc>
      </w:tr>
      <w:tr w14:paraId="649F9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444" w:type="dxa"/>
            <w:gridSpan w:val="8"/>
            <w:tcBorders>
              <w:top w:val="single" w:color="000000" w:sz="4" w:space="0"/>
              <w:left w:val="single" w:color="000000" w:sz="4" w:space="0"/>
              <w:bottom w:val="single" w:color="000000" w:sz="4" w:space="0"/>
              <w:right w:val="single" w:color="000000" w:sz="4" w:space="0"/>
            </w:tcBorders>
            <w:noWrap w:val="0"/>
            <w:vAlign w:val="center"/>
          </w:tcPr>
          <w:p w14:paraId="6589AA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58135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51D45B8">
            <w:pP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759DB1C4">
            <w:pPr>
              <w:rPr>
                <w:rFonts w:hint="default" w:ascii="Times New Roman" w:hAnsi="Times New Roman" w:eastAsia="宋体" w:cs="Times New Roman"/>
                <w:i w:val="0"/>
                <w:iCs w:val="0"/>
                <w:color w:val="000000"/>
                <w:sz w:val="18"/>
                <w:szCs w:val="18"/>
                <w:u w:val="none"/>
              </w:rPr>
            </w:pPr>
          </w:p>
        </w:tc>
      </w:tr>
      <w:tr w14:paraId="16167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66A549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070" w:type="dxa"/>
            <w:gridSpan w:val="10"/>
            <w:tcBorders>
              <w:top w:val="single" w:color="000000" w:sz="4" w:space="0"/>
              <w:left w:val="single" w:color="000000" w:sz="4" w:space="0"/>
              <w:bottom w:val="single" w:color="000000" w:sz="4" w:space="0"/>
              <w:right w:val="single" w:color="000000" w:sz="4" w:space="0"/>
            </w:tcBorders>
            <w:noWrap w:val="0"/>
            <w:vAlign w:val="center"/>
          </w:tcPr>
          <w:p w14:paraId="19319BF6">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lang w:bidi="ar"/>
              </w:rPr>
              <w:t>项目总体执行良好。</w:t>
            </w:r>
          </w:p>
        </w:tc>
      </w:tr>
      <w:tr w14:paraId="6E0A8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328EA1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070" w:type="dxa"/>
            <w:gridSpan w:val="10"/>
            <w:tcBorders>
              <w:top w:val="single" w:color="000000" w:sz="4" w:space="0"/>
              <w:left w:val="single" w:color="000000" w:sz="4" w:space="0"/>
              <w:bottom w:val="single" w:color="000000" w:sz="4" w:space="0"/>
              <w:right w:val="single" w:color="000000" w:sz="4" w:space="0"/>
            </w:tcBorders>
            <w:noWrap w:val="0"/>
            <w:vAlign w:val="center"/>
          </w:tcPr>
          <w:p w14:paraId="5E393B06">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lang w:val="en-US" w:eastAsia="zh-CN"/>
              </w:rPr>
            </w:pPr>
            <w:r>
              <w:rPr>
                <w:rFonts w:hint="default" w:ascii="Times New Roman" w:hAnsi="Times New Roman" w:eastAsia="微软雅黑" w:cs="Times New Roman"/>
                <w:i w:val="0"/>
                <w:iCs w:val="0"/>
                <w:color w:val="000000"/>
                <w:sz w:val="16"/>
                <w:szCs w:val="16"/>
                <w:u w:val="none"/>
                <w:lang w:val="en-US" w:eastAsia="zh-CN"/>
              </w:rPr>
              <w:t>无</w:t>
            </w:r>
          </w:p>
        </w:tc>
      </w:tr>
      <w:tr w14:paraId="4CFE1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14:paraId="05CDBA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070" w:type="dxa"/>
            <w:gridSpan w:val="10"/>
            <w:tcBorders>
              <w:top w:val="single" w:color="000000" w:sz="4" w:space="0"/>
              <w:left w:val="single" w:color="000000" w:sz="4" w:space="0"/>
              <w:bottom w:val="single" w:color="000000" w:sz="4" w:space="0"/>
              <w:right w:val="single" w:color="000000" w:sz="4" w:space="0"/>
            </w:tcBorders>
            <w:noWrap w:val="0"/>
            <w:vAlign w:val="center"/>
          </w:tcPr>
          <w:p w14:paraId="3DDBCF5E">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bl>
    <w:p w14:paraId="3A778D20">
      <w:pPr>
        <w:rPr>
          <w:rFonts w:hint="default" w:ascii="Times New Roman" w:hAnsi="Times New Roman" w:cs="Times New Roman"/>
          <w:lang w:eastAsia="zh-CN"/>
        </w:rPr>
        <w:sectPr>
          <w:pgSz w:w="16838" w:h="11906" w:orient="landscape"/>
          <w:pgMar w:top="283" w:right="1440" w:bottom="0" w:left="1440" w:header="720" w:footer="720" w:gutter="0"/>
          <w:cols w:space="720" w:num="1"/>
          <w:docGrid w:type="lines" w:linePitch="312" w:charSpace="0"/>
        </w:sectPr>
      </w:pPr>
    </w:p>
    <w:p w14:paraId="7C636ABD">
      <w:pPr>
        <w:rPr>
          <w:rFonts w:hint="default" w:ascii="Times New Roman" w:hAnsi="Times New Roman" w:cs="Times New Roman"/>
        </w:rPr>
      </w:pPr>
    </w:p>
    <w:tbl>
      <w:tblPr>
        <w:tblStyle w:val="16"/>
        <w:tblW w:w="1268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4"/>
        <w:gridCol w:w="1826"/>
        <w:gridCol w:w="1581"/>
        <w:gridCol w:w="2015"/>
        <w:gridCol w:w="468"/>
        <w:gridCol w:w="1492"/>
        <w:gridCol w:w="468"/>
        <w:gridCol w:w="980"/>
        <w:gridCol w:w="486"/>
        <w:gridCol w:w="486"/>
        <w:gridCol w:w="2269"/>
      </w:tblGrid>
      <w:tr w14:paraId="30974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12685" w:type="dxa"/>
            <w:gridSpan w:val="11"/>
            <w:tcBorders>
              <w:top w:val="single" w:color="000000" w:sz="4" w:space="0"/>
              <w:left w:val="single" w:color="000000" w:sz="4" w:space="0"/>
              <w:bottom w:val="single" w:color="000000" w:sz="4" w:space="0"/>
              <w:right w:val="single" w:color="000000" w:sz="4" w:space="0"/>
            </w:tcBorders>
            <w:noWrap w:val="0"/>
            <w:vAlign w:val="center"/>
          </w:tcPr>
          <w:p w14:paraId="28C8B5A6">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25E6D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40" w:type="dxa"/>
            <w:gridSpan w:val="2"/>
            <w:tcBorders>
              <w:top w:val="single" w:color="000000" w:sz="4" w:space="0"/>
              <w:left w:val="single" w:color="000000" w:sz="4" w:space="0"/>
              <w:bottom w:val="single" w:color="000000" w:sz="4" w:space="0"/>
              <w:right w:val="single" w:color="000000" w:sz="4" w:space="0"/>
            </w:tcBorders>
            <w:noWrap w:val="0"/>
            <w:vAlign w:val="center"/>
          </w:tcPr>
          <w:p w14:paraId="51FDA5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245" w:type="dxa"/>
            <w:gridSpan w:val="9"/>
            <w:tcBorders>
              <w:top w:val="single" w:color="000000" w:sz="4" w:space="0"/>
              <w:left w:val="single" w:color="000000" w:sz="4" w:space="0"/>
              <w:bottom w:val="single" w:color="000000" w:sz="4" w:space="0"/>
              <w:right w:val="single" w:color="000000" w:sz="4" w:space="0"/>
            </w:tcBorders>
            <w:noWrap w:val="0"/>
            <w:vAlign w:val="center"/>
          </w:tcPr>
          <w:p w14:paraId="4C549C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51320025R000012338995-追加人员工资性支出</w:t>
            </w:r>
          </w:p>
        </w:tc>
      </w:tr>
      <w:tr w14:paraId="56A66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2440" w:type="dxa"/>
            <w:gridSpan w:val="2"/>
            <w:tcBorders>
              <w:top w:val="single" w:color="000000" w:sz="4" w:space="0"/>
              <w:left w:val="single" w:color="000000" w:sz="4" w:space="0"/>
              <w:bottom w:val="single" w:color="000000" w:sz="4" w:space="0"/>
              <w:right w:val="single" w:color="000000" w:sz="4" w:space="0"/>
            </w:tcBorders>
            <w:noWrap w:val="0"/>
            <w:vAlign w:val="center"/>
          </w:tcPr>
          <w:p w14:paraId="6FD1F6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024" w:type="dxa"/>
            <w:gridSpan w:val="5"/>
            <w:tcBorders>
              <w:top w:val="single" w:color="000000" w:sz="4" w:space="0"/>
              <w:left w:val="single" w:color="000000" w:sz="4" w:space="0"/>
              <w:bottom w:val="single" w:color="000000" w:sz="4" w:space="0"/>
              <w:right w:val="single" w:color="000000" w:sz="4" w:space="0"/>
            </w:tcBorders>
            <w:noWrap w:val="0"/>
            <w:vAlign w:val="center"/>
          </w:tcPr>
          <w:p w14:paraId="66CE2D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980" w:type="dxa"/>
            <w:tcBorders>
              <w:top w:val="nil"/>
              <w:left w:val="nil"/>
              <w:bottom w:val="nil"/>
              <w:right w:val="nil"/>
            </w:tcBorders>
            <w:noWrap w:val="0"/>
            <w:vAlign w:val="center"/>
          </w:tcPr>
          <w:p w14:paraId="668E729C">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 xml:space="preserve">实施单位 </w:t>
            </w:r>
          </w:p>
        </w:tc>
        <w:tc>
          <w:tcPr>
            <w:tcW w:w="3241" w:type="dxa"/>
            <w:gridSpan w:val="3"/>
            <w:tcBorders>
              <w:top w:val="single" w:color="000000" w:sz="4" w:space="0"/>
              <w:left w:val="single" w:color="000000" w:sz="4" w:space="0"/>
              <w:bottom w:val="single" w:color="000000" w:sz="4" w:space="0"/>
              <w:right w:val="single" w:color="000000" w:sz="4" w:space="0"/>
            </w:tcBorders>
            <w:noWrap w:val="0"/>
            <w:vAlign w:val="center"/>
          </w:tcPr>
          <w:p w14:paraId="2C3AAD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234DF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A3663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26" w:type="dxa"/>
            <w:vMerge w:val="restart"/>
            <w:tcBorders>
              <w:top w:val="single" w:color="000000" w:sz="4" w:space="0"/>
              <w:left w:val="single" w:color="000000" w:sz="4" w:space="0"/>
              <w:bottom w:val="single" w:color="000000" w:sz="4" w:space="0"/>
              <w:right w:val="single" w:color="000000" w:sz="4" w:space="0"/>
            </w:tcBorders>
            <w:noWrap w:val="0"/>
            <w:vAlign w:val="center"/>
          </w:tcPr>
          <w:p w14:paraId="23EFEE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024" w:type="dxa"/>
            <w:gridSpan w:val="5"/>
            <w:tcBorders>
              <w:top w:val="single" w:color="000000" w:sz="4" w:space="0"/>
              <w:left w:val="single" w:color="000000" w:sz="4" w:space="0"/>
              <w:bottom w:val="single" w:color="000000" w:sz="4" w:space="0"/>
              <w:right w:val="single" w:color="000000" w:sz="4" w:space="0"/>
            </w:tcBorders>
            <w:noWrap w:val="0"/>
            <w:vAlign w:val="center"/>
          </w:tcPr>
          <w:p w14:paraId="13588F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4221" w:type="dxa"/>
            <w:gridSpan w:val="4"/>
            <w:tcBorders>
              <w:top w:val="single" w:color="000000" w:sz="4" w:space="0"/>
              <w:left w:val="single" w:color="000000" w:sz="4" w:space="0"/>
              <w:bottom w:val="single" w:color="000000" w:sz="4" w:space="0"/>
              <w:right w:val="single" w:color="000000" w:sz="4" w:space="0"/>
            </w:tcBorders>
            <w:noWrap w:val="0"/>
            <w:vAlign w:val="center"/>
          </w:tcPr>
          <w:p w14:paraId="18786E29">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06B99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F85716">
            <w:pPr>
              <w:rPr>
                <w:rFonts w:hint="default" w:ascii="Times New Roman" w:hAnsi="Times New Roman" w:eastAsia="宋体" w:cs="Times New Roman"/>
                <w:i w:val="0"/>
                <w:iCs w:val="0"/>
                <w:color w:val="000000"/>
                <w:sz w:val="18"/>
                <w:szCs w:val="18"/>
                <w:u w:val="none"/>
              </w:rPr>
            </w:pPr>
          </w:p>
        </w:tc>
        <w:tc>
          <w:tcPr>
            <w:tcW w:w="182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054A3C">
            <w:pPr>
              <w:rPr>
                <w:rFonts w:hint="default" w:ascii="Times New Roman" w:hAnsi="Times New Roman" w:eastAsia="宋体" w:cs="Times New Roman"/>
                <w:i w:val="0"/>
                <w:iCs w:val="0"/>
                <w:color w:val="000000"/>
                <w:sz w:val="18"/>
                <w:szCs w:val="18"/>
                <w:u w:val="none"/>
              </w:rPr>
            </w:pPr>
          </w:p>
        </w:tc>
        <w:tc>
          <w:tcPr>
            <w:tcW w:w="6024" w:type="dxa"/>
            <w:gridSpan w:val="5"/>
            <w:tcBorders>
              <w:top w:val="single" w:color="000000" w:sz="4" w:space="0"/>
              <w:left w:val="single" w:color="000000" w:sz="4" w:space="0"/>
              <w:bottom w:val="single" w:color="000000" w:sz="4" w:space="0"/>
              <w:right w:val="single" w:color="000000" w:sz="4" w:space="0"/>
            </w:tcBorders>
            <w:noWrap w:val="0"/>
            <w:vAlign w:val="center"/>
          </w:tcPr>
          <w:p w14:paraId="7A978C36">
            <w:pPr>
              <w:rPr>
                <w:rFonts w:hint="default" w:ascii="Times New Roman" w:hAnsi="Times New Roman" w:eastAsia="宋体" w:cs="Times New Roman"/>
                <w:i w:val="0"/>
                <w:iCs w:val="0"/>
                <w:color w:val="000000"/>
                <w:sz w:val="18"/>
                <w:szCs w:val="18"/>
                <w:u w:val="none"/>
                <w:lang w:eastAsia="zh-CN"/>
              </w:rPr>
            </w:pPr>
            <w:r>
              <w:rPr>
                <w:rFonts w:hint="default" w:ascii="Times New Roman" w:hAnsi="Times New Roman" w:eastAsia="宋体" w:cs="Times New Roman"/>
                <w:i w:val="0"/>
                <w:iCs w:val="0"/>
                <w:color w:val="000000"/>
                <w:sz w:val="18"/>
                <w:szCs w:val="18"/>
                <w:u w:val="none"/>
              </w:rPr>
              <w:t>严格执行相关政策，保障工资及时、足额发放或社保及时、足额缴纳，预算编制科学合理，减少结余资金</w:t>
            </w:r>
            <w:r>
              <w:rPr>
                <w:rFonts w:hint="default" w:ascii="Times New Roman" w:hAnsi="Times New Roman" w:eastAsia="宋体" w:cs="Times New Roman"/>
                <w:i w:val="0"/>
                <w:iCs w:val="0"/>
                <w:color w:val="000000"/>
                <w:sz w:val="18"/>
                <w:szCs w:val="18"/>
                <w:u w:val="none"/>
                <w:lang w:eastAsia="zh-CN"/>
              </w:rPr>
              <w:t>。</w:t>
            </w:r>
          </w:p>
        </w:tc>
        <w:tc>
          <w:tcPr>
            <w:tcW w:w="4221" w:type="dxa"/>
            <w:gridSpan w:val="4"/>
            <w:tcBorders>
              <w:top w:val="single" w:color="000000" w:sz="4" w:space="0"/>
              <w:left w:val="single" w:color="000000" w:sz="4" w:space="0"/>
              <w:bottom w:val="single" w:color="000000" w:sz="4" w:space="0"/>
              <w:right w:val="single" w:color="000000" w:sz="4" w:space="0"/>
            </w:tcBorders>
            <w:noWrap w:val="0"/>
            <w:vAlign w:val="center"/>
          </w:tcPr>
          <w:p w14:paraId="235B00A0">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color w:val="000000"/>
                <w:kern w:val="0"/>
                <w:sz w:val="18"/>
                <w:szCs w:val="18"/>
                <w:lang w:bidi="ar"/>
              </w:rPr>
              <w:t>严格执行相关政策，保障工资及时、足额发放。</w:t>
            </w:r>
          </w:p>
        </w:tc>
      </w:tr>
      <w:tr w14:paraId="1BEF5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D239DA">
            <w:pP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0C4D101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245" w:type="dxa"/>
            <w:gridSpan w:val="9"/>
            <w:tcBorders>
              <w:top w:val="single" w:color="000000" w:sz="4" w:space="0"/>
              <w:left w:val="single" w:color="000000" w:sz="4" w:space="0"/>
              <w:bottom w:val="single" w:color="000000" w:sz="4" w:space="0"/>
              <w:right w:val="single" w:color="000000" w:sz="4" w:space="0"/>
            </w:tcBorders>
            <w:noWrap w:val="0"/>
            <w:vAlign w:val="center"/>
          </w:tcPr>
          <w:p w14:paraId="27036601">
            <w:pP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sz w:val="18"/>
                <w:szCs w:val="18"/>
                <w:u w:val="none"/>
              </w:rPr>
              <w:t>严格执行相关政策，保障工资及时、足额发放或社保及时、足额缴纳，预算编制科学合理，减少结余资金</w:t>
            </w:r>
            <w:r>
              <w:rPr>
                <w:rFonts w:hint="default" w:ascii="Times New Roman" w:hAnsi="Times New Roman" w:eastAsia="宋体" w:cs="Times New Roman"/>
                <w:i w:val="0"/>
                <w:iCs w:val="0"/>
                <w:color w:val="000000"/>
                <w:sz w:val="18"/>
                <w:szCs w:val="18"/>
                <w:u w:val="none"/>
                <w:lang w:eastAsia="zh-CN"/>
              </w:rPr>
              <w:t>。</w:t>
            </w:r>
          </w:p>
        </w:tc>
      </w:tr>
      <w:tr w14:paraId="2B2AA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4" w:type="dxa"/>
            <w:vMerge w:val="restart"/>
            <w:tcBorders>
              <w:top w:val="single" w:color="000000" w:sz="4" w:space="0"/>
              <w:left w:val="single" w:color="000000" w:sz="4" w:space="0"/>
              <w:bottom w:val="single" w:color="000000" w:sz="4" w:space="0"/>
              <w:right w:val="single" w:color="000000" w:sz="4" w:space="0"/>
            </w:tcBorders>
            <w:noWrap w:val="0"/>
            <w:vAlign w:val="center"/>
          </w:tcPr>
          <w:p w14:paraId="19C8AB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534F9F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26A12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52874E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0C2800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483D9E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E228C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7F7E52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4665D2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687E6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A550B7">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3026FB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1C6C71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2D3C51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17.82</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527F6A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17.82</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58E22C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501DB9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49C215A9">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2269" w:type="dxa"/>
            <w:vMerge w:val="restart"/>
            <w:tcBorders>
              <w:top w:val="single" w:color="000000" w:sz="4" w:space="0"/>
              <w:left w:val="single" w:color="000000" w:sz="4" w:space="0"/>
              <w:bottom w:val="single" w:color="000000" w:sz="4" w:space="0"/>
              <w:right w:val="single" w:color="000000" w:sz="4" w:space="0"/>
            </w:tcBorders>
            <w:noWrap w:val="0"/>
            <w:vAlign w:val="center"/>
          </w:tcPr>
          <w:p w14:paraId="15E5143D">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p>
        </w:tc>
      </w:tr>
      <w:tr w14:paraId="57AFF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362FCD">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21B87C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2A917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5026E7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17.82</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37C4CB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17.82</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0E42B0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48AF1F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A6CD5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22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43DC5D">
            <w:pPr>
              <w:rPr>
                <w:rFonts w:hint="default" w:ascii="Times New Roman" w:hAnsi="Times New Roman" w:eastAsia="黑体" w:cs="Times New Roman"/>
                <w:i/>
                <w:iCs/>
                <w:color w:val="000000"/>
                <w:sz w:val="18"/>
                <w:szCs w:val="18"/>
                <w:u w:val="none"/>
              </w:rPr>
            </w:pPr>
          </w:p>
        </w:tc>
      </w:tr>
      <w:tr w14:paraId="6470B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600285">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4AFE21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E0395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7C825C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7E4DB5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4E7B1D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A4DDC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472EEA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22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7C4AC0">
            <w:pPr>
              <w:rPr>
                <w:rFonts w:hint="default" w:ascii="Times New Roman" w:hAnsi="Times New Roman" w:eastAsia="黑体" w:cs="Times New Roman"/>
                <w:i/>
                <w:iCs/>
                <w:color w:val="000000"/>
                <w:sz w:val="18"/>
                <w:szCs w:val="18"/>
                <w:u w:val="none"/>
              </w:rPr>
            </w:pPr>
          </w:p>
        </w:tc>
      </w:tr>
      <w:tr w14:paraId="62252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32321F">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331507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665B73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26F415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4ED44D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07BEC8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508D92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36D044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22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10DA0A">
            <w:pPr>
              <w:rPr>
                <w:rFonts w:hint="default" w:ascii="Times New Roman" w:hAnsi="Times New Roman" w:eastAsia="黑体" w:cs="Times New Roman"/>
                <w:i/>
                <w:iCs/>
                <w:color w:val="000000"/>
                <w:sz w:val="18"/>
                <w:szCs w:val="18"/>
                <w:u w:val="none"/>
              </w:rPr>
            </w:pPr>
          </w:p>
        </w:tc>
      </w:tr>
      <w:tr w14:paraId="7382E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8" w:hRule="atLeast"/>
        </w:trPr>
        <w:tc>
          <w:tcPr>
            <w:tcW w:w="6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62CA3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05C702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3E0FD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4D5FCE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73D68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14:paraId="59126B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AE569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5126C9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AE6F5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77726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0E3C8A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2AED4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2C2B3F">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36B75D04">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产出指标</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2CA3F8E">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数量指标</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4741056D">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发放（缴纳）覆盖率</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54E6BCB">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14:paraId="2D5D65C2">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100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C0E03CC">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6031419D">
            <w:pPr>
              <w:widowControl/>
              <w:jc w:val="center"/>
              <w:textAlignment w:val="center"/>
              <w:rPr>
                <w:rFonts w:hint="default" w:ascii="Times New Roman" w:hAnsi="Times New Roman" w:eastAsia="微软雅黑" w:cs="Times New Roman"/>
                <w:i/>
                <w:iCs/>
                <w:color w:val="000000"/>
                <w:kern w:val="2"/>
                <w:sz w:val="16"/>
                <w:szCs w:val="16"/>
                <w:lang w:val="en-US" w:eastAsia="zh-CN" w:bidi="ar-SA"/>
              </w:rPr>
            </w:pPr>
            <w:r>
              <w:rPr>
                <w:rFonts w:hint="default" w:ascii="Times New Roman" w:hAnsi="Times New Roman" w:eastAsia="微软雅黑" w:cs="Times New Roman"/>
                <w:i/>
                <w:iCs/>
                <w:color w:val="000000"/>
                <w:kern w:val="0"/>
                <w:sz w:val="16"/>
                <w:szCs w:val="16"/>
                <w:lang w:bidi="ar"/>
              </w:rPr>
              <w:t>100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7DE908EB">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val="en-US" w:eastAsia="zh-CN" w:bidi="ar"/>
              </w:rPr>
              <w:t>90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16FBB4B4">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val="en-US" w:eastAsia="zh-CN" w:bidi="ar"/>
              </w:rPr>
              <w:t>90</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3560AF2B">
            <w:pPr>
              <w:jc w:val="center"/>
              <w:rPr>
                <w:rFonts w:hint="default" w:ascii="Times New Roman" w:hAnsi="Times New Roman" w:eastAsia="微软雅黑" w:cs="Times New Roman"/>
                <w:i/>
                <w:iCs/>
                <w:color w:val="000000"/>
                <w:kern w:val="2"/>
                <w:sz w:val="16"/>
                <w:szCs w:val="16"/>
                <w:lang w:val="en-US" w:eastAsia="zh-CN" w:bidi="ar-SA"/>
              </w:rPr>
            </w:pPr>
          </w:p>
        </w:tc>
      </w:tr>
      <w:tr w14:paraId="10995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444" w:type="dxa"/>
            <w:gridSpan w:val="8"/>
            <w:tcBorders>
              <w:top w:val="single" w:color="000000" w:sz="4" w:space="0"/>
              <w:left w:val="single" w:color="000000" w:sz="4" w:space="0"/>
              <w:bottom w:val="single" w:color="000000" w:sz="4" w:space="0"/>
              <w:right w:val="single" w:color="000000" w:sz="4" w:space="0"/>
            </w:tcBorders>
            <w:noWrap w:val="0"/>
            <w:vAlign w:val="center"/>
          </w:tcPr>
          <w:p w14:paraId="5905F8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7CF6DF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88E8473">
            <w:pP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09D986A4">
            <w:pPr>
              <w:rPr>
                <w:rFonts w:hint="default" w:ascii="Times New Roman" w:hAnsi="Times New Roman" w:eastAsia="宋体" w:cs="Times New Roman"/>
                <w:i w:val="0"/>
                <w:iCs w:val="0"/>
                <w:color w:val="000000"/>
                <w:sz w:val="18"/>
                <w:szCs w:val="18"/>
                <w:u w:val="none"/>
              </w:rPr>
            </w:pPr>
          </w:p>
        </w:tc>
      </w:tr>
      <w:tr w14:paraId="5CE99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614" w:type="dxa"/>
            <w:tcBorders>
              <w:top w:val="single" w:color="000000" w:sz="4" w:space="0"/>
              <w:left w:val="single" w:color="000000" w:sz="4" w:space="0"/>
              <w:bottom w:val="single" w:color="000000" w:sz="4" w:space="0"/>
              <w:right w:val="single" w:color="000000" w:sz="4" w:space="0"/>
            </w:tcBorders>
            <w:noWrap w:val="0"/>
            <w:vAlign w:val="center"/>
          </w:tcPr>
          <w:p w14:paraId="3F330B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071" w:type="dxa"/>
            <w:gridSpan w:val="10"/>
            <w:tcBorders>
              <w:top w:val="single" w:color="000000" w:sz="4" w:space="0"/>
              <w:left w:val="single" w:color="000000" w:sz="4" w:space="0"/>
              <w:bottom w:val="single" w:color="000000" w:sz="4" w:space="0"/>
              <w:right w:val="single" w:color="000000" w:sz="4" w:space="0"/>
            </w:tcBorders>
            <w:noWrap w:val="0"/>
            <w:vAlign w:val="center"/>
          </w:tcPr>
          <w:p w14:paraId="766F151B">
            <w:pPr>
              <w:keepNext w:val="0"/>
              <w:keepLines w:val="0"/>
              <w:widowControl/>
              <w:suppressLineNumbers w:val="0"/>
              <w:jc w:val="left"/>
              <w:textAlignment w:val="center"/>
              <w:rPr>
                <w:rFonts w:hint="default" w:ascii="Times New Roman" w:hAnsi="Times New Roman" w:eastAsia="微软雅黑" w:cs="Times New Roman"/>
                <w:i/>
                <w:iCs/>
                <w:color w:val="000000"/>
                <w:sz w:val="16"/>
                <w:szCs w:val="16"/>
                <w:u w:val="none"/>
              </w:rPr>
            </w:pPr>
            <w:r>
              <w:rPr>
                <w:rFonts w:hint="default" w:ascii="Times New Roman" w:hAnsi="Times New Roman" w:eastAsia="微软雅黑" w:cs="Times New Roman"/>
                <w:i/>
                <w:iCs/>
                <w:color w:val="000000"/>
                <w:kern w:val="0"/>
                <w:sz w:val="16"/>
                <w:szCs w:val="16"/>
                <w:lang w:bidi="ar"/>
              </w:rPr>
              <w:t>项目总体执行良好。</w:t>
            </w:r>
          </w:p>
        </w:tc>
      </w:tr>
      <w:tr w14:paraId="577E0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4" w:type="dxa"/>
            <w:tcBorders>
              <w:top w:val="single" w:color="000000" w:sz="4" w:space="0"/>
              <w:left w:val="single" w:color="000000" w:sz="4" w:space="0"/>
              <w:bottom w:val="single" w:color="000000" w:sz="4" w:space="0"/>
              <w:right w:val="single" w:color="000000" w:sz="4" w:space="0"/>
            </w:tcBorders>
            <w:noWrap w:val="0"/>
            <w:vAlign w:val="center"/>
          </w:tcPr>
          <w:p w14:paraId="65CC74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071" w:type="dxa"/>
            <w:gridSpan w:val="10"/>
            <w:tcBorders>
              <w:top w:val="single" w:color="000000" w:sz="4" w:space="0"/>
              <w:left w:val="single" w:color="000000" w:sz="4" w:space="0"/>
              <w:bottom w:val="single" w:color="000000" w:sz="4" w:space="0"/>
              <w:right w:val="single" w:color="000000" w:sz="4" w:space="0"/>
            </w:tcBorders>
            <w:noWrap w:val="0"/>
            <w:vAlign w:val="center"/>
          </w:tcPr>
          <w:p w14:paraId="336863FD">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50D1F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4" w:type="dxa"/>
            <w:tcBorders>
              <w:top w:val="single" w:color="000000" w:sz="4" w:space="0"/>
              <w:left w:val="single" w:color="000000" w:sz="4" w:space="0"/>
              <w:bottom w:val="single" w:color="000000" w:sz="4" w:space="0"/>
              <w:right w:val="single" w:color="000000" w:sz="4" w:space="0"/>
            </w:tcBorders>
            <w:noWrap w:val="0"/>
            <w:vAlign w:val="center"/>
          </w:tcPr>
          <w:p w14:paraId="7DB2E1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071" w:type="dxa"/>
            <w:gridSpan w:val="10"/>
            <w:tcBorders>
              <w:top w:val="single" w:color="000000" w:sz="4" w:space="0"/>
              <w:left w:val="single" w:color="000000" w:sz="4" w:space="0"/>
              <w:bottom w:val="single" w:color="000000" w:sz="4" w:space="0"/>
              <w:right w:val="single" w:color="000000" w:sz="4" w:space="0"/>
            </w:tcBorders>
            <w:noWrap w:val="0"/>
            <w:vAlign w:val="center"/>
          </w:tcPr>
          <w:p w14:paraId="71858D48">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0C7B9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4" w:type="dxa"/>
            <w:tcBorders>
              <w:top w:val="nil"/>
              <w:left w:val="nil"/>
              <w:bottom w:val="nil"/>
              <w:right w:val="nil"/>
            </w:tcBorders>
            <w:noWrap w:val="0"/>
            <w:vAlign w:val="center"/>
          </w:tcPr>
          <w:p w14:paraId="3E87381A">
            <w:pPr>
              <w:rPr>
                <w:rFonts w:hint="default" w:ascii="Times New Roman" w:hAnsi="Times New Roman" w:eastAsia="宋体" w:cs="Times New Roman"/>
                <w:i w:val="0"/>
                <w:iCs w:val="0"/>
                <w:color w:val="000000"/>
                <w:sz w:val="18"/>
                <w:szCs w:val="18"/>
                <w:u w:val="none"/>
              </w:rPr>
            </w:pPr>
          </w:p>
        </w:tc>
        <w:tc>
          <w:tcPr>
            <w:tcW w:w="1826" w:type="dxa"/>
            <w:tcBorders>
              <w:top w:val="nil"/>
              <w:left w:val="nil"/>
              <w:bottom w:val="nil"/>
              <w:right w:val="nil"/>
            </w:tcBorders>
            <w:noWrap w:val="0"/>
            <w:vAlign w:val="center"/>
          </w:tcPr>
          <w:p w14:paraId="48DAAD6D">
            <w:pPr>
              <w:rPr>
                <w:rFonts w:hint="default" w:ascii="Times New Roman" w:hAnsi="Times New Roman" w:eastAsia="宋体" w:cs="Times New Roman"/>
                <w:i w:val="0"/>
                <w:iCs w:val="0"/>
                <w:color w:val="000000"/>
                <w:sz w:val="18"/>
                <w:szCs w:val="18"/>
                <w:u w:val="none"/>
              </w:rPr>
            </w:pPr>
          </w:p>
        </w:tc>
        <w:tc>
          <w:tcPr>
            <w:tcW w:w="1581" w:type="dxa"/>
            <w:tcBorders>
              <w:top w:val="nil"/>
              <w:left w:val="nil"/>
              <w:bottom w:val="nil"/>
              <w:right w:val="nil"/>
            </w:tcBorders>
            <w:noWrap w:val="0"/>
            <w:vAlign w:val="center"/>
          </w:tcPr>
          <w:p w14:paraId="4B2F789E">
            <w:pPr>
              <w:rPr>
                <w:rFonts w:hint="default" w:ascii="Times New Roman" w:hAnsi="Times New Roman" w:eastAsia="宋体" w:cs="Times New Roman"/>
                <w:i w:val="0"/>
                <w:iCs w:val="0"/>
                <w:color w:val="000000"/>
                <w:sz w:val="18"/>
                <w:szCs w:val="18"/>
                <w:u w:val="none"/>
              </w:rPr>
            </w:pPr>
          </w:p>
        </w:tc>
        <w:tc>
          <w:tcPr>
            <w:tcW w:w="2015" w:type="dxa"/>
            <w:tcBorders>
              <w:top w:val="nil"/>
              <w:left w:val="nil"/>
              <w:bottom w:val="nil"/>
              <w:right w:val="nil"/>
            </w:tcBorders>
            <w:noWrap w:val="0"/>
            <w:vAlign w:val="center"/>
          </w:tcPr>
          <w:p w14:paraId="575DC76D">
            <w:pPr>
              <w:rPr>
                <w:rFonts w:hint="default" w:ascii="Times New Roman" w:hAnsi="Times New Roman" w:eastAsia="宋体" w:cs="Times New Roman"/>
                <w:i w:val="0"/>
                <w:iCs w:val="0"/>
                <w:color w:val="000000"/>
                <w:sz w:val="18"/>
                <w:szCs w:val="18"/>
                <w:u w:val="none"/>
              </w:rPr>
            </w:pPr>
          </w:p>
        </w:tc>
        <w:tc>
          <w:tcPr>
            <w:tcW w:w="468" w:type="dxa"/>
            <w:tcBorders>
              <w:top w:val="nil"/>
              <w:left w:val="nil"/>
              <w:bottom w:val="nil"/>
              <w:right w:val="nil"/>
            </w:tcBorders>
            <w:noWrap w:val="0"/>
            <w:vAlign w:val="center"/>
          </w:tcPr>
          <w:p w14:paraId="4A3BC437">
            <w:pPr>
              <w:rPr>
                <w:rFonts w:hint="default" w:ascii="Times New Roman" w:hAnsi="Times New Roman" w:eastAsia="宋体" w:cs="Times New Roman"/>
                <w:i w:val="0"/>
                <w:iCs w:val="0"/>
                <w:color w:val="000000"/>
                <w:sz w:val="18"/>
                <w:szCs w:val="18"/>
                <w:u w:val="none"/>
              </w:rPr>
            </w:pPr>
          </w:p>
        </w:tc>
        <w:tc>
          <w:tcPr>
            <w:tcW w:w="1492" w:type="dxa"/>
            <w:tcBorders>
              <w:top w:val="nil"/>
              <w:left w:val="nil"/>
              <w:bottom w:val="nil"/>
              <w:right w:val="nil"/>
            </w:tcBorders>
            <w:noWrap w:val="0"/>
            <w:vAlign w:val="center"/>
          </w:tcPr>
          <w:p w14:paraId="088DD837">
            <w:pPr>
              <w:rPr>
                <w:rFonts w:hint="default" w:ascii="Times New Roman" w:hAnsi="Times New Roman" w:eastAsia="宋体" w:cs="Times New Roman"/>
                <w:i w:val="0"/>
                <w:iCs w:val="0"/>
                <w:color w:val="000000"/>
                <w:sz w:val="18"/>
                <w:szCs w:val="18"/>
                <w:u w:val="none"/>
              </w:rPr>
            </w:pPr>
          </w:p>
        </w:tc>
        <w:tc>
          <w:tcPr>
            <w:tcW w:w="468" w:type="dxa"/>
            <w:tcBorders>
              <w:top w:val="nil"/>
              <w:left w:val="nil"/>
              <w:bottom w:val="nil"/>
              <w:right w:val="nil"/>
            </w:tcBorders>
            <w:noWrap w:val="0"/>
            <w:vAlign w:val="center"/>
          </w:tcPr>
          <w:p w14:paraId="5FBC5CA4">
            <w:pPr>
              <w:rPr>
                <w:rFonts w:hint="default" w:ascii="Times New Roman" w:hAnsi="Times New Roman" w:eastAsia="宋体" w:cs="Times New Roman"/>
                <w:i w:val="0"/>
                <w:iCs w:val="0"/>
                <w:color w:val="000000"/>
                <w:sz w:val="18"/>
                <w:szCs w:val="18"/>
                <w:u w:val="none"/>
              </w:rPr>
            </w:pPr>
          </w:p>
        </w:tc>
        <w:tc>
          <w:tcPr>
            <w:tcW w:w="980" w:type="dxa"/>
            <w:tcBorders>
              <w:top w:val="nil"/>
              <w:left w:val="nil"/>
              <w:bottom w:val="nil"/>
              <w:right w:val="nil"/>
            </w:tcBorders>
            <w:noWrap w:val="0"/>
            <w:vAlign w:val="center"/>
          </w:tcPr>
          <w:p w14:paraId="5F1F22CD">
            <w:pPr>
              <w:rPr>
                <w:rFonts w:hint="default" w:ascii="Times New Roman" w:hAnsi="Times New Roman" w:eastAsia="宋体" w:cs="Times New Roman"/>
                <w:i w:val="0"/>
                <w:iCs w:val="0"/>
                <w:color w:val="000000"/>
                <w:sz w:val="18"/>
                <w:szCs w:val="18"/>
                <w:u w:val="none"/>
              </w:rPr>
            </w:pPr>
          </w:p>
        </w:tc>
        <w:tc>
          <w:tcPr>
            <w:tcW w:w="486" w:type="dxa"/>
            <w:tcBorders>
              <w:top w:val="nil"/>
              <w:left w:val="nil"/>
              <w:bottom w:val="nil"/>
              <w:right w:val="nil"/>
            </w:tcBorders>
            <w:noWrap w:val="0"/>
            <w:vAlign w:val="center"/>
          </w:tcPr>
          <w:p w14:paraId="22A11C70">
            <w:pPr>
              <w:rPr>
                <w:rFonts w:hint="default" w:ascii="Times New Roman" w:hAnsi="Times New Roman" w:eastAsia="宋体" w:cs="Times New Roman"/>
                <w:i w:val="0"/>
                <w:iCs w:val="0"/>
                <w:color w:val="000000"/>
                <w:sz w:val="18"/>
                <w:szCs w:val="18"/>
                <w:u w:val="none"/>
              </w:rPr>
            </w:pPr>
          </w:p>
        </w:tc>
        <w:tc>
          <w:tcPr>
            <w:tcW w:w="486" w:type="dxa"/>
            <w:tcBorders>
              <w:top w:val="nil"/>
              <w:left w:val="nil"/>
              <w:bottom w:val="nil"/>
              <w:right w:val="nil"/>
            </w:tcBorders>
            <w:noWrap w:val="0"/>
            <w:vAlign w:val="center"/>
          </w:tcPr>
          <w:p w14:paraId="03D8B0D2">
            <w:pPr>
              <w:rPr>
                <w:rFonts w:hint="default" w:ascii="Times New Roman" w:hAnsi="Times New Roman" w:eastAsia="宋体" w:cs="Times New Roman"/>
                <w:i w:val="0"/>
                <w:iCs w:val="0"/>
                <w:color w:val="000000"/>
                <w:sz w:val="18"/>
                <w:szCs w:val="18"/>
                <w:u w:val="none"/>
              </w:rPr>
            </w:pPr>
          </w:p>
        </w:tc>
        <w:tc>
          <w:tcPr>
            <w:tcW w:w="2269" w:type="dxa"/>
            <w:tcBorders>
              <w:top w:val="nil"/>
              <w:left w:val="nil"/>
              <w:bottom w:val="nil"/>
              <w:right w:val="nil"/>
            </w:tcBorders>
            <w:noWrap w:val="0"/>
            <w:vAlign w:val="center"/>
          </w:tcPr>
          <w:p w14:paraId="6F7D36D9">
            <w:pPr>
              <w:rPr>
                <w:rFonts w:hint="default" w:ascii="Times New Roman" w:hAnsi="Times New Roman" w:eastAsia="宋体" w:cs="Times New Roman"/>
                <w:i w:val="0"/>
                <w:iCs w:val="0"/>
                <w:color w:val="000000"/>
                <w:sz w:val="18"/>
                <w:szCs w:val="18"/>
                <w:u w:val="none"/>
              </w:rPr>
            </w:pPr>
          </w:p>
        </w:tc>
      </w:tr>
      <w:tr w14:paraId="586A0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12685" w:type="dxa"/>
            <w:gridSpan w:val="11"/>
            <w:tcBorders>
              <w:top w:val="single" w:color="000000" w:sz="4" w:space="0"/>
              <w:left w:val="single" w:color="000000" w:sz="4" w:space="0"/>
              <w:bottom w:val="single" w:color="000000" w:sz="4" w:space="0"/>
              <w:right w:val="single" w:color="000000" w:sz="4" w:space="0"/>
            </w:tcBorders>
            <w:noWrap w:val="0"/>
            <w:vAlign w:val="center"/>
          </w:tcPr>
          <w:p w14:paraId="04E5B265">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0"/>
                <w:szCs w:val="30"/>
                <w:u w:val="none"/>
              </w:rPr>
            </w:pPr>
            <w:r>
              <w:rPr>
                <w:rFonts w:hint="default" w:ascii="Times New Roman" w:hAnsi="Times New Roman" w:eastAsia="黑体" w:cs="Times New Roman"/>
                <w:b/>
                <w:bCs/>
                <w:i w:val="0"/>
                <w:iCs w:val="0"/>
                <w:color w:val="000000"/>
                <w:kern w:val="0"/>
                <w:sz w:val="30"/>
                <w:szCs w:val="30"/>
                <w:u w:val="none"/>
                <w:lang w:val="en-US" w:eastAsia="zh-CN" w:bidi="ar"/>
              </w:rPr>
              <w:t>部门预算项目支出绩效自评表（2024年度）</w:t>
            </w:r>
          </w:p>
        </w:tc>
      </w:tr>
      <w:tr w14:paraId="59DE5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40" w:type="dxa"/>
            <w:gridSpan w:val="2"/>
            <w:tcBorders>
              <w:top w:val="single" w:color="000000" w:sz="4" w:space="0"/>
              <w:left w:val="single" w:color="000000" w:sz="4" w:space="0"/>
              <w:bottom w:val="single" w:color="000000" w:sz="4" w:space="0"/>
              <w:right w:val="single" w:color="000000" w:sz="4" w:space="0"/>
            </w:tcBorders>
            <w:noWrap w:val="0"/>
            <w:vAlign w:val="center"/>
          </w:tcPr>
          <w:p w14:paraId="61AC468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10245" w:type="dxa"/>
            <w:gridSpan w:val="9"/>
            <w:tcBorders>
              <w:top w:val="single" w:color="000000" w:sz="4" w:space="0"/>
              <w:left w:val="single" w:color="000000" w:sz="4" w:space="0"/>
              <w:bottom w:val="single" w:color="000000" w:sz="4" w:space="0"/>
              <w:right w:val="single" w:color="000000" w:sz="4" w:space="0"/>
            </w:tcBorders>
            <w:noWrap w:val="0"/>
            <w:vAlign w:val="center"/>
          </w:tcPr>
          <w:p w14:paraId="6145D7E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51320025R000012339333-追加社保缴费支出</w:t>
            </w:r>
          </w:p>
        </w:tc>
      </w:tr>
      <w:tr w14:paraId="4E2E7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2440" w:type="dxa"/>
            <w:gridSpan w:val="2"/>
            <w:tcBorders>
              <w:top w:val="single" w:color="000000" w:sz="4" w:space="0"/>
              <w:left w:val="single" w:color="000000" w:sz="4" w:space="0"/>
              <w:bottom w:val="single" w:color="000000" w:sz="4" w:space="0"/>
              <w:right w:val="single" w:color="000000" w:sz="4" w:space="0"/>
            </w:tcBorders>
            <w:noWrap w:val="0"/>
            <w:vAlign w:val="center"/>
          </w:tcPr>
          <w:p w14:paraId="3AFB36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主管部门</w:t>
            </w:r>
          </w:p>
        </w:tc>
        <w:tc>
          <w:tcPr>
            <w:tcW w:w="6024" w:type="dxa"/>
            <w:gridSpan w:val="5"/>
            <w:tcBorders>
              <w:top w:val="single" w:color="000000" w:sz="4" w:space="0"/>
              <w:left w:val="single" w:color="000000" w:sz="4" w:space="0"/>
              <w:bottom w:val="single" w:color="000000" w:sz="4" w:space="0"/>
              <w:right w:val="single" w:color="000000" w:sz="4" w:space="0"/>
            </w:tcBorders>
            <w:noWrap w:val="0"/>
            <w:vAlign w:val="center"/>
          </w:tcPr>
          <w:p w14:paraId="4672491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州直机关工委部门</w:t>
            </w:r>
          </w:p>
        </w:tc>
        <w:tc>
          <w:tcPr>
            <w:tcW w:w="980" w:type="dxa"/>
            <w:tcBorders>
              <w:top w:val="nil"/>
              <w:left w:val="nil"/>
              <w:bottom w:val="nil"/>
              <w:right w:val="nil"/>
            </w:tcBorders>
            <w:noWrap w:val="0"/>
            <w:vAlign w:val="center"/>
          </w:tcPr>
          <w:p w14:paraId="0B02E6CC">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实施单位</w:t>
            </w:r>
          </w:p>
        </w:tc>
        <w:tc>
          <w:tcPr>
            <w:tcW w:w="3241" w:type="dxa"/>
            <w:gridSpan w:val="3"/>
            <w:tcBorders>
              <w:top w:val="single" w:color="000000" w:sz="4" w:space="0"/>
              <w:left w:val="single" w:color="000000" w:sz="4" w:space="0"/>
              <w:bottom w:val="single" w:color="000000" w:sz="4" w:space="0"/>
              <w:right w:val="single" w:color="000000" w:sz="4" w:space="0"/>
            </w:tcBorders>
            <w:noWrap w:val="0"/>
            <w:vAlign w:val="center"/>
          </w:tcPr>
          <w:p w14:paraId="3DC850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州直机关工委</w:t>
            </w:r>
          </w:p>
        </w:tc>
      </w:tr>
      <w:tr w14:paraId="411E8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2D45FA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项目基本情况</w:t>
            </w:r>
          </w:p>
        </w:tc>
        <w:tc>
          <w:tcPr>
            <w:tcW w:w="1826" w:type="dxa"/>
            <w:vMerge w:val="restart"/>
            <w:tcBorders>
              <w:top w:val="single" w:color="000000" w:sz="4" w:space="0"/>
              <w:left w:val="single" w:color="000000" w:sz="4" w:space="0"/>
              <w:bottom w:val="single" w:color="000000" w:sz="4" w:space="0"/>
              <w:right w:val="single" w:color="000000" w:sz="4" w:space="0"/>
            </w:tcBorders>
            <w:noWrap w:val="0"/>
            <w:vAlign w:val="center"/>
          </w:tcPr>
          <w:p w14:paraId="051BC4A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1.项目年度目标完成情况</w:t>
            </w:r>
          </w:p>
        </w:tc>
        <w:tc>
          <w:tcPr>
            <w:tcW w:w="6024" w:type="dxa"/>
            <w:gridSpan w:val="5"/>
            <w:tcBorders>
              <w:top w:val="single" w:color="000000" w:sz="4" w:space="0"/>
              <w:left w:val="single" w:color="000000" w:sz="4" w:space="0"/>
              <w:bottom w:val="single" w:color="000000" w:sz="4" w:space="0"/>
              <w:right w:val="single" w:color="000000" w:sz="4" w:space="0"/>
            </w:tcBorders>
            <w:noWrap w:val="0"/>
            <w:vAlign w:val="center"/>
          </w:tcPr>
          <w:p w14:paraId="6A5F8E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项目年度目标</w:t>
            </w:r>
          </w:p>
        </w:tc>
        <w:tc>
          <w:tcPr>
            <w:tcW w:w="4221" w:type="dxa"/>
            <w:gridSpan w:val="4"/>
            <w:tcBorders>
              <w:top w:val="single" w:color="000000" w:sz="4" w:space="0"/>
              <w:left w:val="single" w:color="000000" w:sz="4" w:space="0"/>
              <w:bottom w:val="single" w:color="000000" w:sz="4" w:space="0"/>
              <w:right w:val="single" w:color="000000" w:sz="4" w:space="0"/>
            </w:tcBorders>
            <w:noWrap w:val="0"/>
            <w:vAlign w:val="center"/>
          </w:tcPr>
          <w:p w14:paraId="7416DF81">
            <w:pPr>
              <w:keepNext w:val="0"/>
              <w:keepLines w:val="0"/>
              <w:widowControl/>
              <w:suppressLineNumbers w:val="0"/>
              <w:jc w:val="center"/>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i w:val="0"/>
                <w:iCs w:val="0"/>
                <w:color w:val="000000"/>
                <w:kern w:val="0"/>
                <w:sz w:val="18"/>
                <w:szCs w:val="18"/>
                <w:u w:val="none"/>
                <w:lang w:val="en-US" w:eastAsia="zh-CN" w:bidi="ar"/>
              </w:rPr>
              <w:t>年度目标完成情况</w:t>
            </w:r>
          </w:p>
        </w:tc>
      </w:tr>
      <w:tr w14:paraId="42506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4E98C2">
            <w:pPr>
              <w:rPr>
                <w:rFonts w:hint="default" w:ascii="Times New Roman" w:hAnsi="Times New Roman" w:eastAsia="宋体" w:cs="Times New Roman"/>
                <w:i w:val="0"/>
                <w:iCs w:val="0"/>
                <w:color w:val="000000"/>
                <w:sz w:val="18"/>
                <w:szCs w:val="18"/>
                <w:u w:val="none"/>
              </w:rPr>
            </w:pPr>
          </w:p>
        </w:tc>
        <w:tc>
          <w:tcPr>
            <w:tcW w:w="182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A76E00">
            <w:pPr>
              <w:rPr>
                <w:rFonts w:hint="default" w:ascii="Times New Roman" w:hAnsi="Times New Roman" w:eastAsia="宋体" w:cs="Times New Roman"/>
                <w:i w:val="0"/>
                <w:iCs w:val="0"/>
                <w:color w:val="000000"/>
                <w:sz w:val="18"/>
                <w:szCs w:val="18"/>
                <w:u w:val="none"/>
              </w:rPr>
            </w:pPr>
          </w:p>
        </w:tc>
        <w:tc>
          <w:tcPr>
            <w:tcW w:w="6024" w:type="dxa"/>
            <w:gridSpan w:val="5"/>
            <w:tcBorders>
              <w:top w:val="single" w:color="000000" w:sz="4" w:space="0"/>
              <w:left w:val="single" w:color="000000" w:sz="4" w:space="0"/>
              <w:bottom w:val="single" w:color="000000" w:sz="4" w:space="0"/>
              <w:right w:val="single" w:color="000000" w:sz="4" w:space="0"/>
            </w:tcBorders>
            <w:noWrap w:val="0"/>
            <w:vAlign w:val="center"/>
          </w:tcPr>
          <w:p w14:paraId="06BCCE04">
            <w:pP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rPr>
              <w:t>严格执行相关政策，保障工资及时、足额发放或社保及时、足额缴纳，预算编制科学合理，减少结余资金</w:t>
            </w:r>
            <w:r>
              <w:rPr>
                <w:rFonts w:hint="default" w:ascii="Times New Roman" w:hAnsi="Times New Roman" w:eastAsia="宋体" w:cs="Times New Roman"/>
                <w:i w:val="0"/>
                <w:iCs w:val="0"/>
                <w:color w:val="000000"/>
                <w:sz w:val="18"/>
                <w:szCs w:val="18"/>
                <w:u w:val="none"/>
                <w:lang w:eastAsia="zh-CN"/>
              </w:rPr>
              <w:t>。</w:t>
            </w:r>
          </w:p>
        </w:tc>
        <w:tc>
          <w:tcPr>
            <w:tcW w:w="4221" w:type="dxa"/>
            <w:gridSpan w:val="4"/>
            <w:tcBorders>
              <w:top w:val="single" w:color="000000" w:sz="4" w:space="0"/>
              <w:left w:val="single" w:color="000000" w:sz="4" w:space="0"/>
              <w:bottom w:val="single" w:color="000000" w:sz="4" w:space="0"/>
              <w:right w:val="single" w:color="000000" w:sz="4" w:space="0"/>
            </w:tcBorders>
            <w:noWrap w:val="0"/>
            <w:vAlign w:val="center"/>
          </w:tcPr>
          <w:p w14:paraId="773B1A81">
            <w:pPr>
              <w:keepNext w:val="0"/>
              <w:keepLines w:val="0"/>
              <w:widowControl/>
              <w:suppressLineNumbers w:val="0"/>
              <w:jc w:val="left"/>
              <w:textAlignment w:val="center"/>
              <w:rPr>
                <w:rFonts w:hint="default" w:ascii="Times New Roman" w:hAnsi="Times New Roman" w:eastAsia="黑体" w:cs="Times New Roman"/>
                <w:i w:val="0"/>
                <w:iCs w:val="0"/>
                <w:color w:val="000000"/>
                <w:sz w:val="18"/>
                <w:szCs w:val="18"/>
                <w:u w:val="none"/>
              </w:rPr>
            </w:pPr>
            <w:r>
              <w:rPr>
                <w:rFonts w:hint="default" w:ascii="Times New Roman" w:hAnsi="Times New Roman" w:eastAsia="黑体" w:cs="Times New Roman"/>
                <w:color w:val="000000"/>
                <w:kern w:val="0"/>
                <w:sz w:val="18"/>
                <w:szCs w:val="18"/>
                <w:lang w:bidi="ar"/>
              </w:rPr>
              <w:t>严格执行相关政策，保障工资及时、足额发放。</w:t>
            </w:r>
          </w:p>
        </w:tc>
      </w:tr>
      <w:tr w14:paraId="29926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6968E3">
            <w:pP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0BF735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2.项目实施内容及过程概述</w:t>
            </w:r>
          </w:p>
        </w:tc>
        <w:tc>
          <w:tcPr>
            <w:tcW w:w="10245" w:type="dxa"/>
            <w:gridSpan w:val="9"/>
            <w:tcBorders>
              <w:top w:val="single" w:color="000000" w:sz="4" w:space="0"/>
              <w:left w:val="single" w:color="000000" w:sz="4" w:space="0"/>
              <w:bottom w:val="single" w:color="000000" w:sz="4" w:space="0"/>
              <w:right w:val="single" w:color="000000" w:sz="4" w:space="0"/>
            </w:tcBorders>
            <w:noWrap w:val="0"/>
            <w:vAlign w:val="center"/>
          </w:tcPr>
          <w:p w14:paraId="3494C2EC">
            <w:pP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sz w:val="18"/>
                <w:szCs w:val="18"/>
                <w:u w:val="none"/>
              </w:rPr>
              <w:t>严格执行相关政策，保障工资及时、足额发放或社保及时、足额缴纳，预算编制科学合理，减少结余资金</w:t>
            </w:r>
          </w:p>
        </w:tc>
      </w:tr>
      <w:tr w14:paraId="2252C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 w:hRule="atLeast"/>
        </w:trPr>
        <w:tc>
          <w:tcPr>
            <w:tcW w:w="6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18E97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预算执行情况（10分）</w:t>
            </w: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36836C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年度预算数（万元）</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5AF95A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年初预算</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2CA84A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调整后预算数</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32E9B0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预算执行数</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72A37D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190F39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313673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5ABA8A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原因</w:t>
            </w:r>
          </w:p>
        </w:tc>
      </w:tr>
      <w:tr w14:paraId="01752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492FA0">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4663DD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总额</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85D37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3421F1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6C7A0C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5EA540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11FFA2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0DD0317">
            <w:pPr>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2269" w:type="dxa"/>
            <w:vMerge w:val="restart"/>
            <w:tcBorders>
              <w:top w:val="single" w:color="000000" w:sz="4" w:space="0"/>
              <w:left w:val="single" w:color="000000" w:sz="4" w:space="0"/>
              <w:bottom w:val="single" w:color="000000" w:sz="4" w:space="0"/>
              <w:right w:val="single" w:color="000000" w:sz="4" w:space="0"/>
            </w:tcBorders>
            <w:noWrap w:val="0"/>
            <w:vAlign w:val="center"/>
          </w:tcPr>
          <w:p w14:paraId="720D1EF1">
            <w:pPr>
              <w:keepNext w:val="0"/>
              <w:keepLines w:val="0"/>
              <w:widowControl/>
              <w:suppressLineNumbers w:val="0"/>
              <w:jc w:val="left"/>
              <w:textAlignment w:val="center"/>
              <w:rPr>
                <w:rFonts w:hint="default" w:ascii="Times New Roman" w:hAnsi="Times New Roman" w:eastAsia="黑体" w:cs="Times New Roman"/>
                <w:i/>
                <w:iCs/>
                <w:color w:val="000000"/>
                <w:sz w:val="18"/>
                <w:szCs w:val="18"/>
                <w:u w:val="none"/>
              </w:rPr>
            </w:pPr>
          </w:p>
        </w:tc>
      </w:tr>
      <w:tr w14:paraId="4D1D8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941219">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6A57BE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其中：财政资金</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11717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6A8164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551F25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77DE4B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43FCC5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4369C1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22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78F599">
            <w:pPr>
              <w:rPr>
                <w:rFonts w:hint="default" w:ascii="Times New Roman" w:hAnsi="Times New Roman" w:eastAsia="黑体" w:cs="Times New Roman"/>
                <w:i/>
                <w:iCs/>
                <w:color w:val="000000"/>
                <w:sz w:val="18"/>
                <w:szCs w:val="18"/>
                <w:u w:val="none"/>
              </w:rPr>
            </w:pPr>
          </w:p>
        </w:tc>
      </w:tr>
      <w:tr w14:paraId="389F2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66C519">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17FB64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财政专户管理资金</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1409F0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7E3A7E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3A4CBB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2EDF80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681C7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2B7BC2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22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D8C93D">
            <w:pPr>
              <w:rPr>
                <w:rFonts w:hint="default" w:ascii="Times New Roman" w:hAnsi="Times New Roman" w:eastAsia="黑体" w:cs="Times New Roman"/>
                <w:i/>
                <w:iCs/>
                <w:color w:val="000000"/>
                <w:sz w:val="18"/>
                <w:szCs w:val="18"/>
                <w:u w:val="none"/>
              </w:rPr>
            </w:pPr>
          </w:p>
        </w:tc>
      </w:tr>
      <w:tr w14:paraId="6ECC9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7D9CFB">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037292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单位资金</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DE7DB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2D4F87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428" w:type="dxa"/>
            <w:gridSpan w:val="3"/>
            <w:tcBorders>
              <w:top w:val="single" w:color="000000" w:sz="4" w:space="0"/>
              <w:left w:val="single" w:color="000000" w:sz="4" w:space="0"/>
              <w:bottom w:val="single" w:color="000000" w:sz="4" w:space="0"/>
              <w:right w:val="single" w:color="000000" w:sz="4" w:space="0"/>
            </w:tcBorders>
            <w:noWrap w:val="0"/>
            <w:vAlign w:val="center"/>
          </w:tcPr>
          <w:p w14:paraId="13BF5A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183255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0023E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39D982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22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47350C">
            <w:pPr>
              <w:rPr>
                <w:rFonts w:hint="default" w:ascii="Times New Roman" w:hAnsi="Times New Roman" w:eastAsia="黑体" w:cs="Times New Roman"/>
                <w:i/>
                <w:iCs/>
                <w:color w:val="000000"/>
                <w:sz w:val="18"/>
                <w:szCs w:val="18"/>
                <w:u w:val="none"/>
              </w:rPr>
            </w:pPr>
          </w:p>
        </w:tc>
      </w:tr>
      <w:tr w14:paraId="522D9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614" w:type="dxa"/>
            <w:vMerge w:val="restart"/>
            <w:tcBorders>
              <w:top w:val="single" w:color="000000" w:sz="4" w:space="0"/>
              <w:left w:val="single" w:color="000000" w:sz="4" w:space="0"/>
              <w:bottom w:val="single" w:color="000000" w:sz="4" w:space="0"/>
              <w:right w:val="single" w:color="000000" w:sz="4" w:space="0"/>
            </w:tcBorders>
            <w:noWrap w:val="0"/>
            <w:vAlign w:val="center"/>
          </w:tcPr>
          <w:p w14:paraId="2938D8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绩效指标（90分）</w:t>
            </w: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1F893E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一级指标</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18BFAD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二级指标</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5FFF4D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三级指标</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3E400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指标性质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14:paraId="02153D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指标值</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F5B42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度量单位</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2838D5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18C347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1A006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得分</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2A6314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未完成原因分析</w:t>
            </w:r>
          </w:p>
        </w:tc>
      </w:tr>
      <w:tr w14:paraId="186CB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F66081">
            <w:pPr>
              <w:jc w:val="center"/>
              <w:rPr>
                <w:rFonts w:hint="default" w:ascii="Times New Roman" w:hAnsi="Times New Roman" w:eastAsia="宋体" w:cs="Times New Roman"/>
                <w:i w:val="0"/>
                <w:iCs w:val="0"/>
                <w:color w:val="000000"/>
                <w:sz w:val="18"/>
                <w:szCs w:val="18"/>
                <w:u w:val="none"/>
              </w:rPr>
            </w:pP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331DC0DA">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产出指标</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6BAC6F79">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数量指标</w:t>
            </w:r>
          </w:p>
        </w:tc>
        <w:tc>
          <w:tcPr>
            <w:tcW w:w="2015" w:type="dxa"/>
            <w:tcBorders>
              <w:top w:val="single" w:color="000000" w:sz="4" w:space="0"/>
              <w:left w:val="single" w:color="000000" w:sz="4" w:space="0"/>
              <w:bottom w:val="single" w:color="000000" w:sz="4" w:space="0"/>
              <w:right w:val="single" w:color="000000" w:sz="4" w:space="0"/>
            </w:tcBorders>
            <w:noWrap w:val="0"/>
            <w:vAlign w:val="center"/>
          </w:tcPr>
          <w:p w14:paraId="3F592F2A">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发放（缴纳）覆盖率</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E7FE57E">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14:paraId="6F291044">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100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7FE67E3">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bidi="ar"/>
              </w:rPr>
              <w:t>%</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14:paraId="309C7DD6">
            <w:pPr>
              <w:widowControl/>
              <w:jc w:val="center"/>
              <w:textAlignment w:val="center"/>
              <w:rPr>
                <w:rFonts w:hint="default" w:ascii="Times New Roman" w:hAnsi="Times New Roman" w:eastAsia="微软雅黑" w:cs="Times New Roman"/>
                <w:i/>
                <w:iCs/>
                <w:color w:val="000000"/>
                <w:kern w:val="2"/>
                <w:sz w:val="16"/>
                <w:szCs w:val="16"/>
                <w:lang w:val="en-US" w:eastAsia="zh-CN" w:bidi="ar-SA"/>
              </w:rPr>
            </w:pPr>
            <w:r>
              <w:rPr>
                <w:rFonts w:hint="default" w:ascii="Times New Roman" w:hAnsi="Times New Roman" w:eastAsia="微软雅黑" w:cs="Times New Roman"/>
                <w:i/>
                <w:iCs/>
                <w:color w:val="000000"/>
                <w:kern w:val="0"/>
                <w:sz w:val="16"/>
                <w:szCs w:val="16"/>
                <w:lang w:bidi="ar"/>
              </w:rPr>
              <w:t>100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78E60DE">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0"/>
                <w:sz w:val="18"/>
                <w:szCs w:val="18"/>
                <w:lang w:val="en-US" w:eastAsia="zh-CN" w:bidi="ar"/>
              </w:rPr>
              <w:t>90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6B4FB348">
            <w:pPr>
              <w:widowControl/>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kern w:val="2"/>
                <w:sz w:val="18"/>
                <w:szCs w:val="18"/>
                <w:lang w:val="en-US" w:eastAsia="zh-CN" w:bidi="ar-SA"/>
              </w:rPr>
              <w:t>90</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6123F4F0">
            <w:pPr>
              <w:jc w:val="center"/>
              <w:rPr>
                <w:rFonts w:hint="default" w:ascii="Times New Roman" w:hAnsi="Times New Roman" w:eastAsia="微软雅黑" w:cs="Times New Roman"/>
                <w:i/>
                <w:iCs/>
                <w:color w:val="000000"/>
                <w:kern w:val="2"/>
                <w:sz w:val="16"/>
                <w:szCs w:val="16"/>
                <w:lang w:val="en-US" w:eastAsia="zh-CN" w:bidi="ar-SA"/>
              </w:rPr>
            </w:pPr>
          </w:p>
        </w:tc>
      </w:tr>
      <w:tr w14:paraId="4C66E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444" w:type="dxa"/>
            <w:gridSpan w:val="8"/>
            <w:tcBorders>
              <w:top w:val="single" w:color="000000" w:sz="4" w:space="0"/>
              <w:left w:val="single" w:color="000000" w:sz="4" w:space="0"/>
              <w:bottom w:val="single" w:color="000000" w:sz="4" w:space="0"/>
              <w:right w:val="single" w:color="000000" w:sz="4" w:space="0"/>
            </w:tcBorders>
            <w:noWrap w:val="0"/>
            <w:vAlign w:val="center"/>
          </w:tcPr>
          <w:p w14:paraId="2135D0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0EA077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noWrap w:val="0"/>
            <w:vAlign w:val="center"/>
          </w:tcPr>
          <w:p w14:paraId="580EC86F">
            <w:pP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100</w:t>
            </w:r>
          </w:p>
        </w:tc>
        <w:tc>
          <w:tcPr>
            <w:tcW w:w="2269" w:type="dxa"/>
            <w:tcBorders>
              <w:top w:val="single" w:color="000000" w:sz="4" w:space="0"/>
              <w:left w:val="single" w:color="000000" w:sz="4" w:space="0"/>
              <w:bottom w:val="single" w:color="000000" w:sz="4" w:space="0"/>
              <w:right w:val="single" w:color="000000" w:sz="4" w:space="0"/>
            </w:tcBorders>
            <w:noWrap w:val="0"/>
            <w:vAlign w:val="center"/>
          </w:tcPr>
          <w:p w14:paraId="33C4AD65">
            <w:pPr>
              <w:rPr>
                <w:rFonts w:hint="default" w:ascii="Times New Roman" w:hAnsi="Times New Roman" w:eastAsia="宋体" w:cs="Times New Roman"/>
                <w:i w:val="0"/>
                <w:iCs w:val="0"/>
                <w:color w:val="000000"/>
                <w:sz w:val="18"/>
                <w:szCs w:val="18"/>
                <w:u w:val="none"/>
              </w:rPr>
            </w:pPr>
          </w:p>
        </w:tc>
      </w:tr>
      <w:tr w14:paraId="569CB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614" w:type="dxa"/>
            <w:tcBorders>
              <w:top w:val="single" w:color="000000" w:sz="4" w:space="0"/>
              <w:left w:val="single" w:color="000000" w:sz="4" w:space="0"/>
              <w:bottom w:val="single" w:color="000000" w:sz="4" w:space="0"/>
              <w:right w:val="single" w:color="000000" w:sz="4" w:space="0"/>
            </w:tcBorders>
            <w:noWrap w:val="0"/>
            <w:vAlign w:val="center"/>
          </w:tcPr>
          <w:p w14:paraId="0591F8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评价结论</w:t>
            </w:r>
          </w:p>
        </w:tc>
        <w:tc>
          <w:tcPr>
            <w:tcW w:w="12071" w:type="dxa"/>
            <w:gridSpan w:val="10"/>
            <w:tcBorders>
              <w:top w:val="single" w:color="000000" w:sz="4" w:space="0"/>
              <w:left w:val="single" w:color="000000" w:sz="4" w:space="0"/>
              <w:bottom w:val="single" w:color="000000" w:sz="4" w:space="0"/>
              <w:right w:val="single" w:color="000000" w:sz="4" w:space="0"/>
            </w:tcBorders>
            <w:noWrap w:val="0"/>
            <w:vAlign w:val="center"/>
          </w:tcPr>
          <w:p w14:paraId="78C5003A">
            <w:pPr>
              <w:keepNext w:val="0"/>
              <w:keepLines w:val="0"/>
              <w:widowControl/>
              <w:suppressLineNumbers w:val="0"/>
              <w:jc w:val="left"/>
              <w:textAlignment w:val="center"/>
              <w:rPr>
                <w:rFonts w:hint="default" w:ascii="Times New Roman" w:hAnsi="Times New Roman" w:eastAsia="微软雅黑" w:cs="Times New Roman"/>
                <w:i/>
                <w:iCs/>
                <w:color w:val="000000"/>
                <w:sz w:val="16"/>
                <w:szCs w:val="16"/>
                <w:u w:val="none"/>
              </w:rPr>
            </w:pPr>
            <w:r>
              <w:rPr>
                <w:rFonts w:hint="default" w:ascii="Times New Roman" w:hAnsi="Times New Roman" w:eastAsia="微软雅黑" w:cs="Times New Roman"/>
                <w:i/>
                <w:iCs/>
                <w:color w:val="000000"/>
                <w:kern w:val="0"/>
                <w:sz w:val="16"/>
                <w:szCs w:val="16"/>
                <w:lang w:bidi="ar"/>
              </w:rPr>
              <w:t>项目总体执行良好。</w:t>
            </w:r>
          </w:p>
        </w:tc>
      </w:tr>
      <w:tr w14:paraId="0654B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614" w:type="dxa"/>
            <w:tcBorders>
              <w:top w:val="single" w:color="000000" w:sz="4" w:space="0"/>
              <w:left w:val="single" w:color="000000" w:sz="4" w:space="0"/>
              <w:bottom w:val="single" w:color="000000" w:sz="4" w:space="0"/>
              <w:right w:val="single" w:color="000000" w:sz="4" w:space="0"/>
            </w:tcBorders>
            <w:noWrap w:val="0"/>
            <w:vAlign w:val="center"/>
          </w:tcPr>
          <w:p w14:paraId="7CD601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存在问题</w:t>
            </w:r>
          </w:p>
        </w:tc>
        <w:tc>
          <w:tcPr>
            <w:tcW w:w="12071" w:type="dxa"/>
            <w:gridSpan w:val="10"/>
            <w:tcBorders>
              <w:top w:val="single" w:color="000000" w:sz="4" w:space="0"/>
              <w:left w:val="single" w:color="000000" w:sz="4" w:space="0"/>
              <w:bottom w:val="single" w:color="000000" w:sz="4" w:space="0"/>
              <w:right w:val="single" w:color="000000" w:sz="4" w:space="0"/>
            </w:tcBorders>
            <w:noWrap w:val="0"/>
            <w:vAlign w:val="center"/>
          </w:tcPr>
          <w:p w14:paraId="4C6098FA">
            <w:pPr>
              <w:keepNext w:val="0"/>
              <w:keepLines w:val="0"/>
              <w:widowControl/>
              <w:suppressLineNumbers w:val="0"/>
              <w:jc w:val="left"/>
              <w:textAlignment w:val="center"/>
              <w:rPr>
                <w:rFonts w:hint="default" w:ascii="Times New Roman" w:hAnsi="Times New Roman" w:eastAsia="微软雅黑" w:cs="Times New Roman"/>
                <w:i w:val="0"/>
                <w:iCs w:val="0"/>
                <w:color w:val="000000"/>
                <w:sz w:val="16"/>
                <w:szCs w:val="16"/>
                <w:u w:val="none"/>
              </w:rPr>
            </w:pPr>
            <w:r>
              <w:rPr>
                <w:rFonts w:hint="default" w:ascii="Times New Roman" w:hAnsi="Times New Roman" w:eastAsia="微软雅黑" w:cs="Times New Roman"/>
                <w:i w:val="0"/>
                <w:iCs w:val="0"/>
                <w:color w:val="000000"/>
                <w:kern w:val="0"/>
                <w:sz w:val="16"/>
                <w:szCs w:val="16"/>
                <w:u w:val="none"/>
                <w:lang w:val="en-US" w:eastAsia="zh-CN" w:bidi="ar"/>
              </w:rPr>
              <w:t>无</w:t>
            </w:r>
          </w:p>
        </w:tc>
      </w:tr>
      <w:tr w14:paraId="7E58E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614" w:type="dxa"/>
            <w:tcBorders>
              <w:top w:val="single" w:color="000000" w:sz="4" w:space="0"/>
              <w:left w:val="single" w:color="000000" w:sz="4" w:space="0"/>
              <w:bottom w:val="single" w:color="000000" w:sz="4" w:space="0"/>
              <w:right w:val="single" w:color="000000" w:sz="4" w:space="0"/>
            </w:tcBorders>
            <w:noWrap w:val="0"/>
            <w:vAlign w:val="center"/>
          </w:tcPr>
          <w:p w14:paraId="718064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改进措施</w:t>
            </w:r>
          </w:p>
        </w:tc>
        <w:tc>
          <w:tcPr>
            <w:tcW w:w="12071"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28C03">
            <w:pPr>
              <w:keepNext w:val="0"/>
              <w:keepLines w:val="0"/>
              <w:widowControl/>
              <w:suppressLineNumbers w:val="0"/>
              <w:jc w:val="left"/>
              <w:textAlignment w:val="center"/>
              <w:rPr>
                <w:rFonts w:hint="default" w:ascii="Times New Roman" w:hAnsi="Times New Roman" w:eastAsia="微软雅黑" w:cs="Times New Roman"/>
                <w:i w:val="0"/>
                <w:iCs w:val="0"/>
                <w:color w:val="000000"/>
                <w:kern w:val="2"/>
                <w:sz w:val="16"/>
                <w:szCs w:val="16"/>
                <w:u w:val="none"/>
                <w:lang w:val="en-US" w:eastAsia="zh-CN" w:bidi="ar-SA"/>
              </w:rPr>
            </w:pPr>
            <w:r>
              <w:rPr>
                <w:rFonts w:hint="default" w:ascii="Times New Roman" w:hAnsi="Times New Roman" w:eastAsia="微软雅黑" w:cs="Times New Roman"/>
                <w:i w:val="0"/>
                <w:iCs w:val="0"/>
                <w:color w:val="000000"/>
                <w:kern w:val="0"/>
                <w:sz w:val="16"/>
                <w:szCs w:val="16"/>
                <w:u w:val="none"/>
                <w:lang w:val="en-US" w:eastAsia="zh-CN" w:bidi="ar"/>
              </w:rPr>
              <w:t>无</w:t>
            </w:r>
          </w:p>
        </w:tc>
      </w:tr>
    </w:tbl>
    <w:p w14:paraId="0CA4C294">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u w:val="none"/>
          <w:lang w:val="en-US" w:eastAsia="zh-CN" w:bidi="ar"/>
        </w:rPr>
        <w:sectPr>
          <w:pgSz w:w="16838" w:h="11906" w:orient="landscape"/>
          <w:pgMar w:top="283" w:right="1440" w:bottom="0" w:left="1440" w:header="720" w:footer="720" w:gutter="0"/>
          <w:cols w:space="720" w:num="1"/>
          <w:docGrid w:type="lines" w:linePitch="312" w:charSpace="0"/>
        </w:sectPr>
      </w:pPr>
    </w:p>
    <w:p w14:paraId="635CD978">
      <w:pPr>
        <w:pStyle w:val="6"/>
        <w:spacing w:before="93"/>
        <w:rPr>
          <w:rFonts w:hint="default" w:ascii="Times New Roman" w:hAnsi="Times New Roman" w:eastAsia="黑体" w:cs="Times New Roman"/>
          <w:sz w:val="32"/>
          <w:szCs w:val="32"/>
          <w:shd w:val="clear" w:color="auto" w:fill="FFFFFF"/>
        </w:rPr>
      </w:pPr>
      <w:bookmarkStart w:id="58" w:name="_Toc15396618"/>
      <w:r>
        <w:rPr>
          <w:rFonts w:hint="default" w:ascii="Times New Roman" w:hAnsi="Times New Roman" w:eastAsia="黑体" w:cs="Times New Roman"/>
          <w:sz w:val="32"/>
          <w:szCs w:val="32"/>
          <w:shd w:val="clear" w:color="auto" w:fill="FFFFFF"/>
          <w:lang w:val="zh-CN"/>
        </w:rPr>
        <w:t>附件</w:t>
      </w:r>
      <w:r>
        <w:rPr>
          <w:rFonts w:hint="default" w:ascii="Times New Roman" w:hAnsi="Times New Roman" w:eastAsia="黑体" w:cs="Times New Roman"/>
          <w:sz w:val="32"/>
          <w:szCs w:val="32"/>
          <w:shd w:val="clear" w:color="auto" w:fill="FFFFFF"/>
        </w:rPr>
        <w:t>2</w:t>
      </w:r>
    </w:p>
    <w:p w14:paraId="675CB2CC">
      <w:pPr>
        <w:pStyle w:val="6"/>
        <w:spacing w:before="93"/>
        <w:rPr>
          <w:rFonts w:hint="default" w:ascii="Times New Roman" w:hAnsi="Times New Roman" w:eastAsia="黑体" w:cs="Times New Roman"/>
          <w:sz w:val="32"/>
          <w:szCs w:val="32"/>
          <w:shd w:val="clear" w:color="auto" w:fill="FFFFFF"/>
        </w:rPr>
      </w:pPr>
    </w:p>
    <w:p w14:paraId="5DB8DE80">
      <w:pPr>
        <w:pStyle w:val="35"/>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Times New Roman" w:hAnsi="Times New Roman" w:eastAsia="微软雅黑" w:cs="Times New Roman"/>
          <w:color w:val="auto"/>
          <w:kern w:val="2"/>
          <w:sz w:val="44"/>
          <w:szCs w:val="44"/>
          <w:highlight w:val="none"/>
          <w:lang w:val="en-US" w:eastAsia="zh-CN"/>
        </w:rPr>
      </w:pPr>
      <w:r>
        <w:rPr>
          <w:rFonts w:hint="default" w:ascii="Times New Roman" w:hAnsi="Times New Roman" w:eastAsia="微软雅黑" w:cs="Times New Roman"/>
          <w:color w:val="auto"/>
          <w:kern w:val="2"/>
          <w:sz w:val="44"/>
          <w:szCs w:val="44"/>
          <w:highlight w:val="none"/>
          <w:lang w:val="en-US" w:eastAsia="zh-CN"/>
        </w:rPr>
        <w:t>州直机关党员干部教育培训工作经费</w:t>
      </w:r>
      <w:r>
        <w:rPr>
          <w:rFonts w:hint="eastAsia" w:ascii="Times New Roman" w:hAnsi="Times New Roman" w:eastAsia="微软雅黑" w:cs="Times New Roman"/>
          <w:color w:val="auto"/>
          <w:kern w:val="2"/>
          <w:sz w:val="44"/>
          <w:szCs w:val="44"/>
          <w:highlight w:val="none"/>
          <w:lang w:val="en-US" w:eastAsia="zh-CN"/>
        </w:rPr>
        <w:t>专项</w:t>
      </w:r>
      <w:r>
        <w:rPr>
          <w:rFonts w:hint="default" w:ascii="Times New Roman" w:hAnsi="Times New Roman" w:eastAsia="微软雅黑" w:cs="Times New Roman"/>
          <w:color w:val="auto"/>
          <w:kern w:val="2"/>
          <w:sz w:val="44"/>
          <w:szCs w:val="44"/>
          <w:highlight w:val="none"/>
          <w:lang w:val="en-US" w:eastAsia="zh-CN"/>
        </w:rPr>
        <w:t>预算项目绩效评价报告</w:t>
      </w:r>
    </w:p>
    <w:p w14:paraId="3165F9D2">
      <w:pPr>
        <w:pStyle w:val="35"/>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hint="default" w:ascii="Times New Roman" w:hAnsi="Times New Roman" w:cs="Times New Roman"/>
          <w:color w:val="auto"/>
          <w:kern w:val="2"/>
          <w:sz w:val="32"/>
          <w:szCs w:val="32"/>
          <w:highlight w:val="none"/>
        </w:rPr>
      </w:pPr>
    </w:p>
    <w:p w14:paraId="683C4F72">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sz w:val="32"/>
          <w:szCs w:val="32"/>
          <w:highlight w:val="none"/>
          <w:lang w:val="zh-CN"/>
        </w:rPr>
      </w:pPr>
      <w:r>
        <w:rPr>
          <w:rFonts w:hint="default" w:ascii="Times New Roman" w:hAnsi="Times New Roman" w:eastAsia="黑体" w:cs="Times New Roman"/>
          <w:sz w:val="32"/>
          <w:szCs w:val="32"/>
          <w:highlight w:val="none"/>
        </w:rPr>
        <w:t>一、</w:t>
      </w:r>
      <w:r>
        <w:rPr>
          <w:rFonts w:hint="default" w:ascii="Times New Roman" w:hAnsi="Times New Roman" w:eastAsia="黑体" w:cs="Times New Roman"/>
          <w:sz w:val="32"/>
          <w:szCs w:val="32"/>
          <w:highlight w:val="none"/>
          <w:lang w:val="zh-CN"/>
        </w:rPr>
        <w:t>项目概况</w:t>
      </w:r>
    </w:p>
    <w:p w14:paraId="3863ABA5">
      <w:pPr>
        <w:adjustRightInd w:val="0"/>
        <w:snapToGrid w:val="0"/>
        <w:spacing w:line="52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color w:val="auto"/>
          <w:sz w:val="32"/>
          <w:szCs w:val="32"/>
          <w:highlight w:val="none"/>
          <w:u w:val="none"/>
          <w:lang w:val="zh-CN"/>
        </w:rPr>
        <w:t>（一）设立背景及基本情况。</w:t>
      </w:r>
      <w:r>
        <w:rPr>
          <w:rFonts w:hint="default" w:ascii="Times New Roman" w:hAnsi="Times New Roman" w:eastAsia="楷体_GB2312" w:cs="Times New Roman"/>
          <w:b/>
          <w:color w:val="auto"/>
          <w:sz w:val="32"/>
          <w:szCs w:val="32"/>
          <w:highlight w:val="none"/>
          <w:u w:val="none"/>
          <w:lang w:val="en-US" w:eastAsia="zh-CN"/>
        </w:rPr>
        <w:t>一是</w:t>
      </w:r>
      <w:r>
        <w:rPr>
          <w:rFonts w:hint="default" w:ascii="Times New Roman" w:hAnsi="Times New Roman" w:eastAsia="仿宋_GB2312" w:cs="Times New Roman"/>
          <w:b w:val="0"/>
          <w:bCs w:val="0"/>
          <w:color w:val="000000"/>
          <w:sz w:val="32"/>
          <w:szCs w:val="32"/>
          <w:lang w:val="en-US" w:eastAsia="zh-CN"/>
        </w:rPr>
        <w:t>根据州直机关工委部门“三定”方案规定，州直机关工委的职责有：</w:t>
      </w:r>
      <w:r>
        <w:rPr>
          <w:rFonts w:hint="default" w:ascii="Times New Roman" w:hAnsi="Times New Roman" w:eastAsia="仿宋_GB2312" w:cs="Times New Roman"/>
          <w:b w:val="0"/>
          <w:bCs w:val="0"/>
          <w:color w:val="000000"/>
          <w:sz w:val="32"/>
          <w:szCs w:val="32"/>
        </w:rPr>
        <w:t>指导州直机关党组织抓党员和干部的学习，组织实施机关党员、党务干部和入党积极分子的教育培训；领导州直机关统战、青、妇等群团组织的工作；指导州直机关各部门做好</w:t>
      </w:r>
      <w:r>
        <w:rPr>
          <w:rFonts w:hint="eastAsia" w:eastAsia="仿宋_GB2312" w:cs="Times New Roman"/>
          <w:b w:val="0"/>
          <w:bCs w:val="0"/>
          <w:color w:val="000000"/>
          <w:sz w:val="32"/>
          <w:szCs w:val="32"/>
          <w:lang w:eastAsia="zh-CN"/>
        </w:rPr>
        <w:t>思想政治工作</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楷体_GB2312" w:cs="Times New Roman"/>
          <w:b/>
          <w:color w:val="auto"/>
          <w:sz w:val="32"/>
          <w:szCs w:val="32"/>
          <w:highlight w:val="none"/>
          <w:u w:val="none"/>
          <w:lang w:val="en-US" w:eastAsia="zh-CN"/>
        </w:rPr>
        <w:t>二是</w:t>
      </w:r>
      <w:r>
        <w:rPr>
          <w:rFonts w:hint="default" w:ascii="Times New Roman" w:hAnsi="Times New Roman" w:eastAsia="仿宋_GB2312" w:cs="Times New Roman"/>
          <w:b w:val="0"/>
          <w:bCs w:val="0"/>
          <w:color w:val="000000"/>
          <w:sz w:val="32"/>
          <w:szCs w:val="32"/>
          <w:lang w:val="en-US" w:eastAsia="zh-CN"/>
        </w:rPr>
        <w:t>根据</w:t>
      </w:r>
      <w:r>
        <w:rPr>
          <w:rFonts w:hint="eastAsia" w:eastAsia="仿宋_GB2312" w:cs="Times New Roman"/>
          <w:b w:val="0"/>
          <w:bCs w:val="0"/>
          <w:color w:val="000000"/>
          <w:sz w:val="32"/>
          <w:szCs w:val="32"/>
          <w:lang w:val="en-US" w:eastAsia="zh-CN"/>
        </w:rPr>
        <w:t>《中国共产党支部工作条例（试行）》</w:t>
      </w:r>
      <w:r>
        <w:rPr>
          <w:rFonts w:hint="default" w:ascii="Times New Roman" w:hAnsi="Times New Roman" w:eastAsia="仿宋_GB2312" w:cs="Times New Roman"/>
          <w:b w:val="0"/>
          <w:bCs w:val="0"/>
          <w:color w:val="000000"/>
          <w:sz w:val="32"/>
          <w:szCs w:val="32"/>
          <w:lang w:val="en-US" w:eastAsia="zh-CN"/>
        </w:rPr>
        <w:t>关于第六章第25条“上级党组织应当经常对党支部书记、副书记和其他委员进行培训。党支部书记培训纳入党员、干部教育培训规划，对新任党支部书记应当进行任职培训</w:t>
      </w:r>
      <w:r>
        <w:rPr>
          <w:rFonts w:hint="eastAsia"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val="en-US" w:eastAsia="zh-CN"/>
        </w:rPr>
        <w:t>中国共产党发展党员工作细则》第三章第17条“第十七条基层党委或县级党委组织部门应当对发展对象进行短期集中培训。培训时间一般不少于三天（或不少于二十四个学时）”等规定要求，为进一步提升入党积极分子、党务干部、党组织书记和驻村干部等群体的政治理论水平</w:t>
      </w:r>
      <w:r>
        <w:rPr>
          <w:rFonts w:hint="default" w:ascii="Times New Roman" w:hAnsi="Times New Roman" w:cs="Times New Roman"/>
          <w:b w:val="0"/>
          <w:bCs w:val="0"/>
          <w:color w:val="000000"/>
          <w:sz w:val="32"/>
          <w:szCs w:val="32"/>
          <w:lang w:val="en-US" w:eastAsia="zh-CN"/>
        </w:rPr>
        <w:t>。</w:t>
      </w:r>
      <w:r>
        <w:rPr>
          <w:rFonts w:hint="default" w:ascii="Times New Roman" w:hAnsi="Times New Roman" w:eastAsia="楷体_GB2312" w:cs="Times New Roman"/>
          <w:b/>
          <w:color w:val="auto"/>
          <w:sz w:val="32"/>
          <w:szCs w:val="32"/>
          <w:highlight w:val="none"/>
          <w:u w:val="none"/>
          <w:lang w:val="en-US" w:eastAsia="zh-CN"/>
        </w:rPr>
        <w:t>三是</w:t>
      </w:r>
      <w:r>
        <w:rPr>
          <w:rFonts w:hint="default" w:ascii="Times New Roman" w:hAnsi="Times New Roman" w:eastAsia="仿宋_GB2312" w:cs="Times New Roman"/>
          <w:b w:val="0"/>
          <w:bCs w:val="0"/>
          <w:color w:val="000000"/>
          <w:sz w:val="32"/>
          <w:szCs w:val="32"/>
          <w:lang w:val="en-US" w:eastAsia="zh-CN"/>
        </w:rPr>
        <w:t>全面贯彻落实党的二十大对党风廉政建设的新要求，增强州直部门（单位）纪检干部综合素质，提升纪检业务技能和依规依纪依法履职能力。</w:t>
      </w:r>
      <w:r>
        <w:rPr>
          <w:rFonts w:hint="default" w:ascii="Times New Roman" w:hAnsi="Times New Roman" w:eastAsia="楷体_GB2312" w:cs="Times New Roman"/>
          <w:b/>
          <w:color w:val="auto"/>
          <w:sz w:val="32"/>
          <w:szCs w:val="32"/>
          <w:highlight w:val="none"/>
          <w:u w:val="none"/>
          <w:lang w:val="en-US" w:eastAsia="zh-CN"/>
        </w:rPr>
        <w:t>四是</w:t>
      </w:r>
      <w:r>
        <w:rPr>
          <w:rFonts w:hint="default" w:ascii="Times New Roman" w:hAnsi="Times New Roman" w:eastAsia="仿宋_GB2312" w:cs="Times New Roman"/>
          <w:sz w:val="32"/>
          <w:szCs w:val="32"/>
        </w:rPr>
        <w:t>根据州直机关工委部门“三定”方案规定，州直机关工委的职责有：指导州直机关党组织抓党员和干部的学习、指导州直机关各部门做好</w:t>
      </w:r>
      <w:r>
        <w:rPr>
          <w:rFonts w:hint="eastAsia" w:eastAsia="仿宋_GB2312" w:cs="Times New Roman"/>
          <w:sz w:val="32"/>
          <w:szCs w:val="32"/>
          <w:lang w:eastAsia="zh-CN"/>
        </w:rPr>
        <w:t>思想政治工作</w:t>
      </w:r>
      <w:r>
        <w:rPr>
          <w:rFonts w:hint="default" w:ascii="Times New Roman" w:hAnsi="Times New Roman" w:eastAsia="仿宋_GB2312" w:cs="Times New Roman"/>
          <w:sz w:val="32"/>
          <w:szCs w:val="32"/>
        </w:rPr>
        <w:t>等。对州直机关青年干部开展党的创新理论、党的二十大精神、机关党建工作等专题培训，切实提高政治判断力、政治领悟力、政治执行力。</w:t>
      </w:r>
      <w:r>
        <w:rPr>
          <w:rFonts w:hint="default" w:ascii="Times New Roman" w:hAnsi="Times New Roman" w:eastAsia="楷体_GB2312" w:cs="Times New Roman"/>
          <w:b/>
          <w:color w:val="auto"/>
          <w:sz w:val="32"/>
          <w:szCs w:val="32"/>
          <w:highlight w:val="none"/>
          <w:u w:val="none"/>
          <w:lang w:val="en-US" w:eastAsia="zh-CN"/>
        </w:rPr>
        <w:t>五是</w:t>
      </w:r>
      <w:r>
        <w:rPr>
          <w:rFonts w:hint="default" w:ascii="Times New Roman" w:hAnsi="Times New Roman" w:eastAsia="仿宋_GB2312" w:cs="Times New Roman"/>
          <w:sz w:val="32"/>
          <w:szCs w:val="32"/>
          <w:lang w:val="en-US" w:eastAsia="zh-CN"/>
        </w:rPr>
        <w:t>按照《四川省驻村第一书记和工作队管理办法》要求，州直机关工委对州级机关选派的驻村干部开展全覆盖、示范培训。</w:t>
      </w:r>
    </w:p>
    <w:p w14:paraId="32E10642">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实施目的及支持方向。</w:t>
      </w:r>
      <w:r>
        <w:rPr>
          <w:rFonts w:hint="default" w:ascii="Times New Roman" w:hAnsi="Times New Roman" w:eastAsia="仿宋_GB2312" w:cs="Times New Roman"/>
          <w:sz w:val="32"/>
          <w:szCs w:val="32"/>
          <w:lang w:val="en-US" w:eastAsia="zh-CN"/>
        </w:rPr>
        <w:t>举办党组织书记、党务干部、入党积极分子培训班、青年理论骨干“学用新思想”强化培训班、州直机关机关纪委书记和纪检委员培训班、驻村干部示范培训班、阿坝州第五届机关公文写作培训暨技能大赛各1期。</w:t>
      </w:r>
    </w:p>
    <w:p w14:paraId="3BF848D0">
      <w:pPr>
        <w:keepNext w:val="0"/>
        <w:keepLines w:val="0"/>
        <w:pageBreakBefore w:val="0"/>
        <w:widowControl w:val="0"/>
        <w:kinsoku/>
        <w:wordWrap/>
        <w:overflowPunct/>
        <w:topLinePunct w:val="0"/>
        <w:autoSpaceDE/>
        <w:autoSpaceDN/>
        <w:bidi w:val="0"/>
        <w:adjustRightInd w:val="0"/>
        <w:snapToGrid w:val="0"/>
        <w:spacing w:line="600" w:lineRule="exact"/>
        <w:ind w:firstLine="720"/>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b/>
          <w:color w:val="auto"/>
          <w:sz w:val="32"/>
          <w:szCs w:val="32"/>
          <w:highlight w:val="none"/>
          <w:u w:val="none"/>
          <w:lang w:val="zh-CN" w:eastAsia="zh-CN"/>
        </w:rPr>
        <w:t>（三）</w:t>
      </w:r>
      <w:r>
        <w:rPr>
          <w:rFonts w:hint="default" w:ascii="Times New Roman" w:hAnsi="Times New Roman" w:eastAsia="楷体_GB2312" w:cs="Times New Roman"/>
          <w:b/>
          <w:color w:val="auto"/>
          <w:sz w:val="32"/>
          <w:szCs w:val="32"/>
          <w:highlight w:val="none"/>
          <w:u w:val="none"/>
          <w:lang w:val="en-US" w:eastAsia="zh-CN"/>
        </w:rPr>
        <w:t>预算安排及分配管理</w:t>
      </w:r>
      <w:r>
        <w:rPr>
          <w:rFonts w:hint="default" w:ascii="Times New Roman" w:hAnsi="Times New Roman" w:eastAsia="楷体_GB2312" w:cs="Times New Roman"/>
          <w:b/>
          <w:color w:val="auto"/>
          <w:sz w:val="32"/>
          <w:szCs w:val="32"/>
          <w:highlight w:val="none"/>
          <w:u w:val="none"/>
          <w:lang w:val="zh-CN" w:eastAsia="zh-CN"/>
        </w:rPr>
        <w:t>。</w:t>
      </w:r>
      <w:r>
        <w:rPr>
          <w:rFonts w:hint="default" w:ascii="Times New Roman" w:hAnsi="Times New Roman" w:eastAsia="仿宋_GB2312" w:cs="Times New Roman"/>
          <w:sz w:val="32"/>
          <w:szCs w:val="32"/>
          <w:lang w:val="en-US" w:eastAsia="zh-CN"/>
        </w:rPr>
        <w:t>结合上年度工作开展情况，科学、合理编制预算，</w:t>
      </w:r>
      <w:r>
        <w:rPr>
          <w:rFonts w:hint="default" w:ascii="Times New Roman" w:hAnsi="Times New Roman" w:eastAsia="仿宋_GB2312" w:cs="Times New Roman"/>
          <w:sz w:val="32"/>
          <w:szCs w:val="32"/>
          <w:lang w:val="zh-CN" w:eastAsia="zh-CN"/>
        </w:rPr>
        <w:t>项目</w:t>
      </w:r>
      <w:r>
        <w:rPr>
          <w:rFonts w:hint="default" w:ascii="Times New Roman" w:hAnsi="Times New Roman" w:eastAsia="仿宋_GB2312" w:cs="Times New Roman"/>
          <w:sz w:val="32"/>
          <w:szCs w:val="32"/>
          <w:lang w:val="en-US" w:eastAsia="zh-CN"/>
        </w:rPr>
        <w:t>年初</w:t>
      </w:r>
      <w:r>
        <w:rPr>
          <w:rFonts w:hint="default" w:ascii="Times New Roman" w:hAnsi="Times New Roman" w:eastAsia="仿宋_GB2312" w:cs="Times New Roman"/>
          <w:sz w:val="32"/>
          <w:szCs w:val="32"/>
          <w:lang w:val="zh-CN" w:eastAsia="zh-CN"/>
        </w:rPr>
        <w:t>预算安排</w:t>
      </w:r>
      <w:r>
        <w:rPr>
          <w:rFonts w:hint="default" w:ascii="Times New Roman" w:hAnsi="Times New Roman" w:eastAsia="仿宋_GB2312" w:cs="Times New Roman"/>
          <w:sz w:val="32"/>
          <w:szCs w:val="32"/>
          <w:lang w:val="en-US" w:eastAsia="zh-CN"/>
        </w:rPr>
        <w:t>80万元，财政拨款80万元，已全部到位。该项目</w:t>
      </w:r>
      <w:r>
        <w:rPr>
          <w:rFonts w:hint="default" w:ascii="Times New Roman" w:hAnsi="Times New Roman" w:eastAsia="仿宋_GB2312" w:cs="Times New Roman"/>
          <w:sz w:val="32"/>
          <w:szCs w:val="32"/>
          <w:lang w:val="zh-CN" w:eastAsia="zh-CN"/>
        </w:rPr>
        <w:t>评价符合资金管理办法等相关规定。</w:t>
      </w:r>
    </w:p>
    <w:p w14:paraId="65D8DC89">
      <w:pPr>
        <w:keepNext w:val="0"/>
        <w:keepLines w:val="0"/>
        <w:pageBreakBefore w:val="0"/>
        <w:widowControl/>
        <w:suppressLineNumbers w:val="0"/>
        <w:kinsoku/>
        <w:wordWrap/>
        <w:overflowPunct/>
        <w:topLinePunct w:val="0"/>
        <w:autoSpaceDE/>
        <w:autoSpaceDN/>
        <w:bidi w:val="0"/>
        <w:adjustRightInd/>
        <w:snapToGrid/>
        <w:spacing w:line="576" w:lineRule="exact"/>
        <w:ind w:firstLine="643" w:firstLineChars="200"/>
        <w:jc w:val="left"/>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b/>
          <w:color w:val="auto"/>
          <w:sz w:val="32"/>
          <w:szCs w:val="32"/>
          <w:highlight w:val="none"/>
          <w:u w:val="none"/>
          <w:lang w:val="zh-CN" w:eastAsia="zh-CN"/>
        </w:rPr>
        <w:t>（四）项目绩效目标设置。</w:t>
      </w:r>
      <w:r>
        <w:rPr>
          <w:rFonts w:hint="default" w:ascii="Times New Roman" w:hAnsi="Times New Roman" w:eastAsia="仿宋_GB2312" w:cs="Times New Roman"/>
          <w:sz w:val="32"/>
          <w:szCs w:val="32"/>
          <w:lang w:val="en-US" w:eastAsia="zh-CN"/>
        </w:rPr>
        <w:t>根据州直机关党员干部教育培训工作的实际情况设置绩效目标，设置了产出指标、效益指标、满意度指标、成本指标。</w:t>
      </w:r>
    </w:p>
    <w:p w14:paraId="39A61E9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default" w:ascii="Times New Roman" w:hAnsi="Times New Roman" w:cs="Times New Roman"/>
          <w:sz w:val="32"/>
          <w:szCs w:val="32"/>
          <w:lang w:eastAsia="zh-CN"/>
        </w:rPr>
      </w:pPr>
      <w:r>
        <w:rPr>
          <w:rFonts w:hint="default" w:ascii="Times New Roman" w:hAnsi="Times New Roman" w:eastAsia="黑体" w:cs="Times New Roman"/>
          <w:sz w:val="32"/>
          <w:szCs w:val="32"/>
          <w:highlight w:val="none"/>
        </w:rPr>
        <w:t>二、</w:t>
      </w:r>
      <w:r>
        <w:rPr>
          <w:rFonts w:hint="default" w:ascii="Times New Roman" w:hAnsi="Times New Roman" w:eastAsia="黑体" w:cs="Times New Roman"/>
          <w:sz w:val="32"/>
          <w:szCs w:val="32"/>
          <w:highlight w:val="none"/>
          <w:lang w:eastAsia="zh-CN"/>
        </w:rPr>
        <w:t>评价实施</w:t>
      </w:r>
    </w:p>
    <w:p w14:paraId="10F78AAC">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color w:val="auto"/>
          <w:sz w:val="32"/>
          <w:szCs w:val="32"/>
          <w:highlight w:val="none"/>
          <w:u w:val="none"/>
          <w:lang w:val="zh-CN"/>
        </w:rPr>
        <w:t>（一）评价目的。</w:t>
      </w:r>
      <w:r>
        <w:rPr>
          <w:rFonts w:hint="default" w:ascii="Times New Roman" w:hAnsi="Times New Roman" w:eastAsia="仿宋_GB2312" w:cs="Times New Roman"/>
          <w:sz w:val="32"/>
          <w:szCs w:val="32"/>
          <w:lang w:val="en-US" w:eastAsia="zh-CN"/>
        </w:rPr>
        <w:t>通过项目绩效自评严格</w:t>
      </w:r>
      <w:r>
        <w:rPr>
          <w:rFonts w:hint="eastAsia" w:eastAsia="仿宋_GB2312" w:cs="Times New Roman"/>
          <w:sz w:val="32"/>
          <w:szCs w:val="32"/>
          <w:lang w:val="en-US" w:eastAsia="zh-CN"/>
        </w:rPr>
        <w:t>落实中央八项规定</w:t>
      </w:r>
      <w:r>
        <w:rPr>
          <w:rFonts w:hint="default" w:ascii="Times New Roman" w:hAnsi="Times New Roman" w:eastAsia="仿宋_GB2312" w:cs="Times New Roman"/>
          <w:sz w:val="32"/>
          <w:szCs w:val="32"/>
          <w:lang w:val="en-US" w:eastAsia="zh-CN"/>
        </w:rPr>
        <w:t>精神，牢固树立“花钱必问效、无效必问责”的绩效理念，推动财政资金使用提质增效。</w:t>
      </w:r>
    </w:p>
    <w:p w14:paraId="07A8870B">
      <w:pPr>
        <w:snapToGrid w:val="0"/>
        <w:spacing w:line="560" w:lineRule="exact"/>
        <w:ind w:firstLine="643" w:firstLineChars="200"/>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b/>
          <w:color w:val="auto"/>
          <w:sz w:val="32"/>
          <w:szCs w:val="32"/>
          <w:highlight w:val="none"/>
          <w:u w:val="none"/>
          <w:lang w:val="zh-CN"/>
        </w:rPr>
        <w:t>（二）预设问题及评价重点。</w:t>
      </w:r>
      <w:r>
        <w:rPr>
          <w:rFonts w:hint="default" w:ascii="Times New Roman" w:hAnsi="Times New Roman" w:eastAsia="仿宋_GB2312" w:cs="Times New Roman"/>
          <w:sz w:val="32"/>
          <w:szCs w:val="32"/>
          <w:lang w:val="en-US" w:eastAsia="zh-CN"/>
        </w:rPr>
        <w:t>通过项目绩效自评，统战群工工作经费</w:t>
      </w:r>
      <w:r>
        <w:rPr>
          <w:rFonts w:hint="default" w:ascii="Times New Roman" w:hAnsi="Times New Roman" w:eastAsia="仿宋_GB2312" w:cs="Times New Roman"/>
          <w:sz w:val="32"/>
          <w:szCs w:val="32"/>
          <w:lang w:val="zh-CN" w:eastAsia="zh-CN"/>
        </w:rPr>
        <w:t>项目资金的实际支出情况，资金开支范围、标准及支付进度、</w:t>
      </w:r>
      <w:r>
        <w:rPr>
          <w:rFonts w:hint="default" w:ascii="Times New Roman" w:hAnsi="Times New Roman" w:eastAsia="仿宋_GB2312" w:cs="Times New Roman"/>
          <w:sz w:val="32"/>
          <w:szCs w:val="32"/>
          <w:lang w:val="en-US" w:eastAsia="zh-CN"/>
        </w:rPr>
        <w:t>支付依据等</w:t>
      </w:r>
      <w:r>
        <w:rPr>
          <w:rFonts w:hint="default" w:ascii="Times New Roman" w:hAnsi="Times New Roman" w:eastAsia="仿宋_GB2312" w:cs="Times New Roman"/>
          <w:sz w:val="32"/>
          <w:szCs w:val="32"/>
          <w:lang w:val="zh-CN" w:eastAsia="zh-CN"/>
        </w:rPr>
        <w:t>合规合法，资金支付与预算相符，并对相关问题进行说明。</w:t>
      </w:r>
      <w:r>
        <w:rPr>
          <w:rFonts w:hint="default" w:ascii="Times New Roman" w:hAnsi="Times New Roman" w:eastAsia="仿宋_GB2312" w:cs="Times New Roman"/>
          <w:sz w:val="32"/>
          <w:szCs w:val="32"/>
          <w:lang w:val="en-US" w:eastAsia="zh-CN"/>
        </w:rPr>
        <w:t>按照工作重点，结合经费预算情况，建立项目执行责任制，将项目支出责任逐一分解落实到具体执行科室和责任人。</w:t>
      </w:r>
    </w:p>
    <w:p w14:paraId="55BA7D86">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b/>
          <w:color w:val="auto"/>
          <w:sz w:val="32"/>
          <w:szCs w:val="32"/>
          <w:highlight w:val="none"/>
          <w:u w:val="none"/>
          <w:lang w:val="zh-CN"/>
        </w:rPr>
        <w:t>（三）评价选点。</w:t>
      </w:r>
      <w:r>
        <w:rPr>
          <w:rFonts w:hint="default" w:ascii="Times New Roman" w:hAnsi="Times New Roman" w:eastAsia="仿宋_GB2312" w:cs="Times New Roman"/>
          <w:sz w:val="32"/>
          <w:szCs w:val="32"/>
          <w:lang w:val="en-US" w:eastAsia="zh-CN"/>
        </w:rPr>
        <w:t>按照全面实施预算绩效管理的要求部署，对工委项目全覆盖开展了</w:t>
      </w:r>
      <w:r>
        <w:rPr>
          <w:rFonts w:hint="default" w:ascii="Times New Roman" w:hAnsi="Times New Roman" w:eastAsia="仿宋_GB2312" w:cs="Times New Roman"/>
          <w:sz w:val="32"/>
          <w:szCs w:val="32"/>
          <w:lang w:val="zh-CN" w:eastAsia="zh-CN"/>
        </w:rPr>
        <w:t>项目绩效自评。</w:t>
      </w:r>
    </w:p>
    <w:p w14:paraId="6CE19FB2">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default" w:ascii="Times New Roman" w:hAnsi="Times New Roman" w:eastAsia="仿宋_GB2312" w:cs="Times New Roman"/>
          <w:szCs w:val="32"/>
          <w:lang w:val="en-US" w:eastAsia="zh-CN"/>
        </w:rPr>
      </w:pPr>
      <w:r>
        <w:rPr>
          <w:rFonts w:hint="default" w:ascii="Times New Roman" w:hAnsi="Times New Roman" w:eastAsia="楷体_GB2312" w:cs="Times New Roman"/>
          <w:b/>
          <w:color w:val="auto"/>
          <w:sz w:val="32"/>
          <w:szCs w:val="32"/>
          <w:highlight w:val="none"/>
          <w:u w:val="none"/>
          <w:lang w:val="zh-CN"/>
        </w:rPr>
        <w:t>（四）评价方法。</w:t>
      </w:r>
      <w:r>
        <w:rPr>
          <w:rFonts w:hint="default" w:ascii="Times New Roman" w:hAnsi="Times New Roman" w:eastAsia="仿宋_GB2312" w:cs="Times New Roman"/>
          <w:sz w:val="32"/>
          <w:szCs w:val="32"/>
          <w:lang w:val="en-US" w:eastAsia="zh-CN"/>
        </w:rPr>
        <w:t>根据项目情况和评价重点，采取单位自评的方式。</w:t>
      </w:r>
    </w:p>
    <w:p w14:paraId="73CEA5F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color w:val="auto"/>
          <w:sz w:val="32"/>
          <w:szCs w:val="32"/>
          <w:highlight w:val="none"/>
          <w:u w:val="none"/>
          <w:lang w:val="zh-CN"/>
        </w:rPr>
        <w:t>（五）评价组织。</w:t>
      </w:r>
      <w:r>
        <w:rPr>
          <w:rFonts w:hint="default" w:ascii="Times New Roman" w:hAnsi="Times New Roman" w:eastAsia="仿宋_GB2312" w:cs="Times New Roman"/>
          <w:sz w:val="32"/>
          <w:szCs w:val="32"/>
          <w:lang w:val="en-US" w:eastAsia="zh-CN"/>
        </w:rPr>
        <w:t>评价组人员由各分管领导及承办业务各科室负责人组成，对举办培训经费的使用进行分析、总结，并对2024年该项目的实施进行统筹。</w:t>
      </w:r>
    </w:p>
    <w:p w14:paraId="11C0CCB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4632072F">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zh-CN" w:eastAsia="zh-CN"/>
        </w:rPr>
        <w:t>根据项目预算绩效评价指标体系“通用指标”“专用指标”“个性指标”涉及二、三级指标进行逐项绩效分析并评分</w:t>
      </w:r>
      <w:r>
        <w:rPr>
          <w:rFonts w:hint="default" w:ascii="Times New Roman" w:hAnsi="Times New Roman" w:eastAsia="仿宋_GB2312" w:cs="Times New Roman"/>
          <w:sz w:val="32"/>
          <w:szCs w:val="32"/>
          <w:lang w:val="en-US" w:eastAsia="zh-CN"/>
        </w:rPr>
        <w:t>。</w:t>
      </w:r>
    </w:p>
    <w:p w14:paraId="2612220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（一）</w:t>
      </w:r>
      <w:r>
        <w:rPr>
          <w:rFonts w:hint="default"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color w:val="auto"/>
          <w:sz w:val="32"/>
          <w:szCs w:val="32"/>
          <w:highlight w:val="none"/>
          <w:u w:val="none"/>
          <w:lang w:val="zh-CN" w:eastAsia="zh-CN"/>
        </w:rPr>
        <w:t>绩效分析。</w:t>
      </w:r>
    </w:p>
    <w:p w14:paraId="6FDB2E1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color w:val="auto"/>
          <w:sz w:val="32"/>
          <w:szCs w:val="32"/>
          <w:lang w:val="en-US" w:eastAsia="zh-CN"/>
        </w:rPr>
        <w:t>1.</w:t>
      </w:r>
      <w:r>
        <w:rPr>
          <w:rFonts w:hint="default" w:ascii="Times New Roman" w:hAnsi="Times New Roman" w:eastAsia="楷体_GB2312" w:cs="Times New Roman"/>
          <w:color w:val="auto"/>
          <w:sz w:val="32"/>
          <w:szCs w:val="32"/>
          <w:lang w:eastAsia="zh-CN"/>
        </w:rPr>
        <w:t>项目决策。</w:t>
      </w:r>
      <w:r>
        <w:rPr>
          <w:rFonts w:hint="default" w:ascii="Times New Roman" w:hAnsi="Times New Roman" w:eastAsia="仿宋_GB2312" w:cs="Times New Roman"/>
          <w:sz w:val="32"/>
          <w:szCs w:val="32"/>
          <w:lang w:val="en-US" w:eastAsia="zh-CN"/>
        </w:rPr>
        <w:t>州直机关党员干部教育培训工作按照工委职能职责指导州直机关群团围绕州委、州政府中心工作开展工作，该项目是长期项目。</w:t>
      </w:r>
    </w:p>
    <w:p w14:paraId="4FE7FB7F">
      <w:pPr>
        <w:keepNext w:val="0"/>
        <w:keepLines w:val="0"/>
        <w:pageBreakBefore w:val="0"/>
        <w:widowControl w:val="0"/>
        <w:kinsoku/>
        <w:wordWrap/>
        <w:overflowPunct/>
        <w:topLinePunct w:val="0"/>
        <w:autoSpaceDE/>
        <w:autoSpaceDN/>
        <w:bidi w:val="0"/>
        <w:adjustRightInd w:val="0"/>
        <w:snapToGrid w:val="0"/>
        <w:spacing w:line="600" w:lineRule="exact"/>
        <w:ind w:firstLine="72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color w:val="auto"/>
          <w:sz w:val="32"/>
          <w:szCs w:val="32"/>
          <w:lang w:val="en-US" w:eastAsia="zh-CN"/>
        </w:rPr>
        <w:t>2.项目管理。</w:t>
      </w:r>
      <w:r>
        <w:rPr>
          <w:rFonts w:hint="default" w:ascii="Times New Roman" w:hAnsi="Times New Roman" w:eastAsia="仿宋_GB2312" w:cs="Times New Roman"/>
          <w:sz w:val="32"/>
          <w:szCs w:val="32"/>
          <w:lang w:val="zh-CN" w:eastAsia="zh-CN"/>
        </w:rPr>
        <w:t>项目执行中涉及的差旅费严格按照差旅费管理办法报销；</w:t>
      </w:r>
      <w:r>
        <w:rPr>
          <w:rFonts w:hint="default" w:ascii="Times New Roman" w:hAnsi="Times New Roman" w:eastAsia="仿宋_GB2312" w:cs="Times New Roman"/>
          <w:sz w:val="32"/>
          <w:szCs w:val="32"/>
          <w:lang w:val="en-US" w:eastAsia="zh-CN"/>
        </w:rPr>
        <w:t>劳务费严格执行专家劳务费标准；</w:t>
      </w:r>
      <w:r>
        <w:rPr>
          <w:rFonts w:hint="eastAsia" w:eastAsia="仿宋_GB2312" w:cs="Times New Roman"/>
          <w:sz w:val="32"/>
          <w:szCs w:val="32"/>
          <w:lang w:val="en-US" w:eastAsia="zh-CN"/>
        </w:rPr>
        <w:t>会议费</w:t>
      </w:r>
      <w:r>
        <w:rPr>
          <w:rFonts w:hint="default" w:ascii="Times New Roman" w:hAnsi="Times New Roman" w:eastAsia="仿宋_GB2312" w:cs="Times New Roman"/>
          <w:sz w:val="32"/>
          <w:szCs w:val="32"/>
          <w:lang w:val="en-US" w:eastAsia="zh-CN"/>
        </w:rPr>
        <w:t>严格按照《阿坝州州直机关会议费管理办法》报销。同时，</w:t>
      </w:r>
      <w:r>
        <w:rPr>
          <w:rFonts w:hint="default" w:ascii="Times New Roman" w:hAnsi="Times New Roman" w:eastAsia="仿宋_GB2312" w:cs="Times New Roman"/>
          <w:sz w:val="32"/>
          <w:szCs w:val="32"/>
          <w:lang w:val="zh-CN" w:eastAsia="zh-CN"/>
        </w:rPr>
        <w:t>资金的预算、申请、支付及账务处理等过程透明化，促进廉政建设，并提升资金使用效益。</w:t>
      </w:r>
    </w:p>
    <w:p w14:paraId="2F814D9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color w:val="auto"/>
          <w:sz w:val="32"/>
          <w:szCs w:val="32"/>
          <w:lang w:val="en-US" w:eastAsia="zh-CN"/>
        </w:rPr>
        <w:t>3.项目实施</w:t>
      </w:r>
      <w:r>
        <w:rPr>
          <w:rFonts w:hint="default" w:ascii="Times New Roman" w:hAnsi="Times New Roman" w:eastAsia="楷体_GB2312" w:cs="Times New Roman"/>
          <w:color w:val="auto"/>
          <w:szCs w:val="32"/>
          <w:lang w:val="en-US" w:eastAsia="zh-CN"/>
        </w:rPr>
        <w:t>。</w:t>
      </w:r>
      <w:r>
        <w:rPr>
          <w:rFonts w:hint="default" w:ascii="Times New Roman" w:hAnsi="Times New Roman" w:eastAsia="仿宋_GB2312" w:cs="Times New Roman"/>
          <w:sz w:val="32"/>
          <w:szCs w:val="32"/>
          <w:lang w:val="en-US" w:eastAsia="zh-CN"/>
        </w:rPr>
        <w:t>该</w:t>
      </w:r>
      <w:r>
        <w:rPr>
          <w:rFonts w:hint="default" w:ascii="Times New Roman" w:hAnsi="Times New Roman" w:eastAsia="仿宋_GB2312" w:cs="Times New Roman"/>
          <w:sz w:val="32"/>
          <w:szCs w:val="32"/>
          <w:lang w:val="zh-CN" w:eastAsia="zh-CN"/>
        </w:rPr>
        <w:t>项目由</w:t>
      </w:r>
      <w:r>
        <w:rPr>
          <w:rFonts w:hint="default" w:ascii="Times New Roman" w:hAnsi="Times New Roman" w:eastAsia="仿宋_GB2312" w:cs="Times New Roman"/>
          <w:sz w:val="32"/>
          <w:szCs w:val="32"/>
          <w:lang w:val="en-US" w:eastAsia="zh-CN"/>
        </w:rPr>
        <w:t>各科室</w:t>
      </w:r>
      <w:r>
        <w:rPr>
          <w:rFonts w:hint="default" w:ascii="Times New Roman" w:hAnsi="Times New Roman" w:eastAsia="仿宋_GB2312" w:cs="Times New Roman"/>
          <w:sz w:val="32"/>
          <w:szCs w:val="32"/>
          <w:lang w:val="zh-CN" w:eastAsia="zh-CN"/>
        </w:rPr>
        <w:t>牵头并负责按实施方案实施，办公室负责项目资金管理，</w:t>
      </w:r>
      <w:r>
        <w:rPr>
          <w:rFonts w:hint="default" w:ascii="Times New Roman" w:hAnsi="Times New Roman" w:eastAsia="仿宋_GB2312" w:cs="Times New Roman"/>
          <w:sz w:val="32"/>
          <w:szCs w:val="32"/>
          <w:lang w:val="en-US" w:eastAsia="zh-CN"/>
        </w:rPr>
        <w:t>其他科室</w:t>
      </w:r>
      <w:r>
        <w:rPr>
          <w:rFonts w:hint="default" w:ascii="Times New Roman" w:hAnsi="Times New Roman" w:eastAsia="仿宋_GB2312" w:cs="Times New Roman"/>
          <w:sz w:val="32"/>
          <w:szCs w:val="32"/>
          <w:lang w:val="zh-CN" w:eastAsia="zh-CN"/>
        </w:rPr>
        <w:t>积极</w:t>
      </w:r>
      <w:r>
        <w:rPr>
          <w:rFonts w:hint="default" w:ascii="Times New Roman" w:hAnsi="Times New Roman" w:eastAsia="仿宋_GB2312" w:cs="Times New Roman"/>
          <w:sz w:val="32"/>
          <w:szCs w:val="32"/>
          <w:lang w:val="en-US" w:eastAsia="zh-CN"/>
        </w:rPr>
        <w:t>协助</w:t>
      </w:r>
      <w:r>
        <w:rPr>
          <w:rFonts w:hint="default" w:ascii="Times New Roman" w:hAnsi="Times New Roman" w:eastAsia="仿宋_GB2312" w:cs="Times New Roman"/>
          <w:sz w:val="32"/>
          <w:szCs w:val="32"/>
          <w:lang w:val="zh-CN" w:eastAsia="zh-CN"/>
        </w:rPr>
        <w:t>，形成领导重视、各科室联动共同促进项目执行的良好格局。</w:t>
      </w:r>
    </w:p>
    <w:p w14:paraId="30105299">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color w:val="auto"/>
          <w:sz w:val="32"/>
          <w:szCs w:val="32"/>
          <w:lang w:val="en-US" w:eastAsia="zh-CN"/>
        </w:rPr>
        <w:t>4.项目结果。</w:t>
      </w:r>
      <w:r>
        <w:rPr>
          <w:rFonts w:hint="default" w:ascii="Times New Roman" w:hAnsi="Times New Roman" w:eastAsia="仿宋_GB2312" w:cs="Times New Roman"/>
          <w:sz w:val="32"/>
          <w:szCs w:val="32"/>
          <w:lang w:val="en-US" w:eastAsia="zh-CN"/>
        </w:rPr>
        <w:t>一是扎实开展党纪学习教育。指导95个州直部门（单位）开展党纪学习教育，引导党员干部学纪、知纪、明纪、守纪。为6400余名机关党员发放《中国共产党纪律处分条例》，举办州直机关纪检干部综合业务提升培训班，对50名州直机关纪委书记、纪委委员“赋能充电”，组织95个州直机关企事业单位县处级及以上党员领导干部开展网络学习。二是坚持不懈用习近平新时代中国特色社会主义思想凝心铸魂。分层分类举办党组织书记、党务干部、入党积极分子、青年理论骨干、驻村干部等示范培训班6期、培训412人次，指导州直各部门做好全员培训，为奋力建设民族地区高质量发展阿坝典范积蓄思想动能。三是举办第五届机关公文写作培训暨技能大赛。采取“先学习+后竞赛”的方式，组织82个州级部门、13县（市）共95名选手以赛促学、以赛提能，搭建了青年党员干部锤炼本领、展示风采的平台。</w:t>
      </w:r>
    </w:p>
    <w:p w14:paraId="47547018">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eastAsia="楷体_GB2312" w:cs="Times New Roman"/>
          <w:color w:val="auto"/>
          <w:szCs w:val="32"/>
          <w:lang w:val="zh-CN" w:eastAsia="zh-CN"/>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color w:val="auto"/>
          <w:sz w:val="32"/>
          <w:szCs w:val="32"/>
          <w:highlight w:val="none"/>
          <w:u w:val="none"/>
          <w:lang w:val="zh-CN" w:eastAsia="zh-CN"/>
        </w:rPr>
        <w:t>绩效分析。</w:t>
      </w:r>
    </w:p>
    <w:p w14:paraId="531B0FD7">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我委未设定专用指标</w:t>
      </w:r>
      <w:r>
        <w:rPr>
          <w:rFonts w:hint="default" w:ascii="Times New Roman" w:hAnsi="Times New Roman" w:eastAsia="仿宋_GB2312" w:cs="Times New Roman"/>
          <w:sz w:val="32"/>
          <w:szCs w:val="32"/>
          <w:lang w:val="zh-CN" w:eastAsia="zh-CN"/>
        </w:rPr>
        <w:t>。</w:t>
      </w:r>
    </w:p>
    <w:p w14:paraId="3F51D069">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default" w:ascii="Times New Roman" w:hAnsi="Times New Roman" w:eastAsia="楷体_GB2312" w:cs="Times New Roman"/>
          <w:b/>
          <w:color w:val="auto"/>
          <w:sz w:val="32"/>
          <w:szCs w:val="32"/>
          <w:highlight w:val="none"/>
          <w:u w:val="none"/>
          <w:lang w:val="en-US" w:eastAsia="zh-CN"/>
        </w:rPr>
        <w:t>（三）个性指标</w:t>
      </w:r>
      <w:r>
        <w:rPr>
          <w:rFonts w:hint="default" w:ascii="Times New Roman" w:hAnsi="Times New Roman" w:eastAsia="楷体_GB2312" w:cs="Times New Roman"/>
          <w:b/>
          <w:bCs/>
          <w:color w:val="000000"/>
          <w:kern w:val="0"/>
          <w:szCs w:val="32"/>
          <w:highlight w:val="none"/>
          <w:shd w:val="clear" w:color="auto" w:fill="FFFFFF"/>
          <w:lang w:val="zh-CN"/>
        </w:rPr>
        <w:t>绩效分析。</w:t>
      </w:r>
    </w:p>
    <w:p w14:paraId="20890191">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我委未设定个性指标。</w:t>
      </w:r>
    </w:p>
    <w:p w14:paraId="66C8157F">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1EF3ABDE">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该项目具有</w:t>
      </w:r>
      <w:r>
        <w:rPr>
          <w:rFonts w:hint="default" w:ascii="Times New Roman" w:hAnsi="Times New Roman" w:eastAsia="仿宋_GB2312" w:cs="Times New Roman"/>
          <w:kern w:val="2"/>
          <w:sz w:val="32"/>
          <w:szCs w:val="32"/>
          <w:lang w:val="en-US" w:eastAsia="zh-CN" w:bidi="ar-SA"/>
        </w:rPr>
        <w:t>明确</w:t>
      </w:r>
      <w:r>
        <w:rPr>
          <w:rFonts w:hint="default" w:ascii="Times New Roman" w:hAnsi="Times New Roman" w:eastAsia="仿宋_GB2312" w:cs="Times New Roman"/>
          <w:b w:val="0"/>
          <w:bCs w:val="0"/>
          <w:kern w:val="0"/>
          <w:position w:val="0"/>
          <w:sz w:val="32"/>
          <w:szCs w:val="32"/>
          <w:highlight w:val="none"/>
          <w:lang w:val="en-US" w:eastAsia="zh-CN" w:bidi="ar-SA"/>
        </w:rPr>
        <w:t>的目标，项目实施过程中严格按照州</w:t>
      </w:r>
      <w:r>
        <w:rPr>
          <w:rFonts w:hint="eastAsia" w:ascii="Times New Roman" w:cs="Times New Roman"/>
          <w:b w:val="0"/>
          <w:bCs w:val="0"/>
          <w:kern w:val="0"/>
          <w:position w:val="0"/>
          <w:sz w:val="32"/>
          <w:szCs w:val="32"/>
          <w:highlight w:val="none"/>
          <w:lang w:val="en-US" w:eastAsia="zh-CN" w:bidi="ar-SA"/>
        </w:rPr>
        <w:t>财政</w:t>
      </w:r>
      <w:r>
        <w:rPr>
          <w:rFonts w:hint="default" w:ascii="Times New Roman" w:hAnsi="Times New Roman" w:eastAsia="仿宋_GB2312" w:cs="Times New Roman"/>
          <w:b w:val="0"/>
          <w:bCs w:val="0"/>
          <w:kern w:val="0"/>
          <w:position w:val="0"/>
          <w:sz w:val="32"/>
          <w:szCs w:val="32"/>
          <w:highlight w:val="none"/>
          <w:lang w:val="en-US" w:eastAsia="zh-CN" w:bidi="ar-SA"/>
        </w:rPr>
        <w:t>局有关经费管理规定执行，资金到位及时，使用</w:t>
      </w:r>
      <w:r>
        <w:rPr>
          <w:rFonts w:hint="eastAsia" w:ascii="Times New Roman" w:cs="Times New Roman"/>
          <w:b w:val="0"/>
          <w:bCs w:val="0"/>
          <w:kern w:val="0"/>
          <w:position w:val="0"/>
          <w:sz w:val="32"/>
          <w:szCs w:val="32"/>
          <w:highlight w:val="none"/>
          <w:lang w:val="en-US" w:eastAsia="zh-CN" w:bidi="ar-SA"/>
        </w:rPr>
        <w:t>得当</w:t>
      </w:r>
      <w:r>
        <w:rPr>
          <w:rFonts w:hint="default" w:ascii="Times New Roman" w:hAnsi="Times New Roman" w:eastAsia="仿宋_GB2312" w:cs="Times New Roman"/>
          <w:b w:val="0"/>
          <w:bCs w:val="0"/>
          <w:kern w:val="0"/>
          <w:position w:val="0"/>
          <w:sz w:val="32"/>
          <w:szCs w:val="32"/>
          <w:highlight w:val="none"/>
          <w:lang w:val="en-US" w:eastAsia="zh-CN" w:bidi="ar-SA"/>
        </w:rPr>
        <w:t>，项目实施进展顺利，</w:t>
      </w:r>
      <w:r>
        <w:rPr>
          <w:rFonts w:hint="default" w:ascii="Times New Roman" w:hAnsi="Times New Roman" w:eastAsia="仿宋_GB2312" w:cs="Times New Roman"/>
          <w:b w:val="0"/>
          <w:bCs w:val="0"/>
          <w:color w:val="000000"/>
          <w:sz w:val="32"/>
          <w:szCs w:val="32"/>
          <w:lang w:val="en-US" w:eastAsia="zh-CN"/>
        </w:rPr>
        <w:t>进一步提升入党积极分子、党务干部、党组织书记和驻村干部等群体的政治理论水平</w:t>
      </w:r>
      <w:r>
        <w:rPr>
          <w:rFonts w:hint="default" w:ascii="Times New Roman" w:hAnsi="Times New Roman" w:eastAsia="仿宋_GB2312" w:cs="Times New Roman"/>
          <w:b w:val="0"/>
          <w:bCs w:val="0"/>
          <w:kern w:val="0"/>
          <w:position w:val="0"/>
          <w:sz w:val="32"/>
          <w:szCs w:val="32"/>
          <w:highlight w:val="none"/>
          <w:lang w:val="en-US" w:eastAsia="zh-CN" w:bidi="ar-SA"/>
        </w:rPr>
        <w:t>，自评得分100分，得分情况见附表。</w:t>
      </w:r>
    </w:p>
    <w:p w14:paraId="69B4FF18">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黑体" w:cs="Times New Roman"/>
          <w:color w:val="auto"/>
          <w:sz w:val="32"/>
          <w:szCs w:val="32"/>
          <w:highlight w:val="none"/>
          <w:u w:val="none"/>
          <w:lang w:eastAsia="zh-CN"/>
        </w:rPr>
      </w:pPr>
      <w:r>
        <w:rPr>
          <w:rFonts w:hint="default" w:ascii="Times New Roman" w:hAnsi="Times New Roman" w:eastAsia="黑体" w:cs="Times New Roman"/>
          <w:color w:val="auto"/>
          <w:sz w:val="32"/>
          <w:szCs w:val="32"/>
          <w:highlight w:val="none"/>
          <w:u w:val="none"/>
          <w:lang w:eastAsia="zh-CN"/>
        </w:rPr>
        <w:t>五、存在主要问题</w:t>
      </w:r>
    </w:p>
    <w:p w14:paraId="23498D3E">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无</w:t>
      </w:r>
    </w:p>
    <w:p w14:paraId="7125DEDD">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62B65B7B">
      <w:pPr>
        <w:tabs>
          <w:tab w:val="left" w:pos="1911"/>
        </w:tabs>
        <w:jc w:val="left"/>
        <w:rPr>
          <w:rFonts w:hint="default" w:ascii="Times New Roman" w:hAnsi="Times New Roman" w:cs="Times New Roman"/>
          <w:color w:val="000000"/>
          <w:kern w:val="0"/>
          <w:szCs w:val="32"/>
          <w:highlight w:val="none"/>
          <w:shd w:val="clear" w:color="auto" w:fill="FFFFFF"/>
          <w:lang w:val="zh-CN" w:eastAsia="zh-CN"/>
        </w:rPr>
      </w:pPr>
      <w:r>
        <w:rPr>
          <w:rFonts w:hint="default" w:ascii="Times New Roman" w:hAnsi="Times New Roman" w:eastAsia="仿宋_GB2312" w:cs="Times New Roman"/>
          <w:color w:val="auto"/>
          <w:kern w:val="0"/>
          <w:sz w:val="32"/>
          <w:szCs w:val="32"/>
          <w:highlight w:val="none"/>
          <w:u w:val="none"/>
          <w:shd w:val="clear" w:color="auto" w:fill="FFFFFF"/>
          <w:lang w:val="zh-CN" w:eastAsia="zh-CN"/>
        </w:rPr>
        <w:t xml:space="preserve"> </w:t>
      </w:r>
      <w:r>
        <w:rPr>
          <w:rFonts w:hint="default" w:ascii="Times New Roman" w:hAnsi="Times New Roman" w:cs="Times New Roman"/>
          <w:b w:val="0"/>
          <w:bCs w:val="0"/>
          <w:kern w:val="0"/>
          <w:position w:val="0"/>
          <w:sz w:val="32"/>
          <w:szCs w:val="32"/>
          <w:highlight w:val="none"/>
          <w:lang w:val="en-US" w:eastAsia="zh-CN" w:bidi="ar-SA"/>
        </w:rPr>
        <w:t xml:space="preserve">   无</w:t>
      </w:r>
    </w:p>
    <w:p w14:paraId="07807099">
      <w:pPr>
        <w:spacing w:line="578" w:lineRule="exact"/>
        <w:rPr>
          <w:rFonts w:hint="default" w:ascii="Times New Roman" w:hAnsi="Times New Roman" w:eastAsia="仿宋_GB2312" w:cs="Times New Roman"/>
          <w:kern w:val="0"/>
          <w:sz w:val="32"/>
          <w:szCs w:val="32"/>
        </w:rPr>
      </w:pPr>
    </w:p>
    <w:p w14:paraId="7C378F27">
      <w:pPr>
        <w:pStyle w:val="2"/>
        <w:rPr>
          <w:rFonts w:hint="default" w:ascii="Times New Roman" w:hAnsi="Times New Roman" w:eastAsia="仿宋_GB2312" w:cs="Times New Roman"/>
          <w:kern w:val="0"/>
          <w:sz w:val="32"/>
          <w:szCs w:val="32"/>
        </w:rPr>
      </w:pPr>
    </w:p>
    <w:p w14:paraId="0927ACE0">
      <w:pPr>
        <w:rPr>
          <w:rFonts w:hint="default" w:ascii="Times New Roman" w:hAnsi="Times New Roman" w:eastAsia="仿宋_GB2312" w:cs="Times New Roman"/>
          <w:kern w:val="0"/>
          <w:sz w:val="32"/>
          <w:szCs w:val="32"/>
        </w:rPr>
      </w:pPr>
    </w:p>
    <w:p w14:paraId="629F6286">
      <w:pPr>
        <w:pStyle w:val="2"/>
        <w:rPr>
          <w:rFonts w:hint="default" w:ascii="Times New Roman" w:hAnsi="Times New Roman" w:eastAsia="仿宋_GB2312" w:cs="Times New Roman"/>
          <w:kern w:val="0"/>
          <w:sz w:val="32"/>
          <w:szCs w:val="32"/>
        </w:rPr>
      </w:pPr>
    </w:p>
    <w:p w14:paraId="68F8F45E">
      <w:pPr>
        <w:rPr>
          <w:rFonts w:hint="default" w:ascii="Times New Roman" w:hAnsi="Times New Roman" w:eastAsia="仿宋_GB2312" w:cs="Times New Roman"/>
          <w:kern w:val="0"/>
          <w:sz w:val="32"/>
          <w:szCs w:val="32"/>
        </w:rPr>
      </w:pPr>
    </w:p>
    <w:p w14:paraId="66693BE2">
      <w:pPr>
        <w:pStyle w:val="2"/>
        <w:rPr>
          <w:rFonts w:hint="default" w:ascii="Times New Roman" w:hAnsi="Times New Roman" w:eastAsia="仿宋_GB2312" w:cs="Times New Roman"/>
          <w:kern w:val="0"/>
          <w:sz w:val="32"/>
          <w:szCs w:val="32"/>
        </w:rPr>
      </w:pPr>
    </w:p>
    <w:p w14:paraId="2CF1FB74">
      <w:pPr>
        <w:rPr>
          <w:rFonts w:hint="default" w:ascii="Times New Roman" w:hAnsi="Times New Roman" w:eastAsia="仿宋_GB2312" w:cs="Times New Roman"/>
          <w:kern w:val="0"/>
          <w:sz w:val="32"/>
          <w:szCs w:val="32"/>
        </w:rPr>
      </w:pPr>
    </w:p>
    <w:p w14:paraId="2112A4E9">
      <w:pPr>
        <w:pStyle w:val="2"/>
        <w:rPr>
          <w:rFonts w:hint="default" w:ascii="Times New Roman" w:hAnsi="Times New Roman" w:eastAsia="仿宋_GB2312" w:cs="Times New Roman"/>
          <w:kern w:val="0"/>
          <w:sz w:val="32"/>
          <w:szCs w:val="32"/>
        </w:rPr>
      </w:pPr>
    </w:p>
    <w:p w14:paraId="3B02B535">
      <w:pPr>
        <w:rPr>
          <w:rFonts w:hint="default" w:ascii="Times New Roman" w:hAnsi="Times New Roman" w:eastAsia="仿宋_GB2312" w:cs="Times New Roman"/>
          <w:kern w:val="0"/>
          <w:sz w:val="32"/>
          <w:szCs w:val="32"/>
        </w:rPr>
      </w:pPr>
    </w:p>
    <w:p w14:paraId="6EC53E06">
      <w:pPr>
        <w:pStyle w:val="2"/>
        <w:rPr>
          <w:rFonts w:hint="default" w:ascii="Times New Roman" w:hAnsi="Times New Roman" w:eastAsia="仿宋_GB2312" w:cs="Times New Roman"/>
          <w:kern w:val="0"/>
          <w:sz w:val="32"/>
          <w:szCs w:val="32"/>
        </w:rPr>
      </w:pPr>
    </w:p>
    <w:p w14:paraId="2A82CC25">
      <w:pPr>
        <w:rPr>
          <w:rFonts w:hint="default" w:ascii="Times New Roman" w:hAnsi="Times New Roman" w:eastAsia="仿宋_GB2312" w:cs="Times New Roman"/>
          <w:kern w:val="0"/>
          <w:sz w:val="32"/>
          <w:szCs w:val="32"/>
        </w:rPr>
      </w:pPr>
    </w:p>
    <w:p w14:paraId="1C09B328">
      <w:pPr>
        <w:pStyle w:val="2"/>
        <w:rPr>
          <w:rFonts w:hint="default" w:ascii="Times New Roman" w:hAnsi="Times New Roman" w:eastAsia="仿宋_GB2312" w:cs="Times New Roman"/>
          <w:kern w:val="0"/>
          <w:sz w:val="32"/>
          <w:szCs w:val="32"/>
        </w:rPr>
      </w:pPr>
    </w:p>
    <w:p w14:paraId="506BDA5F">
      <w:pPr>
        <w:rPr>
          <w:rFonts w:hint="default" w:ascii="Times New Roman" w:hAnsi="Times New Roman" w:eastAsia="仿宋_GB2312" w:cs="Times New Roman"/>
          <w:kern w:val="0"/>
          <w:sz w:val="32"/>
          <w:szCs w:val="32"/>
        </w:rPr>
      </w:pPr>
    </w:p>
    <w:p w14:paraId="1FD30720">
      <w:pPr>
        <w:pStyle w:val="4"/>
        <w:rPr>
          <w:rFonts w:hint="default" w:ascii="Times New Roman" w:hAnsi="Times New Roman" w:eastAsia="仿宋_GB2312" w:cs="Times New Roman"/>
          <w:kern w:val="0"/>
          <w:sz w:val="32"/>
          <w:szCs w:val="32"/>
        </w:rPr>
      </w:pPr>
    </w:p>
    <w:p w14:paraId="189606DA">
      <w:pPr>
        <w:rPr>
          <w:rFonts w:hint="default"/>
        </w:rPr>
      </w:pPr>
    </w:p>
    <w:p w14:paraId="4FAA8599">
      <w:pPr>
        <w:pStyle w:val="35"/>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Times New Roman" w:hAnsi="Times New Roman" w:eastAsia="微软雅黑" w:cs="Times New Roman"/>
          <w:color w:val="auto"/>
          <w:kern w:val="2"/>
          <w:sz w:val="44"/>
          <w:szCs w:val="44"/>
          <w:highlight w:val="none"/>
          <w:lang w:val="en-US" w:eastAsia="zh-CN"/>
        </w:rPr>
      </w:pPr>
      <w:r>
        <w:rPr>
          <w:rFonts w:hint="default" w:ascii="Times New Roman" w:hAnsi="Times New Roman" w:eastAsia="微软雅黑" w:cs="Times New Roman"/>
          <w:color w:val="auto"/>
          <w:kern w:val="2"/>
          <w:sz w:val="44"/>
          <w:szCs w:val="44"/>
          <w:highlight w:val="none"/>
          <w:lang w:val="en-US" w:eastAsia="zh-CN"/>
        </w:rPr>
        <w:t>统战群工工作专项预算项目绩效评价报告</w:t>
      </w:r>
    </w:p>
    <w:p w14:paraId="49150603">
      <w:pPr>
        <w:pStyle w:val="35"/>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hint="default" w:ascii="Times New Roman" w:hAnsi="Times New Roman" w:cs="Times New Roman"/>
          <w:color w:val="auto"/>
          <w:kern w:val="2"/>
          <w:sz w:val="32"/>
          <w:szCs w:val="32"/>
          <w:highlight w:val="none"/>
        </w:rPr>
      </w:pPr>
    </w:p>
    <w:p w14:paraId="0BF61DE8">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sz w:val="32"/>
          <w:szCs w:val="32"/>
          <w:highlight w:val="none"/>
          <w:lang w:val="zh-CN"/>
        </w:rPr>
      </w:pPr>
      <w:r>
        <w:rPr>
          <w:rFonts w:hint="default" w:ascii="Times New Roman" w:hAnsi="Times New Roman" w:eastAsia="黑体" w:cs="Times New Roman"/>
          <w:sz w:val="32"/>
          <w:szCs w:val="32"/>
          <w:highlight w:val="none"/>
        </w:rPr>
        <w:t>一、</w:t>
      </w:r>
      <w:r>
        <w:rPr>
          <w:rFonts w:hint="default" w:ascii="Times New Roman" w:hAnsi="Times New Roman" w:eastAsia="黑体" w:cs="Times New Roman"/>
          <w:sz w:val="32"/>
          <w:szCs w:val="32"/>
          <w:highlight w:val="none"/>
          <w:lang w:val="zh-CN"/>
        </w:rPr>
        <w:t>项目概况</w:t>
      </w:r>
    </w:p>
    <w:p w14:paraId="6DD2B4D7">
      <w:pPr>
        <w:keepNext w:val="0"/>
        <w:keepLines w:val="0"/>
        <w:pageBreakBefore w:val="0"/>
        <w:widowControl w:val="0"/>
        <w:kinsoku/>
        <w:wordWrap/>
        <w:overflowPunct/>
        <w:topLinePunct w:val="0"/>
        <w:autoSpaceDE/>
        <w:autoSpaceDN/>
        <w:bidi w:val="0"/>
        <w:adjustRightInd w:val="0"/>
        <w:snapToGrid w:val="0"/>
        <w:spacing w:line="600" w:lineRule="exact"/>
        <w:ind w:firstLine="72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b/>
          <w:color w:val="auto"/>
          <w:sz w:val="32"/>
          <w:szCs w:val="32"/>
          <w:highlight w:val="none"/>
          <w:u w:val="none"/>
          <w:lang w:val="zh-CN"/>
        </w:rPr>
        <w:t>（一）设立背景及基本情况。</w:t>
      </w:r>
      <w:r>
        <w:rPr>
          <w:rFonts w:hint="default" w:ascii="Times New Roman" w:hAnsi="Times New Roman" w:eastAsia="仿宋_GB2312" w:cs="Times New Roman"/>
          <w:sz w:val="32"/>
          <w:szCs w:val="32"/>
          <w:lang w:eastAsia="zh-CN"/>
        </w:rPr>
        <w:t>按照统战群工科职能职责，指导州直机关妇女组织和团组织抓好思想、组织、作风建设和妇女干部、团员青年的教育管理；指导州直机关妇女组织和团组织围绕党和政府的主要任务和中心工作，做好妇女干部、团员青年的思想政治工作；</w:t>
      </w:r>
      <w:r>
        <w:rPr>
          <w:rFonts w:hint="default" w:ascii="Times New Roman" w:hAnsi="Times New Roman" w:eastAsia="仿宋_GB2312" w:cs="Times New Roman"/>
          <w:sz w:val="32"/>
          <w:szCs w:val="32"/>
          <w:lang w:val="en-US" w:eastAsia="zh-CN"/>
        </w:rPr>
        <w:t>根据《</w:t>
      </w:r>
      <w:r>
        <w:rPr>
          <w:rFonts w:hint="eastAsia" w:eastAsia="仿宋_GB2312" w:cs="Times New Roman"/>
          <w:sz w:val="32"/>
          <w:szCs w:val="32"/>
          <w:lang w:val="en-US" w:eastAsia="zh-CN"/>
        </w:rPr>
        <w:t>中华全国妇女联合会</w:t>
      </w:r>
      <w:r>
        <w:rPr>
          <w:rFonts w:hint="default" w:ascii="Times New Roman" w:hAnsi="Times New Roman" w:eastAsia="仿宋_GB2312" w:cs="Times New Roman"/>
          <w:sz w:val="32"/>
          <w:szCs w:val="32"/>
          <w:lang w:val="en-US" w:eastAsia="zh-CN"/>
        </w:rPr>
        <w:t>章程》和《</w:t>
      </w:r>
      <w:r>
        <w:rPr>
          <w:rFonts w:hint="default" w:ascii="Times New Roman" w:hAnsi="Times New Roman" w:eastAsia="仿宋_GB2312" w:cs="Times New Roman"/>
          <w:sz w:val="32"/>
          <w:szCs w:val="32"/>
          <w:lang w:eastAsia="zh-CN"/>
        </w:rPr>
        <w:t>中国共产主义青年团</w:t>
      </w:r>
      <w:r>
        <w:rPr>
          <w:rFonts w:hint="default" w:ascii="Times New Roman" w:hAnsi="Times New Roman" w:eastAsia="仿宋_GB2312" w:cs="Times New Roman"/>
          <w:sz w:val="32"/>
          <w:szCs w:val="32"/>
          <w:lang w:val="en-US" w:eastAsia="zh-CN"/>
        </w:rPr>
        <w:t>章程》加强妇女</w:t>
      </w:r>
      <w:r>
        <w:rPr>
          <w:rFonts w:hint="default" w:ascii="Times New Roman" w:hAnsi="Times New Roman" w:eastAsia="仿宋_GB2312" w:cs="Times New Roman"/>
          <w:sz w:val="32"/>
          <w:szCs w:val="32"/>
          <w:lang w:eastAsia="zh-CN"/>
        </w:rPr>
        <w:t>干部</w:t>
      </w:r>
      <w:r>
        <w:rPr>
          <w:rFonts w:hint="default" w:ascii="Times New Roman" w:hAnsi="Times New Roman" w:eastAsia="仿宋_GB2312" w:cs="Times New Roman"/>
          <w:sz w:val="32"/>
          <w:szCs w:val="32"/>
          <w:lang w:val="en-US" w:eastAsia="zh-CN"/>
        </w:rPr>
        <w:t>和团员青年的教育工作</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按照州委安排，负责州直部门</w:t>
      </w:r>
      <w:r>
        <w:rPr>
          <w:rFonts w:hint="default" w:ascii="Times New Roman" w:hAnsi="Times New Roman" w:cs="Times New Roman"/>
          <w:sz w:val="32"/>
          <w:szCs w:val="32"/>
          <w:lang w:val="en-US" w:eastAsia="zh-CN"/>
        </w:rPr>
        <w:t>科</w:t>
      </w:r>
      <w:r>
        <w:rPr>
          <w:rFonts w:hint="default" w:ascii="Times New Roman" w:hAnsi="Times New Roman" w:eastAsia="仿宋_GB2312" w:cs="Times New Roman"/>
          <w:sz w:val="32"/>
          <w:szCs w:val="32"/>
          <w:lang w:val="en-US" w:eastAsia="zh-CN"/>
        </w:rPr>
        <w:t>级</w:t>
      </w:r>
      <w:r>
        <w:rPr>
          <w:rFonts w:hint="default" w:ascii="Times New Roman" w:hAnsi="Times New Roman" w:cs="Times New Roman"/>
          <w:sz w:val="32"/>
          <w:szCs w:val="32"/>
          <w:lang w:val="en-US" w:eastAsia="zh-CN"/>
        </w:rPr>
        <w:t>及</w:t>
      </w:r>
      <w:r>
        <w:rPr>
          <w:rFonts w:hint="default" w:ascii="Times New Roman" w:hAnsi="Times New Roman" w:eastAsia="仿宋_GB2312" w:cs="Times New Roman"/>
          <w:sz w:val="32"/>
          <w:szCs w:val="32"/>
          <w:lang w:val="en-US" w:eastAsia="zh-CN"/>
        </w:rPr>
        <w:t>以下干部职工的护照管理工作。</w:t>
      </w:r>
    </w:p>
    <w:p w14:paraId="522E75C3">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实施目的及支持方向。</w:t>
      </w:r>
      <w:r>
        <w:rPr>
          <w:rFonts w:hint="default" w:ascii="Times New Roman" w:hAnsi="Times New Roman" w:eastAsia="仿宋_GB2312" w:cs="Times New Roman"/>
          <w:sz w:val="32"/>
          <w:szCs w:val="32"/>
          <w:lang w:val="en-US" w:eastAsia="zh-CN"/>
        </w:rPr>
        <w:t>指导州直机关群团组织围绕党和政府的主要和中心工作，按照章程开展工作。</w:t>
      </w:r>
    </w:p>
    <w:p w14:paraId="54D23F6F">
      <w:pPr>
        <w:keepNext w:val="0"/>
        <w:keepLines w:val="0"/>
        <w:pageBreakBefore w:val="0"/>
        <w:widowControl w:val="0"/>
        <w:kinsoku/>
        <w:wordWrap/>
        <w:overflowPunct/>
        <w:topLinePunct w:val="0"/>
        <w:autoSpaceDE/>
        <w:autoSpaceDN/>
        <w:bidi w:val="0"/>
        <w:adjustRightInd w:val="0"/>
        <w:snapToGrid w:val="0"/>
        <w:spacing w:line="600" w:lineRule="exact"/>
        <w:ind w:firstLine="720"/>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b/>
          <w:color w:val="auto"/>
          <w:sz w:val="32"/>
          <w:szCs w:val="32"/>
          <w:highlight w:val="none"/>
          <w:u w:val="none"/>
          <w:lang w:val="zh-CN" w:eastAsia="zh-CN"/>
        </w:rPr>
        <w:t>（三）</w:t>
      </w:r>
      <w:r>
        <w:rPr>
          <w:rFonts w:hint="default" w:ascii="Times New Roman" w:hAnsi="Times New Roman" w:eastAsia="楷体_GB2312" w:cs="Times New Roman"/>
          <w:b/>
          <w:color w:val="auto"/>
          <w:sz w:val="32"/>
          <w:szCs w:val="32"/>
          <w:highlight w:val="none"/>
          <w:u w:val="none"/>
          <w:lang w:val="en-US" w:eastAsia="zh-CN"/>
        </w:rPr>
        <w:t>预算安排及分配管理</w:t>
      </w:r>
      <w:r>
        <w:rPr>
          <w:rFonts w:hint="default" w:ascii="Times New Roman" w:hAnsi="Times New Roman" w:eastAsia="楷体_GB2312" w:cs="Times New Roman"/>
          <w:b/>
          <w:color w:val="auto"/>
          <w:sz w:val="32"/>
          <w:szCs w:val="32"/>
          <w:highlight w:val="none"/>
          <w:u w:val="none"/>
          <w:lang w:val="zh-CN" w:eastAsia="zh-CN"/>
        </w:rPr>
        <w:t>。</w:t>
      </w:r>
      <w:r>
        <w:rPr>
          <w:rFonts w:hint="default" w:ascii="Times New Roman" w:hAnsi="Times New Roman" w:eastAsia="仿宋_GB2312" w:cs="Times New Roman"/>
          <w:sz w:val="32"/>
          <w:szCs w:val="32"/>
          <w:lang w:val="en-US" w:eastAsia="zh-CN"/>
        </w:rPr>
        <w:t>结合上年度工作开展情况，科学、合理编制预算，</w:t>
      </w:r>
      <w:r>
        <w:rPr>
          <w:rFonts w:hint="default" w:ascii="Times New Roman" w:hAnsi="Times New Roman" w:eastAsia="仿宋_GB2312" w:cs="Times New Roman"/>
          <w:sz w:val="32"/>
          <w:szCs w:val="32"/>
          <w:lang w:val="zh-CN" w:eastAsia="zh-CN"/>
        </w:rPr>
        <w:t>项目</w:t>
      </w:r>
      <w:r>
        <w:rPr>
          <w:rFonts w:hint="default" w:ascii="Times New Roman" w:hAnsi="Times New Roman" w:eastAsia="仿宋_GB2312" w:cs="Times New Roman"/>
          <w:sz w:val="32"/>
          <w:szCs w:val="32"/>
          <w:lang w:val="en-US" w:eastAsia="zh-CN"/>
        </w:rPr>
        <w:t>年初</w:t>
      </w:r>
      <w:r>
        <w:rPr>
          <w:rFonts w:hint="default" w:ascii="Times New Roman" w:hAnsi="Times New Roman" w:eastAsia="仿宋_GB2312" w:cs="Times New Roman"/>
          <w:sz w:val="32"/>
          <w:szCs w:val="32"/>
          <w:lang w:val="zh-CN" w:eastAsia="zh-CN"/>
        </w:rPr>
        <w:t>预算安排</w:t>
      </w:r>
      <w:r>
        <w:rPr>
          <w:rFonts w:hint="default" w:ascii="Times New Roman" w:hAnsi="Times New Roman" w:eastAsia="仿宋_GB2312" w:cs="Times New Roman"/>
          <w:sz w:val="32"/>
          <w:szCs w:val="32"/>
          <w:lang w:val="en-US" w:eastAsia="zh-CN"/>
        </w:rPr>
        <w:t>3万元，财政拨款3万元，已全部到位。该项目</w:t>
      </w:r>
      <w:r>
        <w:rPr>
          <w:rFonts w:hint="default" w:ascii="Times New Roman" w:hAnsi="Times New Roman" w:eastAsia="仿宋_GB2312" w:cs="Times New Roman"/>
          <w:sz w:val="32"/>
          <w:szCs w:val="32"/>
          <w:lang w:val="zh-CN" w:eastAsia="zh-CN"/>
        </w:rPr>
        <w:t>评价符合资金管理办法等相关规定。</w:t>
      </w:r>
    </w:p>
    <w:p w14:paraId="2D0B4906">
      <w:pPr>
        <w:keepNext w:val="0"/>
        <w:keepLines w:val="0"/>
        <w:pageBreakBefore w:val="0"/>
        <w:widowControl/>
        <w:suppressLineNumbers w:val="0"/>
        <w:kinsoku/>
        <w:wordWrap/>
        <w:overflowPunct/>
        <w:topLinePunct w:val="0"/>
        <w:autoSpaceDE/>
        <w:autoSpaceDN/>
        <w:bidi w:val="0"/>
        <w:adjustRightInd/>
        <w:snapToGrid/>
        <w:spacing w:line="576" w:lineRule="exact"/>
        <w:ind w:firstLine="643" w:firstLineChars="200"/>
        <w:jc w:val="left"/>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b/>
          <w:color w:val="auto"/>
          <w:sz w:val="32"/>
          <w:szCs w:val="32"/>
          <w:highlight w:val="none"/>
          <w:u w:val="none"/>
          <w:lang w:val="zh-CN" w:eastAsia="zh-CN"/>
        </w:rPr>
        <w:t>（四）项目绩效目标设置。</w:t>
      </w:r>
      <w:r>
        <w:rPr>
          <w:rFonts w:hint="default" w:ascii="Times New Roman" w:hAnsi="Times New Roman" w:eastAsia="仿宋_GB2312" w:cs="Times New Roman"/>
          <w:sz w:val="32"/>
          <w:szCs w:val="32"/>
          <w:lang w:val="en-US" w:eastAsia="zh-CN"/>
        </w:rPr>
        <w:t>一是指导州直部门（单位）群团组织有序开展工作，夯实群团基础；二是开展丰富多彩的群团活动，提升青年团员、妇女的凝聚力</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en-US" w:eastAsia="zh-CN"/>
        </w:rPr>
        <w:t>三是严格程序对驻马</w:t>
      </w:r>
      <w:r>
        <w:rPr>
          <w:rFonts w:hint="default" w:ascii="Times New Roman" w:hAnsi="Times New Roman" w:eastAsia="仿宋_GB2312" w:cs="Times New Roman"/>
          <w:sz w:val="32"/>
          <w:szCs w:val="32"/>
          <w:lang w:eastAsia="zh-CN"/>
        </w:rPr>
        <w:t>尔康地区的州直各部门（单位）、州属企事业单位在职干部职工、离退休人员持有因私出国（境）证件统一收集进行规范集中管理。</w:t>
      </w:r>
    </w:p>
    <w:p w14:paraId="47039F18">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default" w:ascii="Times New Roman" w:hAnsi="Times New Roman" w:cs="Times New Roman"/>
          <w:sz w:val="32"/>
          <w:szCs w:val="32"/>
          <w:lang w:eastAsia="zh-CN"/>
        </w:rPr>
      </w:pPr>
      <w:r>
        <w:rPr>
          <w:rFonts w:hint="default" w:ascii="Times New Roman" w:hAnsi="Times New Roman" w:eastAsia="黑体" w:cs="Times New Roman"/>
          <w:sz w:val="32"/>
          <w:szCs w:val="32"/>
          <w:highlight w:val="none"/>
        </w:rPr>
        <w:t>二、</w:t>
      </w:r>
      <w:r>
        <w:rPr>
          <w:rFonts w:hint="default" w:ascii="Times New Roman" w:hAnsi="Times New Roman" w:eastAsia="黑体" w:cs="Times New Roman"/>
          <w:sz w:val="32"/>
          <w:szCs w:val="32"/>
          <w:highlight w:val="none"/>
          <w:lang w:eastAsia="zh-CN"/>
        </w:rPr>
        <w:t>评价实施</w:t>
      </w:r>
    </w:p>
    <w:p w14:paraId="1AD98B21">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b/>
          <w:color w:val="auto"/>
          <w:sz w:val="32"/>
          <w:szCs w:val="32"/>
          <w:highlight w:val="none"/>
          <w:u w:val="none"/>
          <w:lang w:val="zh-CN"/>
        </w:rPr>
        <w:t>（一）评价目的。</w:t>
      </w:r>
      <w:r>
        <w:rPr>
          <w:rFonts w:hint="default" w:ascii="Times New Roman" w:hAnsi="Times New Roman" w:eastAsia="仿宋_GB2312" w:cs="Times New Roman"/>
          <w:sz w:val="32"/>
          <w:szCs w:val="32"/>
          <w:lang w:val="en-US" w:eastAsia="zh-CN"/>
        </w:rPr>
        <w:t>通过项目绩效自评严格</w:t>
      </w:r>
      <w:r>
        <w:rPr>
          <w:rFonts w:hint="eastAsia" w:eastAsia="仿宋_GB2312" w:cs="Times New Roman"/>
          <w:sz w:val="32"/>
          <w:szCs w:val="32"/>
          <w:lang w:val="en-US" w:eastAsia="zh-CN"/>
        </w:rPr>
        <w:t>落实中央八项规定</w:t>
      </w:r>
      <w:r>
        <w:rPr>
          <w:rFonts w:hint="default" w:ascii="Times New Roman" w:hAnsi="Times New Roman" w:eastAsia="仿宋_GB2312" w:cs="Times New Roman"/>
          <w:sz w:val="32"/>
          <w:szCs w:val="32"/>
          <w:lang w:val="en-US" w:eastAsia="zh-CN"/>
        </w:rPr>
        <w:t>精神，牢固树立“花钱必问效、无效必问责”的绩效理念，推动财政资金使用提质增效。</w:t>
      </w:r>
    </w:p>
    <w:p w14:paraId="593FFAF6">
      <w:pPr>
        <w:snapToGrid w:val="0"/>
        <w:spacing w:line="560" w:lineRule="exact"/>
        <w:ind w:firstLine="643" w:firstLineChars="200"/>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b/>
          <w:color w:val="auto"/>
          <w:sz w:val="32"/>
          <w:szCs w:val="32"/>
          <w:highlight w:val="none"/>
          <w:u w:val="none"/>
          <w:lang w:val="zh-CN"/>
        </w:rPr>
        <w:t>（二）预设问题及评价重点。</w:t>
      </w:r>
      <w:r>
        <w:rPr>
          <w:rFonts w:hint="default" w:ascii="Times New Roman" w:hAnsi="Times New Roman" w:eastAsia="仿宋_GB2312" w:cs="Times New Roman"/>
          <w:sz w:val="32"/>
          <w:szCs w:val="32"/>
          <w:lang w:val="en-US" w:eastAsia="zh-CN"/>
        </w:rPr>
        <w:t>通过项目绩效自评，统战群工工作经费</w:t>
      </w:r>
      <w:r>
        <w:rPr>
          <w:rFonts w:hint="default" w:ascii="Times New Roman" w:hAnsi="Times New Roman" w:eastAsia="仿宋_GB2312" w:cs="Times New Roman"/>
          <w:sz w:val="32"/>
          <w:szCs w:val="32"/>
          <w:lang w:val="zh-CN" w:eastAsia="zh-CN"/>
        </w:rPr>
        <w:t>项目资金的实际支出情况，资金开支范围、标准及支付进度、</w:t>
      </w:r>
      <w:r>
        <w:rPr>
          <w:rFonts w:hint="default" w:ascii="Times New Roman" w:hAnsi="Times New Roman" w:eastAsia="仿宋_GB2312" w:cs="Times New Roman"/>
          <w:sz w:val="32"/>
          <w:szCs w:val="32"/>
          <w:lang w:val="en-US" w:eastAsia="zh-CN"/>
        </w:rPr>
        <w:t>支付依据等</w:t>
      </w:r>
      <w:r>
        <w:rPr>
          <w:rFonts w:hint="default" w:ascii="Times New Roman" w:hAnsi="Times New Roman" w:eastAsia="仿宋_GB2312" w:cs="Times New Roman"/>
          <w:sz w:val="32"/>
          <w:szCs w:val="32"/>
          <w:lang w:val="zh-CN" w:eastAsia="zh-CN"/>
        </w:rPr>
        <w:t>合规合法，资金支付与预算相符，并对相关问题进行说明。</w:t>
      </w:r>
      <w:r>
        <w:rPr>
          <w:rFonts w:hint="default" w:ascii="Times New Roman" w:hAnsi="Times New Roman" w:eastAsia="仿宋_GB2312" w:cs="Times New Roman"/>
          <w:sz w:val="32"/>
          <w:szCs w:val="32"/>
          <w:lang w:eastAsia="zh-CN"/>
        </w:rPr>
        <w:t>按照工作重点，结合经费预算情况，建立项目执行责任制，将项目支出责任逐一分解落实到具体执行科室和责任人。</w:t>
      </w:r>
    </w:p>
    <w:p w14:paraId="21C86A35">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b/>
          <w:color w:val="auto"/>
          <w:sz w:val="32"/>
          <w:szCs w:val="32"/>
          <w:highlight w:val="none"/>
          <w:u w:val="none"/>
          <w:lang w:val="zh-CN"/>
        </w:rPr>
        <w:t>（三）评价选点。</w:t>
      </w:r>
      <w:r>
        <w:rPr>
          <w:rFonts w:hint="default" w:ascii="Times New Roman" w:hAnsi="Times New Roman" w:eastAsia="仿宋_GB2312" w:cs="Times New Roman"/>
          <w:sz w:val="32"/>
          <w:szCs w:val="32"/>
          <w:lang w:val="en-US" w:eastAsia="zh-CN"/>
        </w:rPr>
        <w:t>按照全面实施预算绩效管理的要求部署，对工委项目全覆盖开展了</w:t>
      </w:r>
      <w:r>
        <w:rPr>
          <w:rFonts w:hint="default" w:ascii="Times New Roman" w:hAnsi="Times New Roman" w:eastAsia="仿宋_GB2312" w:cs="Times New Roman"/>
          <w:sz w:val="32"/>
          <w:szCs w:val="32"/>
          <w:lang w:val="zh-CN" w:eastAsia="zh-CN"/>
        </w:rPr>
        <w:t>项目绩效自评。</w:t>
      </w:r>
    </w:p>
    <w:p w14:paraId="6993FE4D">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color w:val="auto"/>
          <w:sz w:val="32"/>
          <w:szCs w:val="32"/>
          <w:highlight w:val="none"/>
          <w:u w:val="none"/>
          <w:lang w:val="zh-CN"/>
        </w:rPr>
        <w:t>（四）评价方法。</w:t>
      </w:r>
      <w:r>
        <w:rPr>
          <w:rFonts w:hint="default" w:ascii="Times New Roman" w:hAnsi="Times New Roman" w:eastAsia="仿宋_GB2312" w:cs="Times New Roman"/>
          <w:sz w:val="32"/>
          <w:szCs w:val="32"/>
          <w:lang w:eastAsia="zh-CN"/>
        </w:rPr>
        <w:t>根据项目情况和评价重点，</w:t>
      </w:r>
      <w:r>
        <w:rPr>
          <w:rFonts w:hint="default" w:ascii="Times New Roman" w:hAnsi="Times New Roman" w:eastAsia="仿宋_GB2312" w:cs="Times New Roman"/>
          <w:sz w:val="32"/>
          <w:szCs w:val="32"/>
          <w:lang w:val="en-US" w:eastAsia="zh-CN"/>
        </w:rPr>
        <w:t>采取</w:t>
      </w:r>
      <w:r>
        <w:rPr>
          <w:rFonts w:hint="default" w:ascii="Times New Roman" w:hAnsi="Times New Roman" w:eastAsia="仿宋_GB2312" w:cs="Times New Roman"/>
          <w:sz w:val="32"/>
          <w:szCs w:val="32"/>
          <w:lang w:eastAsia="zh-CN"/>
        </w:rPr>
        <w:t>单位自评</w:t>
      </w:r>
      <w:r>
        <w:rPr>
          <w:rFonts w:hint="default" w:ascii="Times New Roman" w:hAnsi="Times New Roman" w:eastAsia="仿宋_GB2312" w:cs="Times New Roman"/>
          <w:sz w:val="32"/>
          <w:szCs w:val="32"/>
          <w:lang w:val="en-US" w:eastAsia="zh-CN"/>
        </w:rPr>
        <w:t>的方式。</w:t>
      </w:r>
    </w:p>
    <w:p w14:paraId="0931E00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b/>
          <w:color w:val="auto"/>
          <w:sz w:val="32"/>
          <w:szCs w:val="32"/>
          <w:highlight w:val="none"/>
          <w:u w:val="none"/>
          <w:lang w:val="zh-CN"/>
        </w:rPr>
        <w:t>（五）评价组织。</w:t>
      </w:r>
      <w:r>
        <w:rPr>
          <w:rFonts w:hint="default" w:ascii="Times New Roman" w:hAnsi="Times New Roman" w:eastAsia="仿宋_GB2312" w:cs="Times New Roman"/>
          <w:sz w:val="32"/>
          <w:szCs w:val="32"/>
          <w:lang w:eastAsia="zh-CN"/>
        </w:rPr>
        <w:t>评价组人员</w:t>
      </w:r>
      <w:r>
        <w:rPr>
          <w:rFonts w:hint="default" w:ascii="Times New Roman" w:hAnsi="Times New Roman" w:eastAsia="仿宋_GB2312" w:cs="Times New Roman"/>
          <w:sz w:val="32"/>
          <w:szCs w:val="32"/>
          <w:lang w:val="en-US" w:eastAsia="zh-CN"/>
        </w:rPr>
        <w:t>由</w:t>
      </w:r>
      <w:r>
        <w:rPr>
          <w:rFonts w:hint="eastAsia" w:eastAsia="仿宋_GB2312" w:cs="Times New Roman"/>
          <w:sz w:val="32"/>
          <w:szCs w:val="32"/>
          <w:lang w:val="en-US" w:eastAsia="zh-CN"/>
        </w:rPr>
        <w:t>分管</w:t>
      </w:r>
      <w:r>
        <w:rPr>
          <w:rFonts w:hint="default" w:ascii="Times New Roman" w:hAnsi="Times New Roman" w:eastAsia="仿宋_GB2312" w:cs="Times New Roman"/>
          <w:sz w:val="32"/>
          <w:szCs w:val="32"/>
          <w:lang w:val="en-US" w:eastAsia="zh-CN"/>
        </w:rPr>
        <w:t>领导吕淑君调研员及承办业务科室统战群工科科长廖小玲组成，对统战群工工作经费的使用进行分析、总结，并对2024年该项目的实施进行统筹</w:t>
      </w:r>
      <w:r>
        <w:rPr>
          <w:rFonts w:hint="default" w:ascii="Times New Roman" w:hAnsi="Times New Roman" w:eastAsia="仿宋_GB2312" w:cs="Times New Roman"/>
          <w:sz w:val="32"/>
          <w:szCs w:val="32"/>
          <w:lang w:eastAsia="zh-CN"/>
        </w:rPr>
        <w:t>。</w:t>
      </w:r>
    </w:p>
    <w:p w14:paraId="7B849D2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35AE380C">
      <w:pPr>
        <w:keepNext w:val="0"/>
        <w:keepLines w:val="0"/>
        <w:pageBreakBefore w:val="0"/>
        <w:widowControl w:val="0"/>
        <w:kinsoku/>
        <w:wordWrap/>
        <w:overflowPunct/>
        <w:topLinePunct w:val="0"/>
        <w:autoSpaceDE/>
        <w:autoSpaceDN/>
        <w:bidi w:val="0"/>
        <w:adjustRightInd w:val="0"/>
        <w:snapToGrid w:val="0"/>
        <w:spacing w:line="600" w:lineRule="exact"/>
        <w:ind w:firstLine="72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zh-CN" w:eastAsia="zh-CN"/>
        </w:rPr>
        <w:t>根据项目预算绩效评价指标体系“通用指标”“专用指标”“个性指标”涉及二、三级指标进行逐项绩效分析并评分</w:t>
      </w:r>
      <w:r>
        <w:rPr>
          <w:rFonts w:hint="default" w:ascii="Times New Roman" w:hAnsi="Times New Roman" w:eastAsia="仿宋_GB2312" w:cs="Times New Roman"/>
          <w:sz w:val="32"/>
          <w:szCs w:val="32"/>
          <w:lang w:val="en-US" w:eastAsia="zh-CN"/>
        </w:rPr>
        <w:t>。</w:t>
      </w:r>
    </w:p>
    <w:p w14:paraId="1C03DB6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（一）</w:t>
      </w:r>
      <w:r>
        <w:rPr>
          <w:rFonts w:hint="default"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color w:val="auto"/>
          <w:sz w:val="32"/>
          <w:szCs w:val="32"/>
          <w:highlight w:val="none"/>
          <w:u w:val="none"/>
          <w:lang w:val="zh-CN"/>
        </w:rPr>
        <w:t>绩效分析。</w:t>
      </w:r>
    </w:p>
    <w:p w14:paraId="31F4C5C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color w:val="auto"/>
          <w:sz w:val="32"/>
          <w:szCs w:val="32"/>
          <w:lang w:val="en-US" w:eastAsia="zh-CN"/>
        </w:rPr>
        <w:t>1.</w:t>
      </w:r>
      <w:r>
        <w:rPr>
          <w:rFonts w:hint="default" w:ascii="Times New Roman" w:hAnsi="Times New Roman" w:eastAsia="楷体_GB2312" w:cs="Times New Roman"/>
          <w:color w:val="auto"/>
          <w:sz w:val="32"/>
          <w:szCs w:val="32"/>
          <w:lang w:eastAsia="zh-CN"/>
        </w:rPr>
        <w:t>项目决策</w:t>
      </w:r>
      <w:r>
        <w:rPr>
          <w:rFonts w:hint="default" w:ascii="Times New Roman" w:hAnsi="Times New Roman" w:eastAsia="楷体_GB2312" w:cs="Times New Roman"/>
          <w:color w:val="auto"/>
          <w:szCs w:val="32"/>
          <w:lang w:eastAsia="zh-CN"/>
        </w:rPr>
        <w:t>。</w:t>
      </w:r>
      <w:r>
        <w:rPr>
          <w:rFonts w:hint="default" w:ascii="Times New Roman" w:hAnsi="Times New Roman" w:eastAsia="仿宋_GB2312" w:cs="Times New Roman"/>
          <w:sz w:val="32"/>
          <w:szCs w:val="32"/>
          <w:lang w:val="en-US" w:eastAsia="zh-CN"/>
        </w:rPr>
        <w:t>统战群工工资经费按照工委职能职责指导州直机关群团</w:t>
      </w:r>
      <w:r>
        <w:rPr>
          <w:rFonts w:hint="default" w:ascii="Times New Roman" w:hAnsi="Times New Roman" w:eastAsia="仿宋_GB2312" w:cs="Times New Roman"/>
          <w:sz w:val="32"/>
          <w:szCs w:val="32"/>
          <w:lang w:eastAsia="zh-CN"/>
        </w:rPr>
        <w:t>围绕</w:t>
      </w:r>
      <w:r>
        <w:rPr>
          <w:rFonts w:hint="default" w:ascii="Times New Roman" w:hAnsi="Times New Roman" w:eastAsia="仿宋_GB2312" w:cs="Times New Roman"/>
          <w:sz w:val="32"/>
          <w:szCs w:val="32"/>
          <w:lang w:val="en-US" w:eastAsia="zh-CN"/>
        </w:rPr>
        <w:t>州委、州政府中心工作开展工作，该项目是长期项目。</w:t>
      </w:r>
    </w:p>
    <w:p w14:paraId="52922D27">
      <w:pPr>
        <w:keepNext w:val="0"/>
        <w:keepLines w:val="0"/>
        <w:pageBreakBefore w:val="0"/>
        <w:widowControl w:val="0"/>
        <w:kinsoku/>
        <w:wordWrap/>
        <w:overflowPunct/>
        <w:topLinePunct w:val="0"/>
        <w:autoSpaceDE/>
        <w:autoSpaceDN/>
        <w:bidi w:val="0"/>
        <w:adjustRightInd w:val="0"/>
        <w:snapToGrid w:val="0"/>
        <w:spacing w:line="600" w:lineRule="exact"/>
        <w:ind w:firstLine="72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color w:val="auto"/>
          <w:sz w:val="32"/>
          <w:szCs w:val="32"/>
          <w:lang w:val="en-US" w:eastAsia="zh-CN"/>
        </w:rPr>
        <w:t>2.</w:t>
      </w:r>
      <w:r>
        <w:rPr>
          <w:rFonts w:hint="default" w:ascii="Times New Roman" w:hAnsi="Times New Roman" w:eastAsia="楷体_GB2312" w:cs="Times New Roman"/>
          <w:color w:val="auto"/>
          <w:sz w:val="32"/>
          <w:szCs w:val="32"/>
          <w:lang w:eastAsia="zh-CN"/>
        </w:rPr>
        <w:t>项目管理。</w:t>
      </w:r>
      <w:r>
        <w:rPr>
          <w:rFonts w:hint="default" w:ascii="Times New Roman" w:hAnsi="Times New Roman" w:eastAsia="仿宋_GB2312" w:cs="Times New Roman"/>
          <w:sz w:val="32"/>
          <w:szCs w:val="32"/>
          <w:lang w:val="zh-CN" w:eastAsia="zh-CN"/>
        </w:rPr>
        <w:t>项目执行中涉及的差旅费严格按照差旅费管理办法报销；</w:t>
      </w:r>
      <w:r>
        <w:rPr>
          <w:rFonts w:hint="default" w:ascii="Times New Roman" w:hAnsi="Times New Roman" w:eastAsia="仿宋_GB2312" w:cs="Times New Roman"/>
          <w:sz w:val="32"/>
          <w:szCs w:val="32"/>
          <w:lang w:val="en-US" w:eastAsia="zh-CN"/>
        </w:rPr>
        <w:t>劳务费严格执行专家劳务费标准；</w:t>
      </w:r>
      <w:r>
        <w:rPr>
          <w:rFonts w:hint="eastAsia" w:eastAsia="仿宋_GB2312" w:cs="Times New Roman"/>
          <w:sz w:val="32"/>
          <w:szCs w:val="32"/>
          <w:lang w:val="en-US" w:eastAsia="zh-CN"/>
        </w:rPr>
        <w:t>会议费</w:t>
      </w:r>
      <w:r>
        <w:rPr>
          <w:rFonts w:hint="default" w:ascii="Times New Roman" w:hAnsi="Times New Roman" w:eastAsia="仿宋_GB2312" w:cs="Times New Roman"/>
          <w:sz w:val="32"/>
          <w:szCs w:val="32"/>
          <w:lang w:val="en-US" w:eastAsia="zh-CN"/>
        </w:rPr>
        <w:t>严格按照《阿坝州州直机关会议费管理办法》报销。同时，</w:t>
      </w:r>
      <w:r>
        <w:rPr>
          <w:rFonts w:hint="default" w:ascii="Times New Roman" w:hAnsi="Times New Roman" w:eastAsia="仿宋_GB2312" w:cs="Times New Roman"/>
          <w:sz w:val="32"/>
          <w:szCs w:val="32"/>
          <w:lang w:val="zh-CN" w:eastAsia="zh-CN"/>
        </w:rPr>
        <w:t>资金的预算、申请、支付及账务处理等过程透明化，促进廉政建设，并提升资金使用效益。</w:t>
      </w:r>
    </w:p>
    <w:p w14:paraId="27FF96D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color w:val="auto"/>
          <w:sz w:val="32"/>
          <w:szCs w:val="32"/>
          <w:lang w:val="en-US" w:eastAsia="zh-CN"/>
        </w:rPr>
        <w:t>3.项目实施。</w:t>
      </w:r>
      <w:r>
        <w:rPr>
          <w:rFonts w:hint="default" w:ascii="Times New Roman" w:hAnsi="Times New Roman" w:eastAsia="仿宋_GB2312" w:cs="Times New Roman"/>
          <w:sz w:val="32"/>
          <w:szCs w:val="32"/>
          <w:lang w:val="en-US" w:eastAsia="zh-CN"/>
        </w:rPr>
        <w:t>该</w:t>
      </w:r>
      <w:r>
        <w:rPr>
          <w:rFonts w:hint="default" w:ascii="Times New Roman" w:hAnsi="Times New Roman" w:eastAsia="仿宋_GB2312" w:cs="Times New Roman"/>
          <w:sz w:val="32"/>
          <w:szCs w:val="32"/>
          <w:lang w:val="zh-CN" w:eastAsia="zh-CN"/>
        </w:rPr>
        <w:t>项目由</w:t>
      </w:r>
      <w:r>
        <w:rPr>
          <w:rFonts w:hint="default" w:ascii="Times New Roman" w:hAnsi="Times New Roman" w:eastAsia="仿宋_GB2312" w:cs="Times New Roman"/>
          <w:sz w:val="32"/>
          <w:szCs w:val="32"/>
          <w:lang w:val="en-US" w:eastAsia="zh-CN"/>
        </w:rPr>
        <w:t>统战群工科</w:t>
      </w:r>
      <w:r>
        <w:rPr>
          <w:rFonts w:hint="default" w:ascii="Times New Roman" w:hAnsi="Times New Roman" w:eastAsia="仿宋_GB2312" w:cs="Times New Roman"/>
          <w:sz w:val="32"/>
          <w:szCs w:val="32"/>
          <w:lang w:val="zh-CN" w:eastAsia="zh-CN"/>
        </w:rPr>
        <w:t>牵头并负责按实施方案实施，办公室负责项目资金管理，相关</w:t>
      </w:r>
      <w:r>
        <w:rPr>
          <w:rFonts w:hint="default" w:ascii="Times New Roman" w:hAnsi="Times New Roman" w:eastAsia="仿宋_GB2312" w:cs="Times New Roman"/>
          <w:sz w:val="32"/>
          <w:szCs w:val="32"/>
          <w:lang w:val="en-US" w:eastAsia="zh-CN"/>
        </w:rPr>
        <w:t>科室</w:t>
      </w:r>
      <w:r>
        <w:rPr>
          <w:rFonts w:hint="default" w:ascii="Times New Roman" w:hAnsi="Times New Roman" w:eastAsia="仿宋_GB2312" w:cs="Times New Roman"/>
          <w:sz w:val="32"/>
          <w:szCs w:val="32"/>
          <w:lang w:val="zh-CN" w:eastAsia="zh-CN"/>
        </w:rPr>
        <w:t>积极</w:t>
      </w:r>
      <w:r>
        <w:rPr>
          <w:rFonts w:hint="default" w:ascii="Times New Roman" w:hAnsi="Times New Roman" w:eastAsia="仿宋_GB2312" w:cs="Times New Roman"/>
          <w:sz w:val="32"/>
          <w:szCs w:val="32"/>
          <w:lang w:val="en-US" w:eastAsia="zh-CN"/>
        </w:rPr>
        <w:t>协助</w:t>
      </w:r>
      <w:r>
        <w:rPr>
          <w:rFonts w:hint="default" w:ascii="Times New Roman" w:hAnsi="Times New Roman" w:eastAsia="仿宋_GB2312" w:cs="Times New Roman"/>
          <w:sz w:val="32"/>
          <w:szCs w:val="32"/>
          <w:lang w:val="zh-CN" w:eastAsia="zh-CN"/>
        </w:rPr>
        <w:t>，形成领导重视、各科室联动共同促进项目执行的良好格局。</w:t>
      </w:r>
    </w:p>
    <w:p w14:paraId="231069B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color w:val="auto"/>
          <w:sz w:val="32"/>
          <w:szCs w:val="32"/>
          <w:lang w:val="en-US" w:eastAsia="zh-CN"/>
        </w:rPr>
        <w:t>4.项目结果。</w:t>
      </w:r>
      <w:r>
        <w:rPr>
          <w:rFonts w:hint="default" w:ascii="Times New Roman" w:hAnsi="Times New Roman" w:cs="Times New Roman"/>
          <w:lang w:val="en-US" w:eastAsia="zh-CN"/>
        </w:rPr>
        <w:t>2</w:t>
      </w:r>
      <w:r>
        <w:rPr>
          <w:rFonts w:hint="default" w:ascii="Times New Roman" w:hAnsi="Times New Roman" w:eastAsia="仿宋_GB2312" w:cs="Times New Roman"/>
          <w:sz w:val="32"/>
          <w:szCs w:val="32"/>
          <w:lang w:val="en-US" w:eastAsia="zh-CN"/>
        </w:rPr>
        <w:t>024年统战群工工作围绕年初工作计划完成了设定目标，该项目资金执行度为100%。</w:t>
      </w:r>
    </w:p>
    <w:p w14:paraId="6950CADD">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eastAsia="楷体_GB2312" w:cs="Times New Roman"/>
          <w:color w:val="auto"/>
          <w:szCs w:val="32"/>
          <w:lang w:val="zh-CN" w:eastAsia="zh-CN"/>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5CD26D6C">
      <w:pPr>
        <w:keepNext w:val="0"/>
        <w:keepLines w:val="0"/>
        <w:pageBreakBefore w:val="0"/>
        <w:widowControl w:val="0"/>
        <w:kinsoku/>
        <w:wordWrap/>
        <w:overflowPunct/>
        <w:topLinePunct w:val="0"/>
        <w:autoSpaceDE/>
        <w:autoSpaceDN/>
        <w:bidi w:val="0"/>
        <w:adjustRightInd w:val="0"/>
        <w:snapToGrid w:val="0"/>
        <w:spacing w:line="600" w:lineRule="exact"/>
        <w:ind w:firstLine="72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我委未设定专用指标</w:t>
      </w:r>
      <w:r>
        <w:rPr>
          <w:rFonts w:hint="default" w:ascii="Times New Roman" w:hAnsi="Times New Roman" w:eastAsia="仿宋_GB2312" w:cs="Times New Roman"/>
          <w:sz w:val="32"/>
          <w:szCs w:val="32"/>
          <w:lang w:val="zh-CN" w:eastAsia="zh-CN"/>
        </w:rPr>
        <w:t>。</w:t>
      </w:r>
    </w:p>
    <w:p w14:paraId="41A4CD61">
      <w:pPr>
        <w:keepNext w:val="0"/>
        <w:keepLines w:val="0"/>
        <w:pageBreakBefore w:val="0"/>
        <w:widowControl w:val="0"/>
        <w:numPr>
          <w:ilvl w:val="0"/>
          <w:numId w:val="3"/>
        </w:numPr>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5EE029A8">
      <w:pPr>
        <w:keepNext w:val="0"/>
        <w:keepLines w:val="0"/>
        <w:pageBreakBefore w:val="0"/>
        <w:widowControl w:val="0"/>
        <w:kinsoku/>
        <w:wordWrap/>
        <w:overflowPunct/>
        <w:topLinePunct w:val="0"/>
        <w:autoSpaceDE/>
        <w:autoSpaceDN/>
        <w:bidi w:val="0"/>
        <w:adjustRightInd w:val="0"/>
        <w:snapToGrid w:val="0"/>
        <w:spacing w:line="600" w:lineRule="exact"/>
        <w:ind w:firstLine="72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我委未设定个性指标。</w:t>
      </w:r>
    </w:p>
    <w:p w14:paraId="10A11241">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43344A80">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该项目具有明确的目标，项目实施过程中严格按照州财局有关经费管理规定执行，资金到位及时，使用得到，项目实施进展顺利，进一步提升了州直机关群团工作，充分发挥桥梁纽带作用，自评得分100分，得分情况见附表。</w:t>
      </w:r>
    </w:p>
    <w:p w14:paraId="1C530098">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黑体" w:cs="Times New Roman"/>
          <w:color w:val="auto"/>
          <w:sz w:val="32"/>
          <w:szCs w:val="32"/>
          <w:highlight w:val="none"/>
          <w:u w:val="none"/>
          <w:lang w:eastAsia="zh-CN"/>
        </w:rPr>
      </w:pPr>
      <w:r>
        <w:rPr>
          <w:rFonts w:hint="default" w:ascii="Times New Roman" w:hAnsi="Times New Roman" w:eastAsia="黑体" w:cs="Times New Roman"/>
          <w:color w:val="auto"/>
          <w:sz w:val="32"/>
          <w:szCs w:val="32"/>
          <w:highlight w:val="none"/>
          <w:u w:val="none"/>
          <w:lang w:eastAsia="zh-CN"/>
        </w:rPr>
        <w:t>五、存在主要问题</w:t>
      </w:r>
    </w:p>
    <w:p w14:paraId="2C1EA053">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无</w:t>
      </w:r>
    </w:p>
    <w:p w14:paraId="6E330FDB">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6E27FDCF">
      <w:pPr>
        <w:pStyle w:val="6"/>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zh-CN"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无</w:t>
      </w:r>
    </w:p>
    <w:p w14:paraId="441B51B5">
      <w:pPr>
        <w:rPr>
          <w:rFonts w:hint="default" w:ascii="Times New Roman" w:hAnsi="Times New Roman" w:eastAsia="仿宋_GB2312" w:cs="Times New Roman"/>
          <w:kern w:val="0"/>
          <w:sz w:val="32"/>
          <w:szCs w:val="32"/>
        </w:rPr>
      </w:pPr>
    </w:p>
    <w:p w14:paraId="68D7E282">
      <w:pPr>
        <w:pStyle w:val="2"/>
        <w:rPr>
          <w:rFonts w:hint="default" w:ascii="Times New Roman" w:hAnsi="Times New Roman" w:eastAsia="仿宋_GB2312" w:cs="Times New Roman"/>
          <w:kern w:val="0"/>
          <w:sz w:val="32"/>
          <w:szCs w:val="32"/>
        </w:rPr>
      </w:pPr>
    </w:p>
    <w:p w14:paraId="0F17471D">
      <w:pPr>
        <w:rPr>
          <w:rFonts w:hint="default" w:ascii="Times New Roman" w:hAnsi="Times New Roman" w:eastAsia="仿宋_GB2312" w:cs="Times New Roman"/>
          <w:kern w:val="0"/>
          <w:sz w:val="32"/>
          <w:szCs w:val="32"/>
        </w:rPr>
      </w:pPr>
    </w:p>
    <w:p w14:paraId="1BB7CBBD">
      <w:pPr>
        <w:pStyle w:val="2"/>
        <w:rPr>
          <w:rFonts w:hint="default" w:ascii="Times New Roman" w:hAnsi="Times New Roman" w:eastAsia="仿宋_GB2312" w:cs="Times New Roman"/>
          <w:kern w:val="0"/>
          <w:sz w:val="32"/>
          <w:szCs w:val="32"/>
        </w:rPr>
      </w:pPr>
    </w:p>
    <w:p w14:paraId="411F96AD">
      <w:pPr>
        <w:rPr>
          <w:rFonts w:hint="default" w:ascii="Times New Roman" w:hAnsi="Times New Roman" w:eastAsia="仿宋_GB2312" w:cs="Times New Roman"/>
          <w:kern w:val="0"/>
          <w:sz w:val="32"/>
          <w:szCs w:val="32"/>
        </w:rPr>
      </w:pPr>
    </w:p>
    <w:p w14:paraId="0CD4177F">
      <w:pPr>
        <w:pStyle w:val="2"/>
        <w:rPr>
          <w:rFonts w:hint="default" w:ascii="Times New Roman" w:hAnsi="Times New Roman" w:eastAsia="仿宋_GB2312" w:cs="Times New Roman"/>
          <w:kern w:val="0"/>
          <w:sz w:val="32"/>
          <w:szCs w:val="32"/>
        </w:rPr>
      </w:pPr>
    </w:p>
    <w:p w14:paraId="485A371B">
      <w:pPr>
        <w:rPr>
          <w:rFonts w:hint="default" w:ascii="Times New Roman" w:hAnsi="Times New Roman" w:eastAsia="仿宋_GB2312" w:cs="Times New Roman"/>
          <w:kern w:val="0"/>
          <w:sz w:val="32"/>
          <w:szCs w:val="32"/>
        </w:rPr>
      </w:pPr>
    </w:p>
    <w:p w14:paraId="0AA7095E">
      <w:pPr>
        <w:pStyle w:val="4"/>
        <w:rPr>
          <w:rFonts w:hint="default" w:ascii="Times New Roman" w:hAnsi="Times New Roman" w:eastAsia="仿宋_GB2312" w:cs="Times New Roman"/>
          <w:kern w:val="0"/>
          <w:sz w:val="32"/>
          <w:szCs w:val="32"/>
        </w:rPr>
      </w:pPr>
    </w:p>
    <w:p w14:paraId="52A6C213">
      <w:pPr>
        <w:rPr>
          <w:rFonts w:hint="default" w:ascii="Times New Roman" w:hAnsi="Times New Roman" w:eastAsia="仿宋_GB2312" w:cs="Times New Roman"/>
          <w:kern w:val="0"/>
          <w:sz w:val="32"/>
          <w:szCs w:val="32"/>
        </w:rPr>
      </w:pPr>
    </w:p>
    <w:p w14:paraId="75B5AF32">
      <w:pPr>
        <w:pStyle w:val="4"/>
        <w:rPr>
          <w:rFonts w:hint="default" w:ascii="Times New Roman" w:hAnsi="Times New Roman" w:eastAsia="仿宋_GB2312" w:cs="Times New Roman"/>
          <w:kern w:val="0"/>
          <w:sz w:val="32"/>
          <w:szCs w:val="32"/>
        </w:rPr>
      </w:pPr>
    </w:p>
    <w:p w14:paraId="5048BD11">
      <w:pPr>
        <w:rPr>
          <w:rFonts w:hint="default" w:ascii="Times New Roman" w:hAnsi="Times New Roman" w:eastAsia="仿宋_GB2312" w:cs="Times New Roman"/>
          <w:kern w:val="0"/>
          <w:sz w:val="32"/>
          <w:szCs w:val="32"/>
        </w:rPr>
      </w:pPr>
    </w:p>
    <w:p w14:paraId="21F9D281">
      <w:pPr>
        <w:pStyle w:val="4"/>
        <w:rPr>
          <w:rFonts w:hint="default" w:ascii="Times New Roman" w:hAnsi="Times New Roman" w:eastAsia="仿宋_GB2312" w:cs="Times New Roman"/>
          <w:kern w:val="0"/>
          <w:sz w:val="32"/>
          <w:szCs w:val="32"/>
        </w:rPr>
      </w:pPr>
    </w:p>
    <w:p w14:paraId="0301AD8F">
      <w:pPr>
        <w:rPr>
          <w:rFonts w:hint="default" w:ascii="Times New Roman" w:hAnsi="Times New Roman" w:eastAsia="仿宋_GB2312" w:cs="Times New Roman"/>
          <w:kern w:val="0"/>
          <w:sz w:val="32"/>
          <w:szCs w:val="32"/>
        </w:rPr>
      </w:pPr>
    </w:p>
    <w:p w14:paraId="7E2ACCF8">
      <w:pPr>
        <w:pStyle w:val="4"/>
        <w:rPr>
          <w:rFonts w:hint="default" w:ascii="Times New Roman" w:hAnsi="Times New Roman" w:cs="Times New Roman"/>
        </w:rPr>
      </w:pPr>
    </w:p>
    <w:p w14:paraId="5810255B">
      <w:pPr>
        <w:rPr>
          <w:rFonts w:hint="default"/>
        </w:rPr>
      </w:pPr>
    </w:p>
    <w:p w14:paraId="304EE085">
      <w:pPr>
        <w:pStyle w:val="8"/>
        <w:ind w:left="0" w:leftChars="0" w:firstLine="0" w:firstLineChars="0"/>
        <w:rPr>
          <w:rFonts w:hint="default" w:ascii="Times New Roman" w:hAnsi="Times New Roman" w:eastAsia="仿宋_GB2312" w:cs="Times New Roman"/>
          <w:kern w:val="0"/>
          <w:sz w:val="32"/>
          <w:szCs w:val="32"/>
        </w:rPr>
      </w:pPr>
    </w:p>
    <w:p w14:paraId="6005BB25">
      <w:pPr>
        <w:rPr>
          <w:rFonts w:hint="default" w:ascii="Times New Roman" w:hAnsi="Times New Roman" w:cs="Times New Roman"/>
        </w:rPr>
      </w:pPr>
    </w:p>
    <w:p w14:paraId="7BE27C7C">
      <w:pPr>
        <w:widowControl/>
        <w:jc w:val="center"/>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sz w:val="44"/>
          <w:szCs w:val="44"/>
        </w:rPr>
        <w:t>第</w:t>
      </w:r>
      <w:r>
        <w:rPr>
          <w:rStyle w:val="29"/>
          <w:rFonts w:hint="eastAsia" w:ascii="方正小标宋简体" w:hAnsi="方正小标宋简体" w:eastAsia="方正小标宋简体" w:cs="方正小标宋简体"/>
          <w:b w:val="0"/>
        </w:rPr>
        <w:t>五部分 附表</w:t>
      </w:r>
      <w:bookmarkEnd w:id="55"/>
      <w:bookmarkEnd w:id="58"/>
      <w:bookmarkStart w:id="59" w:name="_Toc15396619"/>
    </w:p>
    <w:p w14:paraId="227BAD2B">
      <w:pPr>
        <w:pStyle w:val="15"/>
        <w:adjustRightInd w:val="0"/>
        <w:snapToGrid w:val="0"/>
        <w:spacing w:line="560" w:lineRule="exact"/>
        <w:jc w:val="left"/>
        <w:rPr>
          <w:rFonts w:hint="default" w:ascii="Times New Roman" w:hAnsi="Times New Roman" w:eastAsia="仿宋_GB2312" w:cs="Times New Roman"/>
          <w:sz w:val="32"/>
          <w:szCs w:val="32"/>
        </w:rPr>
      </w:pPr>
    </w:p>
    <w:p w14:paraId="09ED9CFC">
      <w:pPr>
        <w:pStyle w:val="4"/>
        <w:suppressAutoHyphens/>
        <w:bidi w:val="0"/>
        <w:rPr>
          <w:rFonts w:hint="default" w:ascii="Times New Roman" w:hAnsi="Times New Roman" w:eastAsia="仿宋" w:cs="Times New Roman"/>
          <w:b w:val="0"/>
          <w:color w:val="auto"/>
          <w:highlight w:val="none"/>
        </w:rPr>
      </w:pPr>
      <w:r>
        <w:rPr>
          <w:rFonts w:hint="default" w:ascii="Times New Roman" w:hAnsi="Times New Roman" w:eastAsia="仿宋" w:cs="Times New Roman"/>
          <w:b w:val="0"/>
          <w:color w:val="auto"/>
          <w:highlight w:val="none"/>
        </w:rPr>
        <w:t>一、收入支出决算总表</w:t>
      </w:r>
      <w:bookmarkEnd w:id="59"/>
    </w:p>
    <w:p w14:paraId="5254CF88">
      <w:pPr>
        <w:pStyle w:val="4"/>
        <w:suppressAutoHyphens/>
        <w:bidi w:val="0"/>
        <w:rPr>
          <w:rFonts w:hint="default" w:ascii="Times New Roman" w:hAnsi="Times New Roman" w:eastAsia="仿宋" w:cs="Times New Roman"/>
          <w:b w:val="0"/>
          <w:color w:val="auto"/>
          <w:highlight w:val="none"/>
        </w:rPr>
      </w:pPr>
      <w:bookmarkStart w:id="60" w:name="_Toc15396620"/>
      <w:r>
        <w:rPr>
          <w:rFonts w:hint="default" w:ascii="Times New Roman" w:hAnsi="Times New Roman" w:eastAsia="仿宋" w:cs="Times New Roman"/>
          <w:b w:val="0"/>
          <w:color w:val="auto"/>
          <w:highlight w:val="none"/>
        </w:rPr>
        <w:t>二、收入决算表</w:t>
      </w:r>
      <w:bookmarkEnd w:id="60"/>
    </w:p>
    <w:p w14:paraId="2F5F2926">
      <w:pPr>
        <w:pStyle w:val="4"/>
        <w:suppressAutoHyphens/>
        <w:bidi w:val="0"/>
        <w:rPr>
          <w:rFonts w:hint="default" w:ascii="Times New Roman" w:hAnsi="Times New Roman" w:eastAsia="仿宋" w:cs="Times New Roman"/>
          <w:b w:val="0"/>
          <w:color w:val="auto"/>
          <w:highlight w:val="none"/>
        </w:rPr>
      </w:pPr>
      <w:bookmarkStart w:id="61" w:name="_Toc15396621"/>
      <w:r>
        <w:rPr>
          <w:rFonts w:hint="default" w:ascii="Times New Roman" w:hAnsi="Times New Roman" w:eastAsia="仿宋" w:cs="Times New Roman"/>
          <w:b w:val="0"/>
          <w:color w:val="auto"/>
          <w:highlight w:val="none"/>
        </w:rPr>
        <w:t>三、支出决算表</w:t>
      </w:r>
      <w:bookmarkEnd w:id="61"/>
    </w:p>
    <w:p w14:paraId="6246EB0A">
      <w:pPr>
        <w:pStyle w:val="4"/>
        <w:suppressAutoHyphens/>
        <w:bidi w:val="0"/>
        <w:rPr>
          <w:rFonts w:hint="default" w:ascii="Times New Roman" w:hAnsi="Times New Roman" w:eastAsia="仿宋" w:cs="Times New Roman"/>
          <w:b w:val="0"/>
          <w:color w:val="auto"/>
          <w:highlight w:val="none"/>
        </w:rPr>
      </w:pPr>
      <w:bookmarkStart w:id="62" w:name="_Toc15396622"/>
      <w:r>
        <w:rPr>
          <w:rFonts w:hint="default" w:ascii="Times New Roman" w:hAnsi="Times New Roman" w:eastAsia="仿宋" w:cs="Times New Roman"/>
          <w:b w:val="0"/>
          <w:color w:val="auto"/>
          <w:highlight w:val="none"/>
        </w:rPr>
        <w:t>四、财政拨款收入支出决算总表</w:t>
      </w:r>
      <w:bookmarkEnd w:id="62"/>
    </w:p>
    <w:p w14:paraId="6BAEB6DE">
      <w:pPr>
        <w:pStyle w:val="4"/>
        <w:suppressAutoHyphens/>
        <w:bidi w:val="0"/>
        <w:rPr>
          <w:rFonts w:hint="default" w:ascii="Times New Roman" w:hAnsi="Times New Roman" w:eastAsia="仿宋" w:cs="Times New Roman"/>
          <w:b w:val="0"/>
          <w:color w:val="auto"/>
          <w:highlight w:val="none"/>
        </w:rPr>
      </w:pPr>
      <w:bookmarkStart w:id="63" w:name="_Toc15396623"/>
      <w:r>
        <w:rPr>
          <w:rFonts w:hint="default" w:ascii="Times New Roman" w:hAnsi="Times New Roman" w:eastAsia="仿宋" w:cs="Times New Roman"/>
          <w:b w:val="0"/>
          <w:color w:val="auto"/>
          <w:highlight w:val="none"/>
        </w:rPr>
        <w:t>五、财政拨款支出决算明细表</w:t>
      </w:r>
      <w:bookmarkEnd w:id="63"/>
      <w:bookmarkStart w:id="64" w:name="_Toc15396624"/>
    </w:p>
    <w:p w14:paraId="3D2920E5">
      <w:pPr>
        <w:pStyle w:val="4"/>
        <w:suppressAutoHyphens/>
        <w:bidi w:val="0"/>
        <w:rPr>
          <w:rFonts w:hint="default" w:ascii="Times New Roman" w:hAnsi="Times New Roman" w:eastAsia="仿宋" w:cs="Times New Roman"/>
          <w:b w:val="0"/>
          <w:color w:val="auto"/>
          <w:highlight w:val="none"/>
        </w:rPr>
      </w:pPr>
      <w:r>
        <w:rPr>
          <w:rFonts w:hint="default" w:ascii="Times New Roman" w:hAnsi="Times New Roman" w:eastAsia="仿宋" w:cs="Times New Roman"/>
          <w:b w:val="0"/>
          <w:color w:val="auto"/>
          <w:highlight w:val="none"/>
        </w:rPr>
        <w:t>六、一般公共预算财政拨款支出决算表</w:t>
      </w:r>
      <w:bookmarkEnd w:id="64"/>
    </w:p>
    <w:p w14:paraId="240F08B6">
      <w:pPr>
        <w:pStyle w:val="4"/>
        <w:suppressAutoHyphens/>
        <w:bidi w:val="0"/>
        <w:rPr>
          <w:rFonts w:hint="default" w:ascii="Times New Roman" w:hAnsi="Times New Roman" w:eastAsia="仿宋" w:cs="Times New Roman"/>
          <w:b w:val="0"/>
          <w:color w:val="auto"/>
          <w:highlight w:val="none"/>
        </w:rPr>
      </w:pPr>
      <w:bookmarkStart w:id="65" w:name="_Toc15396625"/>
      <w:r>
        <w:rPr>
          <w:rFonts w:hint="default" w:ascii="Times New Roman" w:hAnsi="Times New Roman" w:eastAsia="仿宋" w:cs="Times New Roman"/>
          <w:b w:val="0"/>
          <w:color w:val="auto"/>
          <w:highlight w:val="none"/>
        </w:rPr>
        <w:t>七、一般公共预算财政拨款支出决算明细表</w:t>
      </w:r>
      <w:bookmarkEnd w:id="65"/>
    </w:p>
    <w:p w14:paraId="2CA8AE20">
      <w:pPr>
        <w:pStyle w:val="4"/>
        <w:suppressAutoHyphens/>
        <w:bidi w:val="0"/>
        <w:rPr>
          <w:rFonts w:hint="default" w:ascii="Times New Roman" w:hAnsi="Times New Roman" w:eastAsia="仿宋" w:cs="Times New Roman"/>
          <w:b w:val="0"/>
          <w:color w:val="auto"/>
          <w:highlight w:val="none"/>
        </w:rPr>
      </w:pPr>
      <w:bookmarkStart w:id="66" w:name="_Toc15396626"/>
      <w:r>
        <w:rPr>
          <w:rFonts w:hint="default" w:ascii="Times New Roman" w:hAnsi="Times New Roman" w:eastAsia="仿宋" w:cs="Times New Roman"/>
          <w:b w:val="0"/>
          <w:color w:val="auto"/>
          <w:highlight w:val="none"/>
        </w:rPr>
        <w:t>八、一般公共预算财政拨款基本支出决算表</w:t>
      </w:r>
      <w:bookmarkEnd w:id="66"/>
    </w:p>
    <w:p w14:paraId="1021E5EC">
      <w:pPr>
        <w:pStyle w:val="4"/>
        <w:suppressAutoHyphens/>
        <w:bidi w:val="0"/>
        <w:rPr>
          <w:rFonts w:hint="default" w:ascii="Times New Roman" w:hAnsi="Times New Roman" w:eastAsia="仿宋" w:cs="Times New Roman"/>
          <w:b w:val="0"/>
          <w:color w:val="auto"/>
          <w:highlight w:val="none"/>
        </w:rPr>
      </w:pPr>
      <w:bookmarkStart w:id="67" w:name="_Toc15396627"/>
      <w:r>
        <w:rPr>
          <w:rFonts w:hint="default" w:ascii="Times New Roman" w:hAnsi="Times New Roman" w:eastAsia="仿宋" w:cs="Times New Roman"/>
          <w:b w:val="0"/>
          <w:color w:val="auto"/>
          <w:highlight w:val="none"/>
        </w:rPr>
        <w:t>九、一般公共预算财政拨款项目支出决算表</w:t>
      </w:r>
      <w:bookmarkEnd w:id="67"/>
    </w:p>
    <w:p w14:paraId="07043E00">
      <w:pPr>
        <w:pStyle w:val="4"/>
        <w:suppressAutoHyphens/>
        <w:bidi w:val="0"/>
        <w:rPr>
          <w:rFonts w:hint="default" w:ascii="Times New Roman" w:hAnsi="Times New Roman" w:eastAsia="仿宋" w:cs="Times New Roman"/>
          <w:b w:val="0"/>
          <w:color w:val="auto"/>
          <w:highlight w:val="none"/>
        </w:rPr>
      </w:pPr>
      <w:bookmarkStart w:id="68" w:name="_Toc15396628"/>
      <w:r>
        <w:rPr>
          <w:rFonts w:hint="default" w:ascii="Times New Roman" w:hAnsi="Times New Roman" w:eastAsia="仿宋" w:cs="Times New Roman"/>
          <w:b w:val="0"/>
          <w:color w:val="auto"/>
          <w:highlight w:val="none"/>
        </w:rPr>
        <w:t>十、</w:t>
      </w:r>
      <w:bookmarkEnd w:id="68"/>
      <w:r>
        <w:rPr>
          <w:rFonts w:hint="default" w:ascii="Times New Roman" w:hAnsi="Times New Roman" w:eastAsia="仿宋" w:cs="Times New Roman"/>
          <w:b w:val="0"/>
          <w:color w:val="auto"/>
          <w:highlight w:val="none"/>
        </w:rPr>
        <w:t>政府性基金预算财政拨款收入支出决算表</w:t>
      </w:r>
    </w:p>
    <w:p w14:paraId="7B15E922">
      <w:pPr>
        <w:pStyle w:val="4"/>
        <w:suppressAutoHyphens/>
        <w:bidi w:val="0"/>
        <w:rPr>
          <w:rFonts w:hint="default" w:ascii="Times New Roman" w:hAnsi="Times New Roman" w:eastAsia="仿宋" w:cs="Times New Roman"/>
          <w:b w:val="0"/>
          <w:color w:val="auto"/>
          <w:highlight w:val="none"/>
        </w:rPr>
      </w:pPr>
      <w:bookmarkStart w:id="69" w:name="_Toc15396629"/>
      <w:r>
        <w:rPr>
          <w:rFonts w:hint="default" w:ascii="Times New Roman" w:hAnsi="Times New Roman" w:eastAsia="仿宋" w:cs="Times New Roman"/>
          <w:b w:val="0"/>
          <w:color w:val="auto"/>
          <w:highlight w:val="none"/>
        </w:rPr>
        <w:t>十一、</w:t>
      </w:r>
      <w:bookmarkEnd w:id="69"/>
      <w:r>
        <w:rPr>
          <w:rFonts w:hint="default" w:ascii="Times New Roman" w:hAnsi="Times New Roman" w:eastAsia="仿宋" w:cs="Times New Roman"/>
          <w:b w:val="0"/>
          <w:color w:val="auto"/>
          <w:highlight w:val="none"/>
        </w:rPr>
        <w:t>国有资本经营预算财政拨款收入支出决算表</w:t>
      </w:r>
    </w:p>
    <w:p w14:paraId="0F22F1B4">
      <w:pPr>
        <w:pStyle w:val="4"/>
        <w:suppressAutoHyphens/>
        <w:bidi w:val="0"/>
        <w:rPr>
          <w:rFonts w:hint="default" w:ascii="Times New Roman" w:hAnsi="Times New Roman" w:eastAsia="仿宋" w:cs="Times New Roman"/>
          <w:b w:val="0"/>
          <w:color w:val="auto"/>
          <w:highlight w:val="none"/>
        </w:rPr>
      </w:pPr>
      <w:bookmarkStart w:id="70" w:name="_Toc15396630"/>
      <w:r>
        <w:rPr>
          <w:rFonts w:hint="default" w:ascii="Times New Roman" w:hAnsi="Times New Roman" w:eastAsia="仿宋" w:cs="Times New Roman"/>
          <w:b w:val="0"/>
          <w:color w:val="auto"/>
          <w:highlight w:val="none"/>
        </w:rPr>
        <w:t>十二、</w:t>
      </w:r>
      <w:bookmarkEnd w:id="70"/>
      <w:r>
        <w:rPr>
          <w:rFonts w:hint="default" w:ascii="Times New Roman" w:hAnsi="Times New Roman" w:eastAsia="仿宋" w:cs="Times New Roman"/>
          <w:b w:val="0"/>
          <w:color w:val="auto"/>
          <w:highlight w:val="none"/>
        </w:rPr>
        <w:t>国有资本经营预算财政拨款支出决算表</w:t>
      </w:r>
    </w:p>
    <w:p w14:paraId="3D830803">
      <w:pPr>
        <w:pStyle w:val="4"/>
        <w:suppressAutoHyphens/>
        <w:bidi w:val="0"/>
        <w:rPr>
          <w:rFonts w:hint="default" w:ascii="Times New Roman" w:hAnsi="Times New Roman" w:eastAsia="仿宋" w:cs="Times New Roman"/>
          <w:b w:val="0"/>
          <w:color w:val="auto"/>
          <w:highlight w:val="none"/>
        </w:rPr>
      </w:pPr>
      <w:bookmarkStart w:id="71" w:name="_Toc15396631"/>
      <w:r>
        <w:rPr>
          <w:rFonts w:hint="default" w:ascii="Times New Roman" w:hAnsi="Times New Roman" w:eastAsia="仿宋" w:cs="Times New Roman"/>
          <w:b w:val="0"/>
          <w:color w:val="auto"/>
          <w:highlight w:val="none"/>
        </w:rPr>
        <w:t>十三、</w:t>
      </w:r>
      <w:bookmarkEnd w:id="71"/>
      <w:r>
        <w:rPr>
          <w:rFonts w:hint="default" w:ascii="Times New Roman" w:hAnsi="Times New Roman" w:eastAsia="仿宋" w:cs="Times New Roman"/>
          <w:b w:val="0"/>
          <w:color w:val="auto"/>
          <w:highlight w:val="none"/>
        </w:rPr>
        <w:t>财政拨款“三公”经费支出决算表</w:t>
      </w:r>
    </w:p>
    <w:p w14:paraId="46D5F740">
      <w:pPr>
        <w:pStyle w:val="4"/>
        <w:suppressAutoHyphens/>
        <w:bidi w:val="0"/>
        <w:rPr>
          <w:rFonts w:hint="default" w:ascii="Times New Roman" w:hAnsi="Times New Roman" w:eastAsia="仿宋" w:cs="Times New Roman"/>
          <w:b w:val="0"/>
          <w:color w:val="auto"/>
          <w:highlight w:val="none"/>
        </w:rPr>
      </w:pPr>
    </w:p>
    <w:sectPr>
      <w:footerReference r:id="rId8" w:type="first"/>
      <w:footerReference r:id="rId7" w:type="default"/>
      <w:pgSz w:w="11906" w:h="16838"/>
      <w:pgMar w:top="1440" w:right="1800" w:bottom="1440" w:left="1800" w:header="851" w:footer="992" w:gutter="0"/>
      <w:pgNumType w:fmt="numberInDash" w:start="5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9E5A93-104F-4363-A046-549B30CF6D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722ABF3-4C2C-46DD-ABBB-7D2BD98D8DA9}"/>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DE412E1E-3D59-470C-91B3-CF0835E5B1A1}"/>
  </w:font>
  <w:font w:name="仿宋">
    <w:panose1 w:val="02010609060101010101"/>
    <w:charset w:val="86"/>
    <w:family w:val="modern"/>
    <w:pitch w:val="default"/>
    <w:sig w:usb0="800002BF" w:usb1="38CF7CFA" w:usb2="00000016" w:usb3="00000000" w:csb0="00040001" w:csb1="00000000"/>
    <w:embedRegular r:id="rId4" w:fontKey="{53FC2C2B-F10E-4422-9B05-A082CEFC7E29}"/>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embedRegular r:id="rId5" w:fontKey="{E693B2D7-8CF9-492E-90BF-D71DF290B782}"/>
  </w:font>
  <w:font w:name="方正小标宋简体">
    <w:panose1 w:val="0201060103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6" w:fontKey="{2A05CEF9-3673-443C-BE86-0B9FD5E991BF}"/>
  </w:font>
  <w:font w:name="楷体_GB2312">
    <w:panose1 w:val="02010609030101010101"/>
    <w:charset w:val="86"/>
    <w:family w:val="auto"/>
    <w:pitch w:val="default"/>
    <w:sig w:usb0="00000001" w:usb1="080E0000" w:usb2="00000000" w:usb3="00000000" w:csb0="00040000" w:csb1="00000000"/>
    <w:embedRegular r:id="rId7" w:fontKey="{703AC28C-47B7-42A4-8B70-98F669365B0F}"/>
  </w:font>
  <w:font w:name="方正仿宋_GB2312">
    <w:panose1 w:val="02000000000000000000"/>
    <w:charset w:val="86"/>
    <w:family w:val="auto"/>
    <w:pitch w:val="default"/>
    <w:sig w:usb0="A00002BF" w:usb1="184F6CFA" w:usb2="00000012" w:usb3="00000000" w:csb0="00040001" w:csb1="00000000"/>
    <w:embedRegular r:id="rId8" w:fontKey="{AB7C242F-BECB-4BB7-A595-5D8C05876A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94825">
    <w:pPr>
      <w:pStyle w:val="11"/>
      <w:jc w:val="center"/>
    </w:pPr>
  </w:p>
  <w:p w14:paraId="1C1DB241">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60123">
    <w:pPr>
      <w:pStyle w:val="11"/>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3FB7E">
                          <w:pPr>
                            <w:pStyle w:val="11"/>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- 2 -</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AB3FB7E">
                    <w:pPr>
                      <w:pStyle w:val="11"/>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- 2 -</w:t>
                    </w:r>
                    <w:r>
                      <w:rPr>
                        <w:sz w:val="24"/>
                        <w:szCs w:val="24"/>
                      </w:rPr>
                      <w:fldChar w:fldCharType="end"/>
                    </w:r>
                  </w:p>
                </w:txbxContent>
              </v:textbox>
            </v:shape>
          </w:pict>
        </mc:Fallback>
      </mc:AlternateContent>
    </w:r>
  </w:p>
  <w:p w14:paraId="542CF16B">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D3265">
    <w:pPr>
      <w:pStyle w:val="1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E247D">
                          <w:pPr>
                            <w:pStyle w:val="1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8DE247D">
                    <w:pPr>
                      <w:pStyle w:val="1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40B02">
    <w:pPr>
      <w:pStyle w:val="1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D75F0">
                          <w:pPr>
                            <w:pStyle w:val="11"/>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- 2 -</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B4D75F0">
                    <w:pPr>
                      <w:pStyle w:val="11"/>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- 2 -</w:t>
                    </w:r>
                    <w:r>
                      <w:rPr>
                        <w:sz w:val="24"/>
                        <w:szCs w:val="24"/>
                      </w:rPr>
                      <w:fldChar w:fldCharType="end"/>
                    </w:r>
                  </w:p>
                </w:txbxContent>
              </v:textbox>
            </v:shape>
          </w:pict>
        </mc:Fallback>
      </mc:AlternateContent>
    </w:r>
  </w:p>
  <w:p w14:paraId="3364EC03">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2CDE5">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F2282">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- 1 -</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65F2282">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- 1 -</w:t>
                    </w:r>
                    <w:r>
                      <w:rPr>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244DE">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D139C"/>
    <w:multiLevelType w:val="singleLevel"/>
    <w:tmpl w:val="813D139C"/>
    <w:lvl w:ilvl="0" w:tentative="0">
      <w:start w:val="3"/>
      <w:numFmt w:val="chineseCounting"/>
      <w:suff w:val="nothing"/>
      <w:lvlText w:val="（%1）"/>
      <w:lvlJc w:val="left"/>
      <w:rPr>
        <w:rFonts w:hint="eastAsia"/>
      </w:rPr>
    </w:lvl>
  </w:abstractNum>
  <w:abstractNum w:abstractNumId="1">
    <w:nsid w:val="03871E8E"/>
    <w:multiLevelType w:val="singleLevel"/>
    <w:tmpl w:val="03871E8E"/>
    <w:lvl w:ilvl="0" w:tentative="0">
      <w:start w:val="1"/>
      <w:numFmt w:val="chineseCounting"/>
      <w:suff w:val="nothing"/>
      <w:lvlText w:val="%1、"/>
      <w:lvlJc w:val="left"/>
      <w:rPr>
        <w:rFonts w:hint="eastAsia"/>
      </w:rPr>
    </w:lvl>
  </w:abstractNum>
  <w:abstractNum w:abstractNumId="2">
    <w:nsid w:val="210DB2F5"/>
    <w:multiLevelType w:val="singleLevel"/>
    <w:tmpl w:val="210DB2F5"/>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3"/>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07004"/>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3795B"/>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4CAE"/>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22A3"/>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02FE1"/>
    <w:rsid w:val="00D114F0"/>
    <w:rsid w:val="00D20620"/>
    <w:rsid w:val="00D254F7"/>
    <w:rsid w:val="00D26091"/>
    <w:rsid w:val="00D2685C"/>
    <w:rsid w:val="00D34E7C"/>
    <w:rsid w:val="00D35489"/>
    <w:rsid w:val="00D36AFE"/>
    <w:rsid w:val="00D51276"/>
    <w:rsid w:val="00D5444D"/>
    <w:rsid w:val="00D7035F"/>
    <w:rsid w:val="00DA634F"/>
    <w:rsid w:val="00DA65AC"/>
    <w:rsid w:val="00DB1913"/>
    <w:rsid w:val="00DC2C99"/>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3868B8"/>
    <w:rsid w:val="02FEBE30"/>
    <w:rsid w:val="03E61B66"/>
    <w:rsid w:val="04916F1E"/>
    <w:rsid w:val="049E4736"/>
    <w:rsid w:val="055E50A5"/>
    <w:rsid w:val="061E35DE"/>
    <w:rsid w:val="066E0107"/>
    <w:rsid w:val="07996F6E"/>
    <w:rsid w:val="07DFD8BA"/>
    <w:rsid w:val="08C0550B"/>
    <w:rsid w:val="09867E8F"/>
    <w:rsid w:val="0A2032A3"/>
    <w:rsid w:val="0A650C83"/>
    <w:rsid w:val="0A815C26"/>
    <w:rsid w:val="0AF85654"/>
    <w:rsid w:val="0B9A44B2"/>
    <w:rsid w:val="0CA8290A"/>
    <w:rsid w:val="0D35B1ED"/>
    <w:rsid w:val="0E254B6B"/>
    <w:rsid w:val="0F98263C"/>
    <w:rsid w:val="101860EC"/>
    <w:rsid w:val="101F47CC"/>
    <w:rsid w:val="10510C30"/>
    <w:rsid w:val="108F6EF1"/>
    <w:rsid w:val="10C055FF"/>
    <w:rsid w:val="11694EBD"/>
    <w:rsid w:val="11772AA4"/>
    <w:rsid w:val="118107EC"/>
    <w:rsid w:val="11CF655F"/>
    <w:rsid w:val="120345BF"/>
    <w:rsid w:val="127A1044"/>
    <w:rsid w:val="12B66520"/>
    <w:rsid w:val="12E24EE2"/>
    <w:rsid w:val="12E93266"/>
    <w:rsid w:val="13D50BC4"/>
    <w:rsid w:val="14B17F78"/>
    <w:rsid w:val="15830915"/>
    <w:rsid w:val="15FD0292"/>
    <w:rsid w:val="165E0673"/>
    <w:rsid w:val="16B831D5"/>
    <w:rsid w:val="16BB723D"/>
    <w:rsid w:val="17E50567"/>
    <w:rsid w:val="180355F4"/>
    <w:rsid w:val="186504BB"/>
    <w:rsid w:val="19A445FC"/>
    <w:rsid w:val="1A5615BC"/>
    <w:rsid w:val="1B9643ED"/>
    <w:rsid w:val="1BE8440E"/>
    <w:rsid w:val="1CC6347C"/>
    <w:rsid w:val="1D155CEE"/>
    <w:rsid w:val="1D1638FE"/>
    <w:rsid w:val="1DAC66AD"/>
    <w:rsid w:val="1E312DEB"/>
    <w:rsid w:val="1E740ACF"/>
    <w:rsid w:val="1FF35744"/>
    <w:rsid w:val="1FF6BC77"/>
    <w:rsid w:val="21714B16"/>
    <w:rsid w:val="2186353C"/>
    <w:rsid w:val="223B6DC1"/>
    <w:rsid w:val="22F55FE0"/>
    <w:rsid w:val="236773C3"/>
    <w:rsid w:val="23860B96"/>
    <w:rsid w:val="240371BF"/>
    <w:rsid w:val="244F3473"/>
    <w:rsid w:val="24A47FDC"/>
    <w:rsid w:val="24C97D99"/>
    <w:rsid w:val="24CC572F"/>
    <w:rsid w:val="25A718F0"/>
    <w:rsid w:val="25BB59F6"/>
    <w:rsid w:val="25D42079"/>
    <w:rsid w:val="260F557C"/>
    <w:rsid w:val="26970054"/>
    <w:rsid w:val="27BA2DF1"/>
    <w:rsid w:val="28023A6F"/>
    <w:rsid w:val="281408E2"/>
    <w:rsid w:val="29FD04D3"/>
    <w:rsid w:val="2BFF7BC6"/>
    <w:rsid w:val="2C8A61B5"/>
    <w:rsid w:val="2DA44895"/>
    <w:rsid w:val="2DF04E50"/>
    <w:rsid w:val="2E586DFA"/>
    <w:rsid w:val="2F040D46"/>
    <w:rsid w:val="2F6B035B"/>
    <w:rsid w:val="2FAE5751"/>
    <w:rsid w:val="2FB1A395"/>
    <w:rsid w:val="2FD9A7D8"/>
    <w:rsid w:val="2FDBF714"/>
    <w:rsid w:val="30AB6865"/>
    <w:rsid w:val="31413001"/>
    <w:rsid w:val="319F7F4E"/>
    <w:rsid w:val="3239017C"/>
    <w:rsid w:val="32BD1EF1"/>
    <w:rsid w:val="3304709D"/>
    <w:rsid w:val="33203ACB"/>
    <w:rsid w:val="33A773CB"/>
    <w:rsid w:val="349D6851"/>
    <w:rsid w:val="35E6413B"/>
    <w:rsid w:val="36AA5135"/>
    <w:rsid w:val="36BE0DA7"/>
    <w:rsid w:val="376B6AA6"/>
    <w:rsid w:val="376D39B2"/>
    <w:rsid w:val="37E16F03"/>
    <w:rsid w:val="37F53A3B"/>
    <w:rsid w:val="388139C0"/>
    <w:rsid w:val="389B6C89"/>
    <w:rsid w:val="38D469F0"/>
    <w:rsid w:val="39627CCD"/>
    <w:rsid w:val="396F0283"/>
    <w:rsid w:val="397BAF1F"/>
    <w:rsid w:val="39AA2567"/>
    <w:rsid w:val="3A797CAF"/>
    <w:rsid w:val="3AB79AF3"/>
    <w:rsid w:val="3ACA4067"/>
    <w:rsid w:val="3AE834C0"/>
    <w:rsid w:val="3B7EF35A"/>
    <w:rsid w:val="3B9FDB6C"/>
    <w:rsid w:val="3BF5BC2F"/>
    <w:rsid w:val="3CEBA265"/>
    <w:rsid w:val="3D98207C"/>
    <w:rsid w:val="3DEE7CF3"/>
    <w:rsid w:val="3E740A63"/>
    <w:rsid w:val="3E78745D"/>
    <w:rsid w:val="3EC04C19"/>
    <w:rsid w:val="3EE17838"/>
    <w:rsid w:val="3F315071"/>
    <w:rsid w:val="3F55381A"/>
    <w:rsid w:val="3F7F7599"/>
    <w:rsid w:val="3FF4CAE0"/>
    <w:rsid w:val="3FF7B227"/>
    <w:rsid w:val="420662CD"/>
    <w:rsid w:val="44E268DA"/>
    <w:rsid w:val="450D13D7"/>
    <w:rsid w:val="45506656"/>
    <w:rsid w:val="46FA5CD4"/>
    <w:rsid w:val="475F3D89"/>
    <w:rsid w:val="483E6094"/>
    <w:rsid w:val="486A6C7A"/>
    <w:rsid w:val="4A627F82"/>
    <w:rsid w:val="4B0E749A"/>
    <w:rsid w:val="4B2477C4"/>
    <w:rsid w:val="4B4F25DA"/>
    <w:rsid w:val="4BE068DB"/>
    <w:rsid w:val="4D577224"/>
    <w:rsid w:val="4DBF1CEB"/>
    <w:rsid w:val="4DF0007C"/>
    <w:rsid w:val="4EAB630A"/>
    <w:rsid w:val="4ECE2238"/>
    <w:rsid w:val="4F833267"/>
    <w:rsid w:val="4FE9BD67"/>
    <w:rsid w:val="4FFB052F"/>
    <w:rsid w:val="50373AF5"/>
    <w:rsid w:val="51D92B01"/>
    <w:rsid w:val="537E6D0A"/>
    <w:rsid w:val="53F74C96"/>
    <w:rsid w:val="55033F53"/>
    <w:rsid w:val="55170BA8"/>
    <w:rsid w:val="553218C9"/>
    <w:rsid w:val="567E1AA5"/>
    <w:rsid w:val="56E47B74"/>
    <w:rsid w:val="57175D52"/>
    <w:rsid w:val="57BD3DD4"/>
    <w:rsid w:val="57C065EB"/>
    <w:rsid w:val="582965DA"/>
    <w:rsid w:val="5980650D"/>
    <w:rsid w:val="5AF92295"/>
    <w:rsid w:val="5B250254"/>
    <w:rsid w:val="5BDD79E6"/>
    <w:rsid w:val="5BF561CA"/>
    <w:rsid w:val="5BFF5DFC"/>
    <w:rsid w:val="5CD71FC4"/>
    <w:rsid w:val="5D1F11B5"/>
    <w:rsid w:val="5D695134"/>
    <w:rsid w:val="5DAE1B18"/>
    <w:rsid w:val="5DE7D9E5"/>
    <w:rsid w:val="5ECEC941"/>
    <w:rsid w:val="5F675708"/>
    <w:rsid w:val="5FBF9FF3"/>
    <w:rsid w:val="5FCD4E2C"/>
    <w:rsid w:val="5FEF394A"/>
    <w:rsid w:val="5FF67715"/>
    <w:rsid w:val="62BF3928"/>
    <w:rsid w:val="634828B5"/>
    <w:rsid w:val="63B3701E"/>
    <w:rsid w:val="642E5A00"/>
    <w:rsid w:val="647F5392"/>
    <w:rsid w:val="65E66580"/>
    <w:rsid w:val="664B1D71"/>
    <w:rsid w:val="664B4E8E"/>
    <w:rsid w:val="67277B67"/>
    <w:rsid w:val="67AA3209"/>
    <w:rsid w:val="698D0931"/>
    <w:rsid w:val="6A7FE5F3"/>
    <w:rsid w:val="6B053271"/>
    <w:rsid w:val="6BDD78B3"/>
    <w:rsid w:val="6C4A05C8"/>
    <w:rsid w:val="6C8742B8"/>
    <w:rsid w:val="6DBE53FE"/>
    <w:rsid w:val="6DBF5E93"/>
    <w:rsid w:val="6DFF077E"/>
    <w:rsid w:val="6E1D340A"/>
    <w:rsid w:val="6E427DDD"/>
    <w:rsid w:val="6E714EF0"/>
    <w:rsid w:val="6E7E3605"/>
    <w:rsid w:val="6E7FDCC7"/>
    <w:rsid w:val="6ED35276"/>
    <w:rsid w:val="6ED6A62E"/>
    <w:rsid w:val="6EE00B15"/>
    <w:rsid w:val="6F6FB3EB"/>
    <w:rsid w:val="6F8731EA"/>
    <w:rsid w:val="6FCE6052"/>
    <w:rsid w:val="6FD57C00"/>
    <w:rsid w:val="6FEFFFD8"/>
    <w:rsid w:val="6FF5CC65"/>
    <w:rsid w:val="6FFB47EC"/>
    <w:rsid w:val="6FFF034A"/>
    <w:rsid w:val="703A16B7"/>
    <w:rsid w:val="70484440"/>
    <w:rsid w:val="708109BB"/>
    <w:rsid w:val="712A28F1"/>
    <w:rsid w:val="715C0E4B"/>
    <w:rsid w:val="71992E7C"/>
    <w:rsid w:val="71ED251E"/>
    <w:rsid w:val="71FF2EBF"/>
    <w:rsid w:val="72233669"/>
    <w:rsid w:val="72734D90"/>
    <w:rsid w:val="73160E6D"/>
    <w:rsid w:val="73267CCD"/>
    <w:rsid w:val="7332FE48"/>
    <w:rsid w:val="73AB61DA"/>
    <w:rsid w:val="73AD73D5"/>
    <w:rsid w:val="73B6EB34"/>
    <w:rsid w:val="73FA497D"/>
    <w:rsid w:val="742F314F"/>
    <w:rsid w:val="744731E5"/>
    <w:rsid w:val="74626AE3"/>
    <w:rsid w:val="74BBD01D"/>
    <w:rsid w:val="74EC6556"/>
    <w:rsid w:val="74ED5379"/>
    <w:rsid w:val="75DEEEC2"/>
    <w:rsid w:val="75E32345"/>
    <w:rsid w:val="763D7801"/>
    <w:rsid w:val="765F165A"/>
    <w:rsid w:val="76650B0D"/>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E87DA1"/>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index 5"/>
    <w:basedOn w:val="1"/>
    <w:next w:val="1"/>
    <w:qFormat/>
    <w:uiPriority w:val="0"/>
    <w:pPr>
      <w:spacing w:before="0" w:beforeAutospacing="0" w:after="0" w:afterAutospacing="0"/>
      <w:ind w:left="1680" w:right="0"/>
      <w:jc w:val="left"/>
    </w:pPr>
    <w:rPr>
      <w:rFonts w:hint="eastAsia" w:ascii="宋体" w:hAnsi="宋体" w:eastAsia="宋体" w:cs="宋体"/>
      <w:kern w:val="0"/>
      <w:sz w:val="24"/>
      <w:szCs w:val="24"/>
      <w:lang w:val="en-US" w:eastAsia="zh-CN" w:bidi="ar"/>
    </w:rPr>
  </w:style>
  <w:style w:type="paragraph" w:styleId="6">
    <w:name w:val="Body Text"/>
    <w:basedOn w:val="1"/>
    <w:link w:val="26"/>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200" w:leftChars="200"/>
    </w:pPr>
    <w:rPr>
      <w:rFonts w:ascii="仿宋_GB2312"/>
      <w:szCs w:val="32"/>
    </w:rPr>
  </w:style>
  <w:style w:type="paragraph" w:styleId="8">
    <w:name w:val="Body Text First Indent 2"/>
    <w:basedOn w:val="7"/>
    <w:unhideWhenUsed/>
    <w:qFormat/>
    <w:uiPriority w:val="99"/>
    <w:pPr>
      <w:ind w:firstLine="420" w:firstLineChars="200"/>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2"/>
    <w:semiHidden/>
    <w:unhideWhenUsed/>
    <w:qFormat/>
    <w:uiPriority w:val="99"/>
    <w:rPr>
      <w:sz w:val="18"/>
      <w:szCs w:val="18"/>
    </w:rPr>
  </w:style>
  <w:style w:type="paragraph" w:styleId="11">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footnote text"/>
    <w:basedOn w:val="1"/>
    <w:next w:val="8"/>
    <w:semiHidden/>
    <w:qFormat/>
    <w:uiPriority w:val="0"/>
    <w:pPr>
      <w:snapToGrid w:val="0"/>
      <w:jc w:val="left"/>
    </w:pPr>
    <w:rPr>
      <w:sz w:val="18"/>
      <w:szCs w:val="18"/>
    </w:rPr>
  </w:style>
  <w:style w:type="paragraph" w:styleId="15">
    <w:name w:val="toc 2"/>
    <w:basedOn w:val="1"/>
    <w:next w:val="1"/>
    <w:unhideWhenUsed/>
    <w:qFormat/>
    <w:uiPriority w:val="39"/>
    <w:pPr>
      <w:tabs>
        <w:tab w:val="right" w:leader="dot" w:pos="8296"/>
      </w:tabs>
      <w:ind w:left="420" w:leftChars="200"/>
    </w:pPr>
  </w:style>
  <w:style w:type="character" w:styleId="18">
    <w:name w:val="Strong"/>
    <w:basedOn w:val="17"/>
    <w:qFormat/>
    <w:uiPriority w:val="99"/>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paragraph" w:customStyle="1" w:styleId="20">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1">
    <w:name w:val="Header Char"/>
    <w:basedOn w:val="17"/>
    <w:semiHidden/>
    <w:qFormat/>
    <w:uiPriority w:val="99"/>
    <w:rPr>
      <w:rFonts w:ascii="Times New Roman" w:hAnsi="Times New Roman"/>
      <w:sz w:val="18"/>
      <w:szCs w:val="18"/>
    </w:rPr>
  </w:style>
  <w:style w:type="character" w:customStyle="1" w:styleId="22">
    <w:name w:val="页眉 字符"/>
    <w:link w:val="12"/>
    <w:semiHidden/>
    <w:qFormat/>
    <w:locked/>
    <w:uiPriority w:val="99"/>
    <w:rPr>
      <w:sz w:val="18"/>
    </w:rPr>
  </w:style>
  <w:style w:type="character" w:customStyle="1" w:styleId="23">
    <w:name w:val="Footer Char"/>
    <w:basedOn w:val="17"/>
    <w:semiHidden/>
    <w:qFormat/>
    <w:uiPriority w:val="99"/>
    <w:rPr>
      <w:rFonts w:ascii="Times New Roman" w:hAnsi="Times New Roman"/>
      <w:sz w:val="18"/>
      <w:szCs w:val="18"/>
    </w:rPr>
  </w:style>
  <w:style w:type="character" w:customStyle="1" w:styleId="24">
    <w:name w:val="页脚 字符"/>
    <w:link w:val="11"/>
    <w:qFormat/>
    <w:locked/>
    <w:uiPriority w:val="99"/>
    <w:rPr>
      <w:sz w:val="18"/>
    </w:rPr>
  </w:style>
  <w:style w:type="character" w:customStyle="1" w:styleId="25">
    <w:name w:val="Body Text Char"/>
    <w:basedOn w:val="17"/>
    <w:semiHidden/>
    <w:qFormat/>
    <w:uiPriority w:val="99"/>
    <w:rPr>
      <w:rFonts w:ascii="Times New Roman" w:hAnsi="Times New Roman"/>
      <w:szCs w:val="24"/>
    </w:rPr>
  </w:style>
  <w:style w:type="character" w:customStyle="1" w:styleId="26">
    <w:name w:val="正文文本 字符"/>
    <w:link w:val="6"/>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字符"/>
    <w:basedOn w:val="17"/>
    <w:link w:val="3"/>
    <w:qFormat/>
    <w:uiPriority w:val="9"/>
    <w:rPr>
      <w:rFonts w:ascii="Times New Roman" w:hAnsi="Times New Roman"/>
      <w:b/>
      <w:bCs/>
      <w:kern w:val="44"/>
      <w:sz w:val="44"/>
      <w:szCs w:val="44"/>
    </w:rPr>
  </w:style>
  <w:style w:type="character" w:customStyle="1" w:styleId="30">
    <w:name w:val="标题 2 字符"/>
    <w:basedOn w:val="17"/>
    <w:link w:val="4"/>
    <w:qFormat/>
    <w:uiPriority w:val="9"/>
    <w:rPr>
      <w:rFonts w:asciiTheme="majorHAnsi" w:hAnsiTheme="majorHAnsi" w:eastAsiaTheme="majorEastAsia" w:cstheme="majorBidi"/>
      <w:b/>
      <w:bCs/>
      <w:kern w:val="2"/>
      <w:sz w:val="32"/>
      <w:szCs w:val="32"/>
    </w:rPr>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字符"/>
    <w:basedOn w:val="17"/>
    <w:link w:val="10"/>
    <w:semiHidden/>
    <w:qFormat/>
    <w:uiPriority w:val="99"/>
    <w:rPr>
      <w:rFonts w:ascii="Times New Roman" w:hAnsi="Times New Roman"/>
      <w:kern w:val="2"/>
      <w:sz w:val="18"/>
      <w:szCs w:val="18"/>
    </w:rPr>
  </w:style>
  <w:style w:type="character" w:customStyle="1" w:styleId="33">
    <w:name w:val="标题 3 字符"/>
    <w:basedOn w:val="17"/>
    <w:link w:val="5"/>
    <w:qFormat/>
    <w:uiPriority w:val="9"/>
    <w:rPr>
      <w:rFonts w:ascii="Times New Roman" w:hAnsi="Times New Roman"/>
      <w:b/>
      <w:bCs/>
      <w:kern w:val="2"/>
      <w:sz w:val="32"/>
      <w:szCs w:val="32"/>
    </w:rPr>
  </w:style>
  <w:style w:type="paragraph" w:customStyle="1" w:styleId="34">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四号正文"/>
    <w:basedOn w:val="1"/>
    <w:qFormat/>
    <w:uiPriority w:val="0"/>
    <w:pPr>
      <w:spacing w:line="360" w:lineRule="auto"/>
    </w:pPr>
    <w:rPr>
      <w:rFonts w:ascii="??" w:hAnsi="??"/>
      <w:color w:val="000000"/>
      <w:kern w:val="0"/>
      <w:sz w:val="28"/>
      <w:szCs w:val="21"/>
      <w:lang w:val="zh-CN"/>
    </w:rPr>
  </w:style>
  <w:style w:type="paragraph" w:customStyle="1" w:styleId="36">
    <w:name w:val="文档正文"/>
    <w:basedOn w:val="1"/>
    <w:qFormat/>
    <w:uiPriority w:val="0"/>
    <w:pPr>
      <w:adjustRightInd w:val="0"/>
      <w:spacing w:line="480" w:lineRule="atLeast"/>
      <w:textAlignment w:val="baseline"/>
    </w:pPr>
    <w:rPr>
      <w:rFonts w:ascii="Arial" w:hAnsi="Arial"/>
      <w:kern w:val="0"/>
    </w:rPr>
  </w:style>
  <w:style w:type="paragraph" w:styleId="37">
    <w:name w:val="No Spacing"/>
    <w:qFormat/>
    <w:uiPriority w:val="0"/>
    <w:pPr>
      <w:jc w:val="both"/>
      <w:textAlignment w:val="baseline"/>
    </w:pPr>
    <w:rPr>
      <w:rFonts w:ascii="Times New Roman" w:hAnsi="Times New Roman" w:eastAsia="宋体" w:cs="Times New Roman"/>
      <w:color w:val="000000"/>
      <w:sz w:val="21"/>
      <w:szCs w:val="20"/>
      <w:u w:val="none" w:color="000000"/>
      <w:lang w:val="en-US" w:eastAsia="zh-CN" w:bidi="ar-SA"/>
    </w:rPr>
  </w:style>
  <w:style w:type="paragraph" w:customStyle="1" w:styleId="38">
    <w:name w:val="普通(网站) Char"/>
    <w:basedOn w:val="1"/>
    <w:qFormat/>
    <w:uiPriority w:val="0"/>
    <w:pPr>
      <w:spacing w:before="100" w:beforeAutospacing="1" w:after="100" w:afterAutospacing="1"/>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emf"/><Relationship Id="rId22" Type="http://schemas.openxmlformats.org/officeDocument/2006/relationships/oleObject" Target="embeddings/oleObject7.bin"/><Relationship Id="rId21" Type="http://schemas.openxmlformats.org/officeDocument/2006/relationships/image" Target="media/image6.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61</Pages>
  <Words>5649</Words>
  <Characters>6176</Characters>
  <Lines>60</Lines>
  <Paragraphs>17</Paragraphs>
  <TotalTime>1</TotalTime>
  <ScaleCrop>false</ScaleCrop>
  <LinksUpToDate>false</LinksUpToDate>
  <CharactersWithSpaces>6225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一个笨蛋</cp:lastModifiedBy>
  <cp:lastPrinted>2025-09-10T02:27:00Z</cp:lastPrinted>
  <dcterms:modified xsi:type="dcterms:W3CDTF">2025-12-02T08:16:52Z</dcterms:modified>
  <dc:title>四川省***</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04787F2533EB45DC91BCDE4AB213247F</vt:lpwstr>
  </property>
  <property fmtid="{D5CDD505-2E9C-101B-9397-08002B2CF9AE}" pid="4" name="KSOTemplateDocerSaveRecord">
    <vt:lpwstr>eyJoZGlkIjoiYjllZGNkZWEzYjg0NDNmNTQ5MjkzNjk0ODlhNmVkYzAiLCJ1c2VySWQiOiI0MTAxMDQ4MDkifQ==</vt:lpwstr>
  </property>
</Properties>
</file>