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default" w:ascii="Times New Roman" w:hAnsi="Times New Roman" w:eastAsia="方正小标宋简体" w:cs="Times New Roman"/>
          <w:szCs w:val="21"/>
        </w:rPr>
      </w:pPr>
      <w:bookmarkStart w:id="0" w:name="_Toc15306267"/>
    </w:p>
    <w:p>
      <w:pPr>
        <w:spacing w:line="600" w:lineRule="exact"/>
        <w:jc w:val="center"/>
        <w:outlineLvl w:val="9"/>
        <w:rPr>
          <w:rFonts w:hint="default" w:ascii="Times New Roman" w:hAnsi="Times New Roman" w:eastAsia="方正小标宋简体" w:cs="Times New Roman"/>
          <w:sz w:val="72"/>
          <w:szCs w:val="72"/>
        </w:rPr>
      </w:pPr>
    </w:p>
    <w:p>
      <w:pPr>
        <w:spacing w:line="600" w:lineRule="exact"/>
        <w:jc w:val="center"/>
        <w:outlineLvl w:val="9"/>
        <w:rPr>
          <w:rFonts w:hint="default" w:ascii="Times New Roman" w:hAnsi="Times New Roman" w:eastAsia="方正小标宋简体" w:cs="Times New Roman"/>
          <w:sz w:val="72"/>
          <w:szCs w:val="72"/>
        </w:rPr>
      </w:pPr>
    </w:p>
    <w:p>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1" w:name="_Toc15378441"/>
      <w:bookmarkStart w:id="2" w:name="_Toc15396475"/>
      <w:bookmarkStart w:id="3" w:name="_Toc15377193"/>
      <w:bookmarkStart w:id="4" w:name="_Toc15396597"/>
      <w:bookmarkStart w:id="5" w:name="_Toc15377425"/>
      <w:bookmarkStart w:id="6" w:name="_Toc1898"/>
      <w:r>
        <w:rPr>
          <w:rFonts w:hint="default" w:ascii="Times New Roman" w:hAnsi="Times New Roman" w:eastAsia="方正小标宋简体" w:cs="Times New Roman"/>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7" w:name="_Toc15396598"/>
      <w:bookmarkStart w:id="8" w:name="_Toc15377194"/>
      <w:bookmarkStart w:id="9" w:name="_Toc15377426"/>
      <w:bookmarkStart w:id="10" w:name="_Toc15378442"/>
      <w:bookmarkStart w:id="11" w:name="_Toc15396476"/>
      <w:bookmarkStart w:id="12" w:name="_Toc7865"/>
      <w:r>
        <w:rPr>
          <w:rFonts w:hint="default" w:ascii="Times New Roman" w:hAnsi="Times New Roman" w:eastAsia="方正小标宋简体" w:cs="Times New Roman"/>
          <w:sz w:val="72"/>
          <w:szCs w:val="72"/>
        </w:rPr>
        <w:t>阿坝州</w:t>
      </w:r>
      <w:bookmarkEnd w:id="0"/>
      <w:bookmarkStart w:id="13" w:name="_Toc15306268"/>
      <w:r>
        <w:rPr>
          <w:rFonts w:hint="default" w:ascii="Times New Roman" w:hAnsi="Times New Roman" w:eastAsia="方正小标宋简体" w:cs="Times New Roman"/>
          <w:sz w:val="72"/>
          <w:szCs w:val="72"/>
        </w:rPr>
        <w:t>州级机关退休干部驻马尔康休养所决算</w:t>
      </w:r>
      <w:bookmarkEnd w:id="7"/>
      <w:bookmarkEnd w:id="8"/>
      <w:bookmarkEnd w:id="9"/>
      <w:bookmarkEnd w:id="10"/>
      <w:bookmarkEnd w:id="11"/>
      <w:bookmarkEnd w:id="12"/>
      <w:bookmarkEnd w:id="13"/>
    </w:p>
    <w:p>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0"/>
        <w:rPr>
          <w:rFonts w:hint="default" w:ascii="Times New Roman" w:hAnsi="Times New Roman" w:cs="Times New Roman"/>
        </w:rPr>
      </w:pPr>
      <w:r>
        <w:rPr>
          <w:rFonts w:hint="default" w:ascii="Times New Roman" w:hAnsi="Times New Roman" w:cs="Times New Roman"/>
        </w:rPr>
        <w:t>公开时间：2023年9月</w:t>
      </w:r>
      <w:r>
        <w:rPr>
          <w:rFonts w:hint="default" w:ascii="Times New Roman" w:hAnsi="Times New Roman" w:cs="Times New Roman"/>
          <w:lang w:val="en-US" w:eastAsia="zh-CN"/>
        </w:rPr>
        <w:t>21</w:t>
      </w:r>
      <w:r>
        <w:rPr>
          <w:rFonts w:hint="default" w:ascii="Times New Roman" w:hAnsi="Times New Roman" w:cs="Times New Roman"/>
        </w:rPr>
        <w:t>日</w:t>
      </w:r>
    </w:p>
    <w:p>
      <w:pPr>
        <w:pStyle w:val="27"/>
        <w:tabs>
          <w:tab w:val="right" w:leader="dot" w:pos="8844"/>
        </w:tabs>
        <w:rPr>
          <w:rFonts w:hint="eastAsia" w:ascii="宋体" w:hAnsi="宋体" w:eastAsia="宋体" w:cs="宋体"/>
          <w:b/>
          <w:sz w:val="24"/>
          <w:szCs w:val="24"/>
        </w:rPr>
      </w:pPr>
      <w:bookmarkStart w:id="14" w:name="_Toc15377196"/>
      <w:bookmarkStart w:id="15" w:name="_Toc15396599"/>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TOC \o "1-2" \h \u </w:instrText>
      </w:r>
      <w:r>
        <w:rPr>
          <w:rFonts w:hint="eastAsia" w:ascii="宋体" w:hAnsi="宋体" w:eastAsia="宋体" w:cs="宋体"/>
          <w:b w:val="0"/>
          <w:sz w:val="24"/>
          <w:szCs w:val="24"/>
        </w:rPr>
        <w:fldChar w:fldCharType="separate"/>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_Toc27627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第一部分 单位</w:t>
      </w:r>
      <w:r>
        <w:rPr>
          <w:rFonts w:hint="eastAsia" w:ascii="宋体" w:hAnsi="宋体" w:eastAsia="宋体" w:cs="宋体"/>
          <w:b/>
          <w:bCs w:val="0"/>
          <w:sz w:val="24"/>
          <w:szCs w:val="24"/>
        </w:rPr>
        <w:t>概况</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_Toc27627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_Toc21861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rPr>
        <w:t>一、</w:t>
      </w:r>
      <w:r>
        <w:rPr>
          <w:rFonts w:hint="eastAsia" w:ascii="宋体" w:hAnsi="宋体" w:eastAsia="宋体" w:cs="宋体"/>
          <w:bCs w:val="0"/>
          <w:sz w:val="24"/>
          <w:szCs w:val="24"/>
        </w:rPr>
        <w:t>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_Toc21861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_Toc18039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rPr>
        <w:t>二、机构设置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_Toc18039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844"/>
        </w:tabs>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_Toc18612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第二部分 2022年度</w:t>
      </w:r>
      <w:r>
        <w:rPr>
          <w:rFonts w:hint="eastAsia" w:ascii="宋体" w:hAnsi="宋体" w:eastAsia="宋体" w:cs="宋体"/>
          <w:b/>
          <w:bCs/>
          <w:sz w:val="24"/>
          <w:szCs w:val="24"/>
        </w:rPr>
        <w:t>单位决算情况说明</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_Toc18612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5</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_Toc26578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rPr>
        <w:t>一、收入支出决算总体情况说明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_Toc26578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_Toc26218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rPr>
        <w:t>二、收入决算情况说明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_Toc26218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_Toc11900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w:t>
      </w:r>
      <w:r>
        <w:rPr>
          <w:rFonts w:hint="eastAsia" w:ascii="宋体" w:hAnsi="宋体" w:eastAsia="宋体" w:cs="宋体"/>
          <w:bCs w:val="0"/>
          <w:sz w:val="24"/>
          <w:szCs w:val="24"/>
          <w:lang w:val="en-US"/>
        </w:rPr>
        <w:t>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_Toc11900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_Toc17321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_Toc17321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_Toc20774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_Toc20774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_Toc16911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_Toc16911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_Toc25061 </w:instrText>
      </w:r>
      <w:r>
        <w:rPr>
          <w:rFonts w:hint="eastAsia" w:ascii="宋体" w:hAnsi="宋体" w:eastAsia="宋体" w:cs="宋体"/>
          <w:sz w:val="24"/>
          <w:szCs w:val="24"/>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_Toc25061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_Toc11937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_Toc11937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_Toc30688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_Toc30688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_Toc12604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十、其他重要事项的情况说明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_Toc12604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844"/>
        </w:tabs>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_Toc7051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第三部分  </w:t>
      </w:r>
      <w:r>
        <w:rPr>
          <w:rFonts w:hint="eastAsia" w:ascii="宋体" w:hAnsi="宋体" w:eastAsia="宋体" w:cs="宋体"/>
          <w:b/>
          <w:sz w:val="24"/>
          <w:szCs w:val="24"/>
        </w:rPr>
        <w:t>名词解释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_Toc7051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7"/>
        <w:tabs>
          <w:tab w:val="right" w:leader="dot" w:pos="8844"/>
        </w:tabs>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_Toc22629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第四部分 附件</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_Toc22629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_Toc12724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_Toc12724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_Toc11429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一、部门（单位）概况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_Toc11429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_Toc17380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二、部门财政资金收支情况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_Toc17380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三、部门整体预算绩效管理情况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_Toc20450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844"/>
        </w:tabs>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_Toc14566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第五部分 附表</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_Toc14566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20</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_Toc4172 </w:instrText>
      </w:r>
      <w:r>
        <w:rPr>
          <w:rFonts w:hint="eastAsia" w:ascii="宋体" w:hAnsi="宋体" w:eastAsia="宋体" w:cs="宋体"/>
          <w:sz w:val="24"/>
          <w:szCs w:val="24"/>
        </w:rPr>
        <w:fldChar w:fldCharType="separate"/>
      </w:r>
      <w:r>
        <w:rPr>
          <w:rFonts w:hint="eastAsia" w:ascii="宋体" w:hAnsi="宋体" w:eastAsia="宋体" w:cs="宋体"/>
          <w:sz w:val="24"/>
          <w:szCs w:val="24"/>
        </w:rPr>
        <w:t>一、收</w:t>
      </w:r>
      <w:r>
        <w:rPr>
          <w:rFonts w:hint="eastAsia" w:ascii="宋体" w:hAnsi="宋体" w:eastAsia="宋体" w:cs="宋体"/>
          <w:bCs w:val="0"/>
          <w:sz w:val="24"/>
          <w:szCs w:val="24"/>
        </w:rPr>
        <w:t>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_Toc4172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_Toc26230 </w:instrText>
      </w:r>
      <w:r>
        <w:rPr>
          <w:rFonts w:hint="eastAsia" w:ascii="宋体" w:hAnsi="宋体" w:eastAsia="宋体" w:cs="宋体"/>
          <w:sz w:val="24"/>
          <w:szCs w:val="24"/>
        </w:rPr>
        <w:fldChar w:fldCharType="separate"/>
      </w:r>
      <w:r>
        <w:rPr>
          <w:rFonts w:hint="eastAsia" w:ascii="宋体" w:hAnsi="宋体" w:eastAsia="宋体" w:cs="宋体"/>
          <w:sz w:val="24"/>
          <w:szCs w:val="24"/>
        </w:rPr>
        <w:t>二、收</w:t>
      </w:r>
      <w:r>
        <w:rPr>
          <w:rFonts w:hint="eastAsia" w:ascii="宋体" w:hAnsi="宋体" w:eastAsia="宋体" w:cs="宋体"/>
          <w:bCs w:val="0"/>
          <w:sz w:val="24"/>
          <w:szCs w:val="24"/>
        </w:rPr>
        <w:t>入决算表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_Toc21458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三、</w:t>
      </w:r>
      <w:r>
        <w:rPr>
          <w:rFonts w:hint="eastAsia" w:ascii="宋体" w:hAnsi="宋体" w:eastAsia="宋体" w:cs="宋体"/>
          <w:sz w:val="24"/>
          <w:szCs w:val="24"/>
        </w:rPr>
        <w:t>支</w:t>
      </w:r>
      <w:r>
        <w:rPr>
          <w:rFonts w:hint="eastAsia" w:ascii="宋体" w:hAnsi="宋体" w:eastAsia="宋体" w:cs="宋体"/>
          <w:bCs w:val="0"/>
          <w:sz w:val="24"/>
          <w:szCs w:val="24"/>
        </w:rPr>
        <w:t>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_Toc27999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四、</w:t>
      </w:r>
      <w:r>
        <w:rPr>
          <w:rFonts w:hint="eastAsia" w:ascii="宋体" w:hAnsi="宋体" w:eastAsia="宋体" w:cs="宋体"/>
          <w:sz w:val="24"/>
          <w:szCs w:val="24"/>
        </w:rPr>
        <w:t>财</w:t>
      </w:r>
      <w:r>
        <w:rPr>
          <w:rFonts w:hint="eastAsia" w:ascii="宋体" w:hAnsi="宋体" w:eastAsia="宋体" w:cs="宋体"/>
          <w:bCs w:val="0"/>
          <w:sz w:val="24"/>
          <w:szCs w:val="24"/>
        </w:rPr>
        <w:t>政拨款收入支出决算总表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_Toc27999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_Toc10311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五、</w:t>
      </w:r>
      <w:r>
        <w:rPr>
          <w:rFonts w:hint="eastAsia" w:ascii="宋体" w:hAnsi="宋体" w:eastAsia="宋体" w:cs="宋体"/>
          <w:sz w:val="24"/>
          <w:szCs w:val="24"/>
        </w:rPr>
        <w:t>财</w:t>
      </w:r>
      <w:r>
        <w:rPr>
          <w:rFonts w:hint="eastAsia" w:ascii="宋体" w:hAnsi="宋体" w:eastAsia="宋体" w:cs="宋体"/>
          <w:bCs w:val="0"/>
          <w:sz w:val="24"/>
          <w:szCs w:val="24"/>
        </w:rPr>
        <w:t>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_Toc10311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_Toc7058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六、</w:t>
      </w:r>
      <w:r>
        <w:rPr>
          <w:rFonts w:hint="eastAsia" w:ascii="宋体" w:hAnsi="宋体" w:eastAsia="宋体" w:cs="宋体"/>
          <w:sz w:val="24"/>
          <w:szCs w:val="24"/>
        </w:rPr>
        <w:t>一</w:t>
      </w:r>
      <w:r>
        <w:rPr>
          <w:rFonts w:hint="eastAsia" w:ascii="宋体" w:hAnsi="宋体" w:eastAsia="宋体" w:cs="宋体"/>
          <w:bCs w:val="0"/>
          <w:sz w:val="24"/>
          <w:szCs w:val="24"/>
        </w:rPr>
        <w:t>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_Toc26009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七、</w:t>
      </w:r>
      <w:r>
        <w:rPr>
          <w:rFonts w:hint="eastAsia" w:ascii="宋体" w:hAnsi="宋体" w:eastAsia="宋体" w:cs="宋体"/>
          <w:sz w:val="24"/>
          <w:szCs w:val="24"/>
        </w:rPr>
        <w:t>一</w:t>
      </w:r>
      <w:r>
        <w:rPr>
          <w:rFonts w:hint="eastAsia" w:ascii="宋体" w:hAnsi="宋体" w:eastAsia="宋体" w:cs="宋体"/>
          <w:bCs w:val="0"/>
          <w:sz w:val="24"/>
          <w:szCs w:val="24"/>
        </w:rPr>
        <w:t>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_Toc26009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_Toc11264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八、</w:t>
      </w:r>
      <w:r>
        <w:rPr>
          <w:rFonts w:hint="eastAsia" w:ascii="宋体" w:hAnsi="宋体" w:eastAsia="宋体" w:cs="宋体"/>
          <w:sz w:val="24"/>
          <w:szCs w:val="24"/>
        </w:rPr>
        <w:t>一</w:t>
      </w:r>
      <w:r>
        <w:rPr>
          <w:rFonts w:hint="eastAsia" w:ascii="宋体" w:hAnsi="宋体" w:eastAsia="宋体" w:cs="宋体"/>
          <w:bCs w:val="0"/>
          <w:sz w:val="24"/>
          <w:szCs w:val="24"/>
        </w:rPr>
        <w:t>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_Toc11264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_Toc31428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九、</w:t>
      </w:r>
      <w:r>
        <w:rPr>
          <w:rFonts w:hint="eastAsia" w:ascii="宋体" w:hAnsi="宋体" w:eastAsia="宋体" w:cs="宋体"/>
          <w:sz w:val="24"/>
          <w:szCs w:val="24"/>
        </w:rPr>
        <w:t>一</w:t>
      </w:r>
      <w:r>
        <w:rPr>
          <w:rFonts w:hint="eastAsia" w:ascii="宋体" w:hAnsi="宋体" w:eastAsia="宋体" w:cs="宋体"/>
          <w:bCs w:val="0"/>
          <w:sz w:val="24"/>
          <w:szCs w:val="24"/>
        </w:rPr>
        <w:t>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_Toc31428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_Toc14910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十、</w:t>
      </w:r>
      <w:r>
        <w:rPr>
          <w:rFonts w:hint="eastAsia" w:ascii="宋体" w:hAnsi="宋体" w:eastAsia="宋体" w:cs="宋体"/>
          <w:sz w:val="24"/>
          <w:szCs w:val="24"/>
        </w:rPr>
        <w:t>政</w:t>
      </w:r>
      <w:r>
        <w:rPr>
          <w:rFonts w:hint="eastAsia" w:ascii="宋体" w:hAnsi="宋体" w:eastAsia="宋体" w:cs="宋体"/>
          <w:bCs w:val="0"/>
          <w:sz w:val="24"/>
          <w:szCs w:val="24"/>
        </w:rPr>
        <w:t>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_Toc14910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十一、</w:t>
      </w:r>
      <w:r>
        <w:rPr>
          <w:rFonts w:hint="eastAsia" w:ascii="宋体" w:hAnsi="宋体" w:eastAsia="宋体" w:cs="宋体"/>
          <w:sz w:val="24"/>
          <w:szCs w:val="24"/>
        </w:rPr>
        <w:t>国</w:t>
      </w:r>
      <w:r>
        <w:rPr>
          <w:rFonts w:hint="eastAsia" w:ascii="宋体" w:hAnsi="宋体" w:eastAsia="宋体" w:cs="宋体"/>
          <w:bCs w:val="0"/>
          <w:sz w:val="24"/>
          <w:szCs w:val="24"/>
        </w:rPr>
        <w:t>有资本经营预算财政拨款收入支出决算表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_Toc12342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十二、国有资本经营预算财政拨款支出决算表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_Toc12342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tabs>
          <w:tab w:val="right" w:leader="dot" w:pos="884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_Toc29514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十三、财政拨款“三公”经费支出决算表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_Toc29514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
        <w:pageBreakBefore w:val="0"/>
        <w:widowControl w:val="0"/>
        <w:kinsoku/>
        <w:wordWrap/>
        <w:overflowPunct/>
        <w:topLinePunct w:val="0"/>
        <w:autoSpaceDE/>
        <w:autoSpaceDN/>
        <w:bidi w:val="0"/>
        <w:adjustRightInd/>
        <w:snapToGrid/>
        <w:spacing w:before="0" w:after="0" w:line="572" w:lineRule="exact"/>
        <w:ind w:leftChars="0"/>
        <w:jc w:val="center"/>
        <w:textAlignment w:val="auto"/>
        <w:outlineLvl w:val="9"/>
        <w:rPr>
          <w:rFonts w:hint="default" w:ascii="Times New Roman" w:hAnsi="Times New Roman" w:eastAsia="方正黑体_GBK" w:cs="Times New Roman"/>
          <w:sz w:val="44"/>
          <w:szCs w:val="44"/>
        </w:rPr>
      </w:pPr>
      <w:r>
        <w:rPr>
          <w:rFonts w:hint="eastAsia" w:ascii="宋体" w:hAnsi="宋体" w:eastAsia="宋体" w:cs="宋体"/>
          <w:b/>
          <w:sz w:val="24"/>
          <w:szCs w:val="24"/>
        </w:rPr>
        <w:fldChar w:fldCharType="end"/>
      </w:r>
      <w:bookmarkStart w:id="16" w:name="_Toc27627"/>
      <w:r>
        <w:rPr>
          <w:rFonts w:hint="default" w:ascii="Times New Roman" w:hAnsi="Times New Roman" w:eastAsia="方正黑体_GBK" w:cs="Times New Roman"/>
          <w:b w:val="0"/>
          <w:sz w:val="44"/>
          <w:szCs w:val="44"/>
        </w:rPr>
        <w:t>第一部分 单位</w:t>
      </w:r>
      <w:r>
        <w:rPr>
          <w:rStyle w:val="17"/>
          <w:rFonts w:hint="default" w:ascii="Times New Roman" w:hAnsi="Times New Roman" w:eastAsia="方正黑体_GBK" w:cs="Times New Roman"/>
          <w:b w:val="0"/>
          <w:bCs w:val="0"/>
          <w:sz w:val="44"/>
          <w:szCs w:val="44"/>
        </w:rPr>
        <w:t>概况</w:t>
      </w:r>
      <w:bookmarkEnd w:id="14"/>
      <w:bookmarkEnd w:id="15"/>
      <w:bookmarkEnd w:id="16"/>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outlineLvl w:val="9"/>
        <w:rPr>
          <w:rStyle w:val="18"/>
          <w:rFonts w:hint="default" w:ascii="Times New Roman" w:hAnsi="Times New Roman" w:eastAsia="方正黑体_GBK" w:cs="Times New Roman"/>
          <w:b w:val="0"/>
          <w:bCs w:val="0"/>
          <w:sz w:val="32"/>
          <w:szCs w:val="32"/>
          <w:lang w:val="en-US"/>
        </w:rPr>
      </w:pPr>
      <w:bookmarkStart w:id="17" w:name="_Toc15377197"/>
      <w:bookmarkStart w:id="18" w:name="_Toc15396600"/>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rPr>
          <w:rStyle w:val="18"/>
          <w:rFonts w:hint="eastAsia" w:ascii="黑体" w:hAnsi="黑体" w:eastAsia="黑体" w:cs="黑体"/>
          <w:b w:val="0"/>
          <w:bCs w:val="0"/>
          <w:sz w:val="32"/>
          <w:szCs w:val="32"/>
        </w:rPr>
      </w:pPr>
      <w:bookmarkStart w:id="19" w:name="_Toc21861"/>
      <w:r>
        <w:rPr>
          <w:rStyle w:val="18"/>
          <w:rFonts w:hint="eastAsia" w:ascii="黑体" w:hAnsi="黑体" w:eastAsia="黑体" w:cs="黑体"/>
          <w:b w:val="0"/>
          <w:bCs w:val="0"/>
          <w:sz w:val="32"/>
          <w:szCs w:val="32"/>
          <w:lang w:val="en-US"/>
        </w:rPr>
        <w:t>一、</w:t>
      </w:r>
      <w:r>
        <w:rPr>
          <w:rStyle w:val="18"/>
          <w:rFonts w:hint="eastAsia" w:ascii="黑体" w:hAnsi="黑体" w:eastAsia="黑体" w:cs="黑体"/>
          <w:b w:val="0"/>
          <w:bCs w:val="0"/>
          <w:sz w:val="32"/>
          <w:szCs w:val="32"/>
        </w:rPr>
        <w:t>主要职责</w:t>
      </w:r>
      <w:bookmarkEnd w:id="19"/>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阿编发〔1997〕3号文件规定，主要职责是：组织退休职工学习时事、政治并通报有关情况，及时了解党的路线、方针、政策和国内外大事；组织他们开展有益的活动，丰富晚年生活；协助、配合有关单位解决他们的有关问题；使他们老有所为，积极为各项社会、经济事业发挥余热；负责休养所的日常管理，为退休职工提供管理服务工作。</w:t>
      </w:r>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rPr>
          <w:rStyle w:val="18"/>
          <w:rFonts w:hint="default" w:ascii="黑体" w:hAnsi="黑体" w:eastAsia="黑体" w:cs="黑体"/>
          <w:b w:val="0"/>
          <w:bCs w:val="0"/>
          <w:sz w:val="32"/>
          <w:szCs w:val="32"/>
          <w:lang w:val="en-US"/>
        </w:rPr>
      </w:pPr>
      <w:bookmarkStart w:id="20" w:name="_Toc18039"/>
      <w:r>
        <w:rPr>
          <w:rStyle w:val="18"/>
          <w:rFonts w:hint="default" w:ascii="黑体" w:hAnsi="黑体" w:eastAsia="黑体" w:cs="黑体"/>
          <w:b w:val="0"/>
          <w:bCs w:val="0"/>
          <w:sz w:val="32"/>
          <w:szCs w:val="32"/>
          <w:lang w:val="en-US"/>
        </w:rPr>
        <w:t>二、机构设置</w:t>
      </w:r>
      <w:bookmarkEnd w:id="20"/>
    </w:p>
    <w:bookmarkEnd w:id="17"/>
    <w:bookmarkEnd w:id="18"/>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是州委老干局的直属干休所，独立核算机构数共1个，比上年增加0个。本单位本年度年末实有人数为7人，比上年增加1人，变动情况及原因为:因工作需要编制范围内遴选增加一人；年末实有离退休人数为7人，比上年增加0人.变动情况及原因为:上年未作统计。年末实有其他人数为1人，比上年增加0人，变动情况及原因为:上年未作统计。</w:t>
      </w:r>
    </w:p>
    <w:p>
      <w:pPr>
        <w:pageBreakBefore w:val="0"/>
        <w:widowControl w:val="0"/>
        <w:kinsoku/>
        <w:wordWrap/>
        <w:overflowPunct/>
        <w:topLinePunct w:val="0"/>
        <w:autoSpaceDE/>
        <w:autoSpaceDN/>
        <w:bidi w:val="0"/>
        <w:adjustRightInd/>
        <w:snapToGrid/>
        <w:spacing w:line="572" w:lineRule="exact"/>
        <w:ind w:leftChars="0"/>
        <w:textAlignment w:val="auto"/>
        <w:rPr>
          <w:rFonts w:hint="default" w:ascii="Times New Roman" w:hAnsi="Times New Roman" w:eastAsia="方正仿宋_GBK" w:cs="Times New Roman"/>
          <w:sz w:val="32"/>
          <w:szCs w:val="32"/>
        </w:rPr>
      </w:pPr>
    </w:p>
    <w:p>
      <w:pPr>
        <w:pStyle w:val="4"/>
        <w:ind w:firstLine="600" w:firstLineChars="200"/>
        <w:outlineLvl w:val="9"/>
        <w:rPr>
          <w:rFonts w:hint="default" w:ascii="Times New Roman" w:hAnsi="Times New Roman" w:cs="Times New Roman"/>
          <w:b w:val="0"/>
          <w:bCs w:val="0"/>
          <w:kern w:val="0"/>
          <w:sz w:val="30"/>
          <w:szCs w:val="30"/>
        </w:rPr>
      </w:pP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ind w:right="440"/>
        <w:jc w:val="center"/>
        <w:rPr>
          <w:rFonts w:hint="default" w:ascii="Times New Roman" w:hAnsi="Times New Roman" w:cs="Times New Roman"/>
        </w:rPr>
      </w:pPr>
      <w:bookmarkStart w:id="21" w:name="_Toc15396602"/>
      <w:bookmarkStart w:id="22" w:name="_Toc15377204"/>
      <w:bookmarkStart w:id="23" w:name="_Toc18612"/>
      <w:r>
        <w:rPr>
          <w:rFonts w:hint="default" w:ascii="Times New Roman" w:hAnsi="Times New Roman" w:eastAsia="黑体" w:cs="Times New Roman"/>
          <w:b w:val="0"/>
        </w:rPr>
        <w:t>第二部分 2022年度</w:t>
      </w:r>
      <w:r>
        <w:rPr>
          <w:rStyle w:val="17"/>
          <w:rFonts w:hint="default" w:ascii="Times New Roman" w:hAnsi="Times New Roman" w:eastAsia="黑体" w:cs="Times New Roman"/>
          <w:b w:val="0"/>
          <w:bCs/>
        </w:rPr>
        <w:t>单位决算情况说明</w:t>
      </w:r>
      <w:bookmarkEnd w:id="21"/>
      <w:bookmarkEnd w:id="22"/>
      <w:bookmarkEnd w:id="23"/>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rPr>
          <w:rStyle w:val="18"/>
          <w:rFonts w:hint="default" w:ascii="黑体" w:hAnsi="黑体" w:eastAsia="黑体" w:cs="黑体"/>
          <w:b w:val="0"/>
          <w:bCs w:val="0"/>
          <w:sz w:val="32"/>
          <w:szCs w:val="32"/>
          <w:lang w:val="en-US"/>
        </w:rPr>
      </w:pPr>
      <w:bookmarkStart w:id="24" w:name="_Toc15377205"/>
      <w:bookmarkStart w:id="25" w:name="_Toc15396603"/>
      <w:bookmarkStart w:id="26" w:name="_Toc26578"/>
      <w:r>
        <w:rPr>
          <w:rStyle w:val="18"/>
          <w:rFonts w:hint="eastAsia" w:ascii="黑体" w:hAnsi="黑体" w:eastAsia="黑体" w:cs="黑体"/>
          <w:b w:val="0"/>
          <w:bCs w:val="0"/>
          <w:sz w:val="32"/>
          <w:szCs w:val="32"/>
          <w:lang w:val="en-US"/>
        </w:rPr>
        <w:t>一、</w:t>
      </w:r>
      <w:r>
        <w:rPr>
          <w:rStyle w:val="18"/>
          <w:rFonts w:hint="default" w:ascii="黑体" w:hAnsi="黑体" w:eastAsia="黑体" w:cs="黑体"/>
          <w:b w:val="0"/>
          <w:bCs w:val="0"/>
          <w:sz w:val="32"/>
          <w:szCs w:val="32"/>
          <w:lang w:val="en-US"/>
        </w:rPr>
        <w:t>收入支出决算总体情况说明</w:t>
      </w:r>
      <w:bookmarkEnd w:id="24"/>
      <w:bookmarkEnd w:id="25"/>
      <w:bookmarkEnd w:id="26"/>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2022年度收、支总计196.13万元。与2021年173.39元相比，收、支总计各增加22.74万元，增长11.59%。主要变动原因是人员增加。</w:t>
      </w:r>
    </w:p>
    <w:p>
      <w:pPr>
        <w:pStyle w:val="2"/>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drawing>
          <wp:inline distT="0" distB="0" distL="114300" distR="114300">
            <wp:extent cx="5605780" cy="1942465"/>
            <wp:effectExtent l="4445" t="4445" r="952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rPr>
          <w:rStyle w:val="18"/>
          <w:rFonts w:hint="default" w:ascii="黑体" w:hAnsi="黑体" w:eastAsia="黑体" w:cs="黑体"/>
          <w:b w:val="0"/>
          <w:bCs w:val="0"/>
          <w:sz w:val="32"/>
          <w:szCs w:val="32"/>
          <w:lang w:val="en-US"/>
        </w:rPr>
      </w:pPr>
      <w:bookmarkStart w:id="27" w:name="_Toc15396604"/>
      <w:bookmarkStart w:id="28" w:name="_Toc15377206"/>
      <w:bookmarkStart w:id="29" w:name="_Toc26218"/>
      <w:r>
        <w:rPr>
          <w:rStyle w:val="18"/>
          <w:rFonts w:hint="eastAsia" w:ascii="黑体" w:hAnsi="黑体" w:eastAsia="黑体" w:cs="黑体"/>
          <w:b w:val="0"/>
          <w:bCs w:val="0"/>
          <w:sz w:val="32"/>
          <w:szCs w:val="32"/>
          <w:lang w:val="en-US"/>
        </w:rPr>
        <w:t>二、</w:t>
      </w:r>
      <w:r>
        <w:rPr>
          <w:rStyle w:val="18"/>
          <w:rFonts w:hint="default" w:ascii="黑体" w:hAnsi="黑体" w:eastAsia="黑体" w:cs="黑体"/>
          <w:b w:val="0"/>
          <w:bCs w:val="0"/>
          <w:sz w:val="32"/>
          <w:szCs w:val="32"/>
          <w:lang w:val="en-US"/>
        </w:rPr>
        <w:t>收入决算情况说明</w:t>
      </w:r>
      <w:bookmarkEnd w:id="27"/>
      <w:bookmarkEnd w:id="28"/>
      <w:bookmarkEnd w:id="29"/>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2022年本年收入合计196.13万元，其中：一般公共预算财政拨款收入196.13万元，占100%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%；国有资本经营预算财政拨款收入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2"/>
        <w:rPr>
          <w:rFonts w:hint="default" w:ascii="Times New Roman" w:hAnsi="Times New Roman" w:cs="Times New Roman"/>
          <w:lang w:eastAsia="zh-CN"/>
        </w:rPr>
      </w:pPr>
      <w:r>
        <w:rPr>
          <w:rFonts w:hint="default" w:ascii="Times New Roman" w:hAnsi="Times New Roman" w:cs="Times New Roman"/>
          <w:lang w:eastAsia="zh-CN"/>
        </w:rPr>
        <w:drawing>
          <wp:inline distT="0" distB="0" distL="114300" distR="114300">
            <wp:extent cx="5660390" cy="1895475"/>
            <wp:effectExtent l="4445" t="4445" r="1206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rPr>
          <w:rStyle w:val="18"/>
          <w:rFonts w:hint="default" w:ascii="黑体" w:hAnsi="黑体" w:eastAsia="黑体" w:cs="黑体"/>
          <w:b w:val="0"/>
          <w:bCs w:val="0"/>
          <w:sz w:val="32"/>
          <w:szCs w:val="32"/>
          <w:lang w:val="en-US"/>
        </w:rPr>
      </w:pPr>
      <w:bookmarkStart w:id="30" w:name="_Toc15396605"/>
      <w:bookmarkStart w:id="31" w:name="_Toc15377207"/>
      <w:bookmarkStart w:id="32" w:name="_Toc11900"/>
      <w:r>
        <w:rPr>
          <w:rStyle w:val="18"/>
          <w:rFonts w:hint="eastAsia" w:ascii="黑体" w:hAnsi="黑体" w:eastAsia="黑体" w:cs="黑体"/>
          <w:b w:val="0"/>
          <w:bCs w:val="0"/>
          <w:sz w:val="32"/>
          <w:szCs w:val="32"/>
          <w:lang w:val="en-US" w:eastAsia="zh-CN"/>
        </w:rPr>
        <w:t>三、</w:t>
      </w:r>
      <w:r>
        <w:rPr>
          <w:rStyle w:val="18"/>
          <w:rFonts w:hint="default" w:ascii="黑体" w:hAnsi="黑体" w:eastAsia="黑体" w:cs="黑体"/>
          <w:b w:val="0"/>
          <w:bCs w:val="0"/>
          <w:sz w:val="32"/>
          <w:szCs w:val="32"/>
          <w:lang w:val="en-US"/>
        </w:rPr>
        <w:t>支出决算情况说明</w:t>
      </w:r>
      <w:bookmarkEnd w:id="30"/>
      <w:bookmarkEnd w:id="31"/>
      <w:bookmarkEnd w:id="32"/>
      <w:r>
        <w:rPr>
          <w:rStyle w:val="18"/>
          <w:rFonts w:hint="default" w:ascii="黑体" w:hAnsi="黑体" w:eastAsia="黑体" w:cs="黑体"/>
          <w:b w:val="0"/>
          <w:bCs w:val="0"/>
          <w:sz w:val="32"/>
          <w:szCs w:val="32"/>
          <w:lang w:val="en-US"/>
        </w:rPr>
        <w:t xml:space="preserve"> </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2022年本年支出合计196.13万元，其中：基本支出</w:t>
      </w:r>
      <w:r>
        <w:rPr>
          <w:rFonts w:hint="default" w:ascii="Times New Roman" w:hAnsi="Times New Roman" w:eastAsia="仿宋_GB2312" w:cs="Times New Roman"/>
          <w:sz w:val="32"/>
          <w:szCs w:val="32"/>
          <w:lang w:val="en-US" w:eastAsia="zh-CN"/>
        </w:rPr>
        <w:t>182.12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92.86</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14.01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7.14</w:t>
      </w:r>
      <w:r>
        <w:rPr>
          <w:rFonts w:hint="default" w:ascii="Times New Roman" w:hAnsi="Times New Roman" w:eastAsia="仿宋_GB2312" w:cs="Times New Roman"/>
          <w:sz w:val="32"/>
          <w:szCs w:val="32"/>
        </w:rPr>
        <w:t>%。</w:t>
      </w:r>
    </w:p>
    <w:p>
      <w:pPr>
        <w:pStyle w:val="2"/>
        <w:rPr>
          <w:rFonts w:hint="default" w:ascii="Times New Roman" w:hAnsi="Times New Roman" w:eastAsia="黑体" w:cs="Times New Roman"/>
          <w:sz w:val="32"/>
          <w:szCs w:val="32"/>
        </w:rPr>
      </w:pPr>
      <w:r>
        <w:rPr>
          <w:rFonts w:hint="default" w:ascii="Times New Roman" w:hAnsi="Times New Roman" w:eastAsia="仿宋" w:cs="Times New Roman"/>
          <w:b/>
          <w:sz w:val="32"/>
          <w:szCs w:val="32"/>
          <w:lang w:eastAsia="zh-CN"/>
        </w:rPr>
        <w:drawing>
          <wp:inline distT="0" distB="0" distL="114300" distR="114300">
            <wp:extent cx="5605780" cy="2385695"/>
            <wp:effectExtent l="5080" t="4445" r="8890"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3" w:name="_Toc15396606"/>
      <w:bookmarkStart w:id="34" w:name="_Toc15377208"/>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rPr>
          <w:rStyle w:val="18"/>
          <w:rFonts w:hint="default" w:ascii="黑体" w:hAnsi="黑体" w:eastAsia="黑体" w:cs="黑体"/>
          <w:b w:val="0"/>
          <w:bCs w:val="0"/>
          <w:sz w:val="32"/>
          <w:szCs w:val="32"/>
          <w:lang w:val="en-US"/>
        </w:rPr>
      </w:pPr>
      <w:bookmarkStart w:id="35" w:name="_Toc17321"/>
      <w:r>
        <w:rPr>
          <w:rStyle w:val="18"/>
          <w:rFonts w:hint="default" w:ascii="黑体" w:hAnsi="黑体" w:eastAsia="黑体" w:cs="黑体"/>
          <w:b w:val="0"/>
          <w:bCs w:val="0"/>
          <w:sz w:val="32"/>
          <w:szCs w:val="32"/>
          <w:lang w:val="en-US"/>
        </w:rPr>
        <w:t>四、财政拨款收入支出决算总体情况说明</w:t>
      </w:r>
      <w:bookmarkEnd w:id="33"/>
      <w:bookmarkEnd w:id="34"/>
      <w:bookmarkEnd w:id="35"/>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2022年财政拨款收、支总计</w:t>
      </w:r>
      <w:r>
        <w:rPr>
          <w:rFonts w:hint="default" w:ascii="Times New Roman" w:hAnsi="Times New Roman" w:eastAsia="仿宋_GB2312" w:cs="Times New Roman"/>
          <w:sz w:val="32"/>
          <w:szCs w:val="32"/>
          <w:lang w:val="en-US" w:eastAsia="zh-CN"/>
        </w:rPr>
        <w:t>196.13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同比</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略有增长</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新增一名工作人员。</w:t>
      </w:r>
    </w:p>
    <w:p>
      <w:pPr>
        <w:pStyle w:val="4"/>
        <w:pageBreakBefore w:val="0"/>
        <w:widowControl w:val="0"/>
        <w:numPr>
          <w:ilvl w:val="0"/>
          <w:numId w:val="0"/>
        </w:numPr>
        <w:kinsoku/>
        <w:wordWrap/>
        <w:overflowPunct/>
        <w:topLinePunct w:val="0"/>
        <w:autoSpaceDE/>
        <w:autoSpaceDN/>
        <w:bidi w:val="0"/>
        <w:adjustRightInd/>
        <w:snapToGrid/>
        <w:spacing w:before="0" w:after="0" w:line="572" w:lineRule="exact"/>
        <w:ind w:leftChars="0" w:firstLine="640" w:firstLineChars="200"/>
        <w:textAlignment w:val="auto"/>
        <w:rPr>
          <w:rStyle w:val="18"/>
          <w:rFonts w:hint="default" w:ascii="黑体" w:hAnsi="黑体" w:eastAsia="黑体" w:cs="黑体"/>
          <w:b w:val="0"/>
          <w:bCs w:val="0"/>
          <w:sz w:val="32"/>
          <w:szCs w:val="32"/>
          <w:lang w:val="en-US"/>
        </w:rPr>
      </w:pPr>
      <w:bookmarkStart w:id="36" w:name="_Toc15377209"/>
      <w:bookmarkStart w:id="37" w:name="_Toc15396607"/>
      <w:bookmarkStart w:id="38" w:name="_Toc20774"/>
      <w:r>
        <w:rPr>
          <w:rStyle w:val="18"/>
          <w:rFonts w:hint="default" w:ascii="黑体" w:hAnsi="黑体" w:eastAsia="黑体" w:cs="黑体"/>
          <w:b w:val="0"/>
          <w:bCs w:val="0"/>
          <w:sz w:val="32"/>
          <w:szCs w:val="32"/>
          <w:lang w:val="en-US"/>
        </w:rPr>
        <w:t>五、一般公共预算财政拨款支出决算情况说明</w:t>
      </w:r>
      <w:bookmarkEnd w:id="36"/>
      <w:bookmarkEnd w:id="37"/>
      <w:bookmarkEnd w:id="38"/>
    </w:p>
    <w:p>
      <w:pPr>
        <w:spacing w:line="600" w:lineRule="exact"/>
        <w:ind w:firstLine="643" w:firstLineChars="200"/>
        <w:outlineLvl w:val="2"/>
        <w:rPr>
          <w:rFonts w:hint="default" w:ascii="Times New Roman" w:hAnsi="Times New Roman" w:eastAsia="仿宋" w:cs="Times New Roman"/>
          <w:b/>
          <w:sz w:val="32"/>
          <w:szCs w:val="32"/>
        </w:rPr>
      </w:pPr>
      <w:bookmarkStart w:id="39" w:name="_Toc15377210"/>
      <w:r>
        <w:rPr>
          <w:rFonts w:hint="default" w:ascii="Times New Roman" w:hAnsi="Times New Roman" w:eastAsia="仿宋" w:cs="Times New Roman"/>
          <w:b/>
          <w:sz w:val="32"/>
          <w:szCs w:val="32"/>
        </w:rPr>
        <w:t>（一）一般公共预算财政拨款支出决算总体情况</w:t>
      </w:r>
      <w:bookmarkEnd w:id="39"/>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2022年一般公共预算财政拨款支出</w:t>
      </w:r>
      <w:r>
        <w:rPr>
          <w:rFonts w:hint="default" w:ascii="Times New Roman" w:hAnsi="Times New Roman" w:eastAsia="仿宋_GB2312" w:cs="Times New Roman"/>
          <w:sz w:val="32"/>
          <w:szCs w:val="32"/>
          <w:lang w:val="en-US" w:eastAsia="zh-CN"/>
        </w:rPr>
        <w:t>196.13</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%。与2021年相比，一般公共预算财政拨款支出</w:t>
      </w:r>
      <w:r>
        <w:rPr>
          <w:rFonts w:hint="default" w:ascii="Times New Roman" w:hAnsi="Times New Roman" w:eastAsia="仿宋_GB2312" w:cs="Times New Roman"/>
          <w:sz w:val="32"/>
          <w:szCs w:val="32"/>
          <w:lang w:val="en-US" w:eastAsia="zh-CN"/>
        </w:rPr>
        <w:t>同比</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略有增长</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新增一名工作人员。</w:t>
      </w:r>
    </w:p>
    <w:p>
      <w:pPr>
        <w:spacing w:line="600" w:lineRule="exact"/>
        <w:ind w:firstLine="643" w:firstLineChars="200"/>
        <w:outlineLvl w:val="2"/>
        <w:rPr>
          <w:rFonts w:hint="default" w:ascii="Times New Roman" w:hAnsi="Times New Roman" w:eastAsia="仿宋" w:cs="Times New Roman"/>
          <w:b/>
          <w:sz w:val="32"/>
          <w:szCs w:val="32"/>
        </w:rPr>
      </w:pPr>
      <w:bookmarkStart w:id="40" w:name="_Toc15377211"/>
      <w:r>
        <w:rPr>
          <w:rFonts w:hint="default" w:ascii="Times New Roman" w:hAnsi="Times New Roman" w:eastAsia="仿宋" w:cs="Times New Roman"/>
          <w:b/>
          <w:sz w:val="32"/>
          <w:szCs w:val="32"/>
        </w:rPr>
        <w:t>（二）一般公共预算财政拨款支出决算结构情况</w:t>
      </w:r>
      <w:bookmarkEnd w:id="40"/>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2022年一般公共预算财政拨款支出</w:t>
      </w:r>
      <w:r>
        <w:rPr>
          <w:rFonts w:hint="default" w:ascii="Times New Roman" w:hAnsi="Times New Roman" w:eastAsia="仿宋_GB2312" w:cs="Times New Roman"/>
          <w:sz w:val="32"/>
          <w:szCs w:val="32"/>
          <w:lang w:val="en-US" w:eastAsia="zh-CN"/>
        </w:rPr>
        <w:t>196.13</w:t>
      </w:r>
      <w:r>
        <w:rPr>
          <w:rFonts w:hint="default" w:ascii="Times New Roman" w:hAnsi="Times New Roman" w:eastAsia="仿宋_GB2312" w:cs="Times New Roman"/>
          <w:sz w:val="32"/>
          <w:szCs w:val="32"/>
        </w:rPr>
        <w:t>万元，主要用于以下方面:一般公共服务支出</w:t>
      </w:r>
      <w:r>
        <w:rPr>
          <w:rFonts w:hint="default" w:ascii="Times New Roman" w:hAnsi="Times New Roman" w:eastAsia="仿宋_GB2312" w:cs="Times New Roman"/>
          <w:sz w:val="32"/>
          <w:szCs w:val="32"/>
          <w:lang w:val="en-US" w:eastAsia="zh-CN"/>
        </w:rPr>
        <w:t>163.82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83.52</w:t>
      </w:r>
      <w:r>
        <w:rPr>
          <w:rFonts w:hint="default" w:ascii="Times New Roman" w:hAnsi="Times New Roman" w:eastAsia="仿宋_GB2312" w:cs="Times New Roman"/>
          <w:sz w:val="32"/>
          <w:szCs w:val="32"/>
        </w:rPr>
        <w:t>%；教育支出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%；科学技术支出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%；文化旅游体育与传媒支出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15.31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4.28</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w:t>
      </w:r>
    </w:p>
    <w:p>
      <w:pPr>
        <w:pStyle w:val="2"/>
        <w:rPr>
          <w:rFonts w:hint="default" w:ascii="Times New Roman" w:hAnsi="Times New Roman" w:eastAsia="仿宋" w:cs="Times New Roman"/>
          <w:lang w:eastAsia="zh-CN"/>
        </w:rPr>
      </w:pPr>
      <w:r>
        <w:rPr>
          <w:rFonts w:hint="default" w:ascii="Times New Roman" w:hAnsi="Times New Roman" w:eastAsia="仿宋" w:cs="Times New Roman"/>
          <w:lang w:eastAsia="zh-CN"/>
        </w:rPr>
        <w:drawing>
          <wp:inline distT="0" distB="0" distL="114300" distR="114300">
            <wp:extent cx="5684520" cy="2797810"/>
            <wp:effectExtent l="4445" t="4445" r="6985"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hint="default" w:ascii="Times New Roman" w:hAnsi="Times New Roman" w:eastAsia="仿宋" w:cs="Times New Roman"/>
          <w:b/>
          <w:sz w:val="32"/>
          <w:szCs w:val="32"/>
        </w:rPr>
      </w:pPr>
      <w:bookmarkStart w:id="41" w:name="_Toc15377212"/>
      <w:r>
        <w:rPr>
          <w:rFonts w:hint="default" w:ascii="Times New Roman" w:hAnsi="Times New Roman" w:eastAsia="仿宋" w:cs="Times New Roman"/>
          <w:b/>
          <w:sz w:val="32"/>
          <w:szCs w:val="32"/>
        </w:rPr>
        <w:t>（三）一般公共预算财政拨款支出决算具体情况</w:t>
      </w:r>
      <w:bookmarkEnd w:id="41"/>
    </w:p>
    <w:p>
      <w:pPr>
        <w:spacing w:line="600" w:lineRule="exact"/>
        <w:ind w:firstLine="640" w:firstLineChars="200"/>
        <w:rPr>
          <w:rFonts w:hint="default" w:ascii="Times New Roman" w:hAnsi="Times New Roman" w:eastAsia="仿宋_GB2312" w:cs="Times New Roman"/>
          <w:sz w:val="32"/>
          <w:szCs w:val="32"/>
        </w:rPr>
      </w:pPr>
      <w:bookmarkStart w:id="42" w:name="_Toc15378460"/>
      <w:bookmarkStart w:id="43" w:name="_Toc15377444"/>
      <w:bookmarkStart w:id="44" w:name="_Toc15377213"/>
      <w:r>
        <w:rPr>
          <w:rFonts w:hint="default" w:ascii="Times New Roman" w:hAnsi="Times New Roman" w:eastAsia="仿宋_GB2312" w:cs="Times New Roman"/>
          <w:sz w:val="32"/>
          <w:szCs w:val="32"/>
        </w:rPr>
        <w:t>2022年一般公共预算支出决算数为</w:t>
      </w:r>
      <w:r>
        <w:rPr>
          <w:rFonts w:hint="default" w:ascii="Times New Roman" w:hAnsi="Times New Roman" w:eastAsia="仿宋_GB2312" w:cs="Times New Roman"/>
          <w:sz w:val="32"/>
          <w:szCs w:val="32"/>
          <w:lang w:val="en-US" w:eastAsia="zh-CN"/>
        </w:rPr>
        <w:t>196.13万元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42"/>
      <w:bookmarkEnd w:id="43"/>
      <w:bookmarkEnd w:id="44"/>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 支出决算为</w:t>
      </w:r>
      <w:r>
        <w:rPr>
          <w:rFonts w:hint="default" w:ascii="Times New Roman" w:hAnsi="Times New Roman" w:eastAsia="仿宋_GB2312" w:cs="Times New Roman"/>
          <w:sz w:val="32"/>
          <w:szCs w:val="32"/>
          <w:lang w:val="en-US" w:eastAsia="zh-CN"/>
        </w:rPr>
        <w:t>163.82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其中：2013601—行政运行149.81元；2013602—一般行政管理事务</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14.01，</w:t>
      </w:r>
      <w:r>
        <w:rPr>
          <w:rFonts w:hint="default" w:ascii="Times New Roman" w:hAnsi="Times New Roman" w:eastAsia="仿宋_GB2312" w:cs="Times New Roman"/>
          <w:sz w:val="32"/>
          <w:szCs w:val="32"/>
        </w:rPr>
        <w:t>决算数等于预算数。</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 支出决算为</w:t>
      </w:r>
      <w:r>
        <w:rPr>
          <w:rFonts w:hint="default" w:ascii="Times New Roman" w:hAnsi="Times New Roman" w:eastAsia="仿宋_GB2312" w:cs="Times New Roman"/>
          <w:sz w:val="32"/>
          <w:szCs w:val="32"/>
          <w:lang w:val="en-US" w:eastAsia="zh-CN"/>
        </w:rPr>
        <w:t>15.31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2080505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机关事业单位基本养老保险缴费支出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10.21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2080506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机关事业单位职业年金缴费支出5.10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决算数等于预算数的主要。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.卫生健康:支出决算为</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2101101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行政单位医疗</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6.35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2101103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公务员医疗补助</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2.05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决算数等于预算数。</w:t>
      </w:r>
    </w:p>
    <w:p>
      <w:pPr>
        <w:tabs>
          <w:tab w:val="right" w:pos="8306"/>
        </w:tabs>
        <w:spacing w:line="600" w:lineRule="exact"/>
        <w:ind w:firstLine="640"/>
        <w:outlineLvl w:val="1"/>
        <w:rPr>
          <w:rStyle w:val="18"/>
          <w:rFonts w:hint="default" w:ascii="Times New Roman" w:hAnsi="Times New Roman" w:cs="Times New Roman"/>
        </w:rPr>
      </w:pPr>
      <w:bookmarkStart w:id="45" w:name="_Toc15396608"/>
      <w:bookmarkStart w:id="46" w:name="_Toc15377214"/>
      <w:bookmarkStart w:id="47" w:name="_Toc16911"/>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18"/>
          <w:rFonts w:hint="default" w:ascii="Times New Roman" w:hAnsi="Times New Roman" w:eastAsia="黑体" w:cs="Times New Roman"/>
          <w:b w:val="0"/>
        </w:rPr>
        <w:t>般公共预算财政拨款基本支出决算情况说明</w:t>
      </w:r>
      <w:bookmarkEnd w:id="45"/>
      <w:bookmarkEnd w:id="46"/>
      <w:bookmarkEnd w:id="47"/>
      <w:r>
        <w:rPr>
          <w:rStyle w:val="18"/>
          <w:rFonts w:hint="default" w:ascii="Times New Roman" w:hAnsi="Times New Roman" w:eastAsia="黑体" w:cs="Times New Roman"/>
          <w:b w:val="0"/>
        </w:rPr>
        <w:tab/>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2022年一般公共预算财政拨款基本支出</w:t>
      </w:r>
      <w:r>
        <w:rPr>
          <w:rFonts w:hint="default" w:ascii="Times New Roman" w:hAnsi="Times New Roman" w:eastAsia="仿宋_GB2312" w:cs="Times New Roman"/>
          <w:sz w:val="32"/>
          <w:szCs w:val="32"/>
          <w:lang w:val="en-US" w:eastAsia="zh-CN"/>
        </w:rPr>
        <w:t>182.12</w:t>
      </w:r>
      <w:r>
        <w:rPr>
          <w:rFonts w:hint="default" w:ascii="Times New Roman" w:hAnsi="Times New Roman" w:eastAsia="仿宋_GB2312" w:cs="Times New Roman"/>
          <w:sz w:val="32"/>
          <w:szCs w:val="32"/>
        </w:rPr>
        <w:t>万元，其中：人员经费</w:t>
      </w:r>
      <w:r>
        <w:rPr>
          <w:rFonts w:hint="default" w:ascii="Times New Roman" w:hAnsi="Times New Roman" w:eastAsia="仿宋_GB2312" w:cs="Times New Roman"/>
          <w:sz w:val="32"/>
          <w:szCs w:val="32"/>
          <w:lang w:val="en-US" w:eastAsia="zh-CN"/>
        </w:rPr>
        <w:t>162.59</w:t>
      </w:r>
      <w:r>
        <w:rPr>
          <w:rFonts w:hint="default" w:ascii="Times New Roman" w:hAnsi="Times New Roman" w:eastAsia="仿宋_GB2312" w:cs="Times New Roman"/>
          <w:sz w:val="32"/>
          <w:szCs w:val="32"/>
        </w:rPr>
        <w:t>万元，主要包括：基本工资</w:t>
      </w:r>
      <w:r>
        <w:rPr>
          <w:rFonts w:hint="default" w:ascii="Times New Roman" w:hAnsi="Times New Roman" w:eastAsia="仿宋_GB2312" w:cs="Times New Roman"/>
          <w:sz w:val="32"/>
          <w:szCs w:val="32"/>
          <w:lang w:val="en-US" w:eastAsia="zh-CN"/>
        </w:rPr>
        <w:t>29.3万元</w:t>
      </w:r>
      <w:r>
        <w:rPr>
          <w:rFonts w:hint="default" w:ascii="Times New Roman" w:hAnsi="Times New Roman" w:eastAsia="仿宋_GB2312" w:cs="Times New Roman"/>
          <w:sz w:val="32"/>
          <w:szCs w:val="32"/>
        </w:rPr>
        <w:t>、津贴补贴</w:t>
      </w:r>
      <w:r>
        <w:rPr>
          <w:rFonts w:hint="default" w:ascii="Times New Roman" w:hAnsi="Times New Roman" w:eastAsia="仿宋_GB2312" w:cs="Times New Roman"/>
          <w:sz w:val="32"/>
          <w:szCs w:val="32"/>
          <w:lang w:val="en-US" w:eastAsia="zh-CN"/>
        </w:rPr>
        <w:t>60.14万元</w:t>
      </w:r>
      <w:r>
        <w:rPr>
          <w:rFonts w:hint="default" w:ascii="Times New Roman" w:hAnsi="Times New Roman" w:eastAsia="仿宋_GB2312" w:cs="Times New Roman"/>
          <w:sz w:val="32"/>
          <w:szCs w:val="32"/>
        </w:rPr>
        <w:t>、奖金</w:t>
      </w:r>
      <w:r>
        <w:rPr>
          <w:rFonts w:hint="default" w:ascii="Times New Roman" w:hAnsi="Times New Roman" w:eastAsia="仿宋_GB2312" w:cs="Times New Roman"/>
          <w:sz w:val="32"/>
          <w:szCs w:val="32"/>
          <w:lang w:val="en-US" w:eastAsia="zh-CN"/>
        </w:rPr>
        <w:t>2.63万元</w:t>
      </w:r>
      <w:r>
        <w:rPr>
          <w:rFonts w:hint="default" w:ascii="Times New Roman" w:hAnsi="Times New Roman" w:eastAsia="仿宋_GB2312" w:cs="Times New Roman"/>
          <w:sz w:val="32"/>
          <w:szCs w:val="32"/>
        </w:rPr>
        <w:t>、伙食补助费</w:t>
      </w:r>
      <w:r>
        <w:rPr>
          <w:rFonts w:hint="default" w:ascii="Times New Roman" w:hAnsi="Times New Roman" w:eastAsia="仿宋_GB2312" w:cs="Times New Roman"/>
          <w:sz w:val="32"/>
          <w:szCs w:val="32"/>
          <w:lang w:val="en-US" w:eastAsia="zh-CN"/>
        </w:rPr>
        <w:t>1.2万元</w:t>
      </w:r>
      <w:r>
        <w:rPr>
          <w:rFonts w:hint="default" w:ascii="Times New Roman" w:hAnsi="Times New Roman" w:eastAsia="仿宋_GB2312" w:cs="Times New Roman"/>
          <w:sz w:val="32"/>
          <w:szCs w:val="32"/>
        </w:rPr>
        <w:t>、机关事业单位基本养老保险缴费</w:t>
      </w:r>
      <w:r>
        <w:rPr>
          <w:rFonts w:hint="default" w:ascii="Times New Roman" w:hAnsi="Times New Roman" w:eastAsia="仿宋_GB2312" w:cs="Times New Roman"/>
          <w:sz w:val="32"/>
          <w:szCs w:val="32"/>
          <w:lang w:val="en-US" w:eastAsia="zh-CN"/>
        </w:rPr>
        <w:t xml:space="preserve">10.21万元 </w:t>
      </w:r>
      <w:r>
        <w:rPr>
          <w:rFonts w:hint="default" w:ascii="Times New Roman" w:hAnsi="Times New Roman" w:eastAsia="仿宋_GB2312" w:cs="Times New Roman"/>
          <w:sz w:val="32"/>
          <w:szCs w:val="32"/>
        </w:rPr>
        <w:t>、职业年金缴费</w:t>
      </w:r>
      <w:r>
        <w:rPr>
          <w:rFonts w:hint="default" w:ascii="Times New Roman" w:hAnsi="Times New Roman" w:eastAsia="仿宋_GB2312" w:cs="Times New Roman"/>
          <w:sz w:val="32"/>
          <w:szCs w:val="32"/>
          <w:lang w:val="en-US" w:eastAsia="zh-CN"/>
        </w:rPr>
        <w:t>5.1万元</w:t>
      </w:r>
      <w:r>
        <w:rPr>
          <w:rFonts w:hint="default" w:ascii="Times New Roman" w:hAnsi="Times New Roman" w:eastAsia="仿宋_GB2312" w:cs="Times New Roman"/>
          <w:sz w:val="32"/>
          <w:szCs w:val="32"/>
        </w:rPr>
        <w:t>、其他社会保障缴费</w:t>
      </w:r>
      <w:r>
        <w:rPr>
          <w:rFonts w:hint="default" w:ascii="Times New Roman" w:hAnsi="Times New Roman" w:eastAsia="仿宋_GB2312" w:cs="Times New Roman"/>
          <w:sz w:val="32"/>
          <w:szCs w:val="32"/>
          <w:lang w:val="en-US" w:eastAsia="zh-CN"/>
        </w:rPr>
        <w:t>0.87万元</w:t>
      </w:r>
      <w:r>
        <w:rPr>
          <w:rFonts w:hint="default" w:ascii="Times New Roman" w:hAnsi="Times New Roman" w:eastAsia="仿宋_GB2312" w:cs="Times New Roman"/>
          <w:sz w:val="32"/>
          <w:szCs w:val="32"/>
        </w:rPr>
        <w:t>、离休费</w:t>
      </w:r>
      <w:r>
        <w:rPr>
          <w:rFonts w:hint="default" w:ascii="Times New Roman" w:hAnsi="Times New Roman" w:eastAsia="仿宋_GB2312" w:cs="Times New Roman"/>
          <w:sz w:val="32"/>
          <w:szCs w:val="32"/>
          <w:lang w:val="en-US" w:eastAsia="zh-CN"/>
        </w:rPr>
        <w:t>19.16万元</w:t>
      </w:r>
      <w:r>
        <w:rPr>
          <w:rFonts w:hint="default" w:ascii="Times New Roman" w:hAnsi="Times New Roman" w:eastAsia="仿宋_GB2312" w:cs="Times New Roman"/>
          <w:sz w:val="32"/>
          <w:szCs w:val="32"/>
        </w:rPr>
        <w:t>、生活补助</w:t>
      </w:r>
      <w:r>
        <w:rPr>
          <w:rFonts w:hint="default" w:ascii="Times New Roman" w:hAnsi="Times New Roman" w:eastAsia="仿宋_GB2312" w:cs="Times New Roman"/>
          <w:sz w:val="32"/>
          <w:szCs w:val="32"/>
          <w:lang w:val="en-US" w:eastAsia="zh-CN"/>
        </w:rPr>
        <w:t>16.98万元</w:t>
      </w:r>
      <w:r>
        <w:rPr>
          <w:rFonts w:hint="default" w:ascii="Times New Roman" w:hAnsi="Times New Roman" w:eastAsia="仿宋_GB2312" w:cs="Times New Roman"/>
          <w:sz w:val="32"/>
          <w:szCs w:val="32"/>
        </w:rPr>
        <w:t>、医疗</w:t>
      </w:r>
      <w:r>
        <w:rPr>
          <w:rFonts w:hint="default" w:ascii="Times New Roman" w:hAnsi="Times New Roman" w:eastAsia="仿宋_GB2312" w:cs="Times New Roman"/>
          <w:sz w:val="32"/>
          <w:szCs w:val="32"/>
          <w:lang w:val="en-US" w:eastAsia="zh-CN"/>
        </w:rPr>
        <w:t>保险</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val="en-US" w:eastAsia="zh-CN"/>
        </w:rPr>
        <w:t>6.35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公务员医疗补助2.05万元</w:t>
      </w:r>
      <w:r>
        <w:rPr>
          <w:rFonts w:hint="default" w:ascii="Times New Roman" w:hAnsi="Times New Roman" w:eastAsia="仿宋_GB2312" w:cs="Times New Roman"/>
          <w:sz w:val="32"/>
          <w:szCs w:val="32"/>
        </w:rPr>
        <w:t>、住房公积金</w:t>
      </w:r>
      <w:r>
        <w:rPr>
          <w:rFonts w:hint="default" w:ascii="Times New Roman" w:hAnsi="Times New Roman" w:eastAsia="仿宋_GB2312" w:cs="Times New Roman"/>
          <w:sz w:val="32"/>
          <w:szCs w:val="32"/>
          <w:lang w:val="en-US" w:eastAsia="zh-CN"/>
        </w:rPr>
        <w:t>8.6万元</w:t>
      </w:r>
      <w:r>
        <w:rPr>
          <w:rFonts w:hint="default" w:ascii="Times New Roman" w:hAnsi="Times New Roman" w:eastAsia="仿宋_GB2312" w:cs="Times New Roman"/>
          <w:sz w:val="32"/>
          <w:szCs w:val="32"/>
        </w:rPr>
        <w:t>、其他对个人和家庭的补助支出</w:t>
      </w:r>
      <w:r>
        <w:rPr>
          <w:rFonts w:hint="default" w:ascii="Times New Roman" w:hAnsi="Times New Roman" w:eastAsia="仿宋_GB2312" w:cs="Times New Roman"/>
          <w:sz w:val="32"/>
          <w:szCs w:val="32"/>
          <w:lang w:val="en-US" w:eastAsia="zh-CN"/>
        </w:rPr>
        <w:t>36.14万元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default" w:ascii="Times New Roman" w:hAnsi="Times New Roman" w:eastAsia="仿宋_GB2312" w:cs="Times New Roman"/>
          <w:sz w:val="32"/>
          <w:szCs w:val="32"/>
          <w:lang w:val="en-US" w:eastAsia="zh-CN"/>
        </w:rPr>
        <w:t>19.53</w:t>
      </w:r>
      <w:r>
        <w:rPr>
          <w:rFonts w:hint="default" w:ascii="Times New Roman" w:hAnsi="Times New Roman" w:eastAsia="仿宋_GB2312" w:cs="Times New Roman"/>
          <w:sz w:val="32"/>
          <w:szCs w:val="32"/>
        </w:rPr>
        <w:t>万元，主要包括：办公费</w:t>
      </w:r>
      <w:r>
        <w:rPr>
          <w:rFonts w:hint="default" w:ascii="Times New Roman" w:hAnsi="Times New Roman" w:eastAsia="仿宋_GB2312" w:cs="Times New Roman"/>
          <w:sz w:val="32"/>
          <w:szCs w:val="32"/>
          <w:lang w:val="en-US" w:eastAsia="zh-CN"/>
        </w:rPr>
        <w:t>1.47万元</w:t>
      </w:r>
      <w:r>
        <w:rPr>
          <w:rFonts w:hint="default" w:ascii="Times New Roman" w:hAnsi="Times New Roman" w:eastAsia="仿宋_GB2312" w:cs="Times New Roman"/>
          <w:sz w:val="32"/>
          <w:szCs w:val="32"/>
        </w:rPr>
        <w:t>、水费</w:t>
      </w:r>
      <w:r>
        <w:rPr>
          <w:rFonts w:hint="default" w:ascii="Times New Roman" w:hAnsi="Times New Roman" w:eastAsia="仿宋_GB2312" w:cs="Times New Roman"/>
          <w:sz w:val="32"/>
          <w:szCs w:val="32"/>
          <w:lang w:val="en-US" w:eastAsia="zh-CN"/>
        </w:rPr>
        <w:t>0.13万元</w:t>
      </w:r>
      <w:r>
        <w:rPr>
          <w:rFonts w:hint="default" w:ascii="Times New Roman" w:hAnsi="Times New Roman" w:eastAsia="仿宋_GB2312" w:cs="Times New Roman"/>
          <w:sz w:val="32"/>
          <w:szCs w:val="32"/>
        </w:rPr>
        <w:t>、电费</w:t>
      </w:r>
      <w:r>
        <w:rPr>
          <w:rFonts w:hint="default" w:ascii="Times New Roman" w:hAnsi="Times New Roman" w:eastAsia="仿宋_GB2312" w:cs="Times New Roman"/>
          <w:sz w:val="32"/>
          <w:szCs w:val="32"/>
          <w:lang w:val="en-US" w:eastAsia="zh-CN"/>
        </w:rPr>
        <w:t>0.22万元</w:t>
      </w:r>
      <w:r>
        <w:rPr>
          <w:rFonts w:hint="default" w:ascii="Times New Roman" w:hAnsi="Times New Roman" w:eastAsia="仿宋_GB2312" w:cs="Times New Roman"/>
          <w:sz w:val="32"/>
          <w:szCs w:val="32"/>
        </w:rPr>
        <w:t>、邮电费</w:t>
      </w:r>
      <w:r>
        <w:rPr>
          <w:rFonts w:hint="default" w:ascii="Times New Roman" w:hAnsi="Times New Roman" w:eastAsia="仿宋_GB2312" w:cs="Times New Roman"/>
          <w:sz w:val="32"/>
          <w:szCs w:val="32"/>
          <w:lang w:val="en-US" w:eastAsia="zh-CN"/>
        </w:rPr>
        <w:t>1.47万元</w:t>
      </w:r>
      <w:r>
        <w:rPr>
          <w:rFonts w:hint="default" w:ascii="Times New Roman" w:hAnsi="Times New Roman" w:eastAsia="仿宋_GB2312" w:cs="Times New Roman"/>
          <w:sz w:val="32"/>
          <w:szCs w:val="32"/>
        </w:rPr>
        <w:t>、物业管理费</w:t>
      </w:r>
      <w:r>
        <w:rPr>
          <w:rFonts w:hint="default" w:ascii="Times New Roman" w:hAnsi="Times New Roman" w:eastAsia="仿宋_GB2312" w:cs="Times New Roman"/>
          <w:sz w:val="32"/>
          <w:szCs w:val="32"/>
          <w:lang w:val="en-US" w:eastAsia="zh-CN"/>
        </w:rPr>
        <w:t>8.59万元</w:t>
      </w:r>
      <w:r>
        <w:rPr>
          <w:rFonts w:hint="default" w:ascii="Times New Roman" w:hAnsi="Times New Roman" w:eastAsia="仿宋_GB2312" w:cs="Times New Roman"/>
          <w:sz w:val="32"/>
          <w:szCs w:val="32"/>
        </w:rPr>
        <w:t>、差旅费</w:t>
      </w:r>
      <w:r>
        <w:rPr>
          <w:rFonts w:hint="default" w:ascii="Times New Roman" w:hAnsi="Times New Roman" w:eastAsia="仿宋_GB2312" w:cs="Times New Roman"/>
          <w:sz w:val="32"/>
          <w:szCs w:val="32"/>
          <w:lang w:val="en-US" w:eastAsia="zh-CN"/>
        </w:rPr>
        <w:t>1.44万元</w:t>
      </w:r>
      <w:r>
        <w:rPr>
          <w:rFonts w:hint="default" w:ascii="Times New Roman" w:hAnsi="Times New Roman" w:eastAsia="仿宋_GB2312" w:cs="Times New Roman"/>
          <w:sz w:val="32"/>
          <w:szCs w:val="32"/>
        </w:rPr>
        <w:t>、培训费</w:t>
      </w:r>
      <w:r>
        <w:rPr>
          <w:rFonts w:hint="default" w:ascii="Times New Roman" w:hAnsi="Times New Roman" w:eastAsia="仿宋_GB2312" w:cs="Times New Roman"/>
          <w:sz w:val="32"/>
          <w:szCs w:val="32"/>
          <w:lang w:val="en-US" w:eastAsia="zh-CN"/>
        </w:rPr>
        <w:t>0.52万元</w:t>
      </w:r>
      <w:r>
        <w:rPr>
          <w:rFonts w:hint="default" w:ascii="Times New Roman" w:hAnsi="Times New Roman" w:eastAsia="仿宋_GB2312" w:cs="Times New Roman"/>
          <w:sz w:val="32"/>
          <w:szCs w:val="32"/>
        </w:rPr>
        <w:t>、工会经费</w:t>
      </w:r>
      <w:r>
        <w:rPr>
          <w:rFonts w:hint="default" w:ascii="Times New Roman" w:hAnsi="Times New Roman" w:eastAsia="仿宋_GB2312" w:cs="Times New Roman"/>
          <w:sz w:val="32"/>
          <w:szCs w:val="32"/>
          <w:lang w:val="en-US" w:eastAsia="zh-CN"/>
        </w:rPr>
        <w:t>1.37万元</w:t>
      </w:r>
      <w:r>
        <w:rPr>
          <w:rFonts w:hint="default" w:ascii="Times New Roman" w:hAnsi="Times New Roman" w:eastAsia="仿宋_GB2312" w:cs="Times New Roman"/>
          <w:sz w:val="32"/>
          <w:szCs w:val="32"/>
        </w:rPr>
        <w:t>、福利费</w:t>
      </w:r>
      <w:r>
        <w:rPr>
          <w:rFonts w:hint="default" w:ascii="Times New Roman" w:hAnsi="Times New Roman" w:eastAsia="仿宋_GB2312" w:cs="Times New Roman"/>
          <w:sz w:val="32"/>
          <w:szCs w:val="32"/>
          <w:lang w:val="en-US" w:eastAsia="zh-CN"/>
        </w:rPr>
        <w:t>1.53万元</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1.27万元</w:t>
      </w:r>
      <w:r>
        <w:rPr>
          <w:rFonts w:hint="default" w:ascii="Times New Roman" w:hAnsi="Times New Roman" w:eastAsia="仿宋_GB2312" w:cs="Times New Roman"/>
          <w:sz w:val="32"/>
          <w:szCs w:val="32"/>
        </w:rPr>
        <w:t>、其他商品和服务支出</w:t>
      </w:r>
      <w:r>
        <w:rPr>
          <w:rFonts w:hint="default" w:ascii="Times New Roman" w:hAnsi="Times New Roman" w:eastAsia="仿宋_GB2312" w:cs="Times New Roman"/>
          <w:sz w:val="32"/>
          <w:szCs w:val="32"/>
          <w:lang w:val="en-US" w:eastAsia="zh-CN"/>
        </w:rPr>
        <w:t>1.52万元</w:t>
      </w:r>
      <w:r>
        <w:rPr>
          <w:rFonts w:hint="default" w:ascii="Times New Roman" w:hAnsi="Times New Roman" w:eastAsia="仿宋_GB2312" w:cs="Times New Roman"/>
          <w:sz w:val="32"/>
          <w:szCs w:val="32"/>
        </w:rPr>
        <w:t>。</w:t>
      </w:r>
    </w:p>
    <w:p>
      <w:pPr>
        <w:tabs>
          <w:tab w:val="right" w:pos="8306"/>
        </w:tabs>
        <w:spacing w:line="600" w:lineRule="exact"/>
        <w:ind w:firstLine="640"/>
        <w:outlineLvl w:val="1"/>
        <w:rPr>
          <w:rFonts w:hint="default" w:ascii="Times New Roman" w:hAnsi="Times New Roman" w:eastAsia="黑体" w:cs="Times New Roman"/>
          <w:sz w:val="32"/>
          <w:szCs w:val="32"/>
        </w:rPr>
      </w:pPr>
      <w:bookmarkStart w:id="48" w:name="_Toc15396609"/>
      <w:bookmarkStart w:id="49" w:name="_Toc15377215"/>
      <w:bookmarkStart w:id="50" w:name="_Toc25061"/>
      <w:r>
        <w:rPr>
          <w:rFonts w:hint="default" w:ascii="Times New Roman" w:hAnsi="Times New Roman" w:eastAsia="黑体" w:cs="Times New Roman"/>
          <w:sz w:val="32"/>
          <w:szCs w:val="32"/>
        </w:rPr>
        <w:t>七、财政拨款“三公”经费支出决算情况说明</w:t>
      </w:r>
      <w:bookmarkEnd w:id="48"/>
      <w:bookmarkEnd w:id="49"/>
      <w:bookmarkEnd w:id="50"/>
    </w:p>
    <w:p>
      <w:pPr>
        <w:spacing w:line="600" w:lineRule="exact"/>
        <w:ind w:firstLine="640"/>
        <w:outlineLvl w:val="2"/>
        <w:rPr>
          <w:rFonts w:hint="default" w:ascii="Times New Roman" w:hAnsi="Times New Roman" w:eastAsia="仿宋" w:cs="Times New Roman"/>
          <w:b/>
          <w:sz w:val="32"/>
          <w:szCs w:val="32"/>
        </w:rPr>
      </w:pPr>
      <w:bookmarkStart w:id="51" w:name="_Toc15377216"/>
      <w:r>
        <w:rPr>
          <w:rFonts w:hint="default" w:ascii="Times New Roman" w:hAnsi="Times New Roman" w:eastAsia="仿宋" w:cs="Times New Roman"/>
          <w:b/>
          <w:sz w:val="32"/>
          <w:szCs w:val="32"/>
        </w:rPr>
        <w:t>（一）“三公”经费财政拨款支出决算总体情况说明</w:t>
      </w:r>
      <w:bookmarkEnd w:id="51"/>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“三公”经费支出情况：本单位本年度“三公”经费支出决算数为1.27万元。公务用车购置及运行维护费支出决算数为1.27万元，相比上年度增加-0.39万元，主要原因为：疫情影响，出行用车减少。 本年度“三公”经费支出预算数为1.27万元，决算数为1.27万元，预算完成度为100.00%，公务用车购置及运行维护费支出为0.18万元，主要原因为：疫情影响，出行用车减少。</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（2）会议费支出情况：本单位本年度会议费支出决算数为0.00万元，相比上年度增加0.00万元。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（3）培训费支出情况：本单位本年度培训费支出决算数为0.52万元，相比上年度增加0.52万元，主要原因为：去年参加培训昌盛的费用列入办公经费和差旅费中。</w:t>
      </w:r>
      <w:bookmarkStart w:id="52" w:name="_Toc15396610"/>
      <w:bookmarkStart w:id="53" w:name="_Toc15377218"/>
    </w:p>
    <w:p>
      <w:pPr>
        <w:tabs>
          <w:tab w:val="right" w:pos="8306"/>
        </w:tabs>
        <w:spacing w:line="600" w:lineRule="exact"/>
        <w:ind w:firstLine="640"/>
        <w:outlineLvl w:val="1"/>
        <w:rPr>
          <w:rFonts w:hint="default" w:ascii="Times New Roman" w:hAnsi="Times New Roman" w:eastAsia="黑体" w:cs="Times New Roman"/>
          <w:sz w:val="32"/>
          <w:szCs w:val="32"/>
        </w:rPr>
      </w:pPr>
      <w:bookmarkStart w:id="54" w:name="_Toc11937"/>
      <w:r>
        <w:rPr>
          <w:rFonts w:hint="default" w:ascii="Times New Roman" w:hAnsi="Times New Roman" w:eastAsia="黑体" w:cs="Times New Roman"/>
          <w:sz w:val="32"/>
          <w:szCs w:val="32"/>
        </w:rPr>
        <w:t>八、政府性基金预算支出决算情况说明</w:t>
      </w:r>
      <w:bookmarkEnd w:id="52"/>
      <w:bookmarkEnd w:id="53"/>
      <w:bookmarkEnd w:id="54"/>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2022年政府性基金预算财政拨款支出0万元。</w:t>
      </w:r>
    </w:p>
    <w:p>
      <w:pPr>
        <w:tabs>
          <w:tab w:val="right" w:pos="8306"/>
        </w:tabs>
        <w:spacing w:line="600" w:lineRule="exact"/>
        <w:ind w:firstLine="640"/>
        <w:outlineLvl w:val="1"/>
        <w:rPr>
          <w:rFonts w:hint="default" w:ascii="Times New Roman" w:hAnsi="Times New Roman" w:eastAsia="黑体" w:cs="Times New Roman"/>
          <w:sz w:val="32"/>
          <w:szCs w:val="32"/>
        </w:rPr>
      </w:pPr>
      <w:bookmarkStart w:id="55" w:name="_Toc15396611"/>
      <w:bookmarkStart w:id="56" w:name="_Toc15377219"/>
      <w:bookmarkStart w:id="57" w:name="_Toc30688"/>
      <w:r>
        <w:rPr>
          <w:rFonts w:hint="eastAsia" w:eastAsia="黑体" w:cs="Times New Roman"/>
          <w:sz w:val="32"/>
          <w:szCs w:val="32"/>
          <w:lang w:val="en-US" w:eastAsia="zh-CN"/>
        </w:rPr>
        <w:t>九、</w:t>
      </w:r>
      <w:r>
        <w:rPr>
          <w:rFonts w:hint="default" w:ascii="Times New Roman" w:hAnsi="Times New Roman" w:eastAsia="黑体" w:cs="Times New Roman"/>
          <w:sz w:val="32"/>
          <w:szCs w:val="32"/>
        </w:rPr>
        <w:t>国有资本经营预算支出决算情况说明</w:t>
      </w:r>
      <w:bookmarkEnd w:id="55"/>
      <w:bookmarkEnd w:id="56"/>
      <w:bookmarkEnd w:id="57"/>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2022年国有资本经营预算财政拨款支出0万元。</w:t>
      </w:r>
    </w:p>
    <w:p>
      <w:pPr>
        <w:tabs>
          <w:tab w:val="right" w:pos="8306"/>
        </w:tabs>
        <w:spacing w:line="600" w:lineRule="exact"/>
        <w:ind w:firstLine="640"/>
        <w:outlineLvl w:val="1"/>
        <w:rPr>
          <w:rFonts w:hint="default" w:eastAsia="黑体" w:cs="Times New Roman"/>
          <w:sz w:val="32"/>
          <w:szCs w:val="32"/>
          <w:lang w:val="en-US" w:eastAsia="zh-CN"/>
        </w:rPr>
      </w:pPr>
      <w:bookmarkStart w:id="58" w:name="_Toc15377221"/>
      <w:bookmarkStart w:id="59" w:name="_Toc15396612"/>
      <w:bookmarkStart w:id="60" w:name="_Toc12604"/>
      <w:r>
        <w:rPr>
          <w:rFonts w:hint="eastAsia" w:eastAsia="黑体" w:cs="Times New Roman"/>
          <w:sz w:val="32"/>
          <w:szCs w:val="32"/>
          <w:lang w:val="en-US" w:eastAsia="zh-CN"/>
        </w:rPr>
        <w:t>十、</w:t>
      </w:r>
      <w:r>
        <w:rPr>
          <w:rFonts w:hint="default" w:eastAsia="黑体" w:cs="Times New Roman"/>
          <w:sz w:val="32"/>
          <w:szCs w:val="32"/>
          <w:lang w:val="en-US" w:eastAsia="zh-CN"/>
        </w:rPr>
        <w:t>其他重要事项的情况说明</w:t>
      </w:r>
      <w:bookmarkEnd w:id="58"/>
      <w:bookmarkEnd w:id="59"/>
      <w:bookmarkEnd w:id="60"/>
    </w:p>
    <w:p>
      <w:pPr>
        <w:spacing w:line="600" w:lineRule="exact"/>
        <w:ind w:firstLine="643" w:firstLineChars="200"/>
        <w:outlineLvl w:val="2"/>
        <w:rPr>
          <w:rFonts w:hint="default" w:ascii="Times New Roman" w:hAnsi="Times New Roman" w:eastAsia="仿宋" w:cs="Times New Roman"/>
          <w:sz w:val="32"/>
          <w:szCs w:val="32"/>
        </w:rPr>
      </w:pPr>
      <w:bookmarkStart w:id="61" w:name="_Toc15377222"/>
      <w:r>
        <w:rPr>
          <w:rFonts w:hint="default" w:ascii="Times New Roman" w:hAnsi="Times New Roman" w:eastAsia="仿宋" w:cs="Times New Roman"/>
          <w:b/>
          <w:sz w:val="32"/>
          <w:szCs w:val="32"/>
        </w:rPr>
        <w:t>（一）机关运行经费支出情况</w:t>
      </w:r>
      <w:bookmarkEnd w:id="61"/>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阿坝州州级机关退休干部驻马尔康休养所</w:t>
      </w:r>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19.53</w:t>
      </w:r>
      <w:r>
        <w:rPr>
          <w:rFonts w:hint="default" w:ascii="Times New Roman" w:hAnsi="Times New Roman" w:eastAsia="仿宋_GB2312" w:cs="Times New Roman"/>
          <w:sz w:val="32"/>
          <w:szCs w:val="32"/>
        </w:rPr>
        <w:t>万元，2021</w:t>
      </w:r>
      <w:r>
        <w:rPr>
          <w:rFonts w:hint="default" w:ascii="Times New Roman" w:hAnsi="Times New Roman" w:eastAsia="仿宋_GB2312" w:cs="Times New Roman"/>
          <w:sz w:val="32"/>
          <w:szCs w:val="32"/>
          <w:lang w:val="en-US" w:eastAsia="zh-CN"/>
        </w:rPr>
        <w:t>年21.25万元，同比</w:t>
      </w:r>
      <w:r>
        <w:rPr>
          <w:rFonts w:hint="default" w:ascii="Times New Roman" w:hAnsi="Times New Roman" w:eastAsia="仿宋_GB2312" w:cs="Times New Roman"/>
          <w:sz w:val="32"/>
          <w:szCs w:val="32"/>
        </w:rPr>
        <w:t>年减少</w:t>
      </w:r>
      <w:r>
        <w:rPr>
          <w:rFonts w:hint="default" w:ascii="Times New Roman" w:hAnsi="Times New Roman" w:eastAsia="仿宋_GB2312" w:cs="Times New Roman"/>
          <w:sz w:val="32"/>
          <w:szCs w:val="32"/>
          <w:lang w:val="en-US" w:eastAsia="zh-CN"/>
        </w:rPr>
        <w:t>1.72</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2022年度我单位公务用车减少，公务用车运行经费减少。</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62" w:name="_Toc15377223"/>
      <w:r>
        <w:rPr>
          <w:rFonts w:hint="default" w:ascii="Times New Roman" w:hAnsi="Times New Roman" w:eastAsia="仿宋" w:cs="Times New Roman"/>
          <w:b/>
          <w:sz w:val="32"/>
          <w:szCs w:val="32"/>
        </w:rPr>
        <w:t>（二）政府采购支出情况</w:t>
      </w:r>
      <w:bookmarkEnd w:id="62"/>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我单位</w:t>
      </w:r>
      <w:r>
        <w:rPr>
          <w:rFonts w:hint="default" w:ascii="Times New Roman" w:hAnsi="Times New Roman" w:eastAsia="仿宋_GB2312" w:cs="Times New Roman"/>
          <w:sz w:val="32"/>
          <w:szCs w:val="32"/>
        </w:rPr>
        <w:t>政府采购支出总额</w:t>
      </w:r>
      <w:r>
        <w:rPr>
          <w:rFonts w:hint="default" w:ascii="Times New Roman" w:hAnsi="Times New Roman" w:eastAsia="仿宋_GB2312" w:cs="Times New Roman"/>
          <w:sz w:val="32"/>
          <w:szCs w:val="32"/>
          <w:lang w:val="en-US" w:eastAsia="zh-CN"/>
        </w:rPr>
        <w:t>0.68</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0.68</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采购一台笔记本电脑</w:t>
      </w:r>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0.68</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0.68</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63" w:name="_Toc15377224"/>
      <w:r>
        <w:rPr>
          <w:rFonts w:hint="default" w:ascii="Times New Roman" w:hAnsi="Times New Roman" w:eastAsia="仿宋" w:cs="Times New Roman"/>
          <w:b/>
          <w:sz w:val="32"/>
          <w:szCs w:val="32"/>
        </w:rPr>
        <w:t>（三）国有资产占有使用情况</w:t>
      </w:r>
      <w:bookmarkEnd w:id="63"/>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截至2022年12月31日，共有车辆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val="en-US" w:eastAsia="zh-CN"/>
        </w:rPr>
        <w:t>2022年报我单位公务用车已作报废处理</w:t>
      </w:r>
      <w:r>
        <w:rPr>
          <w:rFonts w:hint="default" w:ascii="Times New Roman" w:hAnsi="Times New Roman" w:eastAsia="仿宋_GB2312" w:cs="Times New Roman"/>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（四）预算绩效管理情况</w:t>
      </w:r>
    </w:p>
    <w:p>
      <w:pPr>
        <w:pStyle w:val="2"/>
        <w:spacing w:before="93"/>
        <w:ind w:firstLine="640" w:firstLineChars="200"/>
        <w:rPr>
          <w:rFonts w:hint="default" w:ascii="Times New Roman" w:hAnsi="Times New Roman" w:cs="Times New Roman"/>
          <w:highlight w:val="yellow"/>
        </w:rPr>
      </w:pPr>
      <w:r>
        <w:rPr>
          <w:rFonts w:hint="default" w:ascii="Times New Roman" w:hAnsi="Times New Roman" w:cs="Times New Roman"/>
          <w:sz w:val="32"/>
          <w:szCs w:val="32"/>
        </w:rPr>
        <w:t>根据预算绩效管理要求，本单位在2022年度预算编制阶段，组织对</w:t>
      </w:r>
      <w:r>
        <w:rPr>
          <w:rFonts w:hint="default" w:ascii="Times New Roman" w:hAnsi="Times New Roman" w:cs="Times New Roman"/>
          <w:sz w:val="32"/>
          <w:szCs w:val="32"/>
          <w:lang w:val="en-US" w:eastAsia="zh-CN"/>
        </w:rPr>
        <w:t>离退休党员干部活动费、离退休机构运营及维修维护费、办公设备购置3</w:t>
      </w:r>
      <w:r>
        <w:rPr>
          <w:rFonts w:hint="default" w:ascii="Times New Roman" w:hAnsi="Times New Roman" w:cs="Times New Roman"/>
          <w:sz w:val="32"/>
          <w:szCs w:val="32"/>
        </w:rPr>
        <w:t>个项目开展了预算事前绩效评估，对</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个项目编制了绩效目标，预算执行过程中，选取</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个项目开展绩效监控，组织对</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个项目开展绩效自评，绩效自评表详见第四部分附件。</w:t>
      </w:r>
    </w:p>
    <w:p>
      <w:pPr>
        <w:widowControl w:val="0"/>
        <w:numPr>
          <w:ilvl w:val="0"/>
          <w:numId w:val="0"/>
        </w:numPr>
        <w:spacing w:line="600" w:lineRule="exact"/>
        <w:jc w:val="center"/>
        <w:outlineLvl w:val="9"/>
        <w:rPr>
          <w:rStyle w:val="17"/>
          <w:rFonts w:hint="default" w:ascii="Times New Roman" w:hAnsi="Times New Roman" w:eastAsia="黑体" w:cs="Times New Roman"/>
          <w:b w:val="0"/>
        </w:rPr>
      </w:pPr>
      <w:bookmarkStart w:id="64" w:name="_Toc15377225"/>
      <w:bookmarkStart w:id="65" w:name="_Toc15396613"/>
    </w:p>
    <w:p>
      <w:pPr>
        <w:pStyle w:val="2"/>
        <w:rPr>
          <w:rStyle w:val="17"/>
          <w:rFonts w:hint="default" w:ascii="Times New Roman" w:hAnsi="Times New Roman" w:eastAsia="黑体" w:cs="Times New Roman"/>
          <w:b w:val="0"/>
        </w:rPr>
      </w:pPr>
    </w:p>
    <w:p>
      <w:pPr>
        <w:pStyle w:val="2"/>
        <w:rPr>
          <w:rStyle w:val="17"/>
          <w:rFonts w:hint="default" w:ascii="Times New Roman" w:hAnsi="Times New Roman" w:eastAsia="黑体" w:cs="Times New Roman"/>
          <w:b w:val="0"/>
        </w:rPr>
      </w:pPr>
    </w:p>
    <w:p>
      <w:pPr>
        <w:pStyle w:val="2"/>
        <w:rPr>
          <w:rStyle w:val="17"/>
          <w:rFonts w:hint="default" w:ascii="Times New Roman" w:hAnsi="Times New Roman" w:eastAsia="黑体" w:cs="Times New Roman"/>
          <w:b w:val="0"/>
        </w:rPr>
      </w:pPr>
    </w:p>
    <w:p>
      <w:pPr>
        <w:pStyle w:val="2"/>
        <w:rPr>
          <w:rStyle w:val="17"/>
          <w:rFonts w:hint="default" w:ascii="Times New Roman" w:hAnsi="Times New Roman" w:eastAsia="黑体" w:cs="Times New Roman"/>
          <w:b w:val="0"/>
        </w:rPr>
      </w:pPr>
    </w:p>
    <w:p>
      <w:pPr>
        <w:pStyle w:val="2"/>
        <w:rPr>
          <w:rStyle w:val="17"/>
          <w:rFonts w:hint="default" w:ascii="Times New Roman" w:hAnsi="Times New Roman" w:eastAsia="黑体" w:cs="Times New Roman"/>
          <w:b w:val="0"/>
        </w:rPr>
      </w:pPr>
    </w:p>
    <w:p>
      <w:pPr>
        <w:pStyle w:val="2"/>
        <w:rPr>
          <w:rStyle w:val="17"/>
          <w:rFonts w:hint="default" w:ascii="Times New Roman" w:hAnsi="Times New Roman" w:eastAsia="黑体" w:cs="Times New Roman"/>
          <w:b w:val="0"/>
        </w:rPr>
      </w:pPr>
    </w:p>
    <w:p>
      <w:pPr>
        <w:numPr>
          <w:ilvl w:val="0"/>
          <w:numId w:val="0"/>
        </w:numPr>
        <w:spacing w:line="600" w:lineRule="exact"/>
        <w:ind w:leftChars="150"/>
        <w:jc w:val="center"/>
        <w:outlineLvl w:val="0"/>
        <w:rPr>
          <w:rStyle w:val="17"/>
          <w:rFonts w:hint="default" w:ascii="Times New Roman" w:hAnsi="Times New Roman" w:eastAsia="黑体" w:cs="Times New Roman"/>
          <w:b w:val="0"/>
        </w:rPr>
      </w:pPr>
      <w:bookmarkStart w:id="66" w:name="_Toc7051"/>
      <w:r>
        <w:rPr>
          <w:rFonts w:hint="eastAsia" w:eastAsia="黑体" w:cs="Times New Roman"/>
          <w:sz w:val="44"/>
          <w:szCs w:val="44"/>
          <w:lang w:val="en-US" w:eastAsia="zh-CN"/>
        </w:rPr>
        <w:t xml:space="preserve">第三部分  </w:t>
      </w:r>
      <w:r>
        <w:rPr>
          <w:rFonts w:hint="default" w:ascii="Times New Roman" w:hAnsi="Times New Roman" w:eastAsia="黑体" w:cs="Times New Roman"/>
          <w:sz w:val="44"/>
          <w:szCs w:val="44"/>
        </w:rPr>
        <w:t>名</w:t>
      </w:r>
      <w:r>
        <w:rPr>
          <w:rStyle w:val="17"/>
          <w:rFonts w:hint="default" w:ascii="Times New Roman" w:hAnsi="Times New Roman" w:eastAsia="黑体" w:cs="Times New Roman"/>
          <w:b w:val="0"/>
        </w:rPr>
        <w:t>词解释</w:t>
      </w:r>
      <w:bookmarkEnd w:id="64"/>
      <w:bookmarkEnd w:id="65"/>
      <w:bookmarkEnd w:id="66"/>
    </w:p>
    <w:p>
      <w:pPr>
        <w:spacing w:line="600" w:lineRule="exact"/>
        <w:jc w:val="left"/>
        <w:rPr>
          <w:rFonts w:hint="default" w:ascii="Times New Roman" w:hAnsi="Times New Roman" w:cs="Times New Roman"/>
          <w:b/>
          <w:sz w:val="44"/>
          <w:szCs w:val="44"/>
        </w:rPr>
      </w:pP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2.事业收入：指事业单位开展专业业务活动及辅助活动取得的收入。3.经营收入：指事业单位在专业业务活动及其辅助活动之外开展非独立核算经营活动取得的收入。</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4.其他收入：指单位取得的除上述收入以外的各项收入。主要是</w:t>
      </w:r>
      <w:r>
        <w:rPr>
          <w:rFonts w:hint="default" w:ascii="Times New Roman" w:hAnsi="Times New Roman" w:eastAsia="仿宋_GB2312" w:cs="Times New Roman"/>
          <w:color w:val="auto"/>
          <w:sz w:val="32"/>
          <w:szCs w:val="32"/>
          <w:lang w:val="en-US" w:eastAsia="zh-CN"/>
        </w:rPr>
        <w:t>利息收入</w:t>
      </w:r>
      <w:r>
        <w:rPr>
          <w:rFonts w:hint="default" w:ascii="Times New Roman" w:hAnsi="Times New Roman" w:eastAsia="仿宋_GB2312" w:cs="Times New Roman"/>
          <w:color w:val="auto"/>
          <w:sz w:val="32"/>
          <w:szCs w:val="32"/>
        </w:rPr>
        <w:t xml:space="preserve">等。 </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5.使用非财政拨款结余：指事业单位使用以前年度积累的非财政拨款结余弥补当年收支差额的金额。 </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6.年初结转和结余：指以前年度尚未完成、结转到本年按有关规定继续使用的资金。 </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8.年末结转和结余：指单位按有关规定结转到下年或以后年度继续使用的资金。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9.一般公共服务：指</w:t>
      </w:r>
      <w:r>
        <w:rPr>
          <w:rFonts w:hint="default" w:ascii="Times New Roman" w:hAnsi="Times New Roman" w:eastAsia="仿宋_GB2312" w:cs="Times New Roman"/>
          <w:sz w:val="32"/>
          <w:szCs w:val="32"/>
          <w:lang w:val="en-US" w:eastAsia="zh-CN"/>
        </w:rPr>
        <w:t>人员经费及公用经费等支出</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.社会保障和就业：指</w:t>
      </w:r>
      <w:r>
        <w:rPr>
          <w:rFonts w:hint="default" w:ascii="Times New Roman" w:hAnsi="Times New Roman" w:eastAsia="仿宋_GB2312" w:cs="Times New Roman"/>
          <w:sz w:val="32"/>
          <w:szCs w:val="32"/>
          <w:lang w:val="en-US" w:eastAsia="zh-CN"/>
        </w:rPr>
        <w:t>职业年金、养老保险等支出</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.卫生健康：指</w:t>
      </w:r>
      <w:r>
        <w:rPr>
          <w:rFonts w:hint="default" w:ascii="Times New Roman" w:hAnsi="Times New Roman" w:eastAsia="仿宋_GB2312" w:cs="Times New Roman"/>
          <w:sz w:val="32"/>
          <w:szCs w:val="32"/>
          <w:lang w:val="en-US" w:eastAsia="zh-CN"/>
        </w:rPr>
        <w:t>基本医疗保险、公务员医疗补助等支出</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.住房保障：指</w:t>
      </w:r>
      <w:r>
        <w:rPr>
          <w:rFonts w:hint="default" w:ascii="Times New Roman" w:hAnsi="Times New Roman" w:eastAsia="仿宋_GB2312" w:cs="Times New Roman"/>
          <w:sz w:val="32"/>
          <w:szCs w:val="32"/>
          <w:lang w:val="en-US" w:eastAsia="zh-CN"/>
        </w:rPr>
        <w:t>住房公积金支出</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eastAsia="仿宋_GB2312" w:cs="Times New Roman"/>
          <w:color w:val="auto"/>
          <w:sz w:val="32"/>
          <w:szCs w:val="32"/>
          <w:lang w:val="en-US" w:eastAsia="zh-CN"/>
        </w:rPr>
        <w:t>17</w:t>
      </w:r>
      <w:bookmarkStart w:id="102" w:name="_GoBack"/>
      <w:bookmarkEnd w:id="102"/>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72" w:lineRule="exact"/>
        <w:jc w:val="center"/>
        <w:textAlignment w:val="auto"/>
        <w:outlineLvl w:val="0"/>
        <w:rPr>
          <w:rStyle w:val="17"/>
          <w:rFonts w:hint="default" w:ascii="Times New Roman" w:hAnsi="Times New Roman" w:eastAsia="黑体" w:cs="Times New Roman"/>
          <w:b w:val="0"/>
        </w:rPr>
      </w:pPr>
      <w:bookmarkStart w:id="67" w:name="_Toc15377226"/>
      <w:r>
        <w:rPr>
          <w:rFonts w:hint="default" w:ascii="Times New Roman" w:hAnsi="Times New Roman" w:cs="Times New Roman"/>
          <w:b/>
          <w:sz w:val="44"/>
          <w:szCs w:val="44"/>
        </w:rPr>
        <w:br w:type="page"/>
      </w:r>
      <w:bookmarkStart w:id="68" w:name="_Toc15396614"/>
      <w:bookmarkStart w:id="69" w:name="_Toc22629"/>
      <w:r>
        <w:rPr>
          <w:rFonts w:hint="default" w:ascii="Times New Roman" w:hAnsi="Times New Roman" w:eastAsia="黑体" w:cs="Times New Roman"/>
          <w:sz w:val="44"/>
          <w:szCs w:val="44"/>
        </w:rPr>
        <w:t>第</w:t>
      </w:r>
      <w:r>
        <w:rPr>
          <w:rStyle w:val="17"/>
          <w:rFonts w:hint="default" w:ascii="Times New Roman" w:hAnsi="Times New Roman" w:eastAsia="黑体" w:cs="Times New Roman"/>
          <w:b w:val="0"/>
        </w:rPr>
        <w:t>四部分 附件</w:t>
      </w:r>
      <w:bookmarkEnd w:id="68"/>
      <w:bookmarkEnd w:id="69"/>
    </w:p>
    <w:p>
      <w:pPr>
        <w:keepNext w:val="0"/>
        <w:keepLines w:val="0"/>
        <w:pageBreakBefore w:val="0"/>
        <w:kinsoku/>
        <w:wordWrap/>
        <w:overflowPunct/>
        <w:topLinePunct w:val="0"/>
        <w:autoSpaceDE/>
        <w:autoSpaceDN/>
        <w:bidi w:val="0"/>
        <w:adjustRightInd/>
        <w:snapToGrid/>
        <w:spacing w:line="572" w:lineRule="exact"/>
        <w:jc w:val="left"/>
        <w:textAlignment w:val="auto"/>
        <w:outlineLvl w:val="1"/>
        <w:rPr>
          <w:rFonts w:hint="default" w:ascii="Times New Roman" w:hAnsi="Times New Roman" w:eastAsia="方正小标宋简体" w:cs="Times New Roman"/>
          <w:sz w:val="44"/>
          <w:szCs w:val="44"/>
        </w:rPr>
      </w:pPr>
      <w:bookmarkStart w:id="70" w:name="_Toc12724"/>
      <w:r>
        <w:rPr>
          <w:rFonts w:hint="default" w:ascii="Times New Roman" w:hAnsi="Times New Roman" w:eastAsia="黑体" w:cs="Times New Roman"/>
          <w:sz w:val="32"/>
          <w:szCs w:val="32"/>
        </w:rPr>
        <w:t>附件</w:t>
      </w:r>
      <w:bookmarkEnd w:id="70"/>
    </w:p>
    <w:p>
      <w:pPr>
        <w:keepNext w:val="0"/>
        <w:keepLines w:val="0"/>
        <w:pageBreakBefore w:val="0"/>
        <w:widowControl/>
        <w:kinsoku/>
        <w:wordWrap/>
        <w:overflowPunct/>
        <w:topLinePunct w:val="0"/>
        <w:autoSpaceDE/>
        <w:autoSpaceDN/>
        <w:bidi w:val="0"/>
        <w:adjustRightInd/>
        <w:snapToGrid/>
        <w:spacing w:line="572" w:lineRule="exact"/>
        <w:contextualSpacing/>
        <w:jc w:val="center"/>
        <w:textAlignment w:val="auto"/>
        <w:rPr>
          <w:rFonts w:hint="default" w:ascii="Times New Roman" w:hAnsi="Times New Roman" w:cs="Times New Roman"/>
          <w:b/>
          <w:sz w:val="32"/>
          <w:szCs w:val="32"/>
          <w:shd w:val="clear" w:color="auto" w:fill="FFFFFF"/>
        </w:rPr>
      </w:pPr>
      <w:r>
        <w:rPr>
          <w:rFonts w:hint="default" w:ascii="Times New Roman" w:hAnsi="Times New Roman" w:cs="Times New Roman"/>
          <w:b/>
          <w:sz w:val="32"/>
          <w:szCs w:val="32"/>
          <w:shd w:val="clear" w:color="auto" w:fill="FFFFFF"/>
        </w:rPr>
        <w:t>202</w:t>
      </w:r>
      <w:r>
        <w:rPr>
          <w:rFonts w:hint="default" w:ascii="Times New Roman" w:hAnsi="Times New Roman" w:cs="Times New Roman"/>
          <w:b/>
          <w:sz w:val="32"/>
          <w:szCs w:val="32"/>
          <w:shd w:val="clear" w:color="auto" w:fill="FFFFFF"/>
          <w:lang w:val="en-US" w:eastAsia="zh-CN"/>
        </w:rPr>
        <w:t>2</w:t>
      </w:r>
      <w:r>
        <w:rPr>
          <w:rFonts w:hint="default" w:ascii="Times New Roman" w:hAnsi="Times New Roman" w:cs="Times New Roman"/>
          <w:b/>
          <w:sz w:val="32"/>
          <w:szCs w:val="32"/>
          <w:shd w:val="clear" w:color="auto" w:fill="FFFFFF"/>
        </w:rPr>
        <w:t>年州级部门整体绩效评价报告</w:t>
      </w:r>
    </w:p>
    <w:p>
      <w:pPr>
        <w:keepNext w:val="0"/>
        <w:keepLines w:val="0"/>
        <w:pageBreakBefore w:val="0"/>
        <w:kinsoku/>
        <w:wordWrap/>
        <w:overflowPunct/>
        <w:topLinePunct w:val="0"/>
        <w:autoSpaceDE/>
        <w:autoSpaceDN/>
        <w:bidi w:val="0"/>
        <w:adjustRightInd/>
        <w:snapToGrid/>
        <w:spacing w:line="572" w:lineRule="exact"/>
        <w:jc w:val="center"/>
        <w:textAlignment w:val="auto"/>
        <w:outlineLvl w:val="9"/>
        <w:rPr>
          <w:rStyle w:val="17"/>
          <w:rFonts w:hint="default" w:ascii="Times New Roman" w:hAnsi="Times New Roman" w:eastAsia="黑体" w:cs="Times New Roman"/>
          <w:b w:val="0"/>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default" w:ascii="黑体" w:hAnsi="黑体" w:eastAsia="黑体" w:cs="黑体"/>
          <w:sz w:val="32"/>
          <w:szCs w:val="32"/>
          <w:lang w:val="en-US" w:eastAsia="zh-CN"/>
        </w:rPr>
      </w:pPr>
      <w:bookmarkStart w:id="71" w:name="_Toc11429"/>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部门（单位）概况</w:t>
      </w:r>
      <w:bookmarkEnd w:id="71"/>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（一）机构组成。</w:t>
      </w:r>
      <w:r>
        <w:rPr>
          <w:rFonts w:hint="eastAsia" w:ascii="仿宋_GB2312" w:hAnsi="仿宋_GB2312" w:eastAsia="仿宋_GB2312" w:cs="仿宋_GB2312"/>
          <w:sz w:val="32"/>
          <w:szCs w:val="32"/>
          <w:lang w:val="en-US" w:eastAsia="zh-CN"/>
        </w:rPr>
        <w:t>我单位是独立二级预算事业单位。</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（二）机构职能。</w:t>
      </w:r>
      <w:r>
        <w:rPr>
          <w:rFonts w:hint="eastAsia" w:ascii="仿宋_GB2312" w:hAnsi="仿宋_GB2312" w:eastAsia="仿宋_GB2312" w:cs="仿宋_GB2312"/>
          <w:sz w:val="32"/>
          <w:szCs w:val="32"/>
          <w:lang w:val="en-US" w:eastAsia="zh-CN"/>
        </w:rPr>
        <w:t>根据阿编发〔1997〕3号文件规定，主要职责是：组织退休职工学习时事、政治并通报有关情况，及时了解党的路线、方针、政策和国内外大事；组织他们开展有益的活动，丰富晚年生活；协助、配合有关单位解决他们的有关问题；使他们老有所为，积极为各项社会、经济事业发挥余热；负责休养所的日常管理，为退休职工提供管理服务工作。</w:t>
      </w:r>
    </w:p>
    <w:p>
      <w:pPr>
        <w:pStyle w:val="26"/>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（三）人员概况。</w:t>
      </w:r>
      <w:r>
        <w:rPr>
          <w:rFonts w:hint="eastAsia" w:ascii="仿宋_GB2312" w:hAnsi="仿宋_GB2312" w:eastAsia="仿宋_GB2312" w:cs="仿宋_GB2312"/>
          <w:kern w:val="2"/>
          <w:sz w:val="32"/>
          <w:szCs w:val="32"/>
          <w:lang w:val="en-US" w:eastAsia="zh-CN" w:bidi="ar-SA"/>
        </w:rPr>
        <w:t>2022年年末实有人数为7人，在职人数为6人，离休人员1人。同比增加1人，其原因是通过2022年度遴选进入；年末实有退休人数为7人。</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黑体" w:hAnsi="黑体" w:eastAsia="黑体" w:cs="黑体"/>
          <w:sz w:val="32"/>
          <w:szCs w:val="32"/>
          <w:lang w:val="en-US" w:eastAsia="zh-CN"/>
        </w:rPr>
      </w:pPr>
      <w:bookmarkStart w:id="72" w:name="_Toc17380"/>
      <w:r>
        <w:rPr>
          <w:rFonts w:hint="eastAsia" w:ascii="黑体" w:hAnsi="黑体" w:eastAsia="黑体" w:cs="黑体"/>
          <w:sz w:val="32"/>
          <w:szCs w:val="32"/>
          <w:lang w:val="en-US" w:eastAsia="zh-CN"/>
        </w:rPr>
        <w:t>二、部门财政资金收支情况</w:t>
      </w:r>
      <w:bookmarkEnd w:id="72"/>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（一）收入支出预算安排情况。</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本年度收入的年初预算数为146.92万元，上年度收入的年初预算数为212.02万元，差异为-65.10万元；主要原因为：本年预算不包括目标绩效和离退休生活补贴40余万元，在执行时作为追加经费。本年度支出的年初预算数为 146.92万元，上年度支出的年初预算数为212.02万元，差异为-65.10万元；主要原因为原因：本年预算不包括目标绩效和离退休生活补贴40余万元，在执行时作为追加经费。</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（二）收入支出预算执行情况。</w:t>
      </w:r>
    </w:p>
    <w:p>
      <w:pPr>
        <w:pStyle w:val="26"/>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本单位本年度收入全年预算数为196.13万元，收入决算数为196.13万元，预算完成度为100.00%，上年度预算完成度为100.00%。 本年度支出全年预算数为196.13万元，支出决算数为196.13万元，预算完成度为100.00%。</w:t>
      </w:r>
    </w:p>
    <w:p>
      <w:pPr>
        <w:pStyle w:val="26"/>
        <w:keepNext w:val="0"/>
        <w:keepLines w:val="0"/>
        <w:pageBreakBefore w:val="0"/>
        <w:widowControl w:val="0"/>
        <w:kinsoku/>
        <w:wordWrap/>
        <w:overflowPunct/>
        <w:topLinePunct w:val="0"/>
        <w:autoSpaceDE/>
        <w:autoSpaceDN/>
        <w:bidi w:val="0"/>
        <w:adjustRightInd/>
        <w:snapToGrid/>
        <w:spacing w:line="572" w:lineRule="exact"/>
        <w:ind w:firstLine="321"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按照收入支出结构分析。</w:t>
      </w:r>
      <w:r>
        <w:rPr>
          <w:rFonts w:hint="eastAsia" w:ascii="仿宋_GB2312" w:hAnsi="仿宋_GB2312" w:eastAsia="仿宋_GB2312" w:cs="仿宋_GB2312"/>
          <w:kern w:val="2"/>
          <w:sz w:val="32"/>
          <w:szCs w:val="32"/>
          <w:lang w:val="en-US" w:eastAsia="zh-CN" w:bidi="ar-SA"/>
        </w:rPr>
        <w:t>本单位本年度总收入为196.13万元。其中：一般公共预算财政拨款收入为196.13万元，占比100.00%。本年度总支出为196.13万元。其中：一般公共服务支出为163.82万元，占比83.53%；社会保障和就业支出为15.31万元，占比7.81%；卫生健康支出为8.40万元，占比4.28%；住房保障支出为8.60万元，占比4.38%。一般公共预算财政拨款收入相比上年度增加22.74万元，主要原因为：遴选增加1人，同比社会保障和就业支出相比上年度增加3.58万元，卫生健康支出相比上年度增加2.46万元，住房保障支出同比上年度增加0.83万元。</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按照支出按经济分类科目分析。</w:t>
      </w:r>
      <w:r>
        <w:rPr>
          <w:rFonts w:hint="eastAsia" w:ascii="仿宋_GB2312" w:hAnsi="仿宋_GB2312" w:eastAsia="仿宋_GB2312" w:cs="仿宋_GB2312"/>
          <w:kern w:val="2"/>
          <w:sz w:val="32"/>
          <w:szCs w:val="32"/>
          <w:lang w:val="en-US" w:eastAsia="zh-CN" w:bidi="ar-SA"/>
        </w:rPr>
        <w:t xml:space="preserve"> “三公”经费支出情况：本单位本年度“三公”经费支出决算数为1.27万元。公务用车购置及运行维护费支出决算数为1.27万元，相比上年度增加-0.39万元，主要原因为：疫情影响，出行用车减少。 本年度“三公”经费支出预算数为1.27万元，决算数为1.27万元，预算完成度为100.00%，公务用车购置及运行维护费人均支出为0.18万元，主要原因为：疫情影响，出行用车减少。会议费支出情况：本单位本年度会议费支出决算数为0.00万元，相比上年度增加0.00万元。培训费支出情况：本单位本年度培训费支出决算数为0.52万元，相比上年度增加0.52万元，主要原因为：去年参加培训昌盛的费用列入办公经费和差旅费中。</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财政拨款收入、支出分析。</w:t>
      </w:r>
      <w:r>
        <w:rPr>
          <w:rFonts w:hint="eastAsia" w:ascii="仿宋_GB2312" w:hAnsi="仿宋_GB2312" w:eastAsia="仿宋_GB2312" w:cs="仿宋_GB2312"/>
          <w:kern w:val="2"/>
          <w:sz w:val="32"/>
          <w:szCs w:val="32"/>
          <w:lang w:val="en-US" w:eastAsia="zh-CN" w:bidi="ar-SA"/>
        </w:rPr>
        <w:t>本单位本年度财政拨款收入为196.13万元，财政拨款支出为196.13万元，其中：基本支出中人员经费支出为162.59万元，公用经费支出为19.53万元。项目支出中基本建设类项目支出为0.00万元，</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支出按照基本支出和项目支出分析。基本支出</w:t>
      </w:r>
      <w:r>
        <w:rPr>
          <w:rFonts w:hint="eastAsia" w:ascii="仿宋_GB2312" w:hAnsi="仿宋_GB2312" w:eastAsia="仿宋_GB2312" w:cs="仿宋_GB2312"/>
          <w:kern w:val="2"/>
          <w:sz w:val="32"/>
          <w:szCs w:val="32"/>
          <w:lang w:val="en-US" w:eastAsia="zh-CN" w:bidi="ar-SA"/>
        </w:rPr>
        <w:t>中人员经费支出主要包括：基本工29.30万元、津贴补贴60.15万元、奖金2.63万元、伙食补助费1.20万元、机关事业单位基本养老保险缴费10.21万元、职业年金缴费5.10万元、职工基本医疗保险缴费6.35万元、公务员医疗补助缴费2.05万元、其他社会保障缴费0.87万元、离休费19.16万元、生活补助18.17万元，住房公积金8.60万元等；</w:t>
      </w:r>
      <w:r>
        <w:rPr>
          <w:rFonts w:hint="eastAsia" w:ascii="仿宋_GB2312" w:hAnsi="仿宋_GB2312" w:eastAsia="仿宋_GB2312" w:cs="仿宋_GB2312"/>
          <w:b/>
          <w:bCs/>
          <w:kern w:val="2"/>
          <w:sz w:val="32"/>
          <w:szCs w:val="32"/>
          <w:lang w:val="en-US" w:eastAsia="zh-CN" w:bidi="ar-SA"/>
        </w:rPr>
        <w:t>公用经费支出21.25万元</w:t>
      </w:r>
      <w:r>
        <w:rPr>
          <w:rFonts w:hint="eastAsia" w:ascii="仿宋_GB2312" w:hAnsi="仿宋_GB2312" w:eastAsia="仿宋_GB2312" w:cs="仿宋_GB2312"/>
          <w:kern w:val="2"/>
          <w:sz w:val="32"/>
          <w:szCs w:val="32"/>
          <w:lang w:val="en-US" w:eastAsia="zh-CN" w:bidi="ar-SA"/>
        </w:rPr>
        <w:t>，主要包括：办公费1.47万元、水费0.13万元、电费0.22万元、邮电费1.47万元、物业管理费9.12万元、差旅费1.44万元、工会经费1.37万元、公务用车运行维护费1.27万元、福利费1.53万元、培训费0.52万元其他商品服务1.52万元等。</w:t>
      </w:r>
      <w:r>
        <w:rPr>
          <w:rFonts w:hint="eastAsia" w:ascii="仿宋_GB2312" w:hAnsi="仿宋_GB2312" w:eastAsia="仿宋_GB2312" w:cs="仿宋_GB2312"/>
          <w:b/>
          <w:bCs/>
          <w:kern w:val="2"/>
          <w:sz w:val="32"/>
          <w:szCs w:val="32"/>
          <w:lang w:val="en-US" w:eastAsia="zh-CN" w:bidi="ar-SA"/>
        </w:rPr>
        <w:t>项目支出14.01万元。</w:t>
      </w:r>
      <w:r>
        <w:rPr>
          <w:rFonts w:hint="eastAsia" w:ascii="仿宋_GB2312" w:hAnsi="仿宋_GB2312" w:eastAsia="仿宋_GB2312" w:cs="仿宋_GB2312"/>
          <w:kern w:val="2"/>
          <w:sz w:val="32"/>
          <w:szCs w:val="32"/>
          <w:lang w:val="en-US" w:eastAsia="zh-CN" w:bidi="ar-SA"/>
        </w:rPr>
        <w:t>分别为：离退休党员干部活动费9.29万元，维修维护费4.04万元，办公设备购置0.68万元。</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default" w:ascii="黑体" w:hAnsi="黑体" w:eastAsia="黑体" w:cs="黑体"/>
          <w:sz w:val="32"/>
          <w:szCs w:val="32"/>
          <w:lang w:val="en-US" w:eastAsia="zh-CN"/>
        </w:rPr>
      </w:pPr>
      <w:bookmarkStart w:id="73" w:name="_Toc20450"/>
      <w:r>
        <w:rPr>
          <w:rFonts w:hint="default" w:ascii="黑体" w:hAnsi="黑体" w:eastAsia="黑体" w:cs="黑体"/>
          <w:sz w:val="32"/>
          <w:szCs w:val="32"/>
          <w:lang w:val="en-US" w:eastAsia="zh-CN"/>
        </w:rPr>
        <w:t>三、部门整体预算绩效管理情况</w:t>
      </w:r>
      <w:bookmarkEnd w:id="73"/>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（一）部门预算管理</w:t>
      </w:r>
    </w:p>
    <w:p>
      <w:pPr>
        <w:keepNext w:val="0"/>
        <w:keepLines w:val="0"/>
        <w:pageBreakBefore w:val="0"/>
        <w:widowControl w:val="0"/>
        <w:kinsoku/>
        <w:wordWrap/>
        <w:overflowPunct/>
        <w:topLinePunct w:val="0"/>
        <w:autoSpaceDE/>
        <w:autoSpaceDN/>
        <w:bidi w:val="0"/>
        <w:adjustRightInd/>
        <w:snapToGrid/>
        <w:spacing w:line="572" w:lineRule="exact"/>
        <w:ind w:firstLine="663" w:firstLineChars="221"/>
        <w:textAlignment w:val="auto"/>
        <w:rPr>
          <w:rFonts w:hint="default" w:ascii="Times New Roman" w:hAnsi="Times New Roman" w:eastAsia="仿宋" w:cs="Times New Roman"/>
          <w:lang w:val="en-US" w:eastAsia="zh-CN"/>
        </w:rPr>
      </w:pPr>
      <w:r>
        <w:rPr>
          <w:rFonts w:hint="default" w:ascii="Times New Roman" w:hAnsi="Times New Roman" w:eastAsia="仿宋" w:cs="Times New Roman"/>
          <w:sz w:val="30"/>
          <w:szCs w:val="30"/>
          <w:lang w:val="en-US" w:eastAsia="zh-CN"/>
        </w:rPr>
        <w:t>我单位预算是由收入预算和支出预算组成，向财政局申报预算，财政局对我单位实行收支统一管理，我单位在年初根据年度工作计划和相应支出需求，结合上年度预算执行情况及结转和结余情况编制当年预算，财政局批复后按照收支平衡的原则、合理安排各项资金。2022年度收入总额</w:t>
      </w:r>
      <w:r>
        <w:rPr>
          <w:rFonts w:hint="default" w:ascii="Times New Roman" w:hAnsi="Times New Roman" w:eastAsia="仿宋" w:cs="Times New Roman"/>
          <w:sz w:val="30"/>
          <w:szCs w:val="30"/>
        </w:rPr>
        <w:t>196.13万元，</w:t>
      </w:r>
      <w:r>
        <w:rPr>
          <w:rFonts w:hint="default" w:ascii="Times New Roman" w:hAnsi="Times New Roman" w:eastAsia="仿宋" w:cs="Times New Roman"/>
          <w:sz w:val="30"/>
          <w:szCs w:val="30"/>
          <w:lang w:val="en-US" w:eastAsia="zh-CN"/>
        </w:rPr>
        <w:t>支出</w:t>
      </w:r>
      <w:r>
        <w:rPr>
          <w:rFonts w:hint="default" w:ascii="Times New Roman" w:hAnsi="Times New Roman" w:eastAsia="仿宋" w:cs="Times New Roman"/>
          <w:sz w:val="30"/>
          <w:szCs w:val="30"/>
        </w:rPr>
        <w:t>总额</w:t>
      </w:r>
      <w:r>
        <w:rPr>
          <w:rFonts w:hint="default" w:ascii="Times New Roman" w:hAnsi="Times New Roman" w:eastAsia="仿宋" w:cs="Times New Roman"/>
          <w:sz w:val="30"/>
          <w:szCs w:val="30"/>
          <w:lang w:val="en-US" w:eastAsia="zh-CN"/>
        </w:rPr>
        <w:t>196.13</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val="en-US" w:eastAsia="zh-CN"/>
        </w:rPr>
        <w:t>其中：项目3个、项目资金14.01万元，50万以上项目0个。绩效自评为88分。</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结果运用情况</w:t>
      </w:r>
    </w:p>
    <w:p>
      <w:pPr>
        <w:pStyle w:val="2"/>
        <w:keepNext w:val="0"/>
        <w:keepLines w:val="0"/>
        <w:pageBreakBefore w:val="0"/>
        <w:kinsoku/>
        <w:wordWrap/>
        <w:overflowPunct/>
        <w:topLinePunct w:val="0"/>
        <w:autoSpaceDE/>
        <w:autoSpaceDN/>
        <w:bidi w:val="0"/>
        <w:adjustRightInd/>
        <w:snapToGrid/>
        <w:spacing w:before="0" w:beforeLines="0" w:line="572" w:lineRule="exact"/>
        <w:textAlignment w:val="auto"/>
        <w:rPr>
          <w:rFonts w:hint="default" w:ascii="Times New Roman" w:hAnsi="Times New Roman" w:cs="Times New Roman"/>
        </w:rPr>
      </w:pPr>
      <w:r>
        <w:rPr>
          <w:rFonts w:hint="default" w:ascii="Times New Roman" w:hAnsi="Times New Roman" w:eastAsia="仿宋" w:cs="Times New Roman"/>
          <w:kern w:val="2"/>
          <w:sz w:val="30"/>
          <w:szCs w:val="30"/>
          <w:lang w:val="en-US" w:eastAsia="zh-CN" w:bidi="ar-SA"/>
        </w:rPr>
        <w:t>我单位在部门整体预算绩效管理结果应用时，注重调整与挂钩。将事前绩效评估结果与新出台重大政策、新增项目设立挂钩，评估结果作为申请预算的必备要件；将绩效目标设置与预算编制挂钩，严格绩效目标审核；将绩效运行监控结果与预算调整及下年度预算安排挂钩，划定评分标准，对照不同等级分类采取结果应用措施。</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tbl>
      <w:tblPr>
        <w:tblStyle w:val="13"/>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396"/>
        <w:gridCol w:w="1206"/>
        <w:gridCol w:w="1402"/>
        <w:gridCol w:w="516"/>
        <w:gridCol w:w="754"/>
        <w:gridCol w:w="756"/>
        <w:gridCol w:w="1078"/>
        <w:gridCol w:w="508"/>
        <w:gridCol w:w="447"/>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bookmarkStart w:id="74" w:name="_Toc15396618"/>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8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51320021T000000046009-办公设备购置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州委老干部局部门</w:t>
            </w:r>
          </w:p>
        </w:tc>
        <w:tc>
          <w:tcPr>
            <w:tcW w:w="107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马尔康干休所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办证正常办公</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8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97.14%</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购买产品价格降低。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97.14%</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保证单位正常运转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批次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完成的较号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预算略高于支出数据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精准预算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5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项目负责人：马小兰</w:t>
            </w:r>
          </w:p>
        </w:tc>
        <w:tc>
          <w:tcPr>
            <w:tcW w:w="47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财务负责人：李金莲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8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51320022T000004817164-离退休机构运营及维修维护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州委老干部局部门</w:t>
            </w:r>
          </w:p>
        </w:tc>
        <w:tc>
          <w:tcPr>
            <w:tcW w:w="107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马尔康干休所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活动中心正常运营，院落安全整齐。为老同志老党员提供安全美丽生活、学习、活动场所。</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8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3.75</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3.75</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确保退休干部、党员或殴打那个阵地建设及日常运行</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座（处）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好</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严格按照预算完成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5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项目负责人：马小兰</w:t>
            </w:r>
          </w:p>
        </w:tc>
        <w:tc>
          <w:tcPr>
            <w:tcW w:w="47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财务负责人：李金莲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8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51320022T000004827488-离退休党员\干部活动费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州委老干部局部门</w:t>
            </w:r>
          </w:p>
        </w:tc>
        <w:tc>
          <w:tcPr>
            <w:tcW w:w="107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马尔康干休所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老同志满意、组织放心</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8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12.02</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84.16%</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老同志满意。组织放心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较好</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疫情影响，活动较少。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按照预算完成较好。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疫情影响，活动较少。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尽量做到精准预算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w:t>
            </w:r>
          </w:p>
        </w:tc>
        <w:tc>
          <w:tcPr>
            <w:tcW w:w="47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w:t>
            </w:r>
          </w:p>
        </w:tc>
      </w:tr>
    </w:tbl>
    <w:p>
      <w:pPr>
        <w:spacing w:line="600" w:lineRule="exact"/>
        <w:jc w:val="left"/>
        <w:outlineLvl w:val="9"/>
        <w:rPr>
          <w:rFonts w:hint="default" w:ascii="Times New Roman" w:hAnsi="Times New Roman" w:eastAsia="仿宋_GB2312" w:cs="Times New Roman"/>
          <w:kern w:val="0"/>
          <w:sz w:val="32"/>
          <w:szCs w:val="32"/>
        </w:rPr>
      </w:pPr>
    </w:p>
    <w:p>
      <w:pPr>
        <w:pStyle w:val="2"/>
        <w:spacing w:before="93"/>
        <w:rPr>
          <w:rFonts w:hint="default" w:ascii="Times New Roman" w:hAnsi="Times New Roman" w:cs="Times New Roman"/>
          <w:sz w:val="32"/>
          <w:szCs w:val="32"/>
        </w:rPr>
      </w:pPr>
    </w:p>
    <w:p>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p>
    <w:p>
      <w:pPr>
        <w:spacing w:line="600" w:lineRule="exact"/>
        <w:jc w:val="center"/>
        <w:outlineLvl w:val="0"/>
        <w:rPr>
          <w:rFonts w:hint="default" w:ascii="Times New Roman" w:hAnsi="Times New Roman" w:eastAsia="仿宋" w:cs="Times New Roman"/>
        </w:rPr>
      </w:pPr>
      <w:bookmarkStart w:id="75" w:name="_Toc14566"/>
      <w:r>
        <w:rPr>
          <w:rFonts w:hint="default" w:ascii="Times New Roman" w:hAnsi="Times New Roman" w:eastAsia="黑体" w:cs="Times New Roman"/>
          <w:sz w:val="44"/>
          <w:szCs w:val="44"/>
        </w:rPr>
        <w:t>第</w:t>
      </w:r>
      <w:r>
        <w:rPr>
          <w:rStyle w:val="17"/>
          <w:rFonts w:hint="default" w:ascii="Times New Roman" w:hAnsi="Times New Roman" w:eastAsia="黑体" w:cs="Times New Roman"/>
          <w:b w:val="0"/>
        </w:rPr>
        <w:t>五部分 附表</w:t>
      </w:r>
      <w:bookmarkEnd w:id="67"/>
      <w:bookmarkEnd w:id="74"/>
      <w:bookmarkEnd w:id="75"/>
      <w:bookmarkStart w:id="76" w:name="_Toc15396619"/>
    </w:p>
    <w:p>
      <w:pPr>
        <w:pStyle w:val="4"/>
        <w:outlineLvl w:val="9"/>
        <w:rPr>
          <w:rFonts w:hint="default" w:ascii="Times New Roman" w:hAnsi="Times New Roman" w:eastAsia="仿宋" w:cs="Times New Roman"/>
          <w:b w:val="0"/>
        </w:rPr>
      </w:pPr>
    </w:p>
    <w:p>
      <w:pPr>
        <w:pStyle w:val="4"/>
        <w:rPr>
          <w:rFonts w:hint="default" w:ascii="Times New Roman" w:hAnsi="Times New Roman" w:eastAsia="仿宋" w:cs="Times New Roman"/>
        </w:rPr>
      </w:pPr>
      <w:bookmarkStart w:id="77" w:name="_Toc4172"/>
      <w:r>
        <w:rPr>
          <w:rFonts w:hint="default" w:ascii="Times New Roman" w:hAnsi="Times New Roman" w:eastAsia="仿宋" w:cs="Times New Roman"/>
          <w:b w:val="0"/>
        </w:rPr>
        <w:t>一、收</w:t>
      </w:r>
      <w:r>
        <w:rPr>
          <w:rStyle w:val="18"/>
          <w:rFonts w:hint="default" w:ascii="Times New Roman" w:hAnsi="Times New Roman" w:eastAsia="仿宋" w:cs="Times New Roman"/>
          <w:b w:val="0"/>
          <w:bCs w:val="0"/>
        </w:rPr>
        <w:t>入支出决算总表</w:t>
      </w:r>
      <w:bookmarkEnd w:id="76"/>
      <w:bookmarkEnd w:id="77"/>
    </w:p>
    <w:p>
      <w:pPr>
        <w:pStyle w:val="4"/>
        <w:rPr>
          <w:rFonts w:hint="default" w:ascii="Times New Roman" w:hAnsi="Times New Roman" w:eastAsia="仿宋" w:cs="Times New Roman"/>
        </w:rPr>
      </w:pPr>
      <w:bookmarkStart w:id="78" w:name="_Toc15396620"/>
      <w:bookmarkStart w:id="79" w:name="_Toc26230"/>
      <w:r>
        <w:rPr>
          <w:rFonts w:hint="default" w:ascii="Times New Roman" w:hAnsi="Times New Roman" w:eastAsia="仿宋" w:cs="Times New Roman"/>
          <w:b w:val="0"/>
        </w:rPr>
        <w:t>二、收</w:t>
      </w:r>
      <w:r>
        <w:rPr>
          <w:rStyle w:val="18"/>
          <w:rFonts w:hint="default" w:ascii="Times New Roman" w:hAnsi="Times New Roman" w:eastAsia="仿宋" w:cs="Times New Roman"/>
          <w:b w:val="0"/>
          <w:bCs w:val="0"/>
        </w:rPr>
        <w:t>入决算表</w:t>
      </w:r>
      <w:bookmarkEnd w:id="78"/>
      <w:bookmarkEnd w:id="79"/>
    </w:p>
    <w:p>
      <w:pPr>
        <w:pStyle w:val="4"/>
        <w:rPr>
          <w:rFonts w:hint="default" w:ascii="Times New Roman" w:hAnsi="Times New Roman" w:eastAsia="仿宋" w:cs="Times New Roman"/>
        </w:rPr>
      </w:pPr>
      <w:bookmarkStart w:id="80" w:name="_Toc15396621"/>
      <w:bookmarkStart w:id="81" w:name="_Toc21458"/>
      <w:r>
        <w:rPr>
          <w:rStyle w:val="18"/>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18"/>
          <w:rFonts w:hint="default" w:ascii="Times New Roman" w:hAnsi="Times New Roman" w:eastAsia="仿宋" w:cs="Times New Roman"/>
          <w:b w:val="0"/>
          <w:bCs w:val="0"/>
        </w:rPr>
        <w:t>出决算表</w:t>
      </w:r>
      <w:bookmarkEnd w:id="80"/>
      <w:bookmarkEnd w:id="81"/>
    </w:p>
    <w:p>
      <w:pPr>
        <w:pStyle w:val="4"/>
        <w:rPr>
          <w:rFonts w:hint="default" w:ascii="Times New Roman" w:hAnsi="Times New Roman" w:eastAsia="仿宋" w:cs="Times New Roman"/>
          <w:b w:val="0"/>
        </w:rPr>
      </w:pPr>
      <w:bookmarkStart w:id="82" w:name="_Toc15396622"/>
      <w:bookmarkStart w:id="83" w:name="_Toc27999"/>
      <w:r>
        <w:rPr>
          <w:rStyle w:val="18"/>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18"/>
          <w:rFonts w:hint="default" w:ascii="Times New Roman" w:hAnsi="Times New Roman" w:eastAsia="仿宋" w:cs="Times New Roman"/>
          <w:b w:val="0"/>
          <w:bCs w:val="0"/>
        </w:rPr>
        <w:t>政拨款收入支出决算总表</w:t>
      </w:r>
      <w:bookmarkEnd w:id="82"/>
      <w:bookmarkEnd w:id="83"/>
    </w:p>
    <w:p>
      <w:pPr>
        <w:pStyle w:val="4"/>
        <w:rPr>
          <w:rStyle w:val="18"/>
          <w:rFonts w:hint="default" w:ascii="Times New Roman" w:hAnsi="Times New Roman" w:eastAsia="仿宋" w:cs="Times New Roman"/>
          <w:b w:val="0"/>
          <w:bCs w:val="0"/>
        </w:rPr>
      </w:pPr>
      <w:bookmarkStart w:id="84" w:name="_Toc15396623"/>
      <w:bookmarkStart w:id="85" w:name="_Toc10311"/>
      <w:r>
        <w:rPr>
          <w:rStyle w:val="18"/>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18"/>
          <w:rFonts w:hint="default" w:ascii="Times New Roman" w:hAnsi="Times New Roman" w:eastAsia="仿宋" w:cs="Times New Roman"/>
          <w:b w:val="0"/>
          <w:bCs w:val="0"/>
        </w:rPr>
        <w:t>政拨款支出决算明细表</w:t>
      </w:r>
      <w:bookmarkEnd w:id="84"/>
      <w:bookmarkEnd w:id="85"/>
      <w:bookmarkStart w:id="86" w:name="_Toc15396624"/>
    </w:p>
    <w:p>
      <w:pPr>
        <w:pStyle w:val="4"/>
        <w:rPr>
          <w:rFonts w:hint="default" w:ascii="Times New Roman" w:hAnsi="Times New Roman" w:eastAsia="仿宋" w:cs="Times New Roman"/>
        </w:rPr>
      </w:pPr>
      <w:bookmarkStart w:id="87" w:name="_Toc7058"/>
      <w:r>
        <w:rPr>
          <w:rStyle w:val="18"/>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18"/>
          <w:rFonts w:hint="default" w:ascii="Times New Roman" w:hAnsi="Times New Roman" w:eastAsia="仿宋" w:cs="Times New Roman"/>
          <w:b w:val="0"/>
          <w:bCs w:val="0"/>
        </w:rPr>
        <w:t>般公共预算财政拨款支出决算表</w:t>
      </w:r>
      <w:bookmarkEnd w:id="86"/>
      <w:bookmarkEnd w:id="87"/>
    </w:p>
    <w:p>
      <w:pPr>
        <w:pStyle w:val="4"/>
        <w:rPr>
          <w:rFonts w:hint="default" w:ascii="Times New Roman" w:hAnsi="Times New Roman" w:eastAsia="仿宋" w:cs="Times New Roman"/>
        </w:rPr>
      </w:pPr>
      <w:bookmarkStart w:id="88" w:name="_Toc15396625"/>
      <w:bookmarkStart w:id="89" w:name="_Toc26009"/>
      <w:r>
        <w:rPr>
          <w:rStyle w:val="18"/>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18"/>
          <w:rFonts w:hint="default" w:ascii="Times New Roman" w:hAnsi="Times New Roman" w:eastAsia="仿宋" w:cs="Times New Roman"/>
          <w:b w:val="0"/>
          <w:bCs w:val="0"/>
        </w:rPr>
        <w:t>般公共预算财政拨款支出决算明细表</w:t>
      </w:r>
      <w:bookmarkEnd w:id="88"/>
      <w:bookmarkEnd w:id="89"/>
    </w:p>
    <w:p>
      <w:pPr>
        <w:pStyle w:val="4"/>
        <w:rPr>
          <w:rFonts w:hint="default" w:ascii="Times New Roman" w:hAnsi="Times New Roman" w:eastAsia="仿宋" w:cs="Times New Roman"/>
        </w:rPr>
      </w:pPr>
      <w:bookmarkStart w:id="90" w:name="_Toc15396626"/>
      <w:bookmarkStart w:id="91" w:name="_Toc11264"/>
      <w:r>
        <w:rPr>
          <w:rStyle w:val="18"/>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18"/>
          <w:rFonts w:hint="default" w:ascii="Times New Roman" w:hAnsi="Times New Roman" w:eastAsia="仿宋" w:cs="Times New Roman"/>
          <w:b w:val="0"/>
          <w:bCs w:val="0"/>
        </w:rPr>
        <w:t>般公共预算财政拨款基本支出决算表</w:t>
      </w:r>
      <w:bookmarkEnd w:id="90"/>
      <w:bookmarkEnd w:id="91"/>
    </w:p>
    <w:p>
      <w:pPr>
        <w:pStyle w:val="4"/>
        <w:rPr>
          <w:rFonts w:hint="default" w:ascii="Times New Roman" w:hAnsi="Times New Roman" w:eastAsia="仿宋" w:cs="Times New Roman"/>
        </w:rPr>
      </w:pPr>
      <w:bookmarkStart w:id="92" w:name="_Toc15396627"/>
      <w:bookmarkStart w:id="93" w:name="_Toc31428"/>
      <w:r>
        <w:rPr>
          <w:rStyle w:val="18"/>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18"/>
          <w:rFonts w:hint="default" w:ascii="Times New Roman" w:hAnsi="Times New Roman" w:eastAsia="仿宋" w:cs="Times New Roman"/>
          <w:b w:val="0"/>
          <w:bCs w:val="0"/>
        </w:rPr>
        <w:t>般公共预算财政拨款项目支出决算表</w:t>
      </w:r>
      <w:bookmarkEnd w:id="92"/>
      <w:bookmarkEnd w:id="93"/>
    </w:p>
    <w:p>
      <w:pPr>
        <w:pStyle w:val="4"/>
        <w:rPr>
          <w:rFonts w:hint="default" w:ascii="Times New Roman" w:hAnsi="Times New Roman" w:eastAsia="仿宋" w:cs="Times New Roman"/>
        </w:rPr>
      </w:pPr>
      <w:bookmarkStart w:id="94" w:name="_Toc15396628"/>
      <w:bookmarkStart w:id="95" w:name="_Toc14910"/>
      <w:r>
        <w:rPr>
          <w:rStyle w:val="18"/>
          <w:rFonts w:hint="default" w:ascii="Times New Roman" w:hAnsi="Times New Roman" w:eastAsia="仿宋" w:cs="Times New Roman"/>
          <w:b w:val="0"/>
          <w:bCs w:val="0"/>
        </w:rPr>
        <w:t>十、</w:t>
      </w:r>
      <w:bookmarkEnd w:id="94"/>
      <w:r>
        <w:rPr>
          <w:rFonts w:hint="default" w:ascii="Times New Roman" w:hAnsi="Times New Roman" w:eastAsia="仿宋" w:cs="Times New Roman"/>
          <w:b w:val="0"/>
        </w:rPr>
        <w:t>政</w:t>
      </w:r>
      <w:r>
        <w:rPr>
          <w:rStyle w:val="18"/>
          <w:rFonts w:hint="default" w:ascii="Times New Roman" w:hAnsi="Times New Roman" w:eastAsia="仿宋" w:cs="Times New Roman"/>
          <w:b w:val="0"/>
          <w:bCs w:val="0"/>
        </w:rPr>
        <w:t>府性基金预算财政拨款收入支出决算表</w:t>
      </w:r>
      <w:bookmarkEnd w:id="95"/>
    </w:p>
    <w:p>
      <w:pPr>
        <w:pStyle w:val="4"/>
        <w:rPr>
          <w:rFonts w:hint="default" w:ascii="Times New Roman" w:hAnsi="Times New Roman" w:eastAsia="仿宋" w:cs="Times New Roman"/>
        </w:rPr>
      </w:pPr>
      <w:bookmarkStart w:id="96" w:name="_Toc15396629"/>
      <w:bookmarkStart w:id="97" w:name="_Toc877"/>
      <w:r>
        <w:rPr>
          <w:rStyle w:val="18"/>
          <w:rFonts w:hint="default" w:ascii="Times New Roman" w:hAnsi="Times New Roman" w:eastAsia="仿宋" w:cs="Times New Roman"/>
          <w:b w:val="0"/>
          <w:bCs w:val="0"/>
        </w:rPr>
        <w:t>十一、</w:t>
      </w:r>
      <w:bookmarkEnd w:id="96"/>
      <w:r>
        <w:rPr>
          <w:rFonts w:hint="default" w:ascii="Times New Roman" w:hAnsi="Times New Roman" w:eastAsia="仿宋" w:cs="Times New Roman"/>
          <w:b w:val="0"/>
        </w:rPr>
        <w:t>国</w:t>
      </w:r>
      <w:r>
        <w:rPr>
          <w:rStyle w:val="18"/>
          <w:rFonts w:hint="default" w:ascii="Times New Roman" w:hAnsi="Times New Roman" w:eastAsia="仿宋" w:cs="Times New Roman"/>
          <w:b w:val="0"/>
          <w:bCs w:val="0"/>
        </w:rPr>
        <w:t>有资本经营预算财政拨款收入支出决算表</w:t>
      </w:r>
      <w:bookmarkEnd w:id="97"/>
    </w:p>
    <w:p>
      <w:pPr>
        <w:pStyle w:val="4"/>
        <w:rPr>
          <w:rFonts w:hint="default" w:ascii="Times New Roman" w:hAnsi="Times New Roman" w:eastAsia="仿宋" w:cs="Times New Roman"/>
        </w:rPr>
      </w:pPr>
      <w:bookmarkStart w:id="98" w:name="_Toc15396630"/>
      <w:bookmarkStart w:id="99" w:name="_Toc12342"/>
      <w:r>
        <w:rPr>
          <w:rStyle w:val="18"/>
          <w:rFonts w:hint="default" w:ascii="Times New Roman" w:hAnsi="Times New Roman" w:eastAsia="仿宋" w:cs="Times New Roman"/>
          <w:b w:val="0"/>
          <w:bCs w:val="0"/>
        </w:rPr>
        <w:t>十二、</w:t>
      </w:r>
      <w:bookmarkEnd w:id="98"/>
      <w:r>
        <w:rPr>
          <w:rStyle w:val="18"/>
          <w:rFonts w:hint="default" w:ascii="Times New Roman" w:hAnsi="Times New Roman" w:eastAsia="仿宋" w:cs="Times New Roman"/>
          <w:b w:val="0"/>
          <w:bCs w:val="0"/>
        </w:rPr>
        <w:t>国有资本经营预算财政拨款支出决算表</w:t>
      </w:r>
      <w:bookmarkEnd w:id="99"/>
    </w:p>
    <w:p>
      <w:pPr>
        <w:pStyle w:val="4"/>
        <w:rPr>
          <w:rFonts w:hint="default" w:ascii="Times New Roman" w:hAnsi="Times New Roman" w:eastAsia="仿宋" w:cs="Times New Roman"/>
        </w:rPr>
      </w:pPr>
      <w:bookmarkStart w:id="100" w:name="_Toc15396631"/>
      <w:bookmarkStart w:id="101" w:name="_Toc29514"/>
      <w:r>
        <w:rPr>
          <w:rStyle w:val="18"/>
          <w:rFonts w:hint="default" w:ascii="Times New Roman" w:hAnsi="Times New Roman" w:eastAsia="仿宋" w:cs="Times New Roman"/>
          <w:b w:val="0"/>
          <w:bCs w:val="0"/>
        </w:rPr>
        <w:t>十三、</w:t>
      </w:r>
      <w:bookmarkEnd w:id="100"/>
      <w:r>
        <w:rPr>
          <w:rStyle w:val="18"/>
          <w:rFonts w:hint="default" w:ascii="Times New Roman" w:hAnsi="Times New Roman" w:eastAsia="仿宋" w:cs="Times New Roman"/>
          <w:b w:val="0"/>
          <w:bCs w:val="0"/>
        </w:rPr>
        <w:t>财政拨款“三公”经费支出决算表</w:t>
      </w:r>
      <w:bookmarkEnd w:id="101"/>
    </w:p>
    <w:sectPr>
      <w:headerReference r:id="rId3" w:type="default"/>
      <w:footerReference r:id="rId4" w:type="default"/>
      <w:pgSz w:w="11906" w:h="16838"/>
      <w:pgMar w:top="1871" w:right="1531" w:bottom="1871"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026470"/>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D9834"/>
    <w:multiLevelType w:val="singleLevel"/>
    <w:tmpl w:val="5DAD98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2UyOGMyM2U0NDRkNjIyNDgyYzRmNmJhNDViNjgwMjEifQ=="/>
  </w:docVars>
  <w:rsids>
    <w:rsidRoot w:val="00F24D03"/>
    <w:rsid w:val="00175508"/>
    <w:rsid w:val="00290365"/>
    <w:rsid w:val="00296A92"/>
    <w:rsid w:val="002A2E78"/>
    <w:rsid w:val="00393F71"/>
    <w:rsid w:val="00471111"/>
    <w:rsid w:val="004E79C0"/>
    <w:rsid w:val="00565C7C"/>
    <w:rsid w:val="00680D03"/>
    <w:rsid w:val="00870A9C"/>
    <w:rsid w:val="00A51C69"/>
    <w:rsid w:val="00E45D85"/>
    <w:rsid w:val="00F24D03"/>
    <w:rsid w:val="018E7169"/>
    <w:rsid w:val="01B97F5E"/>
    <w:rsid w:val="02DF39F5"/>
    <w:rsid w:val="04BA0FBD"/>
    <w:rsid w:val="0533125F"/>
    <w:rsid w:val="089B6610"/>
    <w:rsid w:val="08B67315"/>
    <w:rsid w:val="0A530F50"/>
    <w:rsid w:val="0AD100C7"/>
    <w:rsid w:val="0B3A5C6C"/>
    <w:rsid w:val="0C193AD3"/>
    <w:rsid w:val="0D4E3C51"/>
    <w:rsid w:val="0D5F2E7C"/>
    <w:rsid w:val="0EE217EA"/>
    <w:rsid w:val="0F4672D5"/>
    <w:rsid w:val="0FBD6993"/>
    <w:rsid w:val="11CA2A4C"/>
    <w:rsid w:val="11EB4164"/>
    <w:rsid w:val="12250C5E"/>
    <w:rsid w:val="12503FC7"/>
    <w:rsid w:val="12BC4506"/>
    <w:rsid w:val="140D23CA"/>
    <w:rsid w:val="166D6C9D"/>
    <w:rsid w:val="16B31F56"/>
    <w:rsid w:val="17066E48"/>
    <w:rsid w:val="17597B86"/>
    <w:rsid w:val="19591B5F"/>
    <w:rsid w:val="1A6E5932"/>
    <w:rsid w:val="1C6C1991"/>
    <w:rsid w:val="1E212D95"/>
    <w:rsid w:val="1E5F3A93"/>
    <w:rsid w:val="1ECE699F"/>
    <w:rsid w:val="1FFE5C91"/>
    <w:rsid w:val="2063580D"/>
    <w:rsid w:val="21313766"/>
    <w:rsid w:val="22676D1E"/>
    <w:rsid w:val="23C5440E"/>
    <w:rsid w:val="23EC2B8F"/>
    <w:rsid w:val="25BD776E"/>
    <w:rsid w:val="25DB44DD"/>
    <w:rsid w:val="26235823"/>
    <w:rsid w:val="2683355D"/>
    <w:rsid w:val="28043432"/>
    <w:rsid w:val="283A32F8"/>
    <w:rsid w:val="28546167"/>
    <w:rsid w:val="286B0CF6"/>
    <w:rsid w:val="28D41056"/>
    <w:rsid w:val="29542197"/>
    <w:rsid w:val="2AD52E64"/>
    <w:rsid w:val="2B145E40"/>
    <w:rsid w:val="2B5C387F"/>
    <w:rsid w:val="2B632B65"/>
    <w:rsid w:val="2C475FE3"/>
    <w:rsid w:val="2C786181"/>
    <w:rsid w:val="2C872F30"/>
    <w:rsid w:val="2D7A21B6"/>
    <w:rsid w:val="2F4405B8"/>
    <w:rsid w:val="2F911B52"/>
    <w:rsid w:val="302C5212"/>
    <w:rsid w:val="31497B22"/>
    <w:rsid w:val="314D7BF8"/>
    <w:rsid w:val="316D3DF6"/>
    <w:rsid w:val="31AF2660"/>
    <w:rsid w:val="33436EB8"/>
    <w:rsid w:val="33EF31E8"/>
    <w:rsid w:val="34076784"/>
    <w:rsid w:val="343706EB"/>
    <w:rsid w:val="355552CD"/>
    <w:rsid w:val="35D7687A"/>
    <w:rsid w:val="366213DA"/>
    <w:rsid w:val="36A62F95"/>
    <w:rsid w:val="37123B48"/>
    <w:rsid w:val="37384EA6"/>
    <w:rsid w:val="384B0C1E"/>
    <w:rsid w:val="38D17360"/>
    <w:rsid w:val="3B111C96"/>
    <w:rsid w:val="3C243796"/>
    <w:rsid w:val="3CD14508"/>
    <w:rsid w:val="3CDB6208"/>
    <w:rsid w:val="3CE533DA"/>
    <w:rsid w:val="3DCC6348"/>
    <w:rsid w:val="3E902A1D"/>
    <w:rsid w:val="3F552CAC"/>
    <w:rsid w:val="3F900328"/>
    <w:rsid w:val="3FDE5FF4"/>
    <w:rsid w:val="406E1939"/>
    <w:rsid w:val="40CC362E"/>
    <w:rsid w:val="410A340F"/>
    <w:rsid w:val="4127143E"/>
    <w:rsid w:val="41DD0B24"/>
    <w:rsid w:val="43397FDC"/>
    <w:rsid w:val="48F826E7"/>
    <w:rsid w:val="4D1040A4"/>
    <w:rsid w:val="4E5C49CB"/>
    <w:rsid w:val="4E68125D"/>
    <w:rsid w:val="4E7E543D"/>
    <w:rsid w:val="4E8A77B4"/>
    <w:rsid w:val="4EB5120D"/>
    <w:rsid w:val="4F253B0A"/>
    <w:rsid w:val="508008D9"/>
    <w:rsid w:val="51361FFF"/>
    <w:rsid w:val="51630116"/>
    <w:rsid w:val="51A906E7"/>
    <w:rsid w:val="51CF130B"/>
    <w:rsid w:val="51EE0B2B"/>
    <w:rsid w:val="542E520F"/>
    <w:rsid w:val="54B06A8D"/>
    <w:rsid w:val="55C027DF"/>
    <w:rsid w:val="577E64AD"/>
    <w:rsid w:val="58203093"/>
    <w:rsid w:val="588C69A8"/>
    <w:rsid w:val="58A67D4C"/>
    <w:rsid w:val="59C252C9"/>
    <w:rsid w:val="5A44753A"/>
    <w:rsid w:val="5A623E64"/>
    <w:rsid w:val="5A9A53AC"/>
    <w:rsid w:val="5AB20948"/>
    <w:rsid w:val="5B7420A1"/>
    <w:rsid w:val="5BF84A80"/>
    <w:rsid w:val="5C052CF9"/>
    <w:rsid w:val="5DB524FD"/>
    <w:rsid w:val="5DEA21A7"/>
    <w:rsid w:val="5E354F6E"/>
    <w:rsid w:val="5EEA09A8"/>
    <w:rsid w:val="5F334021"/>
    <w:rsid w:val="5FEF0574"/>
    <w:rsid w:val="6033782A"/>
    <w:rsid w:val="6073264E"/>
    <w:rsid w:val="608548FE"/>
    <w:rsid w:val="616921DD"/>
    <w:rsid w:val="61695482"/>
    <w:rsid w:val="61734BA9"/>
    <w:rsid w:val="62483F23"/>
    <w:rsid w:val="62BD5B54"/>
    <w:rsid w:val="630D66A1"/>
    <w:rsid w:val="63183814"/>
    <w:rsid w:val="6321796C"/>
    <w:rsid w:val="636A0606"/>
    <w:rsid w:val="650F5B3A"/>
    <w:rsid w:val="65474383"/>
    <w:rsid w:val="66707488"/>
    <w:rsid w:val="682409AB"/>
    <w:rsid w:val="68CF09B9"/>
    <w:rsid w:val="6942733B"/>
    <w:rsid w:val="69A43B52"/>
    <w:rsid w:val="6ACA06AD"/>
    <w:rsid w:val="6B633598"/>
    <w:rsid w:val="6B713ED8"/>
    <w:rsid w:val="6B7A3154"/>
    <w:rsid w:val="6C9D0D2C"/>
    <w:rsid w:val="6CAC7F08"/>
    <w:rsid w:val="6CF94E2F"/>
    <w:rsid w:val="6D620248"/>
    <w:rsid w:val="6F702098"/>
    <w:rsid w:val="6FD44A65"/>
    <w:rsid w:val="705D0EFE"/>
    <w:rsid w:val="706933FF"/>
    <w:rsid w:val="70EC5DDE"/>
    <w:rsid w:val="71C740E7"/>
    <w:rsid w:val="73DC038C"/>
    <w:rsid w:val="742835D1"/>
    <w:rsid w:val="76200B06"/>
    <w:rsid w:val="77664B3C"/>
    <w:rsid w:val="77862AE9"/>
    <w:rsid w:val="7A340F22"/>
    <w:rsid w:val="7AAF67FA"/>
    <w:rsid w:val="7AD324E9"/>
    <w:rsid w:val="7C617829"/>
    <w:rsid w:val="7C872E3B"/>
    <w:rsid w:val="7C896BD7"/>
    <w:rsid w:val="7CED53B8"/>
    <w:rsid w:val="7D215699"/>
    <w:rsid w:val="7D441A42"/>
    <w:rsid w:val="7DC223A1"/>
    <w:rsid w:val="7E413C0D"/>
    <w:rsid w:val="7EED62D4"/>
    <w:rsid w:val="7F080287"/>
    <w:rsid w:val="7F7973D7"/>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5" w:lineRule="auto"/>
      <w:outlineLvl w:val="1"/>
    </w:pPr>
    <w:rPr>
      <w:rFonts w:ascii="Cambria" w:hAnsi="Cambria"/>
      <w:b/>
      <w:bCs/>
      <w:sz w:val="32"/>
      <w:szCs w:val="32"/>
    </w:rPr>
  </w:style>
  <w:style w:type="paragraph" w:styleId="5">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22"/>
    <w:rPr>
      <w:b/>
    </w:rPr>
  </w:style>
  <w:style w:type="character" w:styleId="16">
    <w:name w:val="Hyperlink"/>
    <w:basedOn w:val="14"/>
    <w:qFormat/>
    <w:uiPriority w:val="0"/>
    <w:rPr>
      <w:color w:val="0000FF"/>
      <w:u w:val="single"/>
    </w:rPr>
  </w:style>
  <w:style w:type="character" w:customStyle="1" w:styleId="17">
    <w:name w:val="标题 1 字符"/>
    <w:basedOn w:val="14"/>
    <w:link w:val="3"/>
    <w:qFormat/>
    <w:uiPriority w:val="0"/>
    <w:rPr>
      <w:rFonts w:ascii="Times New Roman" w:hAnsi="Times New Roman" w:eastAsia="宋体" w:cs="Times New Roman"/>
      <w:b/>
      <w:bCs/>
      <w:kern w:val="44"/>
      <w:sz w:val="44"/>
      <w:szCs w:val="44"/>
      <w:lang w:val="en-US" w:eastAsia="zh-CN" w:bidi="ar-SA"/>
    </w:rPr>
  </w:style>
  <w:style w:type="character" w:customStyle="1" w:styleId="18">
    <w:name w:val="标题 2 字符"/>
    <w:basedOn w:val="14"/>
    <w:link w:val="4"/>
    <w:qFormat/>
    <w:uiPriority w:val="0"/>
    <w:rPr>
      <w:rFonts w:ascii="Cambria" w:hAnsi="Cambria" w:eastAsia="宋体" w:cs="Times New Roman"/>
      <w:b/>
      <w:bCs/>
      <w:kern w:val="2"/>
      <w:sz w:val="32"/>
      <w:szCs w:val="32"/>
      <w:lang w:val="en-US" w:eastAsia="zh-CN" w:bidi="ar-SA"/>
    </w:rPr>
  </w:style>
  <w:style w:type="character" w:customStyle="1" w:styleId="19">
    <w:name w:val="Header Char"/>
    <w:basedOn w:val="14"/>
    <w:qFormat/>
    <w:uiPriority w:val="0"/>
    <w:rPr>
      <w:rFonts w:ascii="Times New Roman" w:hAnsi="Times New Roman"/>
      <w:sz w:val="18"/>
      <w:szCs w:val="18"/>
    </w:rPr>
  </w:style>
  <w:style w:type="character" w:customStyle="1" w:styleId="20">
    <w:name w:val="Footer Char"/>
    <w:basedOn w:val="14"/>
    <w:qFormat/>
    <w:uiPriority w:val="0"/>
    <w:rPr>
      <w:rFonts w:ascii="Times New Roman" w:hAnsi="Times New Roman"/>
      <w:sz w:val="18"/>
      <w:szCs w:val="18"/>
    </w:rPr>
  </w:style>
  <w:style w:type="character" w:customStyle="1" w:styleId="21">
    <w:name w:val="Body Text Char"/>
    <w:basedOn w:val="14"/>
    <w:qFormat/>
    <w:uiPriority w:val="0"/>
    <w:rPr>
      <w:rFonts w:ascii="Times New Roman" w:hAnsi="Times New Roman"/>
      <w:szCs w:val="24"/>
    </w:rPr>
  </w:style>
  <w:style w:type="paragraph" w:customStyle="1" w:styleId="2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3">
    <w:name w:val="List Paragraph"/>
    <w:basedOn w:val="1"/>
    <w:qFormat/>
    <w:uiPriority w:val="0"/>
    <w:pPr>
      <w:ind w:firstLine="200" w:firstLineChars="200"/>
    </w:pPr>
  </w:style>
  <w:style w:type="paragraph" w:customStyle="1" w:styleId="24">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5">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6">
    <w:name w:val="正文2"/>
    <w:basedOn w:val="1"/>
    <w:next w:val="1"/>
    <w:qFormat/>
    <w:uiPriority w:val="0"/>
  </w:style>
  <w:style w:type="paragraph" w:customStyle="1" w:styleId="27">
    <w:name w:val="WPSOffice手动目录 1"/>
    <w:uiPriority w:val="0"/>
    <w:pPr>
      <w:ind w:leftChars="0"/>
    </w:pPr>
    <w:rPr>
      <w:sz w:val="20"/>
      <w:szCs w:val="20"/>
    </w:rPr>
  </w:style>
  <w:style w:type="paragraph" w:customStyle="1" w:styleId="28">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收入、支出决算总表</a:t>
            </a:r>
          </a:p>
        </c:rich>
      </c:tx>
      <c:layout/>
      <c:overlay val="0"/>
      <c:spPr>
        <a:noFill/>
        <a:ln>
          <a:noFill/>
        </a:ln>
        <a:effectLst/>
      </c:spPr>
    </c:title>
    <c:autoTitleDeleted val="0"/>
    <c:plotArea>
      <c:layout>
        <c:manualLayout>
          <c:layoutTarget val="inner"/>
          <c:xMode val="edge"/>
          <c:yMode val="edge"/>
          <c:x val="0.0741241845856487"/>
          <c:y val="0.15879591273129"/>
          <c:w val="0.906909881613916"/>
          <c:h val="0.531455399061033"/>
        </c:manualLayout>
      </c:layout>
      <c:barChart>
        <c:barDir val="col"/>
        <c:grouping val="clustered"/>
        <c:varyColors val="0"/>
        <c:ser>
          <c:idx val="0"/>
          <c:order val="0"/>
          <c:tx>
            <c:strRef>
              <c:f>Sheet1!$B$1</c:f>
              <c:strCache>
                <c:ptCount val="1"/>
                <c:pt idx="0">
                  <c:v>2022年度</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196.13</c:v>
                </c:pt>
                <c:pt idx="1">
                  <c:v>196.13</c:v>
                </c:pt>
              </c:numCache>
            </c:numRef>
          </c:val>
        </c:ser>
        <c:ser>
          <c:idx val="1"/>
          <c:order val="1"/>
          <c:tx>
            <c:strRef>
              <c:f>Sheet1!$C$1</c:f>
              <c:strCache>
                <c:ptCount val="1"/>
                <c:pt idx="0">
                  <c:v>2021年度</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General</c:formatCode>
                <c:ptCount val="4"/>
                <c:pt idx="0">
                  <c:v>173.19</c:v>
                </c:pt>
                <c:pt idx="1">
                  <c:v>173.19</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309300688"/>
        <c:axId val="680169076"/>
      </c:barChart>
      <c:catAx>
        <c:axId val="3093006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169076"/>
        <c:crosses val="autoZero"/>
        <c:auto val="1"/>
        <c:lblAlgn val="ctr"/>
        <c:lblOffset val="100"/>
        <c:noMultiLvlLbl val="0"/>
      </c:catAx>
      <c:valAx>
        <c:axId val="68016907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93006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收入决算表</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0340083288997589"/>
                  <c:y val="-0.4288495687845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一般公共预算收入</c:v>
                </c:pt>
                <c:pt idx="1">
                  <c:v>政府性基金预算财政拨款收入</c:v>
                </c:pt>
                <c:pt idx="2">
                  <c:v>国有资本经营预算财政拨款收入</c:v>
                </c:pt>
                <c:pt idx="3">
                  <c:v>上级补助收入</c:v>
                </c:pt>
              </c:strCache>
            </c:strRef>
          </c:cat>
          <c:val>
            <c:numRef>
              <c:f>Sheet1!$B$2:$B$5</c:f>
              <c:numCache>
                <c:formatCode>General</c:formatCode>
                <c:ptCount val="4"/>
                <c:pt idx="0">
                  <c:v>196.13</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17854622441778"/>
          <c:y val="0.204"/>
          <c:w val="0.757351211479652"/>
          <c:h val="0.1770909090909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支出决算表</c:v>
                </c:pt>
              </c:strCache>
            </c:strRef>
          </c:tx>
          <c:spPr>
            <a:ln>
              <a:solidFill>
                <a:srgbClr val="00B050"/>
              </a:solidFill>
            </a:ln>
            <a:scene3d>
              <a:camera prst="orthographicFront"/>
              <a:lightRig rig="threePt" dir="t"/>
            </a:scene3d>
            <a:sp3d contourW="9525"/>
          </c:spPr>
          <c:explosion val="0"/>
          <c:dPt>
            <c:idx val="0"/>
            <c:bubble3D val="0"/>
            <c:spPr>
              <a:solidFill>
                <a:schemeClr val="accent1"/>
              </a:solidFill>
              <a:ln>
                <a:solidFill>
                  <a:srgbClr val="00B050"/>
                </a:solidFill>
              </a:ln>
              <a:effectLst/>
              <a:scene3d>
                <a:camera prst="orthographicFront"/>
                <a:lightRig rig="threePt" dir="t"/>
              </a:scene3d>
              <a:sp3d contourW="9525"/>
            </c:spPr>
          </c:dPt>
          <c:dPt>
            <c:idx val="1"/>
            <c:bubble3D val="0"/>
            <c:spPr>
              <a:solidFill>
                <a:schemeClr val="accent2"/>
              </a:solidFill>
              <a:ln>
                <a:solidFill>
                  <a:srgbClr val="00B050"/>
                </a:solidFill>
              </a:ln>
              <a:effectLst/>
              <a:scene3d>
                <a:camera prst="orthographicFront"/>
                <a:lightRig rig="threePt" dir="t"/>
              </a:scene3d>
              <a:sp3d contourW="9525"/>
            </c:spPr>
          </c:dPt>
          <c:dPt>
            <c:idx val="2"/>
            <c:bubble3D val="0"/>
            <c:spPr>
              <a:solidFill>
                <a:schemeClr val="accent3"/>
              </a:solidFill>
              <a:ln>
                <a:solidFill>
                  <a:srgbClr val="00B050"/>
                </a:solidFill>
              </a:ln>
              <a:effectLst/>
              <a:scene3d>
                <a:camera prst="orthographicFront"/>
                <a:lightRig rig="threePt" dir="t"/>
              </a:scene3d>
              <a:sp3d contourW="9525"/>
            </c:spPr>
          </c:dPt>
          <c:dPt>
            <c:idx val="3"/>
            <c:bubble3D val="0"/>
            <c:spPr>
              <a:solidFill>
                <a:schemeClr val="accent4"/>
              </a:solidFill>
              <a:ln>
                <a:solidFill>
                  <a:srgbClr val="00B050"/>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182.12</c:v>
                </c:pt>
                <c:pt idx="1">
                  <c:v>14.01</c:v>
                </c:pt>
              </c:numCache>
            </c:numRef>
          </c:val>
        </c:ser>
        <c:dLbls>
          <c:showLegendKey val="0"/>
          <c:showVal val="1"/>
          <c:showCatName val="0"/>
          <c:showSerName val="0"/>
          <c:showPercent val="0"/>
          <c:showBubbleSize val="0"/>
        </c:dLbls>
      </c:pie3D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一般公共预算服务支出</a:t>
            </a:r>
          </a:p>
        </c:rich>
      </c:tx>
      <c:layout>
        <c:manualLayout>
          <c:xMode val="edge"/>
          <c:yMode val="edge"/>
          <c:x val="0.338245953128775"/>
          <c:y val="0.0308117297067573"/>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a:gradFill>
                <a:gsLst>
                  <a:gs pos="0">
                    <a:srgbClr val="14CD68"/>
                  </a:gs>
                  <a:gs pos="100000">
                    <a:srgbClr val="035C7D"/>
                  </a:gs>
                </a:gsLst>
              </a:gradFill>
            </a:ln>
          </c:spPr>
          <c:explosion val="0"/>
          <c:dPt>
            <c:idx val="0"/>
            <c:bubble3D val="0"/>
            <c:spPr>
              <a:solidFill>
                <a:schemeClr val="accent1"/>
              </a:solidFill>
              <a:ln>
                <a:gradFill>
                  <a:gsLst>
                    <a:gs pos="0">
                      <a:srgbClr val="14CD68"/>
                    </a:gs>
                    <a:gs pos="100000">
                      <a:srgbClr val="035C7D"/>
                    </a:gs>
                  </a:gsLst>
                </a:gradFill>
              </a:ln>
              <a:effectLst/>
            </c:spPr>
          </c:dPt>
          <c:dPt>
            <c:idx val="1"/>
            <c:bubble3D val="0"/>
            <c:spPr>
              <a:solidFill>
                <a:schemeClr val="accent2"/>
              </a:solidFill>
              <a:ln>
                <a:gradFill>
                  <a:gsLst>
                    <a:gs pos="0">
                      <a:srgbClr val="14CD68"/>
                    </a:gs>
                    <a:gs pos="100000">
                      <a:srgbClr val="035C7D"/>
                    </a:gs>
                  </a:gsLst>
                </a:gradFill>
              </a:ln>
              <a:effectLst/>
            </c:spPr>
          </c:dPt>
          <c:dPt>
            <c:idx val="2"/>
            <c:bubble3D val="0"/>
            <c:spPr>
              <a:solidFill>
                <a:schemeClr val="accent3"/>
              </a:solidFill>
              <a:ln>
                <a:gradFill>
                  <a:gsLst>
                    <a:gs pos="0">
                      <a:srgbClr val="14CD68"/>
                    </a:gs>
                    <a:gs pos="100000">
                      <a:srgbClr val="035C7D"/>
                    </a:gs>
                  </a:gsLst>
                </a:gradFill>
              </a:ln>
              <a:effectLst/>
            </c:spPr>
          </c:dPt>
          <c:dPt>
            <c:idx val="3"/>
            <c:bubble3D val="0"/>
            <c:spPr>
              <a:solidFill>
                <a:schemeClr val="accent4"/>
              </a:solidFill>
              <a:ln>
                <a:gradFill>
                  <a:gsLst>
                    <a:gs pos="0">
                      <a:srgbClr val="14CD68"/>
                    </a:gs>
                    <a:gs pos="100000">
                      <a:srgbClr val="035C7D"/>
                    </a:gs>
                  </a:gsLst>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社会保障就业支出</c:v>
                </c:pt>
                <c:pt idx="2">
                  <c:v>住房保障支出</c:v>
                </c:pt>
                <c:pt idx="3">
                  <c:v>卫生健康支出</c:v>
                </c:pt>
              </c:strCache>
            </c:strRef>
          </c:cat>
          <c:val>
            <c:numRef>
              <c:f>Sheet1!$B$2:$B$5</c:f>
              <c:numCache>
                <c:formatCode>General</c:formatCode>
                <c:ptCount val="4"/>
                <c:pt idx="0">
                  <c:v>163.82</c:v>
                </c:pt>
                <c:pt idx="1">
                  <c:v>15.31</c:v>
                </c:pt>
                <c:pt idx="2">
                  <c:v>8.6</c:v>
                </c:pt>
                <c:pt idx="3">
                  <c:v>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6695</Words>
  <Characters>7770</Characters>
  <Lines>38</Lines>
  <Paragraphs>10</Paragraphs>
  <TotalTime>4</TotalTime>
  <ScaleCrop>false</ScaleCrop>
  <LinksUpToDate>false</LinksUpToDate>
  <CharactersWithSpaces>9105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2023-09-25T12:12:49Z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5FF86701B5D44C93A83FB47232997710_12</vt:lpwstr>
  </property>
</Properties>
</file>