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96475"/>
      <w:bookmarkStart w:id="3" w:name="_Toc15377425"/>
      <w:bookmarkStart w:id="4" w:name="_Toc15378441"/>
      <w:bookmarkStart w:id="5" w:name="_Toc15396597"/>
      <w:r>
        <w:rPr>
          <w:rFonts w:ascii="黑体" w:hAnsi="黑体" w:eastAsia="黑体"/>
          <w:sz w:val="72"/>
          <w:szCs w:val="72"/>
        </w:rPr>
        <w:t>202</w:t>
      </w:r>
      <w:r>
        <w:rPr>
          <w:rFonts w:hint="eastAsia" w:ascii="黑体" w:hAnsi="黑体" w:eastAsia="黑体"/>
          <w:sz w:val="72"/>
          <w:szCs w:val="72"/>
        </w:rPr>
        <w:t>2年度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rPr>
        <w:t>驻郫都区老干部休养所部门决算</w:t>
      </w:r>
      <w:bookmarkEnd w:id="6"/>
      <w:bookmarkEnd w:id="7"/>
      <w:bookmarkEnd w:id="8"/>
      <w:bookmarkEnd w:id="9"/>
      <w:bookmarkEnd w:id="10"/>
      <w:bookmarkEnd w:id="11"/>
    </w:p>
    <w:p>
      <w:pPr>
        <w:rPr>
          <w:rFonts w:ascii="方正小标宋简体" w:hAnsi="宋体" w:eastAsia="方正小标宋简体"/>
          <w:sz w:val="36"/>
          <w:szCs w:val="36"/>
        </w:rPr>
      </w:pPr>
    </w:p>
    <w:p>
      <w:pPr>
        <w:autoSpaceDE w:val="0"/>
        <w:autoSpaceDN w:val="0"/>
        <w:adjustRightInd w:val="0"/>
        <w:jc w:val="left"/>
        <w:rPr>
          <w:rFonts w:ascii="方正小标宋简体" w:hAnsi="宋体" w:eastAsia="方正小标宋简体"/>
          <w:sz w:val="36"/>
          <w:szCs w:val="36"/>
        </w:rPr>
      </w:pPr>
    </w:p>
    <w:p>
      <w:pPr>
        <w:autoSpaceDE w:val="0"/>
        <w:autoSpaceDN w:val="0"/>
        <w:adjustRightInd w:val="0"/>
        <w:jc w:val="left"/>
        <w:rPr>
          <w:rFonts w:ascii="方正小标宋简体" w:hAnsi="宋体" w:eastAsia="方正小标宋简体"/>
          <w:sz w:val="36"/>
          <w:szCs w:val="36"/>
        </w:rPr>
      </w:pPr>
    </w:p>
    <w:p>
      <w:pPr>
        <w:autoSpaceDE w:val="0"/>
        <w:autoSpaceDN w:val="0"/>
        <w:adjustRightInd w:val="0"/>
        <w:jc w:val="left"/>
        <w:rPr>
          <w:rFonts w:ascii="方正小标宋简体" w:hAnsi="宋体" w:eastAsia="方正小标宋简体"/>
          <w:sz w:val="36"/>
          <w:szCs w:val="36"/>
        </w:rPr>
      </w:pPr>
    </w:p>
    <w:p>
      <w:pPr>
        <w:autoSpaceDE w:val="0"/>
        <w:autoSpaceDN w:val="0"/>
        <w:adjustRightInd w:val="0"/>
        <w:jc w:val="left"/>
        <w:rPr>
          <w:rFonts w:ascii="方正小标宋简体" w:hAnsi="宋体" w:eastAsia="方正小标宋简体"/>
          <w:sz w:val="36"/>
          <w:szCs w:val="36"/>
        </w:rPr>
      </w:pPr>
    </w:p>
    <w:p>
      <w:pPr>
        <w:autoSpaceDE w:val="0"/>
        <w:autoSpaceDN w:val="0"/>
        <w:adjustRightInd w:val="0"/>
        <w:jc w:val="left"/>
        <w:rPr>
          <w:rFonts w:ascii="宋体" w:hAnsi="宋体" w:cs="宋体"/>
          <w:sz w:val="36"/>
          <w:szCs w:val="36"/>
        </w:rPr>
      </w:pPr>
      <w:r>
        <w:rPr>
          <w:rFonts w:hint="eastAsia" w:ascii="方正小标宋简体" w:hAnsi="宋体" w:eastAsia="方正小标宋简体"/>
          <w:sz w:val="36"/>
          <w:szCs w:val="36"/>
        </w:rPr>
        <w:t>保密审查情况：已经保密审查</w:t>
      </w:r>
      <w:r>
        <w:rPr>
          <w:rFonts w:hint="eastAsia" w:ascii="宋体" w:hAnsi="宋体" w:cs="宋体"/>
          <w:sz w:val="36"/>
          <w:szCs w:val="36"/>
        </w:rPr>
        <w:t>、内容审定</w:t>
      </w:r>
    </w:p>
    <w:p>
      <w:pPr>
        <w:autoSpaceDE w:val="0"/>
        <w:autoSpaceDN w:val="0"/>
        <w:adjustRightInd w:val="0"/>
        <w:jc w:val="left"/>
        <w:rPr>
          <w:rFonts w:ascii="宋体" w:hAnsi="宋体" w:cs="宋体"/>
          <w:b/>
          <w:sz w:val="36"/>
          <w:szCs w:val="36"/>
        </w:rPr>
      </w:pPr>
      <w:r>
        <w:rPr>
          <w:rFonts w:hint="eastAsia" w:ascii="宋体" w:hAnsi="宋体" w:cs="宋体"/>
          <w:b/>
          <w:sz w:val="36"/>
          <w:szCs w:val="36"/>
        </w:rPr>
        <w:t>部门主要负责人审签情况：已审签，同意对外公开</w:t>
      </w:r>
    </w:p>
    <w:p>
      <w:pPr>
        <w:autoSpaceDE w:val="0"/>
        <w:autoSpaceDN w:val="0"/>
        <w:adjustRightInd w:val="0"/>
        <w:ind w:firstLine="720"/>
        <w:jc w:val="left"/>
        <w:rPr>
          <w:rFonts w:ascii="宋体" w:hAnsi="宋体" w:cs="宋体"/>
          <w:sz w:val="36"/>
          <w:szCs w:val="36"/>
        </w:rPr>
      </w:pP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 xml:space="preserve">公开时间：2023年 </w:t>
      </w:r>
      <w:r>
        <w:rPr>
          <w:rFonts w:hAnsiTheme="minorHAnsi"/>
          <w:b w:val="0"/>
          <w:bCs w:val="0"/>
          <w:sz w:val="24"/>
          <w:szCs w:val="24"/>
        </w:rPr>
        <w:t>9</w:t>
      </w:r>
      <w:r>
        <w:rPr>
          <w:rFonts w:hint="eastAsia" w:hAnsiTheme="minorHAnsi"/>
          <w:b w:val="0"/>
          <w:bCs w:val="0"/>
          <w:sz w:val="24"/>
          <w:szCs w:val="24"/>
        </w:rPr>
        <w:t>月</w:t>
      </w:r>
      <w:r>
        <w:rPr>
          <w:rFonts w:hAnsiTheme="minorHAnsi"/>
          <w:b w:val="0"/>
          <w:bCs w:val="0"/>
          <w:sz w:val="24"/>
          <w:szCs w:val="24"/>
        </w:rPr>
        <w:t>2</w:t>
      </w:r>
      <w:r>
        <w:rPr>
          <w:rFonts w:hint="eastAsia" w:hAnsiTheme="minorHAnsi"/>
          <w:b w:val="0"/>
          <w:bCs w:val="0"/>
          <w:sz w:val="24"/>
          <w:szCs w:val="24"/>
        </w:rPr>
        <w:t>0日</w:t>
      </w:r>
    </w:p>
    <w:p>
      <w:pPr>
        <w:pStyle w:val="13"/>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p>
    <w:p>
      <w:pPr>
        <w:pStyle w:val="8"/>
        <w:tabs>
          <w:tab w:val="right" w:leader="dot" w:pos="8296"/>
        </w:tabs>
        <w:rPr>
          <w:rFonts w:hAnsiTheme="minorHAnsi" w:eastAsiaTheme="minorEastAsia" w:cstheme="minorBidi"/>
          <w:i w:val="0"/>
          <w:iCs w:val="0"/>
          <w:sz w:val="21"/>
          <w:szCs w:val="22"/>
        </w:rPr>
      </w:pPr>
      <w:r>
        <w:rPr>
          <w:rFonts w:ascii="仿宋" w:hAnsi="仿宋" w:eastAsia="仿宋"/>
          <w:bCs/>
          <w:color w:val="000000"/>
        </w:rPr>
        <w:t>（一</w:t>
      </w:r>
      <w:r>
        <w:rPr>
          <w:rFonts w:ascii="仿宋" w:hAnsi="仿宋" w:eastAsia="仿宋"/>
          <w:bCs/>
          <w:i w:val="0"/>
          <w:color w:val="000000"/>
        </w:rPr>
        <w:t>）主要职能。</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Cs/>
          <w:i w:val="0"/>
          <w:color w:val="000000"/>
        </w:rPr>
        <w:t>（二）202</w:t>
      </w:r>
      <w:r>
        <w:rPr>
          <w:rFonts w:hint="eastAsia" w:ascii="仿宋" w:hAnsi="仿宋" w:eastAsia="仿宋"/>
          <w:bCs/>
          <w:i w:val="0"/>
          <w:color w:val="000000"/>
        </w:rPr>
        <w:t>2年</w:t>
      </w:r>
      <w:r>
        <w:rPr>
          <w:rFonts w:ascii="仿宋" w:hAnsi="仿宋" w:eastAsia="仿宋"/>
          <w:bCs/>
          <w:i w:val="0"/>
          <w:color w:val="000000"/>
        </w:rPr>
        <w:t>重点工作完成情况</w:t>
      </w:r>
      <w:r>
        <w:rPr>
          <w:rFonts w:ascii="仿宋" w:hAnsi="仿宋" w:eastAsia="仿宋"/>
          <w:bCs/>
          <w:color w:val="000000"/>
        </w:rPr>
        <w:t>。</w:t>
      </w:r>
      <w:r>
        <w:rPr>
          <w:i w:val="0"/>
        </w:rPr>
        <w:tab/>
      </w:r>
    </w:p>
    <w:p>
      <w:pPr>
        <w:pStyle w:val="16"/>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2</w:t>
      </w:r>
      <w:r>
        <w:rPr>
          <w:rFonts w:ascii="黑体" w:hAnsi="黑体" w:eastAsia="黑体"/>
          <w:b w:val="0"/>
          <w:bCs w:val="0"/>
        </w:rPr>
        <w:t>年度部门决算情况说明</w:t>
      </w:r>
      <w:r>
        <w:tab/>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（一）一般公共预算财政拨款支出决算总体情况</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（二）一般公共预算财政拨款支出决算结构情况</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（三）一般公共预算财政拨款支出决算具体情况</w:t>
      </w:r>
      <w:r>
        <w:rPr>
          <w:i w:val="0"/>
        </w:rPr>
        <w:tab/>
      </w:r>
    </w:p>
    <w:p>
      <w:pPr>
        <w:pStyle w:val="16"/>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p>
    <w:p>
      <w:pPr>
        <w:pStyle w:val="16"/>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（一）“三公”经费财政拨款支出决算总体情况说明</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（二）“三公”经费财政拨款支出决算具体情况说明</w:t>
      </w:r>
      <w:r>
        <w:rPr>
          <w:i w:val="0"/>
        </w:rPr>
        <w:tab/>
      </w:r>
    </w:p>
    <w:p>
      <w:pPr>
        <w:pStyle w:val="16"/>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p>
    <w:p>
      <w:pPr>
        <w:pStyle w:val="16"/>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（一）机关运行经费支出情况</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（二）政府采购支出情况</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（三）国有资产占有使用情况</w:t>
      </w:r>
      <w:r>
        <w:rPr>
          <w:i w:val="0"/>
        </w:rPr>
        <w:tab/>
      </w:r>
    </w:p>
    <w:p>
      <w:pPr>
        <w:pStyle w:val="8"/>
        <w:tabs>
          <w:tab w:val="right" w:leader="dot" w:pos="8296"/>
        </w:tabs>
        <w:rPr>
          <w:rFonts w:hAnsiTheme="minorHAnsi" w:eastAsiaTheme="minorEastAsia" w:cstheme="minorBidi"/>
          <w:i w:val="0"/>
          <w:iCs w:val="0"/>
          <w:sz w:val="21"/>
          <w:szCs w:val="22"/>
        </w:rPr>
      </w:pPr>
      <w:r>
        <w:rPr>
          <w:rFonts w:ascii="仿宋" w:hAnsi="仿宋" w:eastAsia="仿宋"/>
          <w:b/>
          <w:i w:val="0"/>
          <w:color w:val="000000"/>
        </w:rPr>
        <w:t>（四）预算绩效管理情况。</w:t>
      </w:r>
      <w:r>
        <w:tab/>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p>
    <w:p>
      <w:pPr>
        <w:pStyle w:val="13"/>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阿坝州驻郫都区老干部休养所202</w:t>
      </w:r>
      <w:r>
        <w:rPr>
          <w:rFonts w:hint="eastAsia" w:ascii="方正小标宋简体" w:hAnsi="黑体" w:eastAsia="方正小标宋简体" w:cs="黑体"/>
        </w:rPr>
        <w:t>2</w:t>
      </w:r>
      <w:r>
        <w:rPr>
          <w:rFonts w:ascii="方正小标宋简体" w:hAnsi="黑体" w:eastAsia="方正小标宋简体" w:cs="黑体"/>
        </w:rPr>
        <w:t>年部门整体支出绩效评价报告</w:t>
      </w:r>
      <w:r>
        <w:tab/>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p>
    <w:p>
      <w:pPr>
        <w:pStyle w:val="16"/>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p>
    <w:p>
      <w:r>
        <w:rPr>
          <w:rFonts w:asciiTheme="minorHAnsi" w:eastAsiaTheme="minorHAnsi"/>
          <w:b/>
          <w:bCs/>
          <w:caps/>
          <w:sz w:val="20"/>
          <w:szCs w:val="20"/>
        </w:rPr>
        <w:fldChar w:fldCharType="end"/>
      </w:r>
      <w:bookmarkStart w:id="12" w:name="_Toc15377196"/>
      <w:bookmarkStart w:id="13" w:name="_Toc15396599"/>
    </w:p>
    <w:p>
      <w:pPr>
        <w:widowControl/>
        <w:jc w:val="left"/>
        <w:rPr>
          <w:rFonts w:ascii="黑体" w:hAnsi="黑体" w:eastAsia="黑体"/>
          <w:bCs/>
          <w:kern w:val="44"/>
          <w:sz w:val="44"/>
          <w:szCs w:val="44"/>
        </w:rPr>
      </w:pPr>
      <w:bookmarkStart w:id="14" w:name="_Toc79163851"/>
      <w:bookmarkStart w:id="15" w:name="_Toc79163601"/>
      <w:r>
        <w:rPr>
          <w:rFonts w:ascii="黑体" w:hAnsi="黑体" w:eastAsia="黑体"/>
          <w:b/>
        </w:rPr>
        <w:br w:type="page"/>
      </w:r>
    </w:p>
    <w:p>
      <w:pPr>
        <w:pStyle w:val="2"/>
        <w:jc w:val="center"/>
        <w:rPr>
          <w:rStyle w:val="23"/>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4"/>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kern w:val="2"/>
          <w:sz w:val="32"/>
          <w:szCs w:val="32"/>
        </w:rPr>
      </w:pPr>
      <w:bookmarkStart w:id="20" w:name="_Toc79163603"/>
      <w:bookmarkStart w:id="21" w:name="_Toc79163853"/>
      <w:bookmarkStart w:id="22" w:name="_Toc15378445"/>
      <w:bookmarkStart w:id="23" w:name="_Toc15377198"/>
      <w:r>
        <w:rPr>
          <w:rFonts w:hint="eastAsia"/>
          <w:kern w:val="2"/>
          <w:sz w:val="32"/>
          <w:szCs w:val="32"/>
        </w:rPr>
        <w:t>（</w:t>
      </w:r>
      <w:r>
        <w:rPr>
          <w:rFonts w:hint="eastAsia"/>
          <w:kern w:val="2"/>
          <w:sz w:val="32"/>
          <w:szCs w:val="32"/>
          <w:lang w:val="en-US" w:eastAsia="zh-CN"/>
        </w:rPr>
        <w:t>一）主要职能。</w:t>
      </w:r>
      <w:bookmarkEnd w:id="20"/>
      <w:bookmarkEnd w:id="21"/>
    </w:p>
    <w:bookmarkEnd w:id="22"/>
    <w:bookmarkEnd w:id="23"/>
    <w:p>
      <w:pPr>
        <w:ind w:firstLine="640" w:firstLineChars="200"/>
        <w:rPr>
          <w:rFonts w:ascii="仿宋_GB2312" w:eastAsia="仿宋_GB2312"/>
          <w:sz w:val="32"/>
          <w:szCs w:val="32"/>
        </w:rPr>
      </w:pPr>
      <w:bookmarkStart w:id="24" w:name="_Toc79163854"/>
      <w:bookmarkStart w:id="25" w:name="_Toc15378446"/>
      <w:bookmarkStart w:id="26" w:name="_Toc79163604"/>
      <w:bookmarkStart w:id="27" w:name="_Toc15377199"/>
      <w:r>
        <w:rPr>
          <w:rFonts w:hint="eastAsia" w:ascii="仿宋_GB2312" w:eastAsia="仿宋_GB2312"/>
          <w:sz w:val="32"/>
          <w:szCs w:val="32"/>
        </w:rPr>
        <w:t>在州委老干部局的领导下，履行好对阿坝州驻郫都区老干部休养所、老干部管理服务中心工作的职责，贯彻落实党中央、国务院和省委、省政府、州委、州政府关于老干部工作的各项方针政策，协同组织部门抓好老干部党支部建设，加强对阿坝州驻郫都区离休老干部、厅级退休干部等的管理和服务工作，组织指导老干部协会开展各项活动。</w:t>
      </w:r>
    </w:p>
    <w:p>
      <w:pPr>
        <w:pStyle w:val="6"/>
        <w:adjustRightInd w:val="0"/>
        <w:snapToGrid w:val="0"/>
        <w:spacing w:before="93" w:line="600" w:lineRule="exact"/>
        <w:ind w:firstLine="672" w:firstLineChars="210"/>
        <w:outlineLvl w:val="2"/>
        <w:rPr>
          <w:kern w:val="2"/>
          <w:sz w:val="32"/>
          <w:szCs w:val="32"/>
          <w:lang w:val="en-US" w:eastAsia="zh-CN"/>
        </w:rPr>
      </w:pPr>
      <w:r>
        <w:rPr>
          <w:rFonts w:hint="eastAsia"/>
          <w:kern w:val="2"/>
          <w:sz w:val="32"/>
          <w:szCs w:val="32"/>
          <w:lang w:val="en-US" w:eastAsia="zh-CN"/>
        </w:rPr>
        <w:t>（二）</w:t>
      </w:r>
      <w:r>
        <w:rPr>
          <w:kern w:val="2"/>
          <w:sz w:val="32"/>
          <w:szCs w:val="32"/>
          <w:lang w:val="en-US" w:eastAsia="zh-CN"/>
        </w:rPr>
        <w:t>202</w:t>
      </w:r>
      <w:r>
        <w:rPr>
          <w:rFonts w:hint="eastAsia"/>
          <w:kern w:val="2"/>
          <w:sz w:val="32"/>
          <w:szCs w:val="32"/>
          <w:lang w:val="en-US" w:eastAsia="zh-CN"/>
        </w:rPr>
        <w:t>2年重点工作完成情况。</w:t>
      </w:r>
      <w:bookmarkEnd w:id="24"/>
      <w:bookmarkEnd w:id="25"/>
      <w:bookmarkEnd w:id="26"/>
      <w:bookmarkEnd w:id="27"/>
    </w:p>
    <w:p>
      <w:pPr>
        <w:pBdr>
          <w:bottom w:val="single" w:color="FFFFFF" w:sz="4" w:space="31"/>
        </w:pBdr>
        <w:tabs>
          <w:tab w:val="left" w:pos="1440"/>
        </w:tabs>
        <w:spacing w:line="560" w:lineRule="exact"/>
        <w:ind w:firstLine="600" w:firstLineChars="200"/>
        <w:rPr>
          <w:rFonts w:ascii="仿宋" w:hAnsi="仿宋" w:eastAsia="仿宋" w:cs="宋体"/>
          <w:kern w:val="0"/>
          <w:sz w:val="30"/>
          <w:szCs w:val="30"/>
        </w:rPr>
      </w:pPr>
      <w:r>
        <w:rPr>
          <w:rFonts w:hint="eastAsia" w:ascii="仿宋" w:hAnsi="仿宋" w:eastAsia="仿宋"/>
          <w:sz w:val="30"/>
          <w:szCs w:val="30"/>
        </w:rPr>
        <w:t>在州委、州政府、州委老干部局等上级部门的关心指导下，紧紧围绕2022年全州老干部工作总体思路，强化内部管理，狠抓措施落实。积极推进政治思想、组织建设、作风建设、廉政建设和队伍建设，扎实开展各项工作。</w:t>
      </w:r>
    </w:p>
    <w:p>
      <w:pPr>
        <w:pBdr>
          <w:bottom w:val="single" w:color="FFFFFF" w:sz="4" w:space="31"/>
        </w:pBdr>
        <w:tabs>
          <w:tab w:val="left" w:pos="1440"/>
        </w:tabs>
        <w:spacing w:line="560" w:lineRule="exact"/>
        <w:ind w:firstLine="600" w:firstLineChars="200"/>
        <w:rPr>
          <w:rFonts w:ascii="仿宋" w:hAnsi="仿宋" w:eastAsia="仿宋"/>
          <w:sz w:val="30"/>
          <w:szCs w:val="30"/>
        </w:rPr>
      </w:pPr>
      <w:r>
        <w:rPr>
          <w:rFonts w:hint="eastAsia" w:ascii="仿宋" w:hAnsi="仿宋" w:eastAsia="仿宋"/>
          <w:sz w:val="30"/>
          <w:szCs w:val="30"/>
        </w:rPr>
        <w:t>一是认真贯彻执行中共中央、国务院和省州党委、政府关于老干部工作的方针、政策和指示；抓好老干部政治待遇的落实，切实从政治上关心老干部；抓好老干部生活待遇的落实，对老干部生活待遇方面出现的新情况、新问题，及时汇报、采取措施加以解决；对离休干部及离休干部遗孀进行精细化服务管理，工作人员一对一服务离休干部，对生病和困难老干部进行问慰、重大节日及春节问慰，活动中学习党的政策、传阅学习州上和老干局的文件，落实老干部的待遇以及对老干部日常生活服务。</w:t>
      </w:r>
    </w:p>
    <w:p>
      <w:pPr>
        <w:pBdr>
          <w:bottom w:val="single" w:color="FFFFFF" w:sz="4" w:space="31"/>
        </w:pBdr>
        <w:tabs>
          <w:tab w:val="left" w:pos="1440"/>
        </w:tabs>
        <w:spacing w:line="560" w:lineRule="exact"/>
        <w:ind w:firstLine="600" w:firstLineChars="200"/>
        <w:rPr>
          <w:rFonts w:ascii="仿宋" w:hAnsi="仿宋" w:eastAsia="仿宋"/>
          <w:sz w:val="30"/>
          <w:szCs w:val="30"/>
        </w:rPr>
      </w:pPr>
      <w:r>
        <w:rPr>
          <w:rFonts w:hint="eastAsia" w:ascii="仿宋" w:hAnsi="仿宋" w:eastAsia="仿宋"/>
          <w:sz w:val="30"/>
          <w:szCs w:val="30"/>
        </w:rPr>
        <w:t>二是完成了单位办公家具、文件柜等办公设备的采购工作；老干所围墙、大门，监控系统等设施进行了维修整改，单位整体形象得到了很好的提升；对管理服务中心活动室的白蚁虫害进行了全面消杀治理；管理服务中心活动室的门窗进行了全部更换；老干部各项活动有序开展；单位财金预算高效执行；单位各项业务也有效运转。</w:t>
      </w:r>
    </w:p>
    <w:p>
      <w:pPr>
        <w:pBdr>
          <w:bottom w:val="single" w:color="FFFFFF" w:sz="4" w:space="31"/>
        </w:pBdr>
        <w:tabs>
          <w:tab w:val="left" w:pos="1440"/>
        </w:tabs>
        <w:spacing w:line="560" w:lineRule="exact"/>
        <w:ind w:firstLine="600" w:firstLineChars="200"/>
        <w:rPr>
          <w:rFonts w:ascii="仿宋" w:hAnsi="仿宋" w:eastAsia="仿宋"/>
          <w:sz w:val="30"/>
          <w:szCs w:val="30"/>
        </w:rPr>
      </w:pPr>
      <w:r>
        <w:rPr>
          <w:rFonts w:hint="eastAsia" w:ascii="仿宋" w:hAnsi="仿宋" w:eastAsia="仿宋"/>
          <w:sz w:val="30"/>
          <w:szCs w:val="30"/>
        </w:rPr>
        <w:t>三是加强党风廉政建设工提高管理服务意识，树立良好的工作作风，认真贯彻执行中共中央、国务院和省州党委、政府关于老干部工作的方针、政策和指示，切实从政治上、生活上关心老干部，抓好老干部政治待遇、生活待遇的落实，对老干部生活待遇方面出现的新情况、新问题，及时汇报、及时与相关单位联系，采取措施加以解决。</w:t>
      </w:r>
    </w:p>
    <w:p>
      <w:pPr>
        <w:pBdr>
          <w:bottom w:val="single" w:color="FFFFFF" w:sz="4" w:space="31"/>
        </w:pBdr>
        <w:tabs>
          <w:tab w:val="left" w:pos="1440"/>
        </w:tabs>
        <w:spacing w:line="560" w:lineRule="exact"/>
        <w:ind w:firstLine="600" w:firstLineChars="200"/>
        <w:rPr>
          <w:rFonts w:ascii="仿宋" w:hAnsi="仿宋" w:eastAsia="仿宋"/>
          <w:sz w:val="30"/>
          <w:szCs w:val="30"/>
        </w:rPr>
      </w:pPr>
      <w:r>
        <w:rPr>
          <w:rFonts w:hint="eastAsia" w:ascii="仿宋" w:hAnsi="仿宋" w:eastAsia="仿宋"/>
          <w:sz w:val="30"/>
          <w:szCs w:val="30"/>
        </w:rPr>
        <w:t>四是受新冠肺炎疫情影响，老干部聚集性活动减少，活动主要以走访慰问的形式开展。管理服务中心活动场所关闭，老干所积极配合当地社区，全面落实联防联控措施，听党指挥，共同构筑起群防群治的严密防线，减少了病毒传播的可能，疫情期间及时为老干部解决生活上的实际困难，做好老干部们的思想安抚疏导工作，为老干部安心休养创造良好的条件。</w:t>
      </w:r>
    </w:p>
    <w:p>
      <w:pPr>
        <w:pStyle w:val="6"/>
        <w:adjustRightInd w:val="0"/>
        <w:snapToGrid w:val="0"/>
        <w:spacing w:before="93" w:line="600" w:lineRule="exact"/>
        <w:ind w:firstLine="672" w:firstLineChars="210"/>
        <w:outlineLvl w:val="2"/>
        <w:rPr>
          <w:kern w:val="2"/>
          <w:sz w:val="32"/>
          <w:szCs w:val="32"/>
        </w:rPr>
      </w:pPr>
    </w:p>
    <w:p>
      <w:pPr>
        <w:pStyle w:val="3"/>
        <w:ind w:firstLine="640" w:firstLineChars="200"/>
        <w:rPr>
          <w:rFonts w:ascii="仿宋_GB2312" w:hAnsi="Times New Roman" w:eastAsia="仿宋_GB2312"/>
        </w:rPr>
      </w:pPr>
      <w:bookmarkStart w:id="28" w:name="_Toc15396601"/>
      <w:bookmarkStart w:id="29" w:name="_Toc15377200"/>
      <w:bookmarkStart w:id="30" w:name="_Toc79163605"/>
      <w:bookmarkStart w:id="31" w:name="_Toc79163855"/>
      <w:r>
        <w:rPr>
          <w:rFonts w:hint="eastAsia" w:ascii="黑体" w:hAnsi="黑体" w:eastAsia="黑体"/>
          <w:b w:val="0"/>
          <w:bCs w:val="0"/>
        </w:rPr>
        <w:t>二、机</w:t>
      </w:r>
      <w:r>
        <w:rPr>
          <w:rFonts w:hint="eastAsia" w:ascii="仿宋_GB2312" w:hAnsi="Times New Roman" w:eastAsia="仿宋_GB2312"/>
        </w:rPr>
        <w:t>构设置</w:t>
      </w:r>
      <w:bookmarkEnd w:id="28"/>
      <w:bookmarkEnd w:id="29"/>
      <w:bookmarkEnd w:id="30"/>
      <w:bookmarkEnd w:id="31"/>
    </w:p>
    <w:p>
      <w:pPr>
        <w:ind w:firstLine="800" w:firstLineChars="250"/>
        <w:rPr>
          <w:rFonts w:ascii="仿宋_GB2312" w:eastAsia="仿宋_GB2312"/>
          <w:sz w:val="32"/>
          <w:szCs w:val="32"/>
        </w:rPr>
      </w:pPr>
      <w:r>
        <w:rPr>
          <w:rFonts w:ascii="仿宋_GB2312" w:eastAsia="仿宋_GB2312"/>
          <w:sz w:val="32"/>
          <w:szCs w:val="32"/>
        </w:rPr>
        <w:t>阿坝州驻郫都区老干部休养所无下</w:t>
      </w:r>
      <w:r>
        <w:rPr>
          <w:rFonts w:hint="eastAsia" w:ascii="仿宋_GB2312" w:eastAsia="仿宋_GB2312"/>
          <w:sz w:val="32"/>
          <w:szCs w:val="32"/>
        </w:rPr>
        <w:t>属二级单位。</w:t>
      </w:r>
    </w:p>
    <w:p>
      <w:pPr>
        <w:pStyle w:val="2"/>
        <w:ind w:right="440"/>
        <w:jc w:val="right"/>
        <w:rPr>
          <w:rFonts w:ascii="仿宋_GB2312" w:eastAsia="仿宋_GB2312"/>
          <w:kern w:val="2"/>
          <w:sz w:val="32"/>
          <w:szCs w:val="32"/>
        </w:rPr>
      </w:pPr>
      <w:bookmarkStart w:id="32" w:name="_Toc15396602"/>
      <w:bookmarkStart w:id="33" w:name="_Toc15377204"/>
      <w:bookmarkStart w:id="34" w:name="_Toc79163609"/>
      <w:bookmarkStart w:id="35" w:name="_Toc79163859"/>
      <w:r>
        <w:rPr>
          <w:rFonts w:hint="eastAsia" w:ascii="黑体" w:hAnsi="黑体" w:eastAsia="黑体"/>
          <w:b w:val="0"/>
          <w:bCs w:val="0"/>
          <w:kern w:val="2"/>
          <w:sz w:val="32"/>
          <w:szCs w:val="32"/>
        </w:rPr>
        <w:t>第二部分</w:t>
      </w:r>
      <w:r>
        <w:rPr>
          <w:rFonts w:ascii="黑体" w:hAnsi="黑体" w:eastAsia="黑体"/>
          <w:b w:val="0"/>
          <w:bCs w:val="0"/>
          <w:kern w:val="2"/>
          <w:sz w:val="32"/>
          <w:szCs w:val="32"/>
        </w:rPr>
        <w:t xml:space="preserve"> </w:t>
      </w:r>
      <w:r>
        <w:rPr>
          <w:rFonts w:ascii="仿宋_GB2312" w:eastAsia="仿宋_GB2312"/>
          <w:kern w:val="2"/>
          <w:sz w:val="32"/>
          <w:szCs w:val="32"/>
        </w:rPr>
        <w:t>202</w:t>
      </w:r>
      <w:r>
        <w:rPr>
          <w:rFonts w:hint="eastAsia" w:ascii="仿宋_GB2312" w:eastAsia="仿宋_GB2312"/>
          <w:kern w:val="2"/>
          <w:sz w:val="32"/>
          <w:szCs w:val="32"/>
        </w:rPr>
        <w:t>1年度部门决算情况说明</w:t>
      </w:r>
      <w:bookmarkEnd w:id="32"/>
      <w:bookmarkEnd w:id="33"/>
      <w:bookmarkEnd w:id="34"/>
      <w:bookmarkEnd w:id="35"/>
    </w:p>
    <w:p>
      <w:pPr>
        <w:pStyle w:val="34"/>
        <w:numPr>
          <w:ilvl w:val="0"/>
          <w:numId w:val="1"/>
        </w:numPr>
        <w:spacing w:line="600" w:lineRule="exact"/>
        <w:ind w:firstLineChars="0"/>
        <w:outlineLvl w:val="1"/>
        <w:rPr>
          <w:rFonts w:ascii="黑体" w:hAnsi="黑体" w:eastAsia="黑体"/>
          <w:sz w:val="32"/>
          <w:szCs w:val="32"/>
        </w:rPr>
      </w:pPr>
      <w:bookmarkStart w:id="36" w:name="_Toc79163610"/>
      <w:bookmarkStart w:id="37" w:name="_Toc79163860"/>
      <w:bookmarkStart w:id="38" w:name="_Toc15396603"/>
      <w:bookmarkStart w:id="39" w:name="_Toc15377205"/>
      <w:r>
        <w:rPr>
          <w:rFonts w:hint="eastAsia" w:ascii="黑体" w:hAnsi="黑体" w:eastAsia="黑体"/>
          <w:sz w:val="32"/>
          <w:szCs w:val="32"/>
        </w:rPr>
        <w:t>收入支出决算总体情况说明</w:t>
      </w:r>
      <w:bookmarkEnd w:id="36"/>
      <w:bookmarkEnd w:id="37"/>
      <w:bookmarkEnd w:id="38"/>
      <w:bookmarkEnd w:id="39"/>
    </w:p>
    <w:p>
      <w:pPr>
        <w:pStyle w:val="18"/>
        <w:shd w:val="clear" w:color="auto" w:fill="FFFFFF"/>
        <w:ind w:firstLine="640" w:firstLineChars="200"/>
        <w:rPr>
          <w:rFonts w:ascii="仿宋_GB2312" w:eastAsia="仿宋_GB2312"/>
          <w:b/>
          <w:kern w:val="2"/>
        </w:rPr>
      </w:pPr>
      <w:r>
        <w:rPr>
          <w:rFonts w:ascii="仿宋_GB2312" w:eastAsia="仿宋_GB2312"/>
          <w:kern w:val="2"/>
          <w:sz w:val="32"/>
          <w:szCs w:val="32"/>
        </w:rPr>
        <w:t>202</w:t>
      </w:r>
      <w:r>
        <w:rPr>
          <w:rFonts w:hint="eastAsia" w:ascii="仿宋_GB2312" w:eastAsia="仿宋_GB2312"/>
          <w:kern w:val="2"/>
          <w:sz w:val="32"/>
          <w:szCs w:val="32"/>
        </w:rPr>
        <w:t>2年度收入总计154.56万元、支出总计154.56万元。与</w:t>
      </w:r>
      <w:r>
        <w:rPr>
          <w:rFonts w:ascii="仿宋_GB2312" w:eastAsia="仿宋_GB2312"/>
          <w:kern w:val="2"/>
          <w:sz w:val="32"/>
          <w:szCs w:val="32"/>
        </w:rPr>
        <w:t>20</w:t>
      </w:r>
      <w:r>
        <w:rPr>
          <w:rFonts w:hint="eastAsia" w:ascii="仿宋_GB2312" w:eastAsia="仿宋_GB2312"/>
          <w:kern w:val="2"/>
          <w:sz w:val="32"/>
          <w:szCs w:val="32"/>
        </w:rPr>
        <w:t>20年相比，收入增加2.05万元，支出增加13.61万元，</w:t>
      </w:r>
      <w:r>
        <w:rPr>
          <w:rFonts w:hint="eastAsia" w:ascii="仿宋_GB2312" w:eastAsia="仿宋_GB2312"/>
          <w:b/>
          <w:kern w:val="2"/>
        </w:rPr>
        <w:t>主要原因：</w:t>
      </w:r>
      <w:r>
        <w:rPr>
          <w:rFonts w:hint="eastAsia" w:ascii="仿宋_GB2312" w:eastAsia="仿宋_GB2312"/>
          <w:kern w:val="2"/>
        </w:rPr>
        <w:t>工资正常调整，</w:t>
      </w:r>
      <w:r>
        <w:rPr>
          <w:rFonts w:hint="eastAsia" w:ascii="仿宋_GB2312" w:eastAsia="仿宋_GB2312"/>
          <w:kern w:val="2"/>
          <w:sz w:val="32"/>
          <w:szCs w:val="32"/>
        </w:rPr>
        <w:t>社会保障和就业支出、住房保障支出因基数增加，缴费增加。</w:t>
      </w:r>
      <w:r>
        <w:rPr>
          <w:rFonts w:hint="eastAsia" w:ascii="仿宋_GB2312" w:eastAsia="仿宋_GB2312"/>
          <w:b/>
          <w:kern w:val="2"/>
        </w:rPr>
        <w:t xml:space="preserve"> </w:t>
      </w:r>
    </w:p>
    <w:p>
      <w:pPr>
        <w:snapToGrid w:val="0"/>
        <w:spacing w:line="520" w:lineRule="exact"/>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drawing>
          <wp:inline distT="0" distB="0" distL="0" distR="0">
            <wp:extent cx="4424680" cy="2987675"/>
            <wp:effectExtent l="0" t="0" r="13970"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1</w:t>
      </w:r>
      <w:r>
        <w:rPr>
          <w:rFonts w:hint="eastAsia" w:ascii="仿宋_GB2312" w:eastAsia="仿宋_GB2312"/>
          <w:sz w:val="32"/>
          <w:szCs w:val="32"/>
        </w:rPr>
        <w:t>：收、支决算总计变动情况图）（柱状图）</w:t>
      </w:r>
    </w:p>
    <w:p>
      <w:pPr>
        <w:spacing w:line="240" w:lineRule="exact"/>
        <w:ind w:firstLine="640" w:firstLineChars="200"/>
        <w:jc w:val="left"/>
        <w:rPr>
          <w:rFonts w:ascii="仿宋_GB2312" w:eastAsia="仿宋_GB2312"/>
          <w:sz w:val="32"/>
          <w:szCs w:val="32"/>
        </w:rPr>
      </w:pPr>
    </w:p>
    <w:p>
      <w:pPr>
        <w:pStyle w:val="34"/>
        <w:numPr>
          <w:ilvl w:val="0"/>
          <w:numId w:val="1"/>
        </w:numPr>
        <w:spacing w:line="600" w:lineRule="exact"/>
        <w:ind w:firstLineChars="0"/>
        <w:outlineLvl w:val="1"/>
        <w:rPr>
          <w:rFonts w:ascii="黑体" w:hAnsi="黑体" w:eastAsia="黑体"/>
          <w:bCs/>
          <w:sz w:val="32"/>
          <w:szCs w:val="32"/>
        </w:rPr>
      </w:pPr>
      <w:bookmarkStart w:id="40" w:name="_Toc15396604"/>
      <w:bookmarkStart w:id="41" w:name="_Toc79163611"/>
      <w:bookmarkStart w:id="42" w:name="_Toc79163861"/>
      <w:bookmarkStart w:id="43" w:name="_Toc15377206"/>
      <w:r>
        <w:rPr>
          <w:rFonts w:hint="eastAsia" w:ascii="黑体" w:hAnsi="黑体" w:eastAsia="黑体"/>
          <w:sz w:val="32"/>
          <w:szCs w:val="32"/>
        </w:rPr>
        <w:t>收</w:t>
      </w:r>
      <w:r>
        <w:rPr>
          <w:rFonts w:hint="eastAsia" w:ascii="黑体" w:hAnsi="黑体" w:eastAsia="黑体"/>
          <w:bCs/>
          <w:sz w:val="32"/>
          <w:szCs w:val="32"/>
        </w:rPr>
        <w:t>入决算情况说明</w:t>
      </w:r>
      <w:bookmarkEnd w:id="40"/>
      <w:bookmarkEnd w:id="41"/>
      <w:bookmarkEnd w:id="42"/>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2年本年收入合计154.56万元，其中：一般公共预算财政拨款收入153.61万元，占99.39</w:t>
      </w:r>
      <w:r>
        <w:rPr>
          <w:rFonts w:ascii="仿宋_GB2312" w:eastAsia="仿宋_GB2312"/>
          <w:sz w:val="32"/>
          <w:szCs w:val="32"/>
        </w:rPr>
        <w:t>%</w:t>
      </w:r>
      <w:r>
        <w:rPr>
          <w:rFonts w:hint="eastAsia" w:ascii="仿宋_GB2312" w:eastAsia="仿宋_GB2312"/>
          <w:sz w:val="32"/>
          <w:szCs w:val="32"/>
        </w:rPr>
        <w:t>；政府性基金预算财政拨款收入0万元；上级补助收入0万元；事业收入0万元；经营收入0万元；附属单位上缴收入0万元；其他收入0.95万元。</w:t>
      </w:r>
    </w:p>
    <w:p>
      <w:pPr>
        <w:tabs>
          <w:tab w:val="left" w:pos="5349"/>
        </w:tabs>
        <w:spacing w:line="360" w:lineRule="auto"/>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01</w:t>
      </w:r>
      <w:r>
        <w:rPr>
          <w:rFonts w:hint="eastAsia" w:ascii="仿宋_GB2312" w:eastAsia="仿宋_GB2312"/>
          <w:sz w:val="32"/>
          <w:szCs w:val="32"/>
        </w:rPr>
        <w:t>表）</w:t>
      </w:r>
    </w:p>
    <w:p>
      <w:pPr>
        <w:tabs>
          <w:tab w:val="left" w:pos="5349"/>
        </w:tabs>
        <w:spacing w:line="360" w:lineRule="auto"/>
        <w:rPr>
          <w:rFonts w:ascii="仿宋_GB2312" w:eastAsia="仿宋_GB2312"/>
          <w:sz w:val="32"/>
          <w:szCs w:val="32"/>
        </w:rPr>
      </w:pPr>
      <w:r>
        <w:rPr>
          <w:rFonts w:ascii="仿宋_GB2312" w:eastAsia="仿宋_GB2312"/>
          <w:sz w:val="32"/>
          <w:szCs w:val="32"/>
        </w:rPr>
        <w:drawing>
          <wp:inline distT="0" distB="0" distL="0" distR="0">
            <wp:extent cx="5274310" cy="3076575"/>
            <wp:effectExtent l="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ascii="仿宋_GB2312" w:eastAsia="仿宋_GB2312"/>
          <w:sz w:val="32"/>
          <w:szCs w:val="32"/>
        </w:rPr>
        <w:t>（图</w:t>
      </w:r>
      <w:r>
        <w:rPr>
          <w:rFonts w:ascii="仿宋_GB2312" w:eastAsia="仿宋_GB2312"/>
          <w:sz w:val="32"/>
          <w:szCs w:val="32"/>
        </w:rPr>
        <w:t>2</w:t>
      </w:r>
      <w:r>
        <w:rPr>
          <w:rFonts w:hint="eastAsia" w:ascii="仿宋_GB2312" w:eastAsia="仿宋_GB2312"/>
          <w:sz w:val="32"/>
          <w:szCs w:val="32"/>
        </w:rPr>
        <w:t>：收入决算结构图）（饼状图）</w:t>
      </w:r>
    </w:p>
    <w:p>
      <w:pPr>
        <w:spacing w:line="600" w:lineRule="exact"/>
        <w:ind w:firstLine="640" w:firstLineChars="200"/>
        <w:rPr>
          <w:rFonts w:ascii="仿宋_GB2312" w:eastAsia="仿宋_GB2312"/>
          <w:sz w:val="32"/>
          <w:szCs w:val="32"/>
        </w:rPr>
      </w:pPr>
    </w:p>
    <w:p>
      <w:pPr>
        <w:pStyle w:val="34"/>
        <w:numPr>
          <w:ilvl w:val="0"/>
          <w:numId w:val="1"/>
        </w:numPr>
        <w:spacing w:line="600" w:lineRule="exact"/>
        <w:ind w:firstLineChars="0"/>
        <w:outlineLvl w:val="1"/>
        <w:rPr>
          <w:rFonts w:ascii="黑体" w:hAnsi="黑体" w:eastAsia="黑体"/>
          <w:bCs/>
          <w:sz w:val="32"/>
          <w:szCs w:val="32"/>
        </w:rPr>
      </w:pPr>
      <w:bookmarkStart w:id="44" w:name="_Toc79163862"/>
      <w:bookmarkStart w:id="45" w:name="_Toc15377207"/>
      <w:bookmarkStart w:id="46" w:name="_Toc79163612"/>
      <w:bookmarkStart w:id="47" w:name="_Toc15396605"/>
      <w:r>
        <w:rPr>
          <w:rFonts w:hint="eastAsia" w:ascii="黑体" w:hAnsi="黑体" w:eastAsia="黑体"/>
          <w:sz w:val="32"/>
          <w:szCs w:val="32"/>
        </w:rPr>
        <w:t>支</w:t>
      </w:r>
      <w:r>
        <w:rPr>
          <w:rFonts w:hint="eastAsia" w:ascii="黑体" w:hAnsi="黑体" w:eastAsia="黑体"/>
          <w:bCs/>
          <w:sz w:val="32"/>
          <w:szCs w:val="32"/>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2年本年支出合计154.56万元，其中：基本支出122.70万元，占79.38</w:t>
      </w:r>
      <w:r>
        <w:rPr>
          <w:rFonts w:ascii="仿宋_GB2312" w:eastAsia="仿宋_GB2312"/>
          <w:sz w:val="32"/>
          <w:szCs w:val="32"/>
        </w:rPr>
        <w:t>%</w:t>
      </w:r>
      <w:r>
        <w:rPr>
          <w:rFonts w:hint="eastAsia" w:ascii="仿宋_GB2312" w:eastAsia="仿宋_GB2312"/>
          <w:sz w:val="32"/>
          <w:szCs w:val="32"/>
        </w:rPr>
        <w:t>；项目支出31.87万元，占20.62</w:t>
      </w:r>
      <w:r>
        <w:rPr>
          <w:rFonts w:ascii="仿宋_GB2312" w:eastAsia="仿宋_GB2312"/>
          <w:sz w:val="32"/>
          <w:szCs w:val="32"/>
        </w:rPr>
        <w:t>%</w:t>
      </w:r>
      <w:r>
        <w:rPr>
          <w:rFonts w:hint="eastAsia" w:ascii="仿宋_GB2312" w:eastAsia="仿宋_GB2312"/>
          <w:sz w:val="32"/>
          <w:szCs w:val="32"/>
        </w:rPr>
        <w:t>；上缴上级支出0万元；经营支出0万元；对附属单位补助支出0万元。</w:t>
      </w:r>
    </w:p>
    <w:p>
      <w:pPr>
        <w:spacing w:line="360" w:lineRule="auto"/>
        <w:ind w:firstLine="641"/>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3</w:t>
      </w:r>
      <w:r>
        <w:rPr>
          <w:rFonts w:hint="eastAsia" w:ascii="仿宋_GB2312" w:eastAsia="仿宋_GB2312"/>
          <w:sz w:val="32"/>
          <w:szCs w:val="32"/>
        </w:rPr>
        <w:t>：支出决算结构图）（饼状图）</w:t>
      </w:r>
    </w:p>
    <w:p>
      <w:pPr>
        <w:spacing w:line="360" w:lineRule="auto"/>
        <w:ind w:firstLine="640" w:firstLineChars="200"/>
        <w:rPr>
          <w:rFonts w:ascii="仿宋_GB2312" w:eastAsia="仿宋_GB2312"/>
          <w:sz w:val="32"/>
          <w:szCs w:val="32"/>
        </w:rPr>
      </w:pPr>
      <w:r>
        <w:rPr>
          <w:rFonts w:ascii="仿宋_GB2312" w:eastAsia="仿宋_GB2312"/>
          <w:sz w:val="32"/>
          <w:szCs w:val="32"/>
        </w:rPr>
        <w:drawing>
          <wp:inline distT="0" distB="0" distL="0" distR="0">
            <wp:extent cx="4354195" cy="3254375"/>
            <wp:effectExtent l="0" t="0" r="27305" b="222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ascii="黑体" w:hAnsi="黑体" w:eastAsia="黑体"/>
          <w:bCs/>
          <w:sz w:val="32"/>
          <w:szCs w:val="32"/>
        </w:rPr>
      </w:pPr>
      <w:bookmarkStart w:id="48" w:name="_Toc79163613"/>
      <w:bookmarkStart w:id="49" w:name="_Toc79163863"/>
      <w:bookmarkStart w:id="50" w:name="_Toc15396606"/>
      <w:bookmarkStart w:id="51" w:name="_Toc15377208"/>
      <w:r>
        <w:rPr>
          <w:rFonts w:hint="eastAsia" w:ascii="黑体" w:hAnsi="黑体" w:eastAsia="黑体"/>
          <w:sz w:val="32"/>
          <w:szCs w:val="32"/>
        </w:rPr>
        <w:t>四、财</w:t>
      </w:r>
      <w:r>
        <w:rPr>
          <w:rFonts w:hint="eastAsia" w:ascii="黑体" w:hAnsi="黑体" w:eastAsia="黑体"/>
          <w:bCs/>
          <w:sz w:val="32"/>
          <w:szCs w:val="32"/>
        </w:rPr>
        <w:t>政拨款收入支出决算总体情况说明</w:t>
      </w:r>
      <w:bookmarkEnd w:id="48"/>
      <w:bookmarkEnd w:id="49"/>
      <w:bookmarkEnd w:id="50"/>
      <w:bookmarkEnd w:id="51"/>
    </w:p>
    <w:p>
      <w:pPr>
        <w:pStyle w:val="18"/>
        <w:shd w:val="clear" w:color="auto" w:fill="FFFFFF"/>
        <w:ind w:firstLine="640" w:firstLineChars="200"/>
        <w:rPr>
          <w:rFonts w:ascii="仿宋_GB2312" w:eastAsia="仿宋_GB2312"/>
          <w:kern w:val="2"/>
          <w:sz w:val="32"/>
          <w:szCs w:val="32"/>
        </w:rPr>
      </w:pPr>
      <w:r>
        <w:rPr>
          <w:rFonts w:ascii="仿宋_GB2312" w:eastAsia="仿宋_GB2312"/>
          <w:kern w:val="2"/>
          <w:sz w:val="32"/>
          <w:szCs w:val="32"/>
        </w:rPr>
        <w:t>202</w:t>
      </w:r>
      <w:r>
        <w:rPr>
          <w:rFonts w:hint="eastAsia" w:ascii="仿宋_GB2312" w:eastAsia="仿宋_GB2312"/>
          <w:kern w:val="2"/>
          <w:sz w:val="32"/>
          <w:szCs w:val="32"/>
        </w:rPr>
        <w:t>2年财政拨款收入总计154.56万元、支出总计154.56万元。与</w:t>
      </w:r>
      <w:r>
        <w:rPr>
          <w:rFonts w:ascii="仿宋_GB2312" w:eastAsia="仿宋_GB2312"/>
          <w:kern w:val="2"/>
          <w:sz w:val="32"/>
          <w:szCs w:val="32"/>
        </w:rPr>
        <w:t>20</w:t>
      </w:r>
      <w:r>
        <w:rPr>
          <w:rFonts w:hint="eastAsia" w:ascii="仿宋_GB2312" w:eastAsia="仿宋_GB2312"/>
          <w:kern w:val="2"/>
          <w:sz w:val="32"/>
          <w:szCs w:val="32"/>
        </w:rPr>
        <w:t>21年相比，财政拨款收入增加1.1万元,增加0.72</w:t>
      </w:r>
      <w:r>
        <w:rPr>
          <w:rFonts w:ascii="仿宋_GB2312" w:eastAsia="仿宋_GB2312"/>
          <w:kern w:val="2"/>
          <w:sz w:val="32"/>
          <w:szCs w:val="32"/>
        </w:rPr>
        <w:t>%</w:t>
      </w:r>
      <w:r>
        <w:rPr>
          <w:rFonts w:hint="eastAsia" w:ascii="仿宋_GB2312" w:eastAsia="仿宋_GB2312"/>
          <w:kern w:val="2"/>
          <w:sz w:val="32"/>
          <w:szCs w:val="32"/>
        </w:rPr>
        <w:t xml:space="preserve">。主要变动原因是工资正常调整，社会保障和就业支出、住房保障支出因基数增加，缴费增加。 </w:t>
      </w:r>
    </w:p>
    <w:p>
      <w:pPr>
        <w:snapToGrid w:val="0"/>
        <w:spacing w:line="520" w:lineRule="exact"/>
        <w:ind w:firstLine="640" w:firstLineChars="200"/>
        <w:rPr>
          <w:rFonts w:ascii="仿宋_GB2312" w:eastAsia="仿宋_GB2312"/>
          <w:sz w:val="32"/>
          <w:szCs w:val="32"/>
        </w:rPr>
      </w:pPr>
    </w:p>
    <w:p>
      <w:pPr>
        <w:spacing w:line="600" w:lineRule="exact"/>
        <w:ind w:firstLine="640"/>
        <w:rPr>
          <w:rFonts w:ascii="仿宋_GB2312" w:eastAsia="仿宋_GB2312"/>
          <w:sz w:val="32"/>
          <w:szCs w:val="32"/>
        </w:rPr>
      </w:pPr>
      <w:r>
        <w:rPr>
          <w:rFonts w:hint="eastAsia" w:ascii="仿宋_GB2312" w:eastAsia="仿宋_GB2312"/>
          <w:sz w:val="32"/>
          <w:szCs w:val="32"/>
        </w:rPr>
        <w:t>（注：除国有资本经营预算外，数据来源于财决</w:t>
      </w:r>
      <w:r>
        <w:rPr>
          <w:rFonts w:ascii="仿宋_GB2312" w:eastAsia="仿宋_GB2312"/>
          <w:sz w:val="32"/>
          <w:szCs w:val="32"/>
        </w:rPr>
        <w:t>Z01-1</w:t>
      </w:r>
      <w:r>
        <w:rPr>
          <w:rFonts w:hint="eastAsia" w:ascii="仿宋_GB2312" w:eastAsia="仿宋_GB2312"/>
          <w:sz w:val="32"/>
          <w:szCs w:val="32"/>
        </w:rPr>
        <w:t>表，口径为“总计”数</w:t>
      </w:r>
      <w:r>
        <w:rPr>
          <w:rFonts w:ascii="仿宋_GB2312" w:eastAsia="仿宋_GB2312"/>
          <w:sz w:val="32"/>
          <w:szCs w:val="32"/>
        </w:rPr>
        <w:t>+</w:t>
      </w:r>
      <w:r>
        <w:rPr>
          <w:rFonts w:hint="eastAsia" w:ascii="仿宋_GB2312" w:eastAsia="仿宋_GB2312"/>
          <w:sz w:val="32"/>
          <w:szCs w:val="32"/>
        </w:rPr>
        <w:t>国有资本经营预算。）</w:t>
      </w:r>
    </w:p>
    <w:p>
      <w:pPr>
        <w:spacing w:line="360" w:lineRule="auto"/>
        <w:rPr>
          <w:rFonts w:ascii="仿宋_GB2312" w:eastAsia="仿宋_GB2312"/>
          <w:sz w:val="32"/>
          <w:szCs w:val="32"/>
        </w:rPr>
      </w:pPr>
      <w:r>
        <w:rPr>
          <w:rFonts w:ascii="仿宋_GB2312" w:eastAsia="仿宋_GB2312"/>
          <w:sz w:val="32"/>
          <w:szCs w:val="32"/>
        </w:rPr>
        <w:drawing>
          <wp:inline distT="0" distB="0" distL="0" distR="0">
            <wp:extent cx="4762500" cy="3249295"/>
            <wp:effectExtent l="0" t="0" r="19050" b="273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4</w:t>
      </w:r>
      <w:r>
        <w:rPr>
          <w:rFonts w:hint="eastAsia" w:ascii="仿宋_GB2312" w:eastAsia="仿宋_GB2312"/>
          <w:sz w:val="32"/>
          <w:szCs w:val="32"/>
        </w:rPr>
        <w:t>：财政拨款收、支决算总计变动情况）（柱状图）</w:t>
      </w:r>
    </w:p>
    <w:p>
      <w:pPr>
        <w:spacing w:line="600" w:lineRule="exact"/>
        <w:ind w:firstLine="640"/>
        <w:rPr>
          <w:rFonts w:ascii="仿宋_GB2312" w:eastAsia="仿宋_GB2312"/>
          <w:sz w:val="32"/>
          <w:szCs w:val="32"/>
        </w:rPr>
      </w:pPr>
    </w:p>
    <w:p>
      <w:pPr>
        <w:spacing w:line="600" w:lineRule="exact"/>
        <w:ind w:firstLine="640" w:firstLineChars="200"/>
        <w:outlineLvl w:val="1"/>
        <w:rPr>
          <w:rFonts w:ascii="黑体" w:hAnsi="黑体" w:eastAsia="黑体"/>
          <w:bCs/>
          <w:sz w:val="32"/>
          <w:szCs w:val="32"/>
        </w:rPr>
      </w:pPr>
      <w:bookmarkStart w:id="52" w:name="_Toc15377209"/>
      <w:bookmarkStart w:id="53" w:name="_Toc79163614"/>
      <w:bookmarkStart w:id="54" w:name="_Toc79163864"/>
      <w:bookmarkStart w:id="55" w:name="_Toc15396607"/>
      <w:r>
        <w:rPr>
          <w:rFonts w:hint="eastAsia" w:ascii="黑体" w:hAnsi="黑体" w:eastAsia="黑体"/>
          <w:sz w:val="32"/>
          <w:szCs w:val="32"/>
        </w:rPr>
        <w:t>五、一</w:t>
      </w:r>
      <w:r>
        <w:rPr>
          <w:rFonts w:hint="eastAsia" w:ascii="黑体" w:hAnsi="黑体" w:eastAsia="黑体"/>
          <w:bCs/>
          <w:sz w:val="32"/>
          <w:szCs w:val="32"/>
        </w:rPr>
        <w:t>般公共预算财政拨款支出决算情况说明</w:t>
      </w:r>
      <w:bookmarkEnd w:id="52"/>
      <w:bookmarkEnd w:id="53"/>
      <w:bookmarkEnd w:id="54"/>
      <w:bookmarkEnd w:id="55"/>
    </w:p>
    <w:p>
      <w:pPr>
        <w:spacing w:line="600" w:lineRule="exact"/>
        <w:ind w:firstLine="640" w:firstLineChars="200"/>
        <w:outlineLvl w:val="2"/>
        <w:rPr>
          <w:rFonts w:ascii="仿宋_GB2312" w:eastAsia="仿宋_GB2312"/>
          <w:sz w:val="32"/>
          <w:szCs w:val="32"/>
        </w:rPr>
      </w:pPr>
      <w:bookmarkStart w:id="56" w:name="_Toc79163615"/>
      <w:bookmarkStart w:id="57" w:name="_Toc15377210"/>
      <w:bookmarkStart w:id="58" w:name="_Toc79163865"/>
      <w:r>
        <w:rPr>
          <w:rFonts w:hint="eastAsia" w:ascii="仿宋_GB2312" w:eastAsia="仿宋_GB2312"/>
          <w:sz w:val="32"/>
          <w:szCs w:val="32"/>
        </w:rPr>
        <w:t>（一）一般公共预算财政拨款支出决算总体情况</w:t>
      </w:r>
      <w:bookmarkEnd w:id="56"/>
      <w:bookmarkEnd w:id="57"/>
      <w:bookmarkEnd w:id="58"/>
    </w:p>
    <w:p>
      <w:pPr>
        <w:pStyle w:val="18"/>
        <w:shd w:val="clear" w:color="auto" w:fill="FFFFFF"/>
        <w:ind w:firstLine="640" w:firstLineChars="200"/>
        <w:rPr>
          <w:rFonts w:ascii="仿宋_GB2312" w:eastAsia="仿宋_GB2312"/>
          <w:kern w:val="2"/>
          <w:sz w:val="32"/>
          <w:szCs w:val="32"/>
        </w:rPr>
      </w:pPr>
      <w:r>
        <w:rPr>
          <w:rFonts w:ascii="仿宋_GB2312" w:eastAsia="仿宋_GB2312"/>
          <w:kern w:val="2"/>
          <w:sz w:val="32"/>
          <w:szCs w:val="32"/>
        </w:rPr>
        <w:t>202</w:t>
      </w:r>
      <w:r>
        <w:rPr>
          <w:rFonts w:hint="eastAsia" w:ascii="仿宋_GB2312" w:eastAsia="仿宋_GB2312"/>
          <w:kern w:val="2"/>
          <w:sz w:val="32"/>
          <w:szCs w:val="32"/>
        </w:rPr>
        <w:t>2年一般公共预算财政拨款支出153.61万元，占本年支出合计的99.39</w:t>
      </w:r>
      <w:r>
        <w:rPr>
          <w:rFonts w:ascii="仿宋_GB2312" w:eastAsia="仿宋_GB2312"/>
          <w:kern w:val="2"/>
          <w:sz w:val="32"/>
          <w:szCs w:val="32"/>
        </w:rPr>
        <w:t>%</w:t>
      </w:r>
      <w:r>
        <w:rPr>
          <w:rFonts w:hint="eastAsia" w:ascii="仿宋_GB2312" w:eastAsia="仿宋_GB2312"/>
          <w:kern w:val="2"/>
          <w:sz w:val="32"/>
          <w:szCs w:val="32"/>
        </w:rPr>
        <w:t>。与</w:t>
      </w:r>
      <w:r>
        <w:rPr>
          <w:rFonts w:ascii="仿宋_GB2312" w:eastAsia="仿宋_GB2312"/>
          <w:kern w:val="2"/>
          <w:sz w:val="32"/>
          <w:szCs w:val="32"/>
        </w:rPr>
        <w:t>20</w:t>
      </w:r>
      <w:r>
        <w:rPr>
          <w:rFonts w:hint="eastAsia" w:ascii="仿宋_GB2312" w:eastAsia="仿宋_GB2312"/>
          <w:kern w:val="2"/>
          <w:sz w:val="32"/>
          <w:szCs w:val="32"/>
        </w:rPr>
        <w:t>21年相比，一般公共预算财政拨款支出增加1.1万元，增加0.72</w:t>
      </w:r>
      <w:r>
        <w:rPr>
          <w:rFonts w:ascii="仿宋_GB2312" w:eastAsia="仿宋_GB2312"/>
          <w:kern w:val="2"/>
          <w:sz w:val="32"/>
          <w:szCs w:val="32"/>
        </w:rPr>
        <w:t>%</w:t>
      </w:r>
      <w:r>
        <w:rPr>
          <w:rFonts w:hint="eastAsia" w:ascii="仿宋_GB2312" w:eastAsia="仿宋_GB2312"/>
          <w:kern w:val="2"/>
          <w:sz w:val="32"/>
          <w:szCs w:val="32"/>
        </w:rPr>
        <w:t xml:space="preserve">。主要变动原因是：工资正常调整，社会保障和就业支出、住房保障支出因基数增加，缴费增加。 </w:t>
      </w: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napToGrid w:val="0"/>
        <w:spacing w:line="520" w:lineRule="exact"/>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ascii="仿宋_GB2312" w:eastAsia="仿宋_GB2312"/>
          <w:sz w:val="32"/>
          <w:szCs w:val="32"/>
        </w:rPr>
        <w:drawing>
          <wp:inline distT="0" distB="0" distL="0" distR="0">
            <wp:extent cx="4751070" cy="3202940"/>
            <wp:effectExtent l="0" t="0" r="1143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5</w:t>
      </w:r>
      <w:r>
        <w:rPr>
          <w:rFonts w:hint="eastAsia" w:ascii="仿宋_GB2312" w:eastAsia="仿宋_GB2312"/>
          <w:sz w:val="32"/>
          <w:szCs w:val="32"/>
        </w:rPr>
        <w:t>：一般公共预算财政拨款支出决算变动情况）（柱状图）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2"/>
        <w:rPr>
          <w:rFonts w:ascii="仿宋_GB2312" w:eastAsia="仿宋_GB2312"/>
          <w:sz w:val="32"/>
          <w:szCs w:val="32"/>
        </w:rPr>
      </w:pPr>
      <w:bookmarkStart w:id="59" w:name="_Toc15377211"/>
      <w:bookmarkStart w:id="60" w:name="_Toc79163616"/>
      <w:bookmarkStart w:id="61" w:name="_Toc79163866"/>
      <w:r>
        <w:rPr>
          <w:rFonts w:hint="eastAsia" w:ascii="仿宋_GB2312" w:eastAsia="仿宋_GB2312"/>
          <w:sz w:val="32"/>
          <w:szCs w:val="32"/>
        </w:rPr>
        <w:t>（二）一般公共预算财政拨款支出决算结构情况</w:t>
      </w:r>
      <w:bookmarkEnd w:id="59"/>
      <w:bookmarkEnd w:id="60"/>
      <w:bookmarkEnd w:id="61"/>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2年一般公共预算财政拨款支出153.61万元，主要用于以下方面</w:t>
      </w:r>
      <w:r>
        <w:rPr>
          <w:rFonts w:ascii="仿宋_GB2312" w:eastAsia="仿宋_GB2312"/>
          <w:sz w:val="32"/>
          <w:szCs w:val="32"/>
        </w:rPr>
        <w:t>:</w:t>
      </w:r>
      <w:r>
        <w:rPr>
          <w:rFonts w:hint="eastAsia" w:ascii="仿宋_GB2312" w:eastAsia="仿宋_GB2312"/>
          <w:sz w:val="32"/>
          <w:szCs w:val="32"/>
        </w:rPr>
        <w:t>一般公共服务（类）支出129.24万元，占83.62</w:t>
      </w:r>
      <w:r>
        <w:rPr>
          <w:rFonts w:ascii="仿宋_GB2312" w:eastAsia="仿宋_GB2312"/>
          <w:sz w:val="32"/>
          <w:szCs w:val="32"/>
        </w:rPr>
        <w:t>%</w:t>
      </w:r>
      <w:r>
        <w:rPr>
          <w:rFonts w:hint="eastAsia" w:ascii="仿宋_GB2312" w:eastAsia="仿宋_GB2312"/>
          <w:sz w:val="32"/>
          <w:szCs w:val="32"/>
        </w:rPr>
        <w:t>；教育支出（类）0万元；科学技术（类）支出0万元；文化旅游体育与传媒（类）支出0万元；社会保障和就业（类）支出12.78万元，占8.27</w:t>
      </w:r>
      <w:r>
        <w:rPr>
          <w:rFonts w:ascii="仿宋_GB2312" w:eastAsia="仿宋_GB2312"/>
          <w:sz w:val="32"/>
          <w:szCs w:val="32"/>
        </w:rPr>
        <w:t>%</w:t>
      </w:r>
      <w:r>
        <w:rPr>
          <w:rFonts w:hint="eastAsia" w:ascii="仿宋_GB2312" w:eastAsia="仿宋_GB2312"/>
          <w:sz w:val="32"/>
          <w:szCs w:val="32"/>
        </w:rPr>
        <w:t>；卫生健康支出5.21万元，占3.37</w:t>
      </w:r>
      <w:r>
        <w:rPr>
          <w:rFonts w:ascii="仿宋_GB2312" w:eastAsia="仿宋_GB2312"/>
          <w:sz w:val="32"/>
          <w:szCs w:val="32"/>
        </w:rPr>
        <w:t>%</w:t>
      </w:r>
      <w:r>
        <w:rPr>
          <w:rFonts w:hint="eastAsia" w:ascii="仿宋_GB2312" w:eastAsia="仿宋_GB2312"/>
          <w:sz w:val="32"/>
          <w:szCs w:val="32"/>
        </w:rPr>
        <w:t>；住房保障支出7.33万元，占4.47</w:t>
      </w:r>
      <w:r>
        <w:rPr>
          <w:rFonts w:ascii="仿宋_GB2312" w:eastAsia="仿宋_GB2312"/>
          <w:sz w:val="32"/>
          <w:szCs w:val="32"/>
        </w:rPr>
        <w:t>%</w:t>
      </w:r>
      <w:r>
        <w:rPr>
          <w:rFonts w:hint="eastAsia" w:ascii="仿宋_GB2312" w:eastAsia="仿宋_GB2312"/>
          <w:sz w:val="32"/>
          <w:szCs w:val="32"/>
        </w:rPr>
        <w:t>；。（罗列全部功能分类科目，至类级。）</w:t>
      </w:r>
    </w:p>
    <w:p>
      <w:pPr>
        <w:spacing w:line="360" w:lineRule="auto"/>
        <w:ind w:firstLine="641"/>
        <w:rPr>
          <w:rFonts w:ascii="仿宋_GB2312" w:eastAsia="仿宋_GB2312"/>
          <w:sz w:val="32"/>
          <w:szCs w:val="32"/>
        </w:rPr>
      </w:pPr>
      <w:r>
        <w:rPr>
          <w:rFonts w:ascii="仿宋_GB2312" w:eastAsia="仿宋_GB2312"/>
          <w:sz w:val="32"/>
          <w:szCs w:val="32"/>
        </w:rPr>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6</w:t>
      </w:r>
      <w:r>
        <w:rPr>
          <w:rFonts w:hint="eastAsia" w:ascii="仿宋_GB2312" w:eastAsia="仿宋_GB2312"/>
          <w:sz w:val="32"/>
          <w:szCs w:val="32"/>
        </w:rPr>
        <w:t>：一般公共预算财政拨款支出决算结构）（饼状图）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2"/>
        <w:rPr>
          <w:rFonts w:ascii="仿宋_GB2312" w:eastAsia="仿宋_GB2312"/>
          <w:sz w:val="32"/>
          <w:szCs w:val="32"/>
        </w:rPr>
      </w:pPr>
      <w:bookmarkStart w:id="62" w:name="_Toc79163617"/>
      <w:bookmarkStart w:id="63" w:name="_Toc79163867"/>
      <w:bookmarkStart w:id="64" w:name="_Toc15377212"/>
      <w:r>
        <w:rPr>
          <w:rFonts w:hint="eastAsia" w:ascii="仿宋_GB2312" w:eastAsia="仿宋_GB2312"/>
          <w:sz w:val="32"/>
          <w:szCs w:val="32"/>
        </w:rPr>
        <w:t>（三）一般公共预算财政拨款支出决算具体情况</w:t>
      </w:r>
      <w:bookmarkEnd w:id="62"/>
      <w:bookmarkEnd w:id="63"/>
      <w:bookmarkEnd w:id="64"/>
    </w:p>
    <w:p>
      <w:pPr>
        <w:spacing w:line="600" w:lineRule="exact"/>
        <w:ind w:firstLine="640" w:firstLineChars="200"/>
        <w:rPr>
          <w:rFonts w:ascii="仿宋_GB2312" w:eastAsia="仿宋_GB2312"/>
          <w:sz w:val="32"/>
          <w:szCs w:val="32"/>
        </w:rPr>
      </w:pPr>
      <w:bookmarkStart w:id="65" w:name="_Toc15377444"/>
      <w:bookmarkStart w:id="66" w:name="_Toc15377213"/>
      <w:bookmarkStart w:id="67" w:name="_Toc15378460"/>
      <w:r>
        <w:rPr>
          <w:rFonts w:ascii="仿宋_GB2312" w:eastAsia="仿宋_GB2312"/>
          <w:sz w:val="32"/>
          <w:szCs w:val="32"/>
        </w:rPr>
        <w:t>202</w:t>
      </w:r>
      <w:r>
        <w:rPr>
          <w:rFonts w:hint="eastAsia" w:ascii="仿宋_GB2312" w:eastAsia="仿宋_GB2312"/>
          <w:sz w:val="32"/>
          <w:szCs w:val="32"/>
        </w:rPr>
        <w:t>2年一般公共预算支出决算数为154.56，完成预算100</w:t>
      </w:r>
      <w:r>
        <w:rPr>
          <w:rFonts w:ascii="仿宋_GB2312" w:eastAsia="仿宋_GB2312"/>
          <w:sz w:val="32"/>
          <w:szCs w:val="32"/>
        </w:rPr>
        <w:t>%</w:t>
      </w:r>
      <w:r>
        <w:rPr>
          <w:rFonts w:hint="eastAsia" w:ascii="仿宋_GB2312" w:eastAsia="仿宋_GB2312"/>
          <w:sz w:val="32"/>
          <w:szCs w:val="32"/>
        </w:rPr>
        <w:t>。其中：</w:t>
      </w:r>
      <w:bookmarkEnd w:id="65"/>
      <w:bookmarkEnd w:id="66"/>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一般公共服务210（类）</w:t>
      </w:r>
      <w:r>
        <w:rPr>
          <w:rFonts w:ascii="仿宋_GB2312" w:eastAsia="仿宋_GB2312"/>
          <w:sz w:val="32"/>
          <w:szCs w:val="32"/>
        </w:rPr>
        <w:t>36</w:t>
      </w:r>
      <w:r>
        <w:rPr>
          <w:rFonts w:hint="eastAsia" w:ascii="仿宋_GB2312" w:eastAsia="仿宋_GB2312"/>
          <w:sz w:val="32"/>
          <w:szCs w:val="32"/>
        </w:rPr>
        <w:t>（款）01（项）（类）201（款）36（项）</w:t>
      </w:r>
      <w:r>
        <w:rPr>
          <w:rFonts w:ascii="仿宋_GB2312" w:eastAsia="仿宋_GB2312"/>
          <w:sz w:val="32"/>
          <w:szCs w:val="32"/>
        </w:rPr>
        <w:t xml:space="preserve">: </w:t>
      </w:r>
      <w:r>
        <w:rPr>
          <w:rFonts w:hint="eastAsia" w:ascii="仿宋_GB2312" w:eastAsia="仿宋_GB2312"/>
          <w:sz w:val="32"/>
          <w:szCs w:val="32"/>
        </w:rPr>
        <w:t>支出决算为97.37万元，完成预算100</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社会保障和就业208（类）05（款）05（项）机关行政事业单位基本养老保障缴费</w:t>
      </w:r>
      <w:r>
        <w:rPr>
          <w:rFonts w:ascii="仿宋_GB2312" w:eastAsia="仿宋_GB2312"/>
          <w:sz w:val="32"/>
          <w:szCs w:val="32"/>
        </w:rPr>
        <w:t>:</w:t>
      </w:r>
      <w:r>
        <w:rPr>
          <w:rFonts w:hint="eastAsia" w:ascii="仿宋_GB2312" w:eastAsia="仿宋_GB2312"/>
          <w:sz w:val="32"/>
          <w:szCs w:val="32"/>
        </w:rPr>
        <w:t>支出决算为8.52万元；208（类）05（款）06（项）机关行政事业单位职业年金缴费</w:t>
      </w:r>
      <w:r>
        <w:rPr>
          <w:rFonts w:ascii="仿宋_GB2312" w:eastAsia="仿宋_GB2312"/>
          <w:sz w:val="32"/>
          <w:szCs w:val="32"/>
        </w:rPr>
        <w:t>:</w:t>
      </w:r>
      <w:r>
        <w:rPr>
          <w:rFonts w:hint="eastAsia" w:ascii="仿宋_GB2312" w:eastAsia="仿宋_GB2312"/>
          <w:sz w:val="32"/>
          <w:szCs w:val="32"/>
        </w:rPr>
        <w:t>支出决算为4.26万元，完成预算100</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卫生健康210（类）11（款）01（项）</w:t>
      </w:r>
      <w:r>
        <w:rPr>
          <w:rFonts w:ascii="仿宋_GB2312" w:eastAsia="仿宋_GB2312"/>
          <w:sz w:val="32"/>
          <w:szCs w:val="32"/>
        </w:rPr>
        <w:t>:</w:t>
      </w:r>
      <w:r>
        <w:rPr>
          <w:rFonts w:hint="eastAsia" w:ascii="仿宋_GB2312" w:eastAsia="仿宋_GB2312"/>
          <w:sz w:val="32"/>
          <w:szCs w:val="32"/>
        </w:rPr>
        <w:t>行政单位医疗支出决算为3.92万元，210（类）11（款）03（项）：公务员医疗补助1.29万元，完成预算100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4.221（类）02（款）01（项）住房公积金</w:t>
      </w:r>
      <w:r>
        <w:rPr>
          <w:rFonts w:ascii="仿宋_GB2312" w:eastAsia="仿宋_GB2312"/>
          <w:sz w:val="32"/>
          <w:szCs w:val="32"/>
        </w:rPr>
        <w:t>:</w:t>
      </w:r>
      <w:r>
        <w:rPr>
          <w:rFonts w:hint="eastAsia" w:ascii="仿宋_GB2312" w:eastAsia="仿宋_GB2312"/>
          <w:sz w:val="32"/>
          <w:szCs w:val="32"/>
        </w:rPr>
        <w:t>支出决算为7.33万元，完成预算100</w:t>
      </w:r>
      <w:r>
        <w:rPr>
          <w:rFonts w:ascii="仿宋_GB2312" w:eastAsia="仿宋_GB2312"/>
          <w:sz w:val="32"/>
          <w:szCs w:val="32"/>
        </w:rPr>
        <w:t>%。</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Z01-1</w:t>
      </w:r>
      <w:r>
        <w:rPr>
          <w:rFonts w:hint="eastAsia" w:ascii="仿宋_GB2312" w:eastAsia="仿宋_GB2312"/>
          <w:sz w:val="32"/>
          <w:szCs w:val="32"/>
        </w:rPr>
        <w:t>表，罗列全部功能分类科目至项级。上述“预算”口径为调整预算数。增减变动原因为决算数</w:t>
      </w:r>
      <w:r>
        <w:rPr>
          <w:rFonts w:ascii="仿宋_GB2312" w:eastAsia="仿宋_GB2312"/>
          <w:sz w:val="32"/>
          <w:szCs w:val="32"/>
        </w:rPr>
        <w:t>&lt;</w:t>
      </w:r>
      <w:r>
        <w:rPr>
          <w:rFonts w:hint="eastAsia" w:ascii="仿宋_GB2312" w:eastAsia="仿宋_GB2312"/>
          <w:sz w:val="32"/>
          <w:szCs w:val="32"/>
        </w:rPr>
        <w:t>项级</w:t>
      </w:r>
      <w:r>
        <w:rPr>
          <w:rFonts w:ascii="仿宋_GB2312" w:eastAsia="仿宋_GB2312"/>
          <w:sz w:val="32"/>
          <w:szCs w:val="32"/>
        </w:rPr>
        <w:t>&gt;</w:t>
      </w:r>
      <w:r>
        <w:rPr>
          <w:rFonts w:hint="eastAsia" w:ascii="仿宋_GB2312" w:eastAsia="仿宋_GB2312"/>
          <w:sz w:val="32"/>
          <w:szCs w:val="32"/>
        </w:rPr>
        <w:t>和调整预算数</w:t>
      </w:r>
      <w:r>
        <w:rPr>
          <w:rFonts w:ascii="仿宋_GB2312" w:eastAsia="仿宋_GB2312"/>
          <w:sz w:val="32"/>
          <w:szCs w:val="32"/>
        </w:rPr>
        <w:t>&lt;</w:t>
      </w:r>
      <w:r>
        <w:rPr>
          <w:rFonts w:hint="eastAsia" w:ascii="仿宋_GB2312" w:eastAsia="仿宋_GB2312"/>
          <w:sz w:val="32"/>
          <w:szCs w:val="32"/>
        </w:rPr>
        <w:t>项级</w:t>
      </w:r>
      <w:r>
        <w:rPr>
          <w:rFonts w:ascii="仿宋_GB2312" w:eastAsia="仿宋_GB2312"/>
          <w:sz w:val="32"/>
          <w:szCs w:val="32"/>
        </w:rPr>
        <w:t>&gt;</w:t>
      </w:r>
      <w:r>
        <w:rPr>
          <w:rFonts w:hint="eastAsia" w:ascii="仿宋_GB2312" w:eastAsia="仿宋_GB2312"/>
          <w:sz w:val="32"/>
          <w:szCs w:val="32"/>
        </w:rPr>
        <w:t>比较，与预算数持平可以不写原因。）</w:t>
      </w:r>
    </w:p>
    <w:p>
      <w:pPr>
        <w:spacing w:line="600" w:lineRule="exact"/>
        <w:ind w:firstLine="640"/>
        <w:rPr>
          <w:rFonts w:ascii="仿宋_GB2312" w:eastAsia="仿宋_GB2312"/>
          <w:sz w:val="32"/>
          <w:szCs w:val="32"/>
        </w:rPr>
      </w:pPr>
    </w:p>
    <w:p>
      <w:pPr>
        <w:tabs>
          <w:tab w:val="right" w:pos="8306"/>
        </w:tabs>
        <w:spacing w:line="600" w:lineRule="exact"/>
        <w:ind w:firstLine="640"/>
        <w:outlineLvl w:val="1"/>
        <w:rPr>
          <w:rFonts w:ascii="黑体" w:hAnsi="黑体" w:eastAsia="黑体"/>
          <w:b/>
          <w:bCs/>
          <w:sz w:val="32"/>
          <w:szCs w:val="32"/>
        </w:rPr>
      </w:pPr>
      <w:bookmarkStart w:id="68" w:name="_Toc15396608"/>
      <w:bookmarkStart w:id="69" w:name="_Toc79163868"/>
      <w:bookmarkStart w:id="70" w:name="_Toc15377214"/>
      <w:bookmarkStart w:id="71" w:name="_Toc79163618"/>
      <w:r>
        <w:rPr>
          <w:rFonts w:hint="eastAsia" w:ascii="黑体" w:hAnsi="黑体" w:eastAsia="黑体"/>
          <w:sz w:val="32"/>
          <w:szCs w:val="32"/>
        </w:rPr>
        <w:t>六、一</w:t>
      </w:r>
      <w:r>
        <w:rPr>
          <w:rFonts w:hint="eastAsia" w:ascii="黑体" w:hAnsi="黑体" w:eastAsia="黑体"/>
          <w:bCs/>
          <w:sz w:val="32"/>
          <w:szCs w:val="32"/>
        </w:rPr>
        <w:t>般公共预算财政拨款基本支出决算情况说明</w:t>
      </w:r>
      <w:bookmarkEnd w:id="68"/>
      <w:bookmarkEnd w:id="69"/>
      <w:bookmarkEnd w:id="70"/>
      <w:bookmarkEnd w:id="71"/>
      <w:r>
        <w:rPr>
          <w:rFonts w:ascii="黑体" w:hAnsi="黑体" w:eastAsia="黑体"/>
          <w:bCs/>
          <w:sz w:val="32"/>
          <w:szCs w:val="32"/>
        </w:rPr>
        <w:tab/>
      </w:r>
    </w:p>
    <w:p>
      <w:pPr>
        <w:spacing w:line="600" w:lineRule="exact"/>
        <w:ind w:firstLine="645"/>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一般公共预算财政拨款基本支出154.56万元，其中：人员经费112.84万元，主要包括：基本工资24.83万元、津贴补贴52.31万元、奖金2.17万元、伙食补助费2.4万元、机关事业单位基本养老保险缴费8.52万元、职业年金缴费4.26万元、其他社会保障缴费0.61万元、其他工资福利支出0万元、生活补助5.20万元、医疗费补助5.22万元、奖励金0.01万元、住房公积金7.33万元等。</w:t>
      </w:r>
      <w:r>
        <w:rPr>
          <w:rFonts w:ascii="仿宋_GB2312" w:eastAsia="仿宋_GB2312"/>
          <w:sz w:val="32"/>
          <w:szCs w:val="32"/>
        </w:rPr>
        <w:br w:type="textWrapping"/>
      </w:r>
      <w:r>
        <w:rPr>
          <w:rFonts w:hint="eastAsia" w:ascii="仿宋_GB2312" w:eastAsia="仿宋_GB2312"/>
          <w:sz w:val="32"/>
          <w:szCs w:val="32"/>
        </w:rPr>
        <w:t>　　日常公用经费8.9万元，主要包括：办公费0.73万元、水费0.06万元、电费0.32万元、邮电费1.66万元、差旅费1.49万元、维修（护）0.07万元、培训费0.35万元、工会经费0.98万元、福利费1.01万元，公务用车运行维护费2.25万元、。</w:t>
      </w:r>
    </w:p>
    <w:p>
      <w:pPr>
        <w:spacing w:line="600" w:lineRule="exact"/>
        <w:ind w:firstLine="645"/>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w:t>
      </w:r>
      <w:r>
        <w:rPr>
          <w:rFonts w:hint="eastAsia" w:ascii="仿宋_GB2312" w:eastAsia="仿宋_GB2312"/>
          <w:sz w:val="32"/>
          <w:szCs w:val="32"/>
        </w:rPr>
        <w:t>6表，根据本部门实际支出情况罗列全部经济分类科目。）</w:t>
      </w:r>
    </w:p>
    <w:p>
      <w:pPr>
        <w:spacing w:line="600" w:lineRule="exact"/>
        <w:ind w:firstLine="640"/>
        <w:rPr>
          <w:rFonts w:ascii="仿宋_GB2312" w:eastAsia="仿宋_GB2312"/>
          <w:sz w:val="32"/>
          <w:szCs w:val="32"/>
        </w:rPr>
      </w:pPr>
    </w:p>
    <w:p>
      <w:pPr>
        <w:spacing w:line="600" w:lineRule="exact"/>
        <w:ind w:firstLine="640"/>
        <w:outlineLvl w:val="1"/>
        <w:rPr>
          <w:rFonts w:ascii="黑体" w:hAnsi="黑体" w:eastAsia="黑体"/>
          <w:bCs/>
          <w:sz w:val="32"/>
          <w:szCs w:val="32"/>
        </w:rPr>
      </w:pPr>
      <w:bookmarkStart w:id="72" w:name="_Toc15377215"/>
      <w:bookmarkStart w:id="73" w:name="_Toc79163869"/>
      <w:bookmarkStart w:id="74" w:name="_Toc79163619"/>
      <w:bookmarkStart w:id="75" w:name="_Toc15396609"/>
      <w:r>
        <w:rPr>
          <w:rFonts w:hint="eastAsia" w:ascii="黑体" w:hAnsi="黑体" w:eastAsia="黑体"/>
          <w:sz w:val="32"/>
          <w:szCs w:val="32"/>
        </w:rPr>
        <w:t>七、</w:t>
      </w:r>
      <w:r>
        <w:rPr>
          <w:rFonts w:hint="eastAsia" w:ascii="黑体" w:hAnsi="黑体" w:eastAsia="黑体"/>
          <w:b/>
          <w:bCs/>
          <w:sz w:val="32"/>
          <w:szCs w:val="32"/>
        </w:rPr>
        <w:t>“</w:t>
      </w:r>
      <w:r>
        <w:rPr>
          <w:rFonts w:hint="eastAsia" w:ascii="黑体" w:hAnsi="黑体" w:eastAsia="黑体"/>
          <w:bCs/>
          <w:sz w:val="32"/>
          <w:szCs w:val="32"/>
        </w:rPr>
        <w:t>三公”经费财政拨款支出决算情况说明</w:t>
      </w:r>
      <w:bookmarkEnd w:id="72"/>
      <w:bookmarkEnd w:id="73"/>
      <w:bookmarkEnd w:id="74"/>
      <w:bookmarkEnd w:id="75"/>
    </w:p>
    <w:p>
      <w:pPr>
        <w:spacing w:line="600" w:lineRule="exact"/>
        <w:ind w:firstLine="640"/>
        <w:outlineLvl w:val="2"/>
        <w:rPr>
          <w:rFonts w:ascii="仿宋_GB2312" w:eastAsia="仿宋_GB2312"/>
          <w:sz w:val="32"/>
          <w:szCs w:val="32"/>
        </w:rPr>
      </w:pPr>
      <w:bookmarkStart w:id="76" w:name="_Toc15377216"/>
      <w:bookmarkStart w:id="77" w:name="_Toc79163870"/>
      <w:bookmarkStart w:id="78" w:name="_Toc79163620"/>
      <w:r>
        <w:rPr>
          <w:rFonts w:hint="eastAsia" w:ascii="仿宋_GB2312" w:eastAsia="仿宋_GB2312"/>
          <w:sz w:val="32"/>
          <w:szCs w:val="32"/>
        </w:rPr>
        <w:t>（一）“三公”经费财政拨款支出决算总体情况说明</w:t>
      </w:r>
      <w:bookmarkEnd w:id="76"/>
      <w:bookmarkEnd w:id="77"/>
      <w:bookmarkEnd w:id="78"/>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2年“三公”经费财政拨款支出决算为2.25万元，完成预算100</w:t>
      </w:r>
      <w:r>
        <w:rPr>
          <w:rFonts w:ascii="仿宋_GB2312" w:eastAsia="仿宋_GB2312"/>
          <w:sz w:val="32"/>
          <w:szCs w:val="32"/>
        </w:rPr>
        <w:t>%</w:t>
      </w:r>
      <w:r>
        <w:rPr>
          <w:rFonts w:hint="eastAsia" w:ascii="仿宋_GB2312" w:eastAsia="仿宋_GB2312"/>
          <w:sz w:val="32"/>
          <w:szCs w:val="32"/>
        </w:rPr>
        <w:t>。</w:t>
      </w:r>
    </w:p>
    <w:p>
      <w:pPr>
        <w:spacing w:line="600" w:lineRule="exact"/>
        <w:ind w:firstLine="640"/>
        <w:outlineLvl w:val="2"/>
        <w:rPr>
          <w:rFonts w:ascii="仿宋_GB2312" w:eastAsia="仿宋_GB2312"/>
          <w:sz w:val="32"/>
          <w:szCs w:val="32"/>
        </w:rPr>
      </w:pPr>
      <w:bookmarkStart w:id="79" w:name="_Toc15377217"/>
      <w:bookmarkStart w:id="80" w:name="_Toc79163871"/>
      <w:bookmarkStart w:id="81" w:name="_Toc79163621"/>
      <w:r>
        <w:rPr>
          <w:rFonts w:hint="eastAsia" w:ascii="仿宋_GB2312" w:eastAsia="仿宋_GB2312"/>
          <w:sz w:val="32"/>
          <w:szCs w:val="32"/>
        </w:rPr>
        <w:t>（二）“三公”经费财政拨款支出决算具体情况说明</w:t>
      </w:r>
      <w:bookmarkEnd w:id="79"/>
      <w:bookmarkEnd w:id="80"/>
      <w:bookmarkEnd w:id="81"/>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2年“三公”经费财政拨款支出决算中，因公出国（境）费支出决算0万元；公务用车购置及运行维护费支出决算2.25万元，占100</w:t>
      </w:r>
      <w:r>
        <w:rPr>
          <w:rFonts w:ascii="仿宋_GB2312" w:eastAsia="仿宋_GB2312"/>
          <w:sz w:val="32"/>
          <w:szCs w:val="32"/>
        </w:rPr>
        <w:t>%</w:t>
      </w:r>
      <w:r>
        <w:rPr>
          <w:rFonts w:hint="eastAsia" w:ascii="仿宋_GB2312" w:eastAsia="仿宋_GB2312"/>
          <w:sz w:val="32"/>
          <w:szCs w:val="32"/>
        </w:rPr>
        <w:t>；公务接待费支出决算0万元。具体情况如下：</w:t>
      </w:r>
    </w:p>
    <w:p>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因公出国（境）经费支出0万元</w:t>
      </w:r>
      <w:r>
        <w:rPr>
          <w:rFonts w:hint="eastAsia" w:ascii="仿宋_GB2312" w:eastAsia="仿宋_GB231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2018</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w:t>
      </w:r>
    </w:p>
    <w:p>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公务用车购置及运行维护费支出2.25万元</w:t>
      </w:r>
      <w:r>
        <w:rPr>
          <w:rFonts w:ascii="仿宋_GB2312" w:eastAsia="仿宋_GB2312"/>
          <w:sz w:val="32"/>
          <w:szCs w:val="32"/>
        </w:rPr>
        <w:t>,</w:t>
      </w:r>
      <w:r>
        <w:rPr>
          <w:rFonts w:hint="eastAsia" w:ascii="仿宋_GB2312" w:eastAsia="仿宋_GB2312"/>
          <w:sz w:val="32"/>
          <w:szCs w:val="32"/>
        </w:rPr>
        <w:t>完成预算100</w:t>
      </w:r>
      <w:r>
        <w:rPr>
          <w:rFonts w:ascii="仿宋_GB2312" w:eastAsia="仿宋_GB2312"/>
          <w:sz w:val="32"/>
          <w:szCs w:val="32"/>
        </w:rPr>
        <w:t>%</w:t>
      </w:r>
      <w:r>
        <w:rPr>
          <w:rFonts w:hint="eastAsia" w:ascii="仿宋_GB2312" w:eastAsia="仿宋_GB2312"/>
          <w:sz w:val="32"/>
          <w:szCs w:val="32"/>
        </w:rPr>
        <w:t>。公务用车购置及运行维护费支出决算比2021年减少24.76万元，减少91.67</w:t>
      </w:r>
      <w:r>
        <w:rPr>
          <w:rFonts w:ascii="仿宋_GB2312" w:eastAsia="仿宋_GB2312"/>
          <w:sz w:val="32"/>
          <w:szCs w:val="32"/>
        </w:rPr>
        <w:t>%</w:t>
      </w:r>
      <w:r>
        <w:rPr>
          <w:rFonts w:hint="eastAsia" w:ascii="仿宋_GB2312" w:eastAsia="仿宋_GB2312"/>
          <w:sz w:val="32"/>
          <w:szCs w:val="32"/>
        </w:rPr>
        <w:t>，减少原因是：2021年单位购置公车。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其中：公务用车购置支出0万元。</w:t>
      </w:r>
    </w:p>
    <w:p>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公务用车运行维护费支出2.25万元。主要用于接送离退休</w:t>
      </w:r>
      <w:r>
        <w:rPr>
          <w:rFonts w:ascii="仿宋_GB2312" w:eastAsia="仿宋_GB2312"/>
          <w:sz w:val="32"/>
          <w:szCs w:val="32"/>
        </w:rPr>
        <w:t>老干部、厅级退休干部参加活动及生病住院用车，老干所开展日常工作用车</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公务接待费支出0万元。</w:t>
      </w:r>
    </w:p>
    <w:p>
      <w:pPr>
        <w:spacing w:line="600" w:lineRule="exact"/>
        <w:ind w:firstLine="640"/>
        <w:outlineLvl w:val="1"/>
        <w:rPr>
          <w:rFonts w:ascii="黑体" w:hAnsi="黑体" w:eastAsia="黑体"/>
          <w:b/>
          <w:bCs/>
          <w:sz w:val="32"/>
          <w:szCs w:val="32"/>
        </w:rPr>
      </w:pPr>
      <w:bookmarkStart w:id="82" w:name="_Toc79163622"/>
      <w:bookmarkStart w:id="83" w:name="_Toc15377218"/>
      <w:bookmarkStart w:id="84" w:name="_Toc15396610"/>
      <w:bookmarkStart w:id="85" w:name="_Toc79163872"/>
      <w:r>
        <w:rPr>
          <w:rFonts w:hint="eastAsia" w:ascii="黑体" w:hAnsi="黑体" w:eastAsia="黑体"/>
          <w:sz w:val="32"/>
          <w:szCs w:val="32"/>
        </w:rPr>
        <w:t>八、</w:t>
      </w:r>
      <w:r>
        <w:rPr>
          <w:rFonts w:hint="eastAsia" w:ascii="黑体" w:hAnsi="黑体" w:eastAsia="黑体"/>
          <w:bCs/>
          <w:sz w:val="32"/>
          <w:szCs w:val="32"/>
        </w:rPr>
        <w:t>政府性基金预算支出决算情况说明</w:t>
      </w:r>
      <w:bookmarkEnd w:id="82"/>
      <w:bookmarkEnd w:id="83"/>
      <w:bookmarkEnd w:id="84"/>
      <w:bookmarkEnd w:id="85"/>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2年政府性基金预算拨款支出0万元。</w:t>
      </w:r>
    </w:p>
    <w:p>
      <w:pPr>
        <w:numPr>
          <w:ilvl w:val="0"/>
          <w:numId w:val="2"/>
        </w:numPr>
        <w:spacing w:line="600" w:lineRule="exact"/>
        <w:ind w:firstLine="640"/>
        <w:outlineLvl w:val="1"/>
        <w:rPr>
          <w:rFonts w:ascii="黑体" w:hAnsi="黑体" w:eastAsia="黑体"/>
          <w:bCs/>
          <w:sz w:val="32"/>
          <w:szCs w:val="32"/>
        </w:rPr>
      </w:pPr>
      <w:bookmarkStart w:id="86" w:name="_Toc15396611"/>
      <w:bookmarkStart w:id="87" w:name="_Toc79163873"/>
      <w:bookmarkStart w:id="88" w:name="_Toc15377219"/>
      <w:bookmarkStart w:id="89" w:name="_Toc79163623"/>
      <w:r>
        <w:rPr>
          <w:rFonts w:hint="eastAsia" w:ascii="黑体" w:hAnsi="黑体" w:eastAsia="黑体"/>
          <w:bCs/>
          <w:sz w:val="32"/>
          <w:szCs w:val="32"/>
        </w:rPr>
        <w:t>国有资本经营预算支出决算情况说明</w:t>
      </w:r>
      <w:bookmarkEnd w:id="86"/>
      <w:bookmarkEnd w:id="87"/>
      <w:bookmarkEnd w:id="88"/>
      <w:bookmarkEnd w:id="89"/>
    </w:p>
    <w:p>
      <w:pPr>
        <w:spacing w:line="600" w:lineRule="exact"/>
        <w:ind w:firstLine="64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2年国有资本经营预算拨款支出0万元。</w:t>
      </w:r>
    </w:p>
    <w:p>
      <w:pPr>
        <w:spacing w:line="600" w:lineRule="exact"/>
        <w:ind w:firstLine="800" w:firstLineChars="250"/>
        <w:outlineLvl w:val="1"/>
        <w:rPr>
          <w:rFonts w:ascii="黑体" w:hAnsi="黑体" w:eastAsia="黑体"/>
          <w:b/>
          <w:bCs/>
          <w:sz w:val="32"/>
          <w:szCs w:val="32"/>
        </w:rPr>
      </w:pPr>
      <w:bookmarkStart w:id="90" w:name="_Toc15396612"/>
      <w:bookmarkStart w:id="91" w:name="_Toc15377221"/>
      <w:bookmarkStart w:id="92" w:name="_Toc79163624"/>
      <w:bookmarkStart w:id="93" w:name="_Toc79163874"/>
      <w:r>
        <w:rPr>
          <w:rFonts w:hint="eastAsia" w:ascii="黑体" w:hAnsi="黑体" w:eastAsia="黑体"/>
          <w:sz w:val="32"/>
          <w:szCs w:val="32"/>
        </w:rPr>
        <w:t>十</w:t>
      </w:r>
      <w:r>
        <w:rPr>
          <w:rFonts w:hint="eastAsia" w:ascii="黑体" w:hAnsi="黑体" w:eastAsia="黑体"/>
          <w:b/>
          <w:bCs/>
          <w:sz w:val="32"/>
          <w:szCs w:val="32"/>
        </w:rPr>
        <w:t>、</w:t>
      </w:r>
      <w:r>
        <w:rPr>
          <w:rFonts w:hint="eastAsia" w:ascii="黑体" w:hAnsi="黑体" w:eastAsia="黑体"/>
          <w:bCs/>
          <w:sz w:val="32"/>
          <w:szCs w:val="32"/>
        </w:rPr>
        <w:t>其他重要事项的情况说明</w:t>
      </w:r>
      <w:bookmarkEnd w:id="90"/>
      <w:bookmarkEnd w:id="91"/>
      <w:bookmarkEnd w:id="92"/>
      <w:bookmarkEnd w:id="93"/>
    </w:p>
    <w:p>
      <w:pPr>
        <w:spacing w:line="600" w:lineRule="exact"/>
        <w:ind w:firstLine="640" w:firstLineChars="200"/>
        <w:outlineLvl w:val="2"/>
        <w:rPr>
          <w:rFonts w:ascii="仿宋_GB2312" w:eastAsia="仿宋_GB2312"/>
          <w:sz w:val="32"/>
          <w:szCs w:val="32"/>
        </w:rPr>
      </w:pPr>
      <w:bookmarkStart w:id="94" w:name="_Toc15377222"/>
      <w:bookmarkStart w:id="95" w:name="_Toc79163625"/>
      <w:bookmarkStart w:id="96" w:name="_Toc79163875"/>
      <w:r>
        <w:rPr>
          <w:rFonts w:hint="eastAsia" w:ascii="仿宋_GB2312" w:eastAsia="仿宋_GB2312"/>
          <w:sz w:val="32"/>
          <w:szCs w:val="32"/>
        </w:rPr>
        <w:t>（一）机关运行经费支出情况</w:t>
      </w:r>
      <w:bookmarkEnd w:id="94"/>
      <w:bookmarkEnd w:id="95"/>
      <w:bookmarkEnd w:id="96"/>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w:t>
      </w:r>
      <w:r>
        <w:rPr>
          <w:rFonts w:ascii="仿宋_GB2312" w:eastAsia="仿宋_GB2312"/>
          <w:sz w:val="32"/>
          <w:szCs w:val="32"/>
        </w:rPr>
        <w:t>阿坝州驻郫都区老干部休养所</w:t>
      </w:r>
      <w:r>
        <w:rPr>
          <w:rFonts w:hint="eastAsia" w:ascii="仿宋_GB2312" w:eastAsia="仿宋_GB2312"/>
          <w:sz w:val="32"/>
          <w:szCs w:val="32"/>
        </w:rPr>
        <w:t>机关运行经费支出8.91万元，比</w:t>
      </w:r>
      <w:r>
        <w:rPr>
          <w:rFonts w:ascii="仿宋_GB2312" w:eastAsia="仿宋_GB2312"/>
          <w:sz w:val="32"/>
          <w:szCs w:val="32"/>
        </w:rPr>
        <w:t>20</w:t>
      </w:r>
      <w:r>
        <w:rPr>
          <w:rFonts w:hint="eastAsia" w:ascii="仿宋_GB2312" w:eastAsia="仿宋_GB2312"/>
          <w:sz w:val="32"/>
          <w:szCs w:val="32"/>
        </w:rPr>
        <w:t>21年减少50.57万元，减少85.02</w:t>
      </w:r>
      <w:r>
        <w:rPr>
          <w:rFonts w:ascii="仿宋_GB2312" w:eastAsia="仿宋_GB2312"/>
          <w:sz w:val="32"/>
          <w:szCs w:val="32"/>
        </w:rPr>
        <w:t>%</w:t>
      </w:r>
      <w:r>
        <w:rPr>
          <w:rFonts w:hint="eastAsia" w:ascii="仿宋_GB2312" w:eastAsia="仿宋_GB2312"/>
          <w:sz w:val="32"/>
          <w:szCs w:val="32"/>
        </w:rPr>
        <w:t>主要原因人员绩效工资归到人员经费中，物业管理费列为项目经费，其他日常公用经费无较大变化。</w:t>
      </w:r>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97" w:name="_Toc79163626"/>
      <w:bookmarkStart w:id="98" w:name="_Toc79163876"/>
      <w:bookmarkStart w:id="99" w:name="_Toc15377223"/>
      <w:r>
        <w:rPr>
          <w:rFonts w:hint="eastAsia" w:ascii="仿宋_GB2312" w:eastAsia="仿宋_GB2312"/>
          <w:sz w:val="32"/>
          <w:szCs w:val="32"/>
        </w:rPr>
        <w:t>（二）政府采购支出情况</w:t>
      </w:r>
      <w:bookmarkEnd w:id="97"/>
      <w:bookmarkEnd w:id="98"/>
      <w:bookmarkEnd w:id="99"/>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w:t>
      </w:r>
      <w:r>
        <w:rPr>
          <w:rFonts w:ascii="仿宋_GB2312" w:eastAsia="仿宋_GB2312"/>
          <w:sz w:val="32"/>
          <w:szCs w:val="32"/>
        </w:rPr>
        <w:t>阿坝州驻郫都区老干部休养所</w:t>
      </w:r>
      <w:r>
        <w:rPr>
          <w:rFonts w:hint="eastAsia" w:ascii="仿宋_GB2312" w:eastAsia="仿宋_GB2312"/>
          <w:sz w:val="32"/>
          <w:szCs w:val="32"/>
        </w:rPr>
        <w:t>政府采购支出总额0万元。其中：政府采购货物支出0万元、政府采购工程支出0万元、政府采购服务支出0万元。主要用于公务用车购置。授予中小企业合同金额0万元，占政府采购支出总额的0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100" w:name="_Toc15377224"/>
      <w:bookmarkStart w:id="101" w:name="_Toc79163877"/>
      <w:bookmarkStart w:id="102" w:name="_Toc79163627"/>
      <w:r>
        <w:rPr>
          <w:rFonts w:hint="eastAsia" w:ascii="仿宋_GB2312" w:eastAsia="仿宋_GB2312"/>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w:t>
      </w:r>
      <w:r>
        <w:rPr>
          <w:rFonts w:hint="eastAsia" w:ascii="仿宋_GB2312" w:eastAsia="仿宋_GB2312"/>
          <w:sz w:val="32"/>
          <w:szCs w:val="32"/>
        </w:rPr>
        <w:t>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阿坝州驻郫都区老干部休养所</w:t>
      </w:r>
      <w:r>
        <w:rPr>
          <w:rFonts w:hint="eastAsia" w:ascii="仿宋_GB2312" w:eastAsia="仿宋_GB2312"/>
          <w:sz w:val="32"/>
          <w:szCs w:val="32"/>
        </w:rPr>
        <w:t>共有车辆1辆，其中：应急保障用车1辆。单价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103" w:name="_Toc79163628"/>
      <w:bookmarkStart w:id="104" w:name="_Toc79163878"/>
      <w:r>
        <w:rPr>
          <w:rFonts w:hint="eastAsia" w:ascii="仿宋_GB2312" w:eastAsia="仿宋_GB2312"/>
          <w:sz w:val="32"/>
          <w:szCs w:val="32"/>
        </w:rPr>
        <w:t>（四）预算绩效管理情况。</w:t>
      </w:r>
      <w:bookmarkEnd w:id="103"/>
      <w:bookmarkEnd w:id="104"/>
    </w:p>
    <w:p>
      <w:pPr>
        <w:spacing w:line="58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部门（单位）在年初预算编制阶段，对管理服务中心运行费、老干部、党建活动经费、金财网络专项经费、管理服务中心老干所维修费、物管费等（项目名称）开展了预算事前绩效评估，预算执行过程中开展绩效监控，年终执行完毕后开展了绩效目标完成情况自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部门按要求对2022年部门整体支出开展绩效自评，从评价情况来看我单位根据单位实际认真编制单位部门预算，加强预算管理绩效目标管理，严格执行政府会计准则制度进行会计核算工作，如实反映单位财务状况和运行情况，确保了单位会计资料的真实性和完整性。在加强财务管理方面，我单位逐步完善了财务管理制度、“三重一大”决策制度、财务报账审核制度、车辆管理制度以及公用房屋及财产管理规定等。不断规范了单位财务工作，保证了各类资金的合理有效使用，整体支出绩效运转正常。</w:t>
      </w:r>
      <w:r>
        <w:rPr>
          <w:rFonts w:ascii="仿宋_GB2312" w:eastAsia="仿宋_GB2312"/>
          <w:sz w:val="32"/>
          <w:szCs w:val="32"/>
        </w:rPr>
        <w:t>绩效自评报告详见第四部分附件。</w:t>
      </w:r>
    </w:p>
    <w:p>
      <w:pPr>
        <w:widowControl/>
        <w:jc w:val="left"/>
        <w:rPr>
          <w:rFonts w:ascii="仿宋_GB2312" w:eastAsia="仿宋_GB2312"/>
          <w:sz w:val="32"/>
          <w:szCs w:val="32"/>
        </w:rPr>
      </w:pPr>
      <w:r>
        <w:rPr>
          <w:rFonts w:ascii="仿宋_GB2312" w:eastAsia="仿宋_GB2312"/>
          <w:sz w:val="32"/>
          <w:szCs w:val="32"/>
        </w:rPr>
        <w:br w:type="page"/>
      </w:r>
    </w:p>
    <w:p>
      <w:pPr>
        <w:spacing w:line="580" w:lineRule="exact"/>
        <w:ind w:left="630"/>
        <w:rPr>
          <w:rFonts w:ascii="仿宋_GB2312" w:eastAsia="仿宋_GB2312"/>
          <w:sz w:val="32"/>
          <w:szCs w:val="32"/>
        </w:rPr>
      </w:pPr>
    </w:p>
    <w:p>
      <w:pPr>
        <w:spacing w:line="580" w:lineRule="exact"/>
        <w:ind w:left="630"/>
        <w:rPr>
          <w:rFonts w:ascii="仿宋_GB2312" w:eastAsia="仿宋_GB2312"/>
          <w:sz w:val="32"/>
          <w:szCs w:val="32"/>
        </w:rPr>
      </w:pPr>
    </w:p>
    <w:p>
      <w:pPr>
        <w:numPr>
          <w:ilvl w:val="0"/>
          <w:numId w:val="3"/>
        </w:numPr>
        <w:spacing w:line="600" w:lineRule="exact"/>
        <w:ind w:firstLine="480" w:firstLineChars="150"/>
        <w:jc w:val="center"/>
        <w:outlineLvl w:val="0"/>
        <w:rPr>
          <w:rFonts w:ascii="黑体" w:hAnsi="黑体" w:eastAsia="黑体"/>
          <w:bCs/>
          <w:sz w:val="32"/>
          <w:szCs w:val="32"/>
        </w:rPr>
      </w:pPr>
      <w:bookmarkStart w:id="105" w:name="_Toc15396613"/>
      <w:bookmarkStart w:id="106" w:name="_Toc79163629"/>
      <w:bookmarkStart w:id="107" w:name="_Toc15377225"/>
      <w:bookmarkStart w:id="108" w:name="_Toc79163879"/>
      <w:r>
        <w:rPr>
          <w:rFonts w:hint="eastAsia" w:ascii="黑体" w:hAnsi="黑体" w:eastAsia="黑体"/>
          <w:sz w:val="32"/>
          <w:szCs w:val="32"/>
        </w:rPr>
        <w:t>名</w:t>
      </w:r>
      <w:r>
        <w:rPr>
          <w:rFonts w:hint="eastAsia" w:ascii="黑体" w:hAnsi="黑体" w:eastAsia="黑体"/>
          <w:bCs/>
          <w:sz w:val="32"/>
          <w:szCs w:val="32"/>
        </w:rPr>
        <w:t>词解释</w:t>
      </w:r>
      <w:bookmarkEnd w:id="105"/>
      <w:bookmarkEnd w:id="106"/>
      <w:bookmarkEnd w:id="107"/>
      <w:bookmarkEnd w:id="108"/>
    </w:p>
    <w:p>
      <w:pPr>
        <w:spacing w:line="600" w:lineRule="exact"/>
        <w:jc w:val="left"/>
        <w:rPr>
          <w:rFonts w:ascii="仿宋_GB2312" w:eastAsia="仿宋_GB2312"/>
          <w:sz w:val="32"/>
          <w:szCs w:val="32"/>
        </w:rPr>
      </w:pPr>
    </w:p>
    <w:p>
      <w:pPr>
        <w:pStyle w:val="33"/>
        <w:spacing w:line="560" w:lineRule="exact"/>
        <w:ind w:firstLine="640" w:firstLineChars="200"/>
        <w:rPr>
          <w:rFonts w:ascii="仿宋_GB2312" w:hAnsi="Times New Roman" w:eastAsia="仿宋_GB2312" w:cs="Times New Roman"/>
          <w:color w:val="auto"/>
          <w:kern w:val="2"/>
          <w:sz w:val="32"/>
          <w:szCs w:val="32"/>
        </w:rPr>
      </w:pPr>
      <w:r>
        <w:rPr>
          <w:rFonts w:ascii="仿宋_GB2312" w:hAnsi="Times New Roman" w:eastAsia="仿宋_GB2312" w:cs="Times New Roman"/>
          <w:color w:val="auto"/>
          <w:kern w:val="2"/>
          <w:sz w:val="32"/>
          <w:szCs w:val="32"/>
        </w:rPr>
        <w:t>1.</w:t>
      </w:r>
      <w:r>
        <w:rPr>
          <w:rFonts w:hint="eastAsia" w:ascii="仿宋_GB2312" w:hAnsi="Times New Roman" w:eastAsia="仿宋_GB2312" w:cs="Times New Roman"/>
          <w:color w:val="auto"/>
          <w:kern w:val="2"/>
          <w:sz w:val="32"/>
          <w:szCs w:val="32"/>
        </w:rPr>
        <w:t>财政拨款收入：指单位从同级财政部门取得的财政预算资金。</w:t>
      </w:r>
    </w:p>
    <w:p>
      <w:pPr>
        <w:pStyle w:val="33"/>
        <w:spacing w:line="560" w:lineRule="exact"/>
        <w:ind w:firstLine="640" w:firstLineChars="200"/>
        <w:rPr>
          <w:rFonts w:ascii="仿宋_GB2312" w:hAnsi="Times New Roman" w:eastAsia="仿宋_GB2312" w:cs="Times New Roman"/>
          <w:color w:val="auto"/>
          <w:kern w:val="2"/>
          <w:sz w:val="32"/>
          <w:szCs w:val="32"/>
        </w:rPr>
      </w:pPr>
      <w:r>
        <w:rPr>
          <w:rFonts w:ascii="仿宋_GB2312" w:hAnsi="Times New Roman" w:eastAsia="仿宋_GB2312" w:cs="Times New Roman"/>
          <w:color w:val="auto"/>
          <w:kern w:val="2"/>
          <w:sz w:val="32"/>
          <w:szCs w:val="32"/>
        </w:rPr>
        <w:t>2.</w:t>
      </w:r>
      <w:r>
        <w:rPr>
          <w:rFonts w:hint="eastAsia" w:ascii="仿宋_GB2312" w:hAnsi="Times New Roman" w:eastAsia="仿宋_GB2312" w:cs="Times New Roman"/>
          <w:color w:val="auto"/>
          <w:kern w:val="2"/>
          <w:sz w:val="32"/>
          <w:szCs w:val="32"/>
        </w:rPr>
        <w:t>事业收入：指事业单位开展专业业务活动及辅助活动取得的收入。</w:t>
      </w:r>
    </w:p>
    <w:p>
      <w:pPr>
        <w:pStyle w:val="33"/>
        <w:spacing w:line="560" w:lineRule="exact"/>
        <w:ind w:firstLine="640" w:firstLineChars="200"/>
        <w:rPr>
          <w:rFonts w:ascii="仿宋_GB2312" w:hAnsi="Times New Roman" w:eastAsia="仿宋_GB2312" w:cs="Times New Roman"/>
          <w:color w:val="auto"/>
          <w:kern w:val="2"/>
          <w:sz w:val="32"/>
          <w:szCs w:val="32"/>
        </w:rPr>
      </w:pPr>
      <w:r>
        <w:rPr>
          <w:rFonts w:ascii="仿宋_GB2312" w:hAnsi="Times New Roman" w:eastAsia="仿宋_GB2312" w:cs="Times New Roman"/>
          <w:color w:val="auto"/>
          <w:kern w:val="2"/>
          <w:sz w:val="32"/>
          <w:szCs w:val="32"/>
        </w:rPr>
        <w:t>3.</w:t>
      </w:r>
      <w:r>
        <w:rPr>
          <w:rFonts w:hint="eastAsia" w:ascii="仿宋_GB2312" w:hAnsi="Times New Roman" w:eastAsia="仿宋_GB2312" w:cs="Times New Roman"/>
          <w:color w:val="auto"/>
          <w:kern w:val="2"/>
          <w:sz w:val="32"/>
          <w:szCs w:val="32"/>
        </w:rPr>
        <w:t>经营收入：指事业单位在专业业务活动及其辅助活动之外开展非独立核算经营活动取得的收入。</w:t>
      </w:r>
    </w:p>
    <w:p>
      <w:pPr>
        <w:pStyle w:val="33"/>
        <w:spacing w:line="560" w:lineRule="exact"/>
        <w:ind w:firstLine="640" w:firstLineChars="200"/>
        <w:rPr>
          <w:rFonts w:ascii="仿宋_GB2312" w:hAnsi="Times New Roman" w:eastAsia="仿宋_GB2312" w:cs="Times New Roman"/>
          <w:color w:val="auto"/>
          <w:kern w:val="2"/>
          <w:sz w:val="32"/>
          <w:szCs w:val="32"/>
        </w:rPr>
      </w:pPr>
      <w:r>
        <w:rPr>
          <w:rFonts w:ascii="仿宋_GB2312" w:hAnsi="Times New Roman" w:eastAsia="仿宋_GB2312" w:cs="Times New Roman"/>
          <w:color w:val="auto"/>
          <w:kern w:val="2"/>
          <w:sz w:val="32"/>
          <w:szCs w:val="32"/>
        </w:rPr>
        <w:t>4.</w:t>
      </w:r>
      <w:r>
        <w:rPr>
          <w:rFonts w:hint="eastAsia" w:ascii="仿宋_GB2312" w:hAnsi="Times New Roman" w:eastAsia="仿宋_GB2312" w:cs="Times New Roman"/>
          <w:color w:val="auto"/>
          <w:kern w:val="2"/>
          <w:sz w:val="32"/>
          <w:szCs w:val="32"/>
        </w:rPr>
        <w:t>其他收入：指单位取得的除上述收入以外的各项收入。</w:t>
      </w:r>
    </w:p>
    <w:p>
      <w:pPr>
        <w:pStyle w:val="33"/>
        <w:spacing w:line="560" w:lineRule="exact"/>
        <w:ind w:firstLine="640" w:firstLineChars="200"/>
        <w:rPr>
          <w:rFonts w:ascii="仿宋_GB2312" w:eastAsia="仿宋_GB2312"/>
          <w:sz w:val="32"/>
          <w:szCs w:val="32"/>
        </w:rPr>
      </w:pPr>
      <w:r>
        <w:rPr>
          <w:rFonts w:ascii="仿宋_GB2312" w:hAnsi="Times New Roman" w:eastAsia="仿宋_GB2312" w:cs="Times New Roman"/>
          <w:color w:val="auto"/>
          <w:kern w:val="2"/>
          <w:sz w:val="32"/>
          <w:szCs w:val="32"/>
        </w:rPr>
        <w:t>5.</w:t>
      </w:r>
      <w:r>
        <w:rPr>
          <w:rFonts w:hint="eastAsia" w:ascii="仿宋_GB2312" w:hAnsi="Times New Roman" w:eastAsia="仿宋_GB2312" w:cs="Times New Roman"/>
          <w:color w:val="auto"/>
          <w:kern w:val="2"/>
          <w:sz w:val="32"/>
          <w:szCs w:val="32"/>
        </w:rPr>
        <w:t>用事业基金弥补收支差额：指事业单位在当年的财政拨款收入、事业收入、经营收入</w:t>
      </w:r>
      <w:r>
        <w:rPr>
          <w:rFonts w:hint="eastAsia" w:ascii="仿宋_GB2312" w:eastAsia="仿宋_GB2312"/>
          <w:sz w:val="32"/>
          <w:szCs w:val="32"/>
        </w:rPr>
        <w:t>、其他收入不足以安排当年支出的情况下，使用以前年度积累的事业基金（事业单位当年收支相抵后按国家规定提取、用于弥补以后年度收支差额的基金）弥补本年度收支缺口的资金。</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一般公共服务201（类）36（款）01（项）：指行政运行。</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社会保障和就业208（类）05（款）05（项）：指机关事业单位基本养老保险缴费支出。208（类）05（款）05（项）：指机关事业单位职业年金缴费支出。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医疗卫生与计划生育210（类）11（款）01（项）：指行政单位医疗，210（类）11（款）03（项）：指公务员医疗补助。</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住房保障221（类）02（款）01（项）：指住房公积金。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经营支出：指事业单位在专业业务活动及其辅助活动之外开展非独立核算经营活动发生的支出。</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黑体" w:hAnsi="黑体" w:eastAsia="黑体"/>
          <w:color w:val="000000"/>
          <w:sz w:val="44"/>
          <w:szCs w:val="44"/>
        </w:rPr>
      </w:pPr>
      <w:r>
        <w:rPr>
          <w:rFonts w:ascii="宋体"/>
          <w:b/>
          <w:color w:val="000000"/>
          <w:sz w:val="44"/>
          <w:szCs w:val="44"/>
        </w:rPr>
        <w:br w:type="page"/>
      </w:r>
      <w:bookmarkStart w:id="109" w:name="_Toc15396614"/>
      <w:bookmarkStart w:id="110" w:name="_Toc79163630"/>
      <w:bookmarkStart w:id="111" w:name="_Toc79163880"/>
      <w:bookmarkStart w:id="112" w:name="_Toc15377226"/>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9"/>
      <w:bookmarkEnd w:id="110"/>
      <w:bookmarkEnd w:id="111"/>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阿坝州驻郫都区老干部休养所</w:t>
      </w:r>
    </w:p>
    <w:p>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2022年部门整体支出绩效评价报告</w:t>
      </w:r>
    </w:p>
    <w:p>
      <w:pPr>
        <w:spacing w:line="576" w:lineRule="exact"/>
        <w:rPr>
          <w:szCs w:val="22"/>
        </w:rPr>
      </w:pPr>
    </w:p>
    <w:p>
      <w:pPr>
        <w:spacing w:line="576" w:lineRule="exact"/>
        <w:ind w:left="420" w:firstLine="402" w:firstLineChars="100"/>
        <w:rPr>
          <w:rFonts w:ascii="仿宋" w:hAnsi="仿宋" w:eastAsia="仿宋"/>
          <w:b/>
          <w:sz w:val="40"/>
          <w:szCs w:val="32"/>
        </w:rPr>
      </w:pPr>
      <w:r>
        <w:rPr>
          <w:rFonts w:hint="eastAsia" w:ascii="仿宋" w:hAnsi="仿宋" w:eastAsia="仿宋"/>
          <w:b/>
          <w:sz w:val="40"/>
          <w:szCs w:val="32"/>
        </w:rPr>
        <w:t>一、部门（单位）概况</w:t>
      </w:r>
    </w:p>
    <w:p>
      <w:pPr>
        <w:spacing w:line="576" w:lineRule="exact"/>
        <w:ind w:left="420" w:firstLine="300" w:firstLineChars="100"/>
        <w:rPr>
          <w:rFonts w:ascii="仿宋" w:hAnsi="仿宋" w:eastAsia="仿宋" w:cs="楷体"/>
          <w:sz w:val="30"/>
          <w:szCs w:val="30"/>
        </w:rPr>
      </w:pPr>
      <w:r>
        <w:rPr>
          <w:rFonts w:hint="eastAsia" w:ascii="仿宋" w:hAnsi="仿宋" w:eastAsia="仿宋" w:cs="楷体"/>
          <w:sz w:val="30"/>
          <w:szCs w:val="30"/>
        </w:rPr>
        <w:t>（一）机构组成</w:t>
      </w:r>
    </w:p>
    <w:p>
      <w:pPr>
        <w:spacing w:line="576" w:lineRule="exact"/>
        <w:ind w:firstLine="600" w:firstLineChars="200"/>
        <w:rPr>
          <w:rFonts w:ascii="仿宋" w:hAnsi="仿宋" w:eastAsia="仿宋"/>
          <w:sz w:val="30"/>
          <w:szCs w:val="30"/>
        </w:rPr>
      </w:pPr>
      <w:r>
        <w:rPr>
          <w:rFonts w:hint="eastAsia" w:ascii="仿宋" w:hAnsi="仿宋" w:eastAsia="仿宋"/>
          <w:sz w:val="30"/>
          <w:szCs w:val="30"/>
        </w:rPr>
        <w:t>阿坝州驻郫都区老干部休养所是州委老干部正科级派出机构，总编制 5名,其中:参照公务员管理编制4名,工勤人员编制1名。</w:t>
      </w:r>
    </w:p>
    <w:p>
      <w:pPr>
        <w:spacing w:line="576" w:lineRule="exact"/>
        <w:ind w:left="420" w:firstLine="300" w:firstLineChars="100"/>
        <w:rPr>
          <w:rFonts w:ascii="仿宋" w:hAnsi="仿宋" w:eastAsia="仿宋" w:cs="楷体"/>
          <w:sz w:val="30"/>
          <w:szCs w:val="30"/>
        </w:rPr>
      </w:pPr>
      <w:r>
        <w:rPr>
          <w:rFonts w:hint="eastAsia" w:ascii="仿宋" w:hAnsi="仿宋" w:eastAsia="仿宋" w:cs="楷体"/>
          <w:sz w:val="30"/>
          <w:szCs w:val="30"/>
        </w:rPr>
        <w:t>（二）机构职能</w:t>
      </w:r>
    </w:p>
    <w:p>
      <w:pPr>
        <w:spacing w:line="576" w:lineRule="exact"/>
        <w:ind w:firstLine="600" w:firstLineChars="200"/>
        <w:rPr>
          <w:rFonts w:ascii="仿宋" w:hAnsi="仿宋" w:eastAsia="仿宋"/>
          <w:sz w:val="30"/>
          <w:szCs w:val="30"/>
        </w:rPr>
      </w:pPr>
      <w:r>
        <w:rPr>
          <w:rFonts w:hint="eastAsia" w:ascii="仿宋" w:hAnsi="仿宋" w:eastAsia="仿宋"/>
          <w:sz w:val="30"/>
          <w:szCs w:val="30"/>
        </w:rPr>
        <w:t>在州委老干部局的领导下，履行好对阿坝州驻郫都区老干部休养所、老干部管理服务中心工作的职责，贯彻落实党中央、国务院和省委、省政府、州委、州政府关于老干部工作的各项方针政策，协同组织部门抓好老干部党支部建设，加强对阿坝州驻郫都区离休老干部、厅级退休干部等的管理和服务工作，负责阿坝州驻郫都区老干部管理活动中心场地、器材等的维护管理，组织指导阿坝州格桑花老年人协会开展各项活动。</w:t>
      </w:r>
    </w:p>
    <w:p>
      <w:pPr>
        <w:shd w:val="clear" w:color="auto" w:fill="FFFFFF"/>
        <w:ind w:left="60" w:right="60" w:firstLine="480"/>
        <w:jc w:val="left"/>
        <w:rPr>
          <w:rFonts w:ascii="仿宋" w:hAnsi="仿宋" w:eastAsia="仿宋" w:cs="楷体"/>
          <w:b/>
          <w:kern w:val="0"/>
          <w:sz w:val="30"/>
          <w:szCs w:val="30"/>
        </w:rPr>
      </w:pPr>
      <w:r>
        <w:rPr>
          <w:rFonts w:hint="eastAsia" w:ascii="仿宋" w:hAnsi="仿宋" w:eastAsia="仿宋" w:cs="楷体"/>
          <w:b/>
          <w:kern w:val="0"/>
          <w:sz w:val="30"/>
          <w:szCs w:val="30"/>
        </w:rPr>
        <w:t>（三）人员概况</w:t>
      </w:r>
    </w:p>
    <w:p>
      <w:pPr>
        <w:shd w:val="clear" w:color="auto" w:fill="FFFFFF"/>
        <w:spacing w:line="580" w:lineRule="exact"/>
        <w:ind w:left="62" w:right="62" w:firstLine="482"/>
        <w:jc w:val="left"/>
        <w:rPr>
          <w:rFonts w:ascii="仿宋" w:hAnsi="仿宋" w:eastAsia="仿宋" w:cs="仿宋"/>
          <w:kern w:val="0"/>
          <w:sz w:val="30"/>
          <w:szCs w:val="30"/>
        </w:rPr>
      </w:pPr>
      <w:r>
        <w:rPr>
          <w:rFonts w:hint="eastAsia" w:ascii="仿宋" w:hAnsi="仿宋" w:eastAsia="仿宋"/>
          <w:kern w:val="0"/>
          <w:sz w:val="30"/>
          <w:szCs w:val="30"/>
        </w:rPr>
        <w:t>2022年在职人数为5名，其中：参照公务员管理人员4名，工勤人员1名；退休人员2人。</w:t>
      </w:r>
    </w:p>
    <w:p>
      <w:pPr>
        <w:widowControl/>
        <w:adjustRightInd w:val="0"/>
        <w:snapToGrid w:val="0"/>
        <w:spacing w:line="580" w:lineRule="exact"/>
        <w:ind w:firstLine="600" w:firstLineChars="200"/>
        <w:contextualSpacing/>
        <w:jc w:val="left"/>
        <w:rPr>
          <w:rFonts w:ascii="黑体" w:eastAsia="黑体" w:cs="宋体"/>
          <w:color w:val="000000"/>
          <w:kern w:val="0"/>
          <w:sz w:val="30"/>
          <w:szCs w:val="30"/>
          <w:shd w:val="clear" w:color="auto" w:fill="FFFFFF"/>
        </w:rPr>
      </w:pPr>
      <w:r>
        <w:rPr>
          <w:rFonts w:hint="eastAsia" w:ascii="黑体" w:eastAsia="黑体" w:cs="宋体"/>
          <w:color w:val="000000"/>
          <w:kern w:val="0"/>
          <w:sz w:val="30"/>
          <w:szCs w:val="30"/>
          <w:shd w:val="clear" w:color="auto" w:fill="FFFFFF"/>
        </w:rPr>
        <w:t>二、部门财政资金收支情况</w:t>
      </w:r>
    </w:p>
    <w:p>
      <w:pPr>
        <w:spacing w:line="576" w:lineRule="exact"/>
        <w:ind w:left="420" w:firstLine="301" w:firstLineChars="100"/>
        <w:rPr>
          <w:rFonts w:ascii="仿宋" w:hAnsi="仿宋" w:eastAsia="仿宋" w:cs="楷体"/>
          <w:b/>
          <w:sz w:val="30"/>
          <w:szCs w:val="30"/>
        </w:rPr>
      </w:pPr>
      <w:r>
        <w:rPr>
          <w:rFonts w:hint="eastAsia" w:ascii="仿宋" w:hAnsi="仿宋" w:eastAsia="仿宋" w:cs="楷体"/>
          <w:b/>
          <w:sz w:val="30"/>
          <w:szCs w:val="30"/>
        </w:rPr>
        <w:t>（一）部门财政资金收入情况</w:t>
      </w:r>
    </w:p>
    <w:p>
      <w:pPr>
        <w:widowControl/>
        <w:spacing w:line="576" w:lineRule="exact"/>
        <w:ind w:firstLine="600" w:firstLineChars="200"/>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2021年一般公共预算财政拨款收入</w:t>
      </w:r>
      <w:r>
        <w:rPr>
          <w:rFonts w:hint="eastAsia" w:ascii="仿宋" w:hAnsi="仿宋" w:eastAsia="仿宋" w:cs="宋体-18030"/>
          <w:color w:val="000000"/>
          <w:kern w:val="0"/>
          <w:sz w:val="30"/>
          <w:szCs w:val="30"/>
          <w:u w:color="000000"/>
        </w:rPr>
        <w:t>152.51万</w:t>
      </w:r>
      <w:r>
        <w:rPr>
          <w:rFonts w:hint="eastAsia" w:ascii="仿宋" w:hAnsi="仿宋" w:eastAsia="仿宋"/>
          <w:color w:val="000000"/>
          <w:kern w:val="0"/>
          <w:sz w:val="30"/>
          <w:szCs w:val="30"/>
          <w:u w:color="000000"/>
        </w:rPr>
        <w:t>元，占总收入的100% 。</w:t>
      </w:r>
    </w:p>
    <w:p>
      <w:pPr>
        <w:widowControl/>
        <w:spacing w:line="576" w:lineRule="exact"/>
        <w:ind w:firstLine="600" w:firstLineChars="200"/>
        <w:textAlignment w:val="baseline"/>
        <w:rPr>
          <w:rFonts w:ascii="仿宋" w:hAnsi="仿宋" w:eastAsia="仿宋"/>
          <w:color w:val="000000"/>
          <w:kern w:val="0"/>
          <w:sz w:val="30"/>
          <w:szCs w:val="30"/>
          <w:u w:color="000000"/>
        </w:rPr>
      </w:pPr>
      <w:r>
        <w:rPr>
          <w:rFonts w:hint="eastAsia" w:ascii="仿宋" w:hAnsi="仿宋" w:eastAsia="仿宋"/>
          <w:color w:val="000000"/>
          <w:kern w:val="0"/>
          <w:sz w:val="30"/>
          <w:szCs w:val="30"/>
          <w:u w:color="000000"/>
        </w:rPr>
        <w:t>2022年一般公共预算财政拨款收入137.36</w:t>
      </w:r>
      <w:r>
        <w:rPr>
          <w:rFonts w:hint="eastAsia" w:ascii="仿宋" w:hAnsi="仿宋" w:eastAsia="仿宋" w:cs="宋体-18030"/>
          <w:color w:val="000000"/>
          <w:kern w:val="0"/>
          <w:sz w:val="30"/>
          <w:szCs w:val="30"/>
          <w:u w:color="000000"/>
        </w:rPr>
        <w:t>万</w:t>
      </w:r>
      <w:r>
        <w:rPr>
          <w:rFonts w:hint="eastAsia" w:ascii="仿宋" w:hAnsi="仿宋" w:eastAsia="仿宋"/>
          <w:color w:val="000000"/>
          <w:kern w:val="0"/>
          <w:sz w:val="30"/>
          <w:szCs w:val="30"/>
          <w:u w:color="000000"/>
        </w:rPr>
        <w:t>元，占总收入的100% 。</w:t>
      </w:r>
    </w:p>
    <w:p>
      <w:pPr>
        <w:spacing w:line="576" w:lineRule="exact"/>
        <w:ind w:left="420" w:firstLine="301" w:firstLineChars="100"/>
        <w:rPr>
          <w:rFonts w:ascii="仿宋" w:hAnsi="仿宋" w:eastAsia="仿宋" w:cs="楷体"/>
          <w:b/>
          <w:sz w:val="30"/>
          <w:szCs w:val="30"/>
        </w:rPr>
      </w:pPr>
      <w:r>
        <w:rPr>
          <w:rFonts w:hint="eastAsia" w:ascii="仿宋" w:hAnsi="仿宋" w:eastAsia="仿宋" w:cs="楷体"/>
          <w:b/>
          <w:sz w:val="30"/>
          <w:szCs w:val="30"/>
        </w:rPr>
        <w:t>（二）部门财政资金支出情况</w:t>
      </w:r>
    </w:p>
    <w:p>
      <w:pPr>
        <w:widowControl/>
        <w:spacing w:line="576" w:lineRule="exact"/>
        <w:ind w:firstLine="600" w:firstLineChars="200"/>
        <w:textAlignment w:val="baseline"/>
        <w:rPr>
          <w:rFonts w:ascii="仿宋" w:hAnsi="仿宋" w:eastAsia="仿宋" w:cs="宋体-18030"/>
          <w:color w:val="000000"/>
          <w:kern w:val="0"/>
          <w:sz w:val="30"/>
          <w:szCs w:val="30"/>
          <w:u w:color="000000"/>
        </w:rPr>
      </w:pPr>
      <w:r>
        <w:rPr>
          <w:rFonts w:hint="eastAsia" w:ascii="仿宋" w:hAnsi="仿宋" w:eastAsia="仿宋" w:cs="宋体-18030"/>
          <w:color w:val="000000"/>
          <w:kern w:val="0"/>
          <w:sz w:val="30"/>
          <w:szCs w:val="30"/>
          <w:u w:color="000000"/>
        </w:rPr>
        <w:t>2021年一般公共预算支出152.51万元，其中：社会保障和就业支出9.71万元、卫生健康支出4.61万元、住房保障支出6.64万元。项目支出合计11.65万元，其中：老干部党支部活动费1.35万元、老干部活动费2.63万元、金财网网络费0.45万元、管理服务中心运行费2.72万元，管理服务中心党委活动费4.46万元。</w:t>
      </w:r>
    </w:p>
    <w:p>
      <w:pPr>
        <w:widowControl/>
        <w:spacing w:line="576" w:lineRule="exact"/>
        <w:ind w:firstLine="600" w:firstLineChars="200"/>
        <w:textAlignment w:val="baseline"/>
        <w:rPr>
          <w:rFonts w:ascii="仿宋" w:hAnsi="仿宋" w:eastAsia="仿宋" w:cs="宋体-18030"/>
          <w:color w:val="000000"/>
          <w:kern w:val="0"/>
          <w:sz w:val="30"/>
          <w:szCs w:val="30"/>
          <w:u w:color="000000"/>
        </w:rPr>
      </w:pPr>
      <w:r>
        <w:rPr>
          <w:rFonts w:ascii="仿宋" w:hAnsi="仿宋" w:eastAsia="仿宋" w:cs="宋体"/>
          <w:sz w:val="30"/>
          <w:szCs w:val="30"/>
        </w:rPr>
        <w:t>20</w:t>
      </w:r>
      <w:r>
        <w:rPr>
          <w:rFonts w:hint="eastAsia" w:ascii="仿宋" w:hAnsi="仿宋" w:eastAsia="仿宋" w:cs="宋体"/>
          <w:sz w:val="30"/>
          <w:szCs w:val="30"/>
        </w:rPr>
        <w:t>22年，部门预算收入总额</w:t>
      </w:r>
      <w:bookmarkStart w:id="115" w:name="_Hlk62755473"/>
      <w:r>
        <w:rPr>
          <w:rFonts w:ascii="仿宋" w:hAnsi="仿宋" w:eastAsia="仿宋" w:cs="宋体"/>
          <w:sz w:val="30"/>
          <w:szCs w:val="30"/>
        </w:rPr>
        <w:t>1</w:t>
      </w:r>
      <w:bookmarkEnd w:id="115"/>
      <w:r>
        <w:rPr>
          <w:rFonts w:hint="eastAsia" w:ascii="仿宋" w:hAnsi="仿宋" w:eastAsia="仿宋" w:cs="宋体"/>
          <w:sz w:val="30"/>
          <w:szCs w:val="30"/>
        </w:rPr>
        <w:t>37.36 万元，</w:t>
      </w:r>
      <w:r>
        <w:rPr>
          <w:rFonts w:hint="eastAsia" w:ascii="仿宋" w:hAnsi="仿宋" w:eastAsia="仿宋" w:cs="宋体-18030"/>
          <w:color w:val="000000"/>
          <w:kern w:val="0"/>
          <w:sz w:val="30"/>
          <w:szCs w:val="30"/>
          <w:u w:color="000000"/>
        </w:rPr>
        <w:t>其中：社会保障和就业支出11.52万元、卫生健康支出4.42万元、住房保障支出8.44万元。项目支出预算合计44.64万元。</w:t>
      </w:r>
    </w:p>
    <w:p>
      <w:pPr>
        <w:spacing w:line="576" w:lineRule="exact"/>
        <w:ind w:left="420" w:firstLine="300" w:firstLineChars="100"/>
        <w:rPr>
          <w:rFonts w:ascii="黑体" w:eastAsia="黑体" w:cs="宋体"/>
          <w:color w:val="000000"/>
          <w:kern w:val="0"/>
          <w:sz w:val="30"/>
          <w:szCs w:val="30"/>
          <w:shd w:val="clear" w:color="auto" w:fill="FFFFFF"/>
        </w:rPr>
      </w:pPr>
      <w:r>
        <w:rPr>
          <w:rFonts w:hint="eastAsia" w:ascii="黑体" w:eastAsia="黑体" w:cs="宋体"/>
          <w:color w:val="000000"/>
          <w:kern w:val="0"/>
          <w:sz w:val="30"/>
          <w:szCs w:val="30"/>
          <w:shd w:val="clear" w:color="auto" w:fill="FFFFFF"/>
        </w:rPr>
        <w:t>三、部门整体预算绩效管理情况</w:t>
      </w:r>
    </w:p>
    <w:p>
      <w:pPr>
        <w:pStyle w:val="38"/>
        <w:numPr>
          <w:ilvl w:val="0"/>
          <w:numId w:val="4"/>
        </w:numPr>
        <w:spacing w:line="576" w:lineRule="exact"/>
        <w:ind w:firstLineChars="0"/>
        <w:rPr>
          <w:rFonts w:ascii="仿宋" w:hAnsi="仿宋" w:eastAsia="仿宋" w:cs="楷体"/>
          <w:b/>
          <w:sz w:val="30"/>
          <w:szCs w:val="30"/>
        </w:rPr>
      </w:pPr>
      <w:r>
        <w:rPr>
          <w:rFonts w:hint="eastAsia" w:ascii="仿宋" w:hAnsi="仿宋" w:eastAsia="仿宋" w:cs="楷体"/>
          <w:b/>
          <w:sz w:val="30"/>
          <w:szCs w:val="30"/>
        </w:rPr>
        <w:t>预算编制情况</w:t>
      </w:r>
    </w:p>
    <w:p>
      <w:pPr>
        <w:pStyle w:val="38"/>
        <w:widowControl/>
        <w:spacing w:line="576" w:lineRule="exact"/>
        <w:ind w:left="280" w:firstLine="600"/>
        <w:textAlignment w:val="baseline"/>
        <w:rPr>
          <w:rFonts w:ascii="仿宋" w:hAnsi="仿宋" w:eastAsia="仿宋" w:cs="宋体-18030"/>
          <w:color w:val="000000"/>
          <w:kern w:val="0"/>
          <w:sz w:val="30"/>
          <w:szCs w:val="30"/>
          <w:u w:color="000000"/>
        </w:rPr>
      </w:pPr>
      <w:r>
        <w:rPr>
          <w:rFonts w:hint="eastAsia" w:ascii="仿宋" w:hAnsi="仿宋" w:eastAsia="仿宋" w:cs="宋体-18030"/>
          <w:color w:val="000000"/>
          <w:kern w:val="0"/>
          <w:sz w:val="30"/>
          <w:szCs w:val="30"/>
          <w:u w:color="000000"/>
        </w:rPr>
        <w:t>我单位预算篇制工作严格按照预决算编制的相关要求，结合单位年度工作任务，</w:t>
      </w:r>
      <w:r>
        <w:rPr>
          <w:rFonts w:hint="eastAsia" w:ascii="仿宋" w:hAnsi="仿宋" w:eastAsia="仿宋" w:cs="仿宋_GB2312"/>
          <w:sz w:val="30"/>
          <w:szCs w:val="30"/>
        </w:rPr>
        <w:t>遵循统筹兼顾、勤俭节约、量力而行、讲求绩效和收支平</w:t>
      </w:r>
      <w:r>
        <w:rPr>
          <w:rFonts w:hint="eastAsia" w:ascii="仿宋" w:hAnsi="仿宋" w:eastAsia="仿宋" w:cs="宋体-18030"/>
          <w:color w:val="000000"/>
          <w:kern w:val="0"/>
          <w:sz w:val="30"/>
          <w:szCs w:val="30"/>
          <w:u w:color="000000"/>
        </w:rPr>
        <w:t>衡的原则，参考上一年预算执行情况、有关支出绩效评价结果和本年度收支预测，按照规定程序征求各方面意见，集体决策、分级执行、标准统一、归口统筹层级管理，及时与州财政局相关科室沟通，按照“二上二下”的编制流程认真科学地完成了单位年度部门预算编制工作。</w:t>
      </w:r>
    </w:p>
    <w:p>
      <w:pPr>
        <w:widowControl/>
        <w:spacing w:line="576" w:lineRule="exact"/>
        <w:ind w:firstLine="600" w:firstLineChars="200"/>
        <w:textAlignment w:val="baseline"/>
        <w:rPr>
          <w:rFonts w:ascii="仿宋" w:hAnsi="仿宋" w:eastAsia="仿宋" w:cs="宋体-18030"/>
          <w:color w:val="000000"/>
          <w:kern w:val="0"/>
          <w:sz w:val="30"/>
          <w:szCs w:val="30"/>
          <w:u w:color="000000"/>
        </w:rPr>
      </w:pPr>
      <w:r>
        <w:rPr>
          <w:rFonts w:hint="eastAsia" w:ascii="仿宋" w:hAnsi="仿宋" w:eastAsia="仿宋" w:cs="宋体-18030"/>
          <w:color w:val="000000"/>
          <w:kern w:val="0"/>
          <w:sz w:val="30"/>
          <w:szCs w:val="30"/>
          <w:u w:color="000000"/>
        </w:rPr>
        <w:t>（二）执行管理情况</w:t>
      </w:r>
    </w:p>
    <w:p>
      <w:pPr>
        <w:widowControl/>
        <w:spacing w:line="576" w:lineRule="exact"/>
        <w:ind w:left="38" w:firstLine="600" w:firstLineChars="200"/>
        <w:textAlignment w:val="baseline"/>
        <w:rPr>
          <w:rFonts w:ascii="仿宋" w:hAnsi="仿宋" w:eastAsia="仿宋" w:cs="宋体-18030"/>
          <w:color w:val="000000"/>
          <w:kern w:val="0"/>
          <w:sz w:val="30"/>
          <w:szCs w:val="30"/>
          <w:u w:color="000000"/>
        </w:rPr>
      </w:pPr>
      <w:r>
        <w:rPr>
          <w:rFonts w:hint="eastAsia" w:ascii="仿宋" w:hAnsi="仿宋" w:eastAsia="仿宋" w:cs="宋体-18030"/>
          <w:color w:val="000000"/>
          <w:kern w:val="0"/>
          <w:sz w:val="30"/>
          <w:szCs w:val="30"/>
          <w:u w:color="000000"/>
        </w:rPr>
        <w:t>一是按要求严格执行预算管理，</w:t>
      </w:r>
      <w:r>
        <w:rPr>
          <w:rFonts w:ascii="仿宋" w:hAnsi="仿宋" w:eastAsia="仿宋"/>
          <w:sz w:val="30"/>
          <w:szCs w:val="30"/>
        </w:rPr>
        <w:t>按照“经费统管，支出定额包干，保障正常支出，绩效考核加减”的总体原则</w:t>
      </w:r>
      <w:r>
        <w:rPr>
          <w:rFonts w:hint="eastAsia" w:ascii="仿宋" w:hAnsi="仿宋" w:eastAsia="仿宋" w:cs="宋体-18030"/>
          <w:color w:val="000000"/>
          <w:kern w:val="0"/>
          <w:sz w:val="30"/>
          <w:szCs w:val="30"/>
          <w:u w:color="000000"/>
        </w:rPr>
        <w:t>确保行政运转保障，在经费支出安排上，全面保障了机关正常运转，为老干所和管理服务中心各项的工作开展做好后勤保障，在经费上保证了各项工作正常有序开展。二是机关厉行节约，严格执行“三公经费”预算，一直以来我单位</w:t>
      </w:r>
      <w:r>
        <w:rPr>
          <w:rFonts w:hint="eastAsia" w:ascii="仿宋" w:hAnsi="仿宋" w:eastAsia="仿宋"/>
          <w:color w:val="000000"/>
          <w:kern w:val="0"/>
          <w:sz w:val="30"/>
          <w:szCs w:val="30"/>
          <w:u w:color="000000"/>
        </w:rPr>
        <w:t>没有因公出国（境）人员，没有因公出国（境）支出情况，公务用车购置及运行维护费和公务接待费严格按照勤俭节约要求报销，没有任何违规现象，今年压减公务接费计2511.28元，压减率达100%。</w:t>
      </w:r>
      <w:r>
        <w:rPr>
          <w:rFonts w:hint="eastAsia" w:ascii="仿宋" w:hAnsi="仿宋" w:eastAsia="仿宋" w:cs="宋体-18030"/>
          <w:color w:val="000000"/>
          <w:kern w:val="0"/>
          <w:sz w:val="30"/>
          <w:szCs w:val="30"/>
          <w:u w:color="000000"/>
        </w:rPr>
        <w:t>三是积极响应“政府过紧的号召，把该花的钱花好，花在刀刃上，紧要处，让有限的财政资金更好服务经济社会大局。</w:t>
      </w:r>
    </w:p>
    <w:p>
      <w:pPr>
        <w:widowControl/>
        <w:spacing w:line="576" w:lineRule="exact"/>
        <w:ind w:left="38" w:firstLine="602" w:firstLineChars="200"/>
        <w:textAlignment w:val="baseline"/>
        <w:rPr>
          <w:rFonts w:ascii="仿宋" w:hAnsi="仿宋" w:eastAsia="仿宋" w:cs="宋体-18030"/>
          <w:b/>
          <w:color w:val="000000"/>
          <w:kern w:val="0"/>
          <w:sz w:val="30"/>
          <w:szCs w:val="30"/>
          <w:u w:color="000000"/>
        </w:rPr>
      </w:pPr>
      <w:r>
        <w:rPr>
          <w:rFonts w:hint="eastAsia" w:ascii="仿宋" w:hAnsi="仿宋" w:eastAsia="仿宋" w:cs="宋体-18030"/>
          <w:b/>
          <w:color w:val="000000"/>
          <w:kern w:val="0"/>
          <w:sz w:val="30"/>
          <w:szCs w:val="30"/>
          <w:u w:color="000000"/>
        </w:rPr>
        <w:t>（三）财务管理情况</w:t>
      </w:r>
    </w:p>
    <w:p>
      <w:pPr>
        <w:widowControl/>
        <w:spacing w:line="576" w:lineRule="exact"/>
        <w:ind w:left="38" w:firstLine="600" w:firstLineChars="200"/>
        <w:textAlignment w:val="baseline"/>
        <w:rPr>
          <w:rFonts w:ascii="仿宋" w:hAnsi="仿宋" w:eastAsia="仿宋" w:cs="宋体-18030"/>
          <w:color w:val="000000"/>
          <w:kern w:val="0"/>
          <w:sz w:val="30"/>
          <w:szCs w:val="30"/>
          <w:u w:color="000000"/>
        </w:rPr>
      </w:pPr>
      <w:r>
        <w:rPr>
          <w:rFonts w:hint="eastAsia" w:ascii="仿宋" w:hAnsi="仿宋" w:eastAsia="仿宋" w:cs="宋体-18030"/>
          <w:color w:val="000000"/>
          <w:kern w:val="0"/>
          <w:sz w:val="30"/>
          <w:szCs w:val="30"/>
          <w:u w:color="000000"/>
        </w:rPr>
        <w:t>我所在财务管理上从严要求，精打细算，严守财经纪律，规范单位各个岗位工作的职能职责，会计核算健全，资料齐备，凭证编制准确、及时、账实相符。</w:t>
      </w:r>
      <w:r>
        <w:rPr>
          <w:rFonts w:hint="eastAsia" w:ascii="仿宋" w:hAnsi="仿宋" w:eastAsia="仿宋"/>
          <w:color w:val="000000"/>
          <w:kern w:val="0"/>
          <w:sz w:val="30"/>
          <w:szCs w:val="30"/>
          <w:u w:color="000000"/>
        </w:rPr>
        <w:t>建立健全了本单位内部控制制度，并严格执行，单位未出现廉政风险或发生重大责任事故。做好了信息公开工作，按时按要求向社会公开本部门预算、决算（含所有财政资金安排的“三公”经费、机关运行经费的安排、使用情况等）及部门整体支出绩效自评报告及其他按要求应公开的绩效信息；依法接受财政的监督，</w:t>
      </w:r>
    </w:p>
    <w:p>
      <w:pPr>
        <w:spacing w:line="580" w:lineRule="exact"/>
        <w:ind w:left="420" w:firstLine="301" w:firstLineChars="100"/>
        <w:rPr>
          <w:rFonts w:ascii="仿宋" w:hAnsi="仿宋" w:eastAsia="仿宋" w:cs="楷体"/>
          <w:b/>
          <w:sz w:val="30"/>
          <w:szCs w:val="30"/>
        </w:rPr>
      </w:pPr>
      <w:r>
        <w:rPr>
          <w:rFonts w:hint="eastAsia" w:ascii="仿宋" w:hAnsi="仿宋" w:eastAsia="仿宋" w:cs="楷体"/>
          <w:b/>
          <w:sz w:val="30"/>
          <w:szCs w:val="30"/>
        </w:rPr>
        <w:t>（三）综合管理情况</w:t>
      </w:r>
    </w:p>
    <w:p>
      <w:pPr>
        <w:spacing w:line="580" w:lineRule="exact"/>
        <w:ind w:firstLine="600" w:firstLineChars="200"/>
        <w:rPr>
          <w:rFonts w:ascii="仿宋" w:hAnsi="仿宋" w:eastAsia="仿宋"/>
          <w:color w:val="000000"/>
          <w:kern w:val="0"/>
          <w:sz w:val="30"/>
          <w:szCs w:val="30"/>
          <w:u w:color="000000"/>
        </w:rPr>
      </w:pPr>
      <w:r>
        <w:rPr>
          <w:rFonts w:ascii="仿宋" w:hAnsi="仿宋" w:eastAsia="仿宋"/>
          <w:color w:val="000000"/>
          <w:kern w:val="0"/>
          <w:sz w:val="30"/>
          <w:szCs w:val="30"/>
          <w:u w:color="000000"/>
        </w:rPr>
        <w:t>我</w:t>
      </w:r>
      <w:r>
        <w:rPr>
          <w:rFonts w:hint="eastAsia" w:ascii="仿宋" w:hAnsi="仿宋" w:eastAsia="仿宋"/>
          <w:color w:val="000000"/>
          <w:kern w:val="0"/>
          <w:sz w:val="30"/>
          <w:szCs w:val="30"/>
          <w:u w:color="000000"/>
        </w:rPr>
        <w:t>所严格按照《中华人民共和国预算法》、《中华人民共和国会计法》、《政府会计准则》的要求，科学编制单位部门预算，加强预算管理绩效目标管理，严格执行政府会计准则制度进行会计核算工作，如实反映单位财务状况和运行情况，确保了单位会计资料的真实性和完整性。在加强财务管理方面，我单位逐步完善了财务管理制度、“三重一大”决策制度、财务报账审核制度、车辆管理制度以及公用房屋及财产管理规定等。严格遵守《预算法》、《会计法》《政府采购法》等财政法律法规，严格履行报批手续，无计划安排不报账，无领导审批不报账，无经手人签字不报账，不符合财务规定的发票、票据不报账。决算工作没有出现应编未编、错误列编、虚假混编等导致重新调整决算资金的情况，每年按时完成了决算工作。加强单位资产管理，健全单位内部控制机制，按规定定期清查资产负债。加强财务人员的队伍建设，着力提高相关人员的业务水平和工作能力，</w:t>
      </w:r>
      <w:r>
        <w:rPr>
          <w:rFonts w:ascii="仿宋" w:hAnsi="仿宋" w:eastAsia="仿宋"/>
          <w:color w:val="000000"/>
          <w:kern w:val="0"/>
          <w:sz w:val="30"/>
          <w:szCs w:val="30"/>
          <w:u w:color="000000"/>
        </w:rPr>
        <w:t>不断健全财务审批制度，实行单位主管财务领导审批制度，按规定进行报账记账，坚决杜绝违规使用资金的现象，不断加强财务管理，建立完善会计档案，不断规范了单位财务工作，保证了各类资金的合理有效使用。</w:t>
      </w:r>
    </w:p>
    <w:p>
      <w:pPr>
        <w:spacing w:line="580" w:lineRule="exact"/>
        <w:ind w:left="420" w:firstLine="301" w:firstLineChars="100"/>
        <w:rPr>
          <w:rFonts w:ascii="仿宋" w:hAnsi="仿宋" w:eastAsia="仿宋" w:cs="楷体"/>
          <w:b/>
          <w:sz w:val="30"/>
          <w:szCs w:val="30"/>
        </w:rPr>
      </w:pPr>
      <w:r>
        <w:rPr>
          <w:rFonts w:hint="eastAsia" w:ascii="仿宋" w:hAnsi="仿宋" w:eastAsia="仿宋" w:cs="楷体"/>
          <w:b/>
          <w:sz w:val="30"/>
          <w:szCs w:val="30"/>
        </w:rPr>
        <w:t>（四）整体绩效</w:t>
      </w:r>
    </w:p>
    <w:p>
      <w:pPr>
        <w:pStyle w:val="40"/>
        <w:spacing w:before="0" w:line="360" w:lineRule="auto"/>
        <w:ind w:firstLine="630"/>
        <w:rPr>
          <w:rFonts w:ascii="仿宋" w:hAnsi="仿宋" w:eastAsia="仿宋" w:cs="宋体"/>
          <w:bCs/>
          <w:szCs w:val="30"/>
        </w:rPr>
      </w:pPr>
      <w:r>
        <w:rPr>
          <w:rFonts w:ascii="仿宋" w:hAnsi="仿宋" w:eastAsia="仿宋" w:cs="宋体"/>
          <w:bCs/>
          <w:szCs w:val="30"/>
        </w:rPr>
        <w:t>整体绩效目标是：按照</w:t>
      </w:r>
      <w:r>
        <w:rPr>
          <w:rFonts w:hint="eastAsia" w:ascii="仿宋" w:hAnsi="仿宋" w:eastAsia="仿宋" w:cs="宋体"/>
          <w:bCs/>
          <w:szCs w:val="30"/>
        </w:rPr>
        <w:t>州委老干部</w:t>
      </w:r>
      <w:r>
        <w:rPr>
          <w:rFonts w:ascii="仿宋" w:hAnsi="仿宋" w:eastAsia="仿宋" w:cs="宋体"/>
          <w:bCs/>
          <w:szCs w:val="30"/>
        </w:rPr>
        <w:t>局工作</w:t>
      </w:r>
      <w:r>
        <w:rPr>
          <w:rFonts w:hint="eastAsia" w:ascii="仿宋" w:hAnsi="仿宋" w:eastAsia="仿宋" w:cs="宋体"/>
          <w:bCs/>
          <w:szCs w:val="30"/>
        </w:rPr>
        <w:t>2022年工作布署，</w:t>
      </w:r>
      <w:r>
        <w:rPr>
          <w:rFonts w:ascii="仿宋" w:hAnsi="仿宋" w:eastAsia="仿宋" w:cs="宋体"/>
          <w:bCs/>
          <w:szCs w:val="30"/>
        </w:rPr>
        <w:t>紧紧围绕老干部</w:t>
      </w:r>
      <w:r>
        <w:rPr>
          <w:rFonts w:hint="eastAsia" w:ascii="仿宋" w:hAnsi="仿宋" w:eastAsia="仿宋" w:cs="宋体"/>
          <w:bCs/>
          <w:szCs w:val="30"/>
        </w:rPr>
        <w:t>管理</w:t>
      </w:r>
      <w:r>
        <w:rPr>
          <w:rFonts w:ascii="仿宋" w:hAnsi="仿宋" w:eastAsia="仿宋" w:cs="宋体"/>
          <w:bCs/>
          <w:szCs w:val="30"/>
        </w:rPr>
        <w:t>服务这一中心工作，结合我所实际</w:t>
      </w:r>
      <w:r>
        <w:rPr>
          <w:rFonts w:hint="eastAsia" w:ascii="仿宋" w:hAnsi="仿宋" w:eastAsia="仿宋" w:cs="宋体"/>
          <w:bCs/>
          <w:szCs w:val="30"/>
        </w:rPr>
        <w:t>，我们将不断</w:t>
      </w:r>
      <w:r>
        <w:rPr>
          <w:rFonts w:ascii="仿宋" w:hAnsi="仿宋" w:eastAsia="仿宋" w:cs="宋体"/>
          <w:bCs/>
          <w:szCs w:val="30"/>
        </w:rPr>
        <w:t>强化内部管理，狠抓措施落实</w:t>
      </w:r>
      <w:r>
        <w:rPr>
          <w:rFonts w:hint="eastAsia" w:ascii="仿宋" w:hAnsi="仿宋" w:eastAsia="仿宋" w:cs="宋体"/>
          <w:bCs/>
          <w:szCs w:val="30"/>
        </w:rPr>
        <w:t>，为老干部们做好服务工作，认真组织开展各项活动，提高老干部、老同志晚年幸福生活，</w:t>
      </w:r>
      <w:r>
        <w:rPr>
          <w:rFonts w:hint="eastAsia" w:ascii="仿宋" w:hAnsi="仿宋" w:eastAsia="仿宋"/>
          <w:color w:val="000000"/>
          <w:szCs w:val="30"/>
          <w:u w:color="000000"/>
        </w:rPr>
        <w:t>积极开展老干部管理服务工作及其他各项工作，努力为老干部、老同志营造舒适、安全、温馨、洁净的活动场所和生活环境，</w:t>
      </w:r>
      <w:r>
        <w:rPr>
          <w:rFonts w:hint="eastAsia" w:ascii="仿宋" w:hAnsi="仿宋" w:eastAsia="仿宋" w:cstheme="minorEastAsia"/>
          <w:color w:val="000000"/>
          <w:szCs w:val="30"/>
        </w:rPr>
        <w:t>结合今年宣传主题和利用重大节日开展有益于老干部、老同志身心的各项活动活动，发挥老干部们的正能量，</w:t>
      </w:r>
      <w:r>
        <w:rPr>
          <w:rFonts w:hint="eastAsia" w:ascii="仿宋" w:hAnsi="仿宋" w:eastAsia="仿宋"/>
          <w:color w:val="000000"/>
          <w:szCs w:val="30"/>
          <w:u w:color="000000"/>
        </w:rPr>
        <w:t>确保“让党组织放心，让老干部满意”的宗旨落到实处。继续坚持“六个老有”的发展思路，走服务为主，创新发展的路子，在调整中促转型，在转型中谋发展，着力提高老干部服务质量，努力推动我所老干部工作再上新台阶。</w:t>
      </w:r>
      <w:r>
        <w:rPr>
          <w:rFonts w:hint="eastAsia" w:ascii="仿宋" w:hAnsi="仿宋" w:eastAsia="仿宋" w:cstheme="minorEastAsia"/>
          <w:color w:val="000000"/>
          <w:szCs w:val="30"/>
        </w:rPr>
        <w:t>坚持 “疫情防控”工作常态化，开展</w:t>
      </w:r>
      <w:r>
        <w:rPr>
          <w:rFonts w:hint="eastAsia" w:ascii="仿宋" w:hAnsi="仿宋" w:eastAsia="仿宋" w:cs="仿宋"/>
          <w:color w:val="000000"/>
          <w:szCs w:val="30"/>
        </w:rPr>
        <w:t>做好值班值守，疫情防控、维稳、防汛、应急处理等工作，及时为老干部、老同志排忧解难，加强各项管理服务工作。</w:t>
      </w:r>
    </w:p>
    <w:p>
      <w:pPr>
        <w:widowControl/>
        <w:spacing w:line="576" w:lineRule="exact"/>
        <w:ind w:firstLine="600" w:firstLineChars="200"/>
        <w:textAlignment w:val="baseline"/>
        <w:rPr>
          <w:rFonts w:ascii="仿宋" w:hAnsi="仿宋" w:eastAsia="仿宋"/>
          <w:sz w:val="30"/>
          <w:szCs w:val="30"/>
        </w:rPr>
      </w:pPr>
      <w:r>
        <w:rPr>
          <w:rFonts w:hint="eastAsia" w:ascii="仿宋" w:hAnsi="仿宋" w:eastAsia="仿宋" w:cs="宋体-18030"/>
          <w:color w:val="000000"/>
          <w:kern w:val="0"/>
          <w:sz w:val="30"/>
          <w:szCs w:val="30"/>
          <w:u w:color="000000"/>
        </w:rPr>
        <w:t>2022年我单位项目计6项，</w:t>
      </w:r>
      <w:r>
        <w:rPr>
          <w:rFonts w:hint="eastAsia" w:ascii="仿宋" w:hAnsi="仿宋" w:eastAsia="仿宋"/>
          <w:sz w:val="30"/>
          <w:szCs w:val="30"/>
        </w:rPr>
        <w:t>各项绩效指标完成情况以及预算执行情况如下：</w:t>
      </w:r>
    </w:p>
    <w:p>
      <w:pPr>
        <w:spacing w:line="580" w:lineRule="exact"/>
        <w:ind w:firstLine="600" w:firstLineChars="200"/>
        <w:rPr>
          <w:rFonts w:ascii="仿宋_GB2312" w:eastAsia="仿宋_GB2312"/>
          <w:sz w:val="32"/>
          <w:szCs w:val="32"/>
        </w:rPr>
      </w:pPr>
      <w:r>
        <w:rPr>
          <w:rFonts w:hint="eastAsia" w:ascii="仿宋" w:hAnsi="仿宋" w:eastAsia="仿宋" w:cs="宋体-18030"/>
          <w:color w:val="000000"/>
          <w:kern w:val="0"/>
          <w:sz w:val="30"/>
          <w:szCs w:val="30"/>
          <w:u w:color="000000"/>
        </w:rPr>
        <w:t>（1）管理服务中心运行费5万元，执行4.60万元，执行率达92%；（2）老干部活动、党建活动费10.8万元，执行5.47万元，执行率达51%。2022年将管理服务中心党委党建活动、老干所老干部活动、党支部活动全部整合成一个项目，</w:t>
      </w:r>
      <w:r>
        <w:rPr>
          <w:rFonts w:hint="eastAsia" w:ascii="仿宋_GB2312" w:eastAsia="仿宋_GB2312"/>
          <w:sz w:val="32"/>
          <w:szCs w:val="32"/>
        </w:rPr>
        <w:t>通过项目实施，为管理服务中心正常运转，开展活动提供有力的经费保障，让老同志们老有所乐、老有所学、老年生活丰富多彩，老同志们满意度达99%。2022年完成了管理服务中白蚁防治、为管理服务中心正常运转和老干部们安心休养提供了安全保障和舒适的环境。</w:t>
      </w:r>
      <w:r>
        <w:rPr>
          <w:rFonts w:hint="eastAsia" w:ascii="仿宋" w:hAnsi="仿宋" w:eastAsia="仿宋" w:cs="仿宋"/>
          <w:color w:val="000000"/>
          <w:kern w:val="0"/>
          <w:sz w:val="30"/>
          <w:szCs w:val="30"/>
        </w:rPr>
        <w:t>开展了“情暖冬日 尊老敬老”、“2022年新春慰问”、“情系老干部、端午送安康”、“八一建军节”等慰问活动，“回眸四十年 喜迎二十大--纪念干部离退休制度建立40周年活动”、“建言二十大暨我看中国特色社会主义新时代”主题讨论座谈会及“追寻红色足迹 感受红色文化”阿坝州格桑花老年人协会喜迎二十大系列活动以及其他建言献策等活动，参与老干部、老同志达千余人次。慰问生病院老干部、老同志30余人。</w:t>
      </w:r>
      <w:r>
        <w:rPr>
          <w:rFonts w:hint="eastAsia" w:ascii="仿宋_GB2312" w:eastAsia="仿宋_GB2312"/>
          <w:sz w:val="32"/>
          <w:szCs w:val="32"/>
        </w:rPr>
        <w:br w:type="textWrapping"/>
      </w:r>
      <w:r>
        <w:rPr>
          <w:rFonts w:hint="eastAsia" w:ascii="仿宋_GB2312" w:eastAsia="仿宋_GB2312"/>
          <w:sz w:val="32"/>
          <w:szCs w:val="32"/>
        </w:rPr>
        <w:t xml:space="preserve">    （3）“金财网络专项经费”项目绩效目标完成情况综述。项目全年预算数0.41万元，执行数为0.41万元，完成预算的100%。确保了老干所和管理服务中心工作的正常运转。</w:t>
      </w:r>
    </w:p>
    <w:p>
      <w:pPr>
        <w:widowControl/>
        <w:spacing w:line="576" w:lineRule="exact"/>
        <w:ind w:firstLine="600" w:firstLineChars="200"/>
        <w:textAlignment w:val="baseline"/>
        <w:rPr>
          <w:rFonts w:ascii="仿宋" w:hAnsi="仿宋" w:eastAsia="仿宋" w:cs="宋体"/>
          <w:sz w:val="30"/>
          <w:szCs w:val="30"/>
        </w:rPr>
      </w:pPr>
      <w:r>
        <w:rPr>
          <w:rFonts w:hint="eastAsia" w:ascii="仿宋" w:hAnsi="仿宋" w:eastAsia="仿宋" w:cs="宋体"/>
          <w:sz w:val="30"/>
          <w:szCs w:val="30"/>
        </w:rPr>
        <w:t>（4）物业管理费预算数16.5万元，受疫情影响管理服务中心未开放，按合同规定不支付管理服务中心关闭期间物业费管理服务费，物业管理费12.02万元，执行率达73%。</w:t>
      </w:r>
    </w:p>
    <w:p>
      <w:pPr>
        <w:spacing w:line="580" w:lineRule="exact"/>
        <w:ind w:firstLine="600" w:firstLineChars="200"/>
        <w:rPr>
          <w:rFonts w:ascii="仿宋_GB2312" w:eastAsia="仿宋_GB2312"/>
          <w:sz w:val="32"/>
          <w:szCs w:val="32"/>
        </w:rPr>
      </w:pPr>
      <w:r>
        <w:rPr>
          <w:rFonts w:hint="eastAsia" w:ascii="仿宋" w:hAnsi="仿宋" w:eastAsia="仿宋" w:cs="宋体"/>
          <w:sz w:val="30"/>
          <w:szCs w:val="30"/>
        </w:rPr>
        <w:t>（5）管理服务中心老干所维修维护费7万元，</w:t>
      </w:r>
      <w:r>
        <w:rPr>
          <w:rFonts w:hint="eastAsia" w:ascii="仿宋_GB2312" w:eastAsia="仿宋_GB2312"/>
          <w:sz w:val="32"/>
          <w:szCs w:val="32"/>
        </w:rPr>
        <w:t>执行数为6.87万元，</w:t>
      </w:r>
      <w:r>
        <w:rPr>
          <w:rFonts w:hint="eastAsia" w:ascii="仿宋" w:hAnsi="仿宋" w:eastAsia="仿宋" w:cs="宋体"/>
          <w:sz w:val="30"/>
          <w:szCs w:val="30"/>
        </w:rPr>
        <w:t>执行率达98%；</w:t>
      </w:r>
      <w:r>
        <w:rPr>
          <w:rFonts w:hint="eastAsia" w:ascii="仿宋_GB2312" w:eastAsia="仿宋_GB2312"/>
          <w:sz w:val="32"/>
          <w:szCs w:val="32"/>
        </w:rPr>
        <w:t>通过项目实施，对管理服务中心所有木质门窗进行了更换，从根本上解决了因白蚁对管理服务中心门窗的侵蚀。对老干所院内设施进行了维修维护，为离退休干部提供了安全、整洁、舒适的休养环境。</w:t>
      </w:r>
    </w:p>
    <w:p>
      <w:pPr>
        <w:widowControl/>
        <w:spacing w:line="576" w:lineRule="exact"/>
        <w:ind w:firstLine="600" w:firstLineChars="200"/>
        <w:textAlignment w:val="baseline"/>
        <w:rPr>
          <w:rFonts w:ascii="仿宋" w:hAnsi="仿宋" w:eastAsia="仿宋" w:cs="宋体"/>
          <w:sz w:val="30"/>
          <w:szCs w:val="30"/>
        </w:rPr>
      </w:pPr>
      <w:r>
        <w:rPr>
          <w:rFonts w:hint="eastAsia" w:ascii="仿宋" w:hAnsi="仿宋" w:eastAsia="仿宋" w:cs="宋体"/>
          <w:sz w:val="30"/>
          <w:szCs w:val="30"/>
        </w:rPr>
        <w:t>（6）老干部所购办公设备预算数为3.39万元，4月已完成整个采购流程，交付使用，实际采购金额为2.50万元，执行率达73.65%；</w:t>
      </w:r>
    </w:p>
    <w:p>
      <w:pPr>
        <w:widowControl/>
        <w:spacing w:line="576" w:lineRule="exact"/>
        <w:ind w:firstLine="602" w:firstLineChars="200"/>
        <w:textAlignment w:val="baseline"/>
        <w:rPr>
          <w:rFonts w:ascii="仿宋" w:hAnsi="仿宋" w:eastAsia="仿宋" w:cs="微软雅黑"/>
          <w:b/>
          <w:color w:val="000000"/>
          <w:kern w:val="0"/>
          <w:sz w:val="30"/>
          <w:szCs w:val="30"/>
          <w:u w:color="000000"/>
        </w:rPr>
      </w:pPr>
      <w:r>
        <w:rPr>
          <w:rFonts w:hint="eastAsia" w:ascii="仿宋" w:hAnsi="仿宋" w:eastAsia="仿宋" w:cs="微软雅黑"/>
          <w:b/>
          <w:color w:val="000000"/>
          <w:kern w:val="0"/>
          <w:sz w:val="30"/>
          <w:szCs w:val="30"/>
          <w:u w:color="000000"/>
        </w:rPr>
        <w:t>四、评价结果及建议</w:t>
      </w:r>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cs="仿宋_GB2312"/>
          <w:color w:val="000000"/>
          <w:kern w:val="0"/>
          <w:sz w:val="30"/>
          <w:szCs w:val="30"/>
          <w:u w:color="000000"/>
        </w:rPr>
        <w:t>（一）评价结论</w:t>
      </w:r>
    </w:p>
    <w:p>
      <w:pPr>
        <w:widowControl/>
        <w:shd w:val="clear" w:color="auto" w:fill="FFFFFF"/>
        <w:spacing w:line="576" w:lineRule="exact"/>
        <w:ind w:firstLine="720"/>
        <w:jc w:val="left"/>
        <w:rPr>
          <w:rFonts w:hint="default" w:ascii="仿宋" w:hAnsi="仿宋" w:eastAsia="仿宋" w:cs="仿宋_GB2312"/>
          <w:color w:val="000000"/>
          <w:kern w:val="0"/>
          <w:sz w:val="30"/>
          <w:szCs w:val="30"/>
          <w:u w:color="000000"/>
          <w:lang w:val="en-US" w:eastAsia="zh-CN"/>
        </w:rPr>
      </w:pPr>
      <w:r>
        <w:rPr>
          <w:rFonts w:hint="eastAsia" w:ascii="仿宋" w:hAnsi="仿宋" w:eastAsia="仿宋" w:cs="仿宋_GB2312"/>
          <w:color w:val="000000"/>
          <w:kern w:val="0"/>
          <w:sz w:val="30"/>
          <w:szCs w:val="30"/>
          <w:u w:color="000000"/>
        </w:rPr>
        <w:t>州驻郫都区老干部休养所部门预算执行情况良好，无不良记录及违规违纪行为，预算支出和决算支出情况相符。2022年度部门整体绩效自评得分78分。</w:t>
      </w:r>
      <w:r>
        <w:rPr>
          <w:rFonts w:hint="eastAsia" w:ascii="仿宋" w:hAnsi="仿宋" w:eastAsia="仿宋" w:cs="仿宋_GB2312"/>
          <w:color w:val="000000"/>
          <w:kern w:val="0"/>
          <w:sz w:val="30"/>
          <w:szCs w:val="30"/>
          <w:u w:color="000000"/>
          <w:lang w:val="en-US" w:eastAsia="zh-CN"/>
        </w:rPr>
        <w:t>我单位不涉及100万以上采购项目，故无需编制决算公开绩效评价表。</w:t>
      </w:r>
      <w:bookmarkStart w:id="149" w:name="_GoBack"/>
      <w:bookmarkEnd w:id="149"/>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cs="仿宋_GB2312"/>
          <w:color w:val="000000"/>
          <w:kern w:val="0"/>
          <w:sz w:val="30"/>
          <w:szCs w:val="30"/>
          <w:u w:color="000000"/>
        </w:rPr>
        <w:t>（二）存在问题</w:t>
      </w:r>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bCs/>
          <w:sz w:val="30"/>
          <w:szCs w:val="30"/>
        </w:rPr>
        <w:t>一是对绩效评价的重要性和必要性认识需进一步加强。</w:t>
      </w:r>
    </w:p>
    <w:p>
      <w:pPr>
        <w:widowControl/>
        <w:shd w:val="clear" w:color="auto" w:fill="FFFFFF"/>
        <w:spacing w:line="576" w:lineRule="exact"/>
        <w:ind w:firstLine="720"/>
        <w:jc w:val="left"/>
        <w:rPr>
          <w:rFonts w:ascii="仿宋" w:hAnsi="仿宋" w:eastAsia="仿宋"/>
          <w:bCs/>
          <w:sz w:val="30"/>
          <w:szCs w:val="30"/>
        </w:rPr>
      </w:pPr>
      <w:r>
        <w:rPr>
          <w:rFonts w:hint="eastAsia" w:ascii="仿宋" w:hAnsi="仿宋" w:eastAsia="仿宋"/>
          <w:bCs/>
          <w:sz w:val="30"/>
          <w:szCs w:val="30"/>
        </w:rPr>
        <w:t>二是在设立项目时对绩效指标评价还不够专业和全面，对项目的阐述还不够详细。</w:t>
      </w:r>
    </w:p>
    <w:p>
      <w:pPr>
        <w:widowControl/>
        <w:shd w:val="clear" w:color="auto" w:fill="FFFFFF"/>
        <w:spacing w:line="576" w:lineRule="exact"/>
        <w:ind w:firstLine="720"/>
        <w:jc w:val="left"/>
        <w:rPr>
          <w:rFonts w:ascii="仿宋" w:hAnsi="仿宋" w:eastAsia="仿宋"/>
          <w:bCs/>
          <w:sz w:val="30"/>
          <w:szCs w:val="30"/>
        </w:rPr>
      </w:pPr>
      <w:r>
        <w:rPr>
          <w:rFonts w:hint="eastAsia" w:ascii="仿宋" w:hAnsi="仿宋" w:eastAsia="仿宋"/>
          <w:bCs/>
          <w:sz w:val="30"/>
          <w:szCs w:val="30"/>
        </w:rPr>
        <w:t>三是个别项目资金上要加快预算执行力度。</w:t>
      </w:r>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cs="仿宋_GB2312"/>
          <w:color w:val="000000"/>
          <w:kern w:val="0"/>
          <w:sz w:val="30"/>
          <w:szCs w:val="30"/>
          <w:u w:color="000000"/>
        </w:rPr>
        <w:t>（三）改进建议</w:t>
      </w:r>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cs="仿宋_GB2312"/>
          <w:color w:val="000000"/>
          <w:kern w:val="0"/>
          <w:sz w:val="30"/>
          <w:szCs w:val="30"/>
          <w:u w:color="000000"/>
        </w:rPr>
        <w:t>一是提高全体工作人员对绩效评价的认识，加强资金的管理和管理使用，工作间的协作。</w:t>
      </w:r>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cs="仿宋_GB2312"/>
          <w:color w:val="000000"/>
          <w:kern w:val="0"/>
          <w:sz w:val="30"/>
          <w:szCs w:val="30"/>
          <w:u w:color="000000"/>
        </w:rPr>
        <w:t>二是要提高预算的前瞻性和预见性，随着居住在郫都区的州级机关退休人员不断增加，要及时更新管理服务对象的数据，为编制预算时提供有力的数据支撑，有效使用资，避免资金的闲置和不足等问题。</w:t>
      </w:r>
    </w:p>
    <w:p>
      <w:pPr>
        <w:widowControl/>
        <w:shd w:val="clear" w:color="auto" w:fill="FFFFFF"/>
        <w:spacing w:line="576" w:lineRule="exact"/>
        <w:ind w:firstLine="720"/>
        <w:jc w:val="left"/>
        <w:rPr>
          <w:rFonts w:ascii="仿宋" w:hAnsi="仿宋" w:eastAsia="仿宋" w:cs="仿宋_GB2312"/>
          <w:color w:val="000000"/>
          <w:kern w:val="0"/>
          <w:sz w:val="30"/>
          <w:szCs w:val="30"/>
          <w:u w:color="000000"/>
        </w:rPr>
      </w:pPr>
      <w:r>
        <w:rPr>
          <w:rFonts w:hint="eastAsia" w:ascii="仿宋" w:hAnsi="仿宋" w:eastAsia="仿宋" w:cs="仿宋_GB2312"/>
          <w:color w:val="000000"/>
          <w:kern w:val="0"/>
          <w:sz w:val="30"/>
          <w:szCs w:val="30"/>
          <w:u w:color="000000"/>
        </w:rPr>
        <w:t>三是加强财务人员的专业知识和政策学习，加强行政事业单位内部管理。</w:t>
      </w:r>
    </w:p>
    <w:p>
      <w:pPr>
        <w:spacing w:line="580" w:lineRule="exact"/>
        <w:jc w:val="center"/>
        <w:rPr>
          <w:rFonts w:ascii="方正小标宋简体" w:hAnsi="方正小标宋简体" w:eastAsia="方正小标宋简体" w:cs="方正小标宋简体"/>
          <w:sz w:val="44"/>
          <w:szCs w:val="44"/>
        </w:rPr>
      </w:pPr>
    </w:p>
    <w:p>
      <w:pPr>
        <w:widowControl/>
        <w:jc w:val="left"/>
        <w:rPr>
          <w:rFonts w:ascii="黑体" w:hAnsi="黑体" w:eastAsia="黑体"/>
          <w:color w:val="000000"/>
          <w:sz w:val="44"/>
          <w:szCs w:val="44"/>
        </w:rPr>
      </w:pPr>
      <w:bookmarkStart w:id="116" w:name="_Toc79163885"/>
      <w:bookmarkStart w:id="117" w:name="_Toc15396618"/>
      <w:bookmarkStart w:id="118" w:name="_Toc79163635"/>
      <w:r>
        <w:rPr>
          <w:rFonts w:ascii="黑体" w:hAnsi="黑体" w:eastAsia="黑体"/>
          <w:color w:val="000000"/>
          <w:sz w:val="44"/>
          <w:szCs w:val="44"/>
        </w:rPr>
        <w:br w:type="page"/>
      </w:r>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12"/>
      <w:bookmarkEnd w:id="116"/>
      <w:bookmarkEnd w:id="117"/>
      <w:bookmarkEnd w:id="118"/>
    </w:p>
    <w:p>
      <w:pPr>
        <w:pStyle w:val="3"/>
        <w:rPr>
          <w:rFonts w:ascii="仿宋" w:hAnsi="仿宋" w:eastAsia="仿宋"/>
          <w:color w:val="000000"/>
        </w:rPr>
      </w:pPr>
      <w:bookmarkStart w:id="119" w:name="_Toc79163886"/>
      <w:bookmarkStart w:id="120" w:name="_Toc15396619"/>
      <w:bookmarkStart w:id="121" w:name="_Toc79163636"/>
      <w:r>
        <w:rPr>
          <w:rFonts w:hint="eastAsia" w:ascii="仿宋" w:hAnsi="仿宋" w:eastAsia="仿宋"/>
          <w:b w:val="0"/>
          <w:color w:val="000000"/>
        </w:rPr>
        <w:t>一、收</w:t>
      </w:r>
      <w:r>
        <w:rPr>
          <w:rStyle w:val="24"/>
          <w:rFonts w:hint="eastAsia" w:ascii="仿宋" w:hAnsi="仿宋" w:eastAsia="仿宋"/>
          <w:b w:val="0"/>
          <w:bCs w:val="0"/>
        </w:rPr>
        <w:t>入支出决算总表</w:t>
      </w:r>
      <w:bookmarkEnd w:id="119"/>
      <w:bookmarkEnd w:id="120"/>
      <w:bookmarkEnd w:id="121"/>
    </w:p>
    <w:p>
      <w:pPr>
        <w:pStyle w:val="3"/>
        <w:rPr>
          <w:rFonts w:ascii="仿宋" w:hAnsi="仿宋" w:eastAsia="仿宋"/>
          <w:color w:val="000000"/>
        </w:rPr>
      </w:pPr>
      <w:bookmarkStart w:id="122" w:name="_Toc15396620"/>
      <w:bookmarkStart w:id="123" w:name="_Toc79163637"/>
      <w:bookmarkStart w:id="124" w:name="_Toc79163887"/>
      <w:r>
        <w:rPr>
          <w:rFonts w:hint="eastAsia" w:ascii="仿宋" w:hAnsi="仿宋" w:eastAsia="仿宋"/>
          <w:b w:val="0"/>
          <w:color w:val="000000"/>
        </w:rPr>
        <w:t>二、收</w:t>
      </w:r>
      <w:r>
        <w:rPr>
          <w:rStyle w:val="24"/>
          <w:rFonts w:hint="eastAsia" w:ascii="仿宋" w:hAnsi="仿宋" w:eastAsia="仿宋"/>
          <w:b w:val="0"/>
          <w:bCs w:val="0"/>
        </w:rPr>
        <w:t>入决算表</w:t>
      </w:r>
      <w:bookmarkEnd w:id="122"/>
      <w:bookmarkEnd w:id="123"/>
      <w:bookmarkEnd w:id="124"/>
    </w:p>
    <w:p>
      <w:pPr>
        <w:pStyle w:val="3"/>
        <w:rPr>
          <w:rFonts w:ascii="仿宋" w:hAnsi="仿宋" w:eastAsia="仿宋"/>
          <w:color w:val="000000"/>
        </w:rPr>
      </w:pPr>
      <w:bookmarkStart w:id="125" w:name="_Toc79163638"/>
      <w:bookmarkStart w:id="126" w:name="_Toc15396621"/>
      <w:bookmarkStart w:id="127" w:name="_Toc79163888"/>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25"/>
      <w:bookmarkEnd w:id="126"/>
      <w:bookmarkEnd w:id="127"/>
    </w:p>
    <w:p>
      <w:pPr>
        <w:pStyle w:val="3"/>
        <w:rPr>
          <w:rFonts w:ascii="仿宋" w:hAnsi="仿宋" w:eastAsia="仿宋"/>
          <w:b w:val="0"/>
          <w:color w:val="000000"/>
        </w:rPr>
      </w:pPr>
      <w:bookmarkStart w:id="128" w:name="_Toc79163639"/>
      <w:bookmarkStart w:id="129" w:name="_Toc79163889"/>
      <w:bookmarkStart w:id="130" w:name="_Toc15396622"/>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28"/>
      <w:bookmarkEnd w:id="129"/>
      <w:bookmarkEnd w:id="130"/>
    </w:p>
    <w:p>
      <w:pPr>
        <w:pStyle w:val="3"/>
        <w:rPr>
          <w:rStyle w:val="24"/>
          <w:rFonts w:ascii="仿宋" w:hAnsi="仿宋" w:eastAsia="仿宋"/>
          <w:b w:val="0"/>
          <w:bCs w:val="0"/>
        </w:rPr>
      </w:pPr>
      <w:bookmarkStart w:id="131" w:name="_Toc15396623"/>
      <w:bookmarkStart w:id="132" w:name="_Toc79163640"/>
      <w:bookmarkStart w:id="133" w:name="_Toc7916389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1"/>
      <w:bookmarkEnd w:id="132"/>
      <w:bookmarkEnd w:id="133"/>
      <w:bookmarkStart w:id="134" w:name="_Toc15396624"/>
    </w:p>
    <w:p>
      <w:pPr>
        <w:pStyle w:val="3"/>
        <w:rPr>
          <w:rFonts w:ascii="仿宋" w:hAnsi="仿宋" w:eastAsia="仿宋"/>
          <w:color w:val="000000"/>
        </w:rPr>
      </w:pPr>
      <w:bookmarkStart w:id="135" w:name="_Toc79163641"/>
      <w:bookmarkStart w:id="136"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4"/>
      <w:bookmarkEnd w:id="135"/>
      <w:bookmarkEnd w:id="136"/>
    </w:p>
    <w:p>
      <w:pPr>
        <w:pStyle w:val="3"/>
        <w:rPr>
          <w:rFonts w:ascii="仿宋" w:hAnsi="仿宋" w:eastAsia="仿宋"/>
          <w:color w:val="000000"/>
        </w:rPr>
      </w:pPr>
      <w:bookmarkStart w:id="137" w:name="_Toc15396625"/>
      <w:bookmarkStart w:id="138" w:name="_Toc79163892"/>
      <w:bookmarkStart w:id="139" w:name="_Toc7916364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37"/>
      <w:bookmarkEnd w:id="138"/>
      <w:bookmarkEnd w:id="139"/>
    </w:p>
    <w:p>
      <w:pPr>
        <w:pStyle w:val="3"/>
        <w:rPr>
          <w:rFonts w:ascii="仿宋" w:hAnsi="仿宋" w:eastAsia="仿宋"/>
          <w:color w:val="000000"/>
        </w:rPr>
      </w:pPr>
      <w:bookmarkStart w:id="140" w:name="_Toc15396626"/>
      <w:bookmarkStart w:id="141" w:name="_Toc79163893"/>
      <w:bookmarkStart w:id="142" w:name="_Toc7916364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40"/>
      <w:bookmarkEnd w:id="141"/>
      <w:bookmarkEnd w:id="142"/>
    </w:p>
    <w:p>
      <w:pPr>
        <w:pStyle w:val="3"/>
        <w:rPr>
          <w:rFonts w:ascii="仿宋" w:hAnsi="仿宋" w:eastAsia="仿宋"/>
          <w:color w:val="000000"/>
        </w:rPr>
      </w:pPr>
      <w:bookmarkStart w:id="143" w:name="_Toc15396627"/>
      <w:bookmarkStart w:id="144" w:name="_Toc79163644"/>
      <w:bookmarkStart w:id="145" w:name="_Toc7916389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3"/>
      <w:bookmarkEnd w:id="144"/>
      <w:bookmarkEnd w:id="145"/>
    </w:p>
    <w:p>
      <w:pPr>
        <w:pStyle w:val="3"/>
        <w:rPr>
          <w:rFonts w:ascii="仿宋" w:hAnsi="仿宋" w:eastAsia="仿宋"/>
          <w:color w:val="000000"/>
        </w:rPr>
      </w:pPr>
      <w:bookmarkStart w:id="146" w:name="_Toc15396628"/>
      <w:bookmarkStart w:id="147" w:name="_Toc79163895"/>
      <w:bookmarkStart w:id="148" w:name="_Toc79163645"/>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46"/>
      <w:bookmarkEnd w:id="147"/>
      <w:bookmarkEnd w:id="148"/>
    </w:p>
    <w:p>
      <w:pPr>
        <w:pStyle w:val="3"/>
        <w:rPr>
          <w:rStyle w:val="24"/>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22</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B7B1788"/>
    <w:multiLevelType w:val="multilevel"/>
    <w:tmpl w:val="0B7B1788"/>
    <w:lvl w:ilvl="0" w:tentative="0">
      <w:start w:val="1"/>
      <w:numFmt w:val="japaneseCounting"/>
      <w:lvlText w:val="（%1）"/>
      <w:lvlJc w:val="left"/>
      <w:pPr>
        <w:ind w:left="1567" w:hanging="866"/>
      </w:pPr>
      <w:rPr>
        <w:rFonts w:hint="default"/>
      </w:rPr>
    </w:lvl>
    <w:lvl w:ilvl="1" w:tentative="0">
      <w:start w:val="1"/>
      <w:numFmt w:val="lowerLetter"/>
      <w:lvlText w:val="%2)"/>
      <w:lvlJc w:val="left"/>
      <w:pPr>
        <w:ind w:left="1541" w:hanging="420"/>
      </w:pPr>
    </w:lvl>
    <w:lvl w:ilvl="2" w:tentative="0">
      <w:start w:val="1"/>
      <w:numFmt w:val="lowerRoman"/>
      <w:lvlText w:val="%3."/>
      <w:lvlJc w:val="right"/>
      <w:pPr>
        <w:ind w:left="1961" w:hanging="420"/>
      </w:pPr>
    </w:lvl>
    <w:lvl w:ilvl="3" w:tentative="0">
      <w:start w:val="1"/>
      <w:numFmt w:val="decimal"/>
      <w:lvlText w:val="%4."/>
      <w:lvlJc w:val="left"/>
      <w:pPr>
        <w:ind w:left="2381" w:hanging="420"/>
      </w:pPr>
    </w:lvl>
    <w:lvl w:ilvl="4" w:tentative="0">
      <w:start w:val="1"/>
      <w:numFmt w:val="lowerLetter"/>
      <w:lvlText w:val="%5)"/>
      <w:lvlJc w:val="left"/>
      <w:pPr>
        <w:ind w:left="2801" w:hanging="420"/>
      </w:pPr>
    </w:lvl>
    <w:lvl w:ilvl="5" w:tentative="0">
      <w:start w:val="1"/>
      <w:numFmt w:val="lowerRoman"/>
      <w:lvlText w:val="%6."/>
      <w:lvlJc w:val="right"/>
      <w:pPr>
        <w:ind w:left="3221" w:hanging="420"/>
      </w:pPr>
    </w:lvl>
    <w:lvl w:ilvl="6" w:tentative="0">
      <w:start w:val="1"/>
      <w:numFmt w:val="decimal"/>
      <w:lvlText w:val="%7."/>
      <w:lvlJc w:val="left"/>
      <w:pPr>
        <w:ind w:left="3641" w:hanging="420"/>
      </w:pPr>
    </w:lvl>
    <w:lvl w:ilvl="7" w:tentative="0">
      <w:start w:val="1"/>
      <w:numFmt w:val="lowerLetter"/>
      <w:lvlText w:val="%8)"/>
      <w:lvlJc w:val="left"/>
      <w:pPr>
        <w:ind w:left="4061" w:hanging="420"/>
      </w:pPr>
    </w:lvl>
    <w:lvl w:ilvl="8" w:tentative="0">
      <w:start w:val="1"/>
      <w:numFmt w:val="lowerRoman"/>
      <w:lvlText w:val="%9."/>
      <w:lvlJc w:val="right"/>
      <w:pPr>
        <w:ind w:left="4481"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TVhMzA0ZmI5MzE0ZTQ4Njg5NWUwM2ZhMTJkY2QifQ=="/>
  </w:docVars>
  <w:rsids>
    <w:rsidRoot w:val="00F1361C"/>
    <w:rsid w:val="00004653"/>
    <w:rsid w:val="000222C6"/>
    <w:rsid w:val="0002549F"/>
    <w:rsid w:val="000468DB"/>
    <w:rsid w:val="00047663"/>
    <w:rsid w:val="00060E18"/>
    <w:rsid w:val="00061BE7"/>
    <w:rsid w:val="0006487A"/>
    <w:rsid w:val="00065F8F"/>
    <w:rsid w:val="00070A43"/>
    <w:rsid w:val="000768F2"/>
    <w:rsid w:val="000823CA"/>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40C"/>
    <w:rsid w:val="000E6613"/>
    <w:rsid w:val="000E7119"/>
    <w:rsid w:val="0010253E"/>
    <w:rsid w:val="00114E9B"/>
    <w:rsid w:val="00115301"/>
    <w:rsid w:val="00117FE6"/>
    <w:rsid w:val="001319E1"/>
    <w:rsid w:val="00137D98"/>
    <w:rsid w:val="00142216"/>
    <w:rsid w:val="00144D6A"/>
    <w:rsid w:val="0014729F"/>
    <w:rsid w:val="001507B2"/>
    <w:rsid w:val="00157BAB"/>
    <w:rsid w:val="00163D73"/>
    <w:rsid w:val="001654D1"/>
    <w:rsid w:val="00174518"/>
    <w:rsid w:val="0018106D"/>
    <w:rsid w:val="00186027"/>
    <w:rsid w:val="001877A7"/>
    <w:rsid w:val="00191536"/>
    <w:rsid w:val="00192308"/>
    <w:rsid w:val="00196687"/>
    <w:rsid w:val="001A7B1E"/>
    <w:rsid w:val="001C0962"/>
    <w:rsid w:val="001C0FD1"/>
    <w:rsid w:val="001C12AA"/>
    <w:rsid w:val="001C49E9"/>
    <w:rsid w:val="001D7531"/>
    <w:rsid w:val="001E737D"/>
    <w:rsid w:val="001F0592"/>
    <w:rsid w:val="001F7506"/>
    <w:rsid w:val="002006CD"/>
    <w:rsid w:val="00202B36"/>
    <w:rsid w:val="0020414E"/>
    <w:rsid w:val="00204B7A"/>
    <w:rsid w:val="00204CDE"/>
    <w:rsid w:val="0021101A"/>
    <w:rsid w:val="00220536"/>
    <w:rsid w:val="0022570D"/>
    <w:rsid w:val="00235629"/>
    <w:rsid w:val="0025131D"/>
    <w:rsid w:val="00256262"/>
    <w:rsid w:val="00260C38"/>
    <w:rsid w:val="002616C0"/>
    <w:rsid w:val="00265372"/>
    <w:rsid w:val="002662AA"/>
    <w:rsid w:val="0027224D"/>
    <w:rsid w:val="0027541D"/>
    <w:rsid w:val="00280496"/>
    <w:rsid w:val="00282D0F"/>
    <w:rsid w:val="002854AD"/>
    <w:rsid w:val="00294DC9"/>
    <w:rsid w:val="00295495"/>
    <w:rsid w:val="002A31DE"/>
    <w:rsid w:val="002B2613"/>
    <w:rsid w:val="002B2FF7"/>
    <w:rsid w:val="002C5BDE"/>
    <w:rsid w:val="002D6D05"/>
    <w:rsid w:val="002E7315"/>
    <w:rsid w:val="002F02C9"/>
    <w:rsid w:val="002F1818"/>
    <w:rsid w:val="002F567B"/>
    <w:rsid w:val="003216A9"/>
    <w:rsid w:val="00325AAD"/>
    <w:rsid w:val="00335A74"/>
    <w:rsid w:val="0036561B"/>
    <w:rsid w:val="0037013F"/>
    <w:rsid w:val="00380C92"/>
    <w:rsid w:val="003841C0"/>
    <w:rsid w:val="003A484F"/>
    <w:rsid w:val="003A4883"/>
    <w:rsid w:val="003B0BE0"/>
    <w:rsid w:val="003B0C1B"/>
    <w:rsid w:val="003B688C"/>
    <w:rsid w:val="003B6B3E"/>
    <w:rsid w:val="003C0291"/>
    <w:rsid w:val="003C39AE"/>
    <w:rsid w:val="003C7B60"/>
    <w:rsid w:val="003D0C0F"/>
    <w:rsid w:val="003D1FB2"/>
    <w:rsid w:val="003D66DA"/>
    <w:rsid w:val="003E1310"/>
    <w:rsid w:val="003E2776"/>
    <w:rsid w:val="003E6F55"/>
    <w:rsid w:val="003E6FE4"/>
    <w:rsid w:val="00406254"/>
    <w:rsid w:val="0040703D"/>
    <w:rsid w:val="004223DE"/>
    <w:rsid w:val="00427C5B"/>
    <w:rsid w:val="00434489"/>
    <w:rsid w:val="00437085"/>
    <w:rsid w:val="00443880"/>
    <w:rsid w:val="00445607"/>
    <w:rsid w:val="004464F4"/>
    <w:rsid w:val="00466796"/>
    <w:rsid w:val="00471401"/>
    <w:rsid w:val="00473F31"/>
    <w:rsid w:val="0048263A"/>
    <w:rsid w:val="004830EB"/>
    <w:rsid w:val="00487E5D"/>
    <w:rsid w:val="004906AA"/>
    <w:rsid w:val="00492DE4"/>
    <w:rsid w:val="0049739A"/>
    <w:rsid w:val="004A711F"/>
    <w:rsid w:val="004B199D"/>
    <w:rsid w:val="004B4690"/>
    <w:rsid w:val="004C4D46"/>
    <w:rsid w:val="004D5479"/>
    <w:rsid w:val="004E0A2D"/>
    <w:rsid w:val="004E206B"/>
    <w:rsid w:val="004E6DF7"/>
    <w:rsid w:val="004F0FBD"/>
    <w:rsid w:val="005031C4"/>
    <w:rsid w:val="00505A47"/>
    <w:rsid w:val="00512FDA"/>
    <w:rsid w:val="00520DA0"/>
    <w:rsid w:val="00521E95"/>
    <w:rsid w:val="005269A7"/>
    <w:rsid w:val="005269D7"/>
    <w:rsid w:val="00543963"/>
    <w:rsid w:val="005664BB"/>
    <w:rsid w:val="00566FFA"/>
    <w:rsid w:val="0057296F"/>
    <w:rsid w:val="0057481D"/>
    <w:rsid w:val="00577C30"/>
    <w:rsid w:val="0058486E"/>
    <w:rsid w:val="00585B33"/>
    <w:rsid w:val="0059014D"/>
    <w:rsid w:val="005B294E"/>
    <w:rsid w:val="005B5C64"/>
    <w:rsid w:val="005C5337"/>
    <w:rsid w:val="005C6BD0"/>
    <w:rsid w:val="005D1C8B"/>
    <w:rsid w:val="005D468D"/>
    <w:rsid w:val="005D5CED"/>
    <w:rsid w:val="005F1A4C"/>
    <w:rsid w:val="005F55C5"/>
    <w:rsid w:val="00605688"/>
    <w:rsid w:val="006070AF"/>
    <w:rsid w:val="00607E6C"/>
    <w:rsid w:val="006101B1"/>
    <w:rsid w:val="00614E44"/>
    <w:rsid w:val="00616DFC"/>
    <w:rsid w:val="0062270A"/>
    <w:rsid w:val="00622830"/>
    <w:rsid w:val="00623DA0"/>
    <w:rsid w:val="00630AEF"/>
    <w:rsid w:val="006325F8"/>
    <w:rsid w:val="00633463"/>
    <w:rsid w:val="00634C9A"/>
    <w:rsid w:val="00635BBA"/>
    <w:rsid w:val="006440E4"/>
    <w:rsid w:val="00645F81"/>
    <w:rsid w:val="0065680A"/>
    <w:rsid w:val="0066343B"/>
    <w:rsid w:val="00664777"/>
    <w:rsid w:val="006748A4"/>
    <w:rsid w:val="00681A31"/>
    <w:rsid w:val="006822FB"/>
    <w:rsid w:val="00683E73"/>
    <w:rsid w:val="00685B26"/>
    <w:rsid w:val="006936A8"/>
    <w:rsid w:val="006A3141"/>
    <w:rsid w:val="006A5E34"/>
    <w:rsid w:val="006B2422"/>
    <w:rsid w:val="006B2B9A"/>
    <w:rsid w:val="006B3E5C"/>
    <w:rsid w:val="006C1937"/>
    <w:rsid w:val="006E0118"/>
    <w:rsid w:val="006F020C"/>
    <w:rsid w:val="007127B7"/>
    <w:rsid w:val="0071798E"/>
    <w:rsid w:val="00726D2A"/>
    <w:rsid w:val="0073132A"/>
    <w:rsid w:val="00735F83"/>
    <w:rsid w:val="007416B6"/>
    <w:rsid w:val="00743F6C"/>
    <w:rsid w:val="00746F48"/>
    <w:rsid w:val="0075190D"/>
    <w:rsid w:val="0075404D"/>
    <w:rsid w:val="0076182A"/>
    <w:rsid w:val="00767B7E"/>
    <w:rsid w:val="007770C3"/>
    <w:rsid w:val="00784D24"/>
    <w:rsid w:val="00785FBA"/>
    <w:rsid w:val="00786E4A"/>
    <w:rsid w:val="007875EB"/>
    <w:rsid w:val="0079426B"/>
    <w:rsid w:val="007D1682"/>
    <w:rsid w:val="007D2F69"/>
    <w:rsid w:val="007D312A"/>
    <w:rsid w:val="007D3F19"/>
    <w:rsid w:val="007E23B0"/>
    <w:rsid w:val="007E23E5"/>
    <w:rsid w:val="007F1991"/>
    <w:rsid w:val="007F2C2F"/>
    <w:rsid w:val="007F55FC"/>
    <w:rsid w:val="007F5665"/>
    <w:rsid w:val="00800112"/>
    <w:rsid w:val="00813348"/>
    <w:rsid w:val="008253BB"/>
    <w:rsid w:val="0083429A"/>
    <w:rsid w:val="0083706E"/>
    <w:rsid w:val="008408F6"/>
    <w:rsid w:val="008423A5"/>
    <w:rsid w:val="00850625"/>
    <w:rsid w:val="00853718"/>
    <w:rsid w:val="00855221"/>
    <w:rsid w:val="008577C9"/>
    <w:rsid w:val="00860645"/>
    <w:rsid w:val="00871F71"/>
    <w:rsid w:val="00872FD8"/>
    <w:rsid w:val="00885AF4"/>
    <w:rsid w:val="00892977"/>
    <w:rsid w:val="008939CD"/>
    <w:rsid w:val="008B768C"/>
    <w:rsid w:val="008C4DB1"/>
    <w:rsid w:val="008C4EAF"/>
    <w:rsid w:val="008C5176"/>
    <w:rsid w:val="008C76F0"/>
    <w:rsid w:val="008C7FD0"/>
    <w:rsid w:val="008D06C8"/>
    <w:rsid w:val="008D621A"/>
    <w:rsid w:val="008E1DE7"/>
    <w:rsid w:val="008E707C"/>
    <w:rsid w:val="008F55F2"/>
    <w:rsid w:val="008F5E6B"/>
    <w:rsid w:val="00900B08"/>
    <w:rsid w:val="00902155"/>
    <w:rsid w:val="00902FA3"/>
    <w:rsid w:val="00923564"/>
    <w:rsid w:val="0092392E"/>
    <w:rsid w:val="009315F9"/>
    <w:rsid w:val="00933499"/>
    <w:rsid w:val="009334D8"/>
    <w:rsid w:val="00935C98"/>
    <w:rsid w:val="00943D1B"/>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19BB"/>
    <w:rsid w:val="009D3447"/>
    <w:rsid w:val="009D35FE"/>
    <w:rsid w:val="009D4711"/>
    <w:rsid w:val="009E2FC0"/>
    <w:rsid w:val="009F1185"/>
    <w:rsid w:val="009F18CD"/>
    <w:rsid w:val="009F2A13"/>
    <w:rsid w:val="009F7527"/>
    <w:rsid w:val="00A04EB0"/>
    <w:rsid w:val="00A10BCD"/>
    <w:rsid w:val="00A13CC1"/>
    <w:rsid w:val="00A16847"/>
    <w:rsid w:val="00A237D8"/>
    <w:rsid w:val="00A268C4"/>
    <w:rsid w:val="00A307CD"/>
    <w:rsid w:val="00A331C8"/>
    <w:rsid w:val="00A40086"/>
    <w:rsid w:val="00A40A00"/>
    <w:rsid w:val="00A4142F"/>
    <w:rsid w:val="00A422EB"/>
    <w:rsid w:val="00A447E3"/>
    <w:rsid w:val="00A45BB7"/>
    <w:rsid w:val="00A56DF2"/>
    <w:rsid w:val="00A56E6E"/>
    <w:rsid w:val="00A67AB5"/>
    <w:rsid w:val="00A733B2"/>
    <w:rsid w:val="00A741C2"/>
    <w:rsid w:val="00A77F0A"/>
    <w:rsid w:val="00A85DB4"/>
    <w:rsid w:val="00A91760"/>
    <w:rsid w:val="00A93B00"/>
    <w:rsid w:val="00A93C21"/>
    <w:rsid w:val="00AB3C20"/>
    <w:rsid w:val="00AB64C9"/>
    <w:rsid w:val="00AC3C6A"/>
    <w:rsid w:val="00AD5620"/>
    <w:rsid w:val="00AD656B"/>
    <w:rsid w:val="00AD7C1B"/>
    <w:rsid w:val="00AE16BA"/>
    <w:rsid w:val="00AE1EBE"/>
    <w:rsid w:val="00B011E4"/>
    <w:rsid w:val="00B03C9D"/>
    <w:rsid w:val="00B060AE"/>
    <w:rsid w:val="00B10517"/>
    <w:rsid w:val="00B14E76"/>
    <w:rsid w:val="00B161B8"/>
    <w:rsid w:val="00B16956"/>
    <w:rsid w:val="00B2048C"/>
    <w:rsid w:val="00B2490E"/>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2A20"/>
    <w:rsid w:val="00BB4DF0"/>
    <w:rsid w:val="00BC2148"/>
    <w:rsid w:val="00BC289F"/>
    <w:rsid w:val="00BC2D50"/>
    <w:rsid w:val="00BC5361"/>
    <w:rsid w:val="00BC5460"/>
    <w:rsid w:val="00BC6B50"/>
    <w:rsid w:val="00BD0E25"/>
    <w:rsid w:val="00BF5BD6"/>
    <w:rsid w:val="00BF5D07"/>
    <w:rsid w:val="00C03E31"/>
    <w:rsid w:val="00C33E72"/>
    <w:rsid w:val="00C354B2"/>
    <w:rsid w:val="00C35554"/>
    <w:rsid w:val="00C42709"/>
    <w:rsid w:val="00C51EBB"/>
    <w:rsid w:val="00C533CC"/>
    <w:rsid w:val="00C5751C"/>
    <w:rsid w:val="00C61BFC"/>
    <w:rsid w:val="00C62B85"/>
    <w:rsid w:val="00C65438"/>
    <w:rsid w:val="00C84F29"/>
    <w:rsid w:val="00C87FD8"/>
    <w:rsid w:val="00C91381"/>
    <w:rsid w:val="00C91CBB"/>
    <w:rsid w:val="00C97AFC"/>
    <w:rsid w:val="00CA05ED"/>
    <w:rsid w:val="00CA2714"/>
    <w:rsid w:val="00CB2651"/>
    <w:rsid w:val="00CB4E70"/>
    <w:rsid w:val="00CC09B6"/>
    <w:rsid w:val="00CC404E"/>
    <w:rsid w:val="00CC666F"/>
    <w:rsid w:val="00CD1E3F"/>
    <w:rsid w:val="00CE44F6"/>
    <w:rsid w:val="00CE49A7"/>
    <w:rsid w:val="00CE49DA"/>
    <w:rsid w:val="00CE7B61"/>
    <w:rsid w:val="00D00095"/>
    <w:rsid w:val="00D07853"/>
    <w:rsid w:val="00D114F0"/>
    <w:rsid w:val="00D20620"/>
    <w:rsid w:val="00D248C6"/>
    <w:rsid w:val="00D254F7"/>
    <w:rsid w:val="00D26091"/>
    <w:rsid w:val="00D2685C"/>
    <w:rsid w:val="00D27E24"/>
    <w:rsid w:val="00D33771"/>
    <w:rsid w:val="00D34E7C"/>
    <w:rsid w:val="00D35489"/>
    <w:rsid w:val="00D36AFE"/>
    <w:rsid w:val="00D51276"/>
    <w:rsid w:val="00D52682"/>
    <w:rsid w:val="00D7035F"/>
    <w:rsid w:val="00DA4958"/>
    <w:rsid w:val="00DA634F"/>
    <w:rsid w:val="00DA65AC"/>
    <w:rsid w:val="00DB1913"/>
    <w:rsid w:val="00DC410D"/>
    <w:rsid w:val="00DC5571"/>
    <w:rsid w:val="00DC5A81"/>
    <w:rsid w:val="00DC68CA"/>
    <w:rsid w:val="00DC74B0"/>
    <w:rsid w:val="00DC7CBA"/>
    <w:rsid w:val="00DD5561"/>
    <w:rsid w:val="00DD73B7"/>
    <w:rsid w:val="00DE7696"/>
    <w:rsid w:val="00DF28BC"/>
    <w:rsid w:val="00DF34B9"/>
    <w:rsid w:val="00E01053"/>
    <w:rsid w:val="00E03927"/>
    <w:rsid w:val="00E0768B"/>
    <w:rsid w:val="00E07ACF"/>
    <w:rsid w:val="00E17C19"/>
    <w:rsid w:val="00E32CAD"/>
    <w:rsid w:val="00E331A1"/>
    <w:rsid w:val="00E33202"/>
    <w:rsid w:val="00E336A9"/>
    <w:rsid w:val="00E472B1"/>
    <w:rsid w:val="00E50624"/>
    <w:rsid w:val="00E54E37"/>
    <w:rsid w:val="00E568DF"/>
    <w:rsid w:val="00E64269"/>
    <w:rsid w:val="00E70975"/>
    <w:rsid w:val="00E82267"/>
    <w:rsid w:val="00E853CE"/>
    <w:rsid w:val="00E867B6"/>
    <w:rsid w:val="00E922CE"/>
    <w:rsid w:val="00E936CF"/>
    <w:rsid w:val="00EA010F"/>
    <w:rsid w:val="00EC667C"/>
    <w:rsid w:val="00EC79E3"/>
    <w:rsid w:val="00ED1B63"/>
    <w:rsid w:val="00ED3C1F"/>
    <w:rsid w:val="00ED4085"/>
    <w:rsid w:val="00ED420E"/>
    <w:rsid w:val="00ED6FBE"/>
    <w:rsid w:val="00EE2F57"/>
    <w:rsid w:val="00EF4C34"/>
    <w:rsid w:val="00EF60EF"/>
    <w:rsid w:val="00EF77C6"/>
    <w:rsid w:val="00F05438"/>
    <w:rsid w:val="00F1361C"/>
    <w:rsid w:val="00F140CD"/>
    <w:rsid w:val="00F15314"/>
    <w:rsid w:val="00F156F0"/>
    <w:rsid w:val="00F15951"/>
    <w:rsid w:val="00F160C7"/>
    <w:rsid w:val="00F17CC0"/>
    <w:rsid w:val="00F2408F"/>
    <w:rsid w:val="00F240E9"/>
    <w:rsid w:val="00F36D8F"/>
    <w:rsid w:val="00F37480"/>
    <w:rsid w:val="00F417B1"/>
    <w:rsid w:val="00F45853"/>
    <w:rsid w:val="00F50C14"/>
    <w:rsid w:val="00F55DF3"/>
    <w:rsid w:val="00F602DF"/>
    <w:rsid w:val="00F67211"/>
    <w:rsid w:val="00F74267"/>
    <w:rsid w:val="00F75116"/>
    <w:rsid w:val="00F754A1"/>
    <w:rsid w:val="00F81FD9"/>
    <w:rsid w:val="00F841AA"/>
    <w:rsid w:val="00F84A94"/>
    <w:rsid w:val="00F87E96"/>
    <w:rsid w:val="00FA23E8"/>
    <w:rsid w:val="00FA5D56"/>
    <w:rsid w:val="00FD3CC1"/>
    <w:rsid w:val="00FF1E02"/>
    <w:rsid w:val="00FF30B4"/>
    <w:rsid w:val="00FF6EC9"/>
    <w:rsid w:val="0A2032A3"/>
    <w:rsid w:val="10C055FF"/>
    <w:rsid w:val="118107EC"/>
    <w:rsid w:val="16BB723D"/>
    <w:rsid w:val="1D155CEE"/>
    <w:rsid w:val="240371BF"/>
    <w:rsid w:val="29FD04D3"/>
    <w:rsid w:val="319F7F4E"/>
    <w:rsid w:val="4ECE2238"/>
    <w:rsid w:val="6C4A05C8"/>
    <w:rsid w:val="72734D90"/>
    <w:rsid w:val="7728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uiPriority w:val="39"/>
    <w:pPr>
      <w:ind w:left="630"/>
      <w:jc w:val="left"/>
    </w:pPr>
    <w:rPr>
      <w:rFonts w:asciiTheme="minorHAnsi" w:eastAsiaTheme="minorHAnsi"/>
      <w:sz w:val="18"/>
      <w:szCs w:val="18"/>
    </w:rPr>
  </w:style>
  <w:style w:type="paragraph" w:styleId="15">
    <w:name w:val="toc 6"/>
    <w:basedOn w:val="1"/>
    <w:next w:val="1"/>
    <w:unhideWhenUsed/>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uiPriority w:val="39"/>
    <w:pPr>
      <w:ind w:left="1680"/>
      <w:jc w:val="left"/>
    </w:pPr>
    <w:rPr>
      <w:rFonts w:asciiTheme="minorHAnsi" w:eastAsiaTheme="minorHAnsi"/>
      <w:sz w:val="18"/>
      <w:szCs w:val="18"/>
    </w:rPr>
  </w:style>
  <w:style w:type="paragraph" w:styleId="18">
    <w:name w:val="Normal (Web)"/>
    <w:basedOn w:val="1"/>
    <w:unhideWhenUsed/>
    <w:qFormat/>
    <w:uiPriority w:val="99"/>
    <w:pPr>
      <w:jc w:val="left"/>
    </w:pPr>
    <w:rPr>
      <w:kern w:val="0"/>
      <w:sz w:val="24"/>
      <w:szCs w:val="22"/>
    </w:rPr>
  </w:style>
  <w:style w:type="character" w:styleId="21">
    <w:name w:val="Strong"/>
    <w:basedOn w:val="20"/>
    <w:qFormat/>
    <w:uiPriority w:val="22"/>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8">
    <w:name w:val="List Paragraph"/>
    <w:basedOn w:val="1"/>
    <w:qFormat/>
    <w:uiPriority w:val="34"/>
    <w:pPr>
      <w:ind w:firstLine="420" w:firstLineChars="200"/>
    </w:pPr>
  </w:style>
  <w:style w:type="paragraph" w:styleId="39">
    <w:name w:val="No Spacing"/>
    <w:qFormat/>
    <w:uiPriority w:val="1"/>
    <w:pPr>
      <w:jc w:val="both"/>
      <w:textAlignment w:val="baseline"/>
    </w:pPr>
    <w:rPr>
      <w:rFonts w:ascii="Times New Roman" w:hAnsi="Times New Roman" w:eastAsia="宋体" w:cs="Times New Roman"/>
      <w:color w:val="000000"/>
      <w:sz w:val="21"/>
      <w:u w:color="000000"/>
      <w:lang w:val="en-US" w:eastAsia="zh-CN" w:bidi="ar-SA"/>
    </w:rPr>
  </w:style>
  <w:style w:type="paragraph" w:customStyle="1" w:styleId="40">
    <w:name w:val="正文文本1"/>
    <w:basedOn w:val="1"/>
    <w:uiPriority w:val="0"/>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152.51</c:v>
                </c:pt>
                <c:pt idx="1">
                  <c:v>168.17</c:v>
                </c:pt>
              </c:numCache>
            </c:numRef>
          </c:val>
        </c:ser>
        <c:ser>
          <c:idx val="1"/>
          <c:order val="1"/>
          <c:tx>
            <c:strRef>
              <c:f>Sheet1!$C$1</c:f>
              <c:strCache>
                <c:ptCount val="1"/>
                <c:pt idx="0">
                  <c:v>2022年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154.56</c:v>
                </c:pt>
                <c:pt idx="1">
                  <c:v>154.56</c:v>
                </c:pt>
              </c:numCache>
            </c:numRef>
          </c:val>
        </c:ser>
        <c:dLbls>
          <c:showLegendKey val="0"/>
          <c:showVal val="0"/>
          <c:showCatName val="0"/>
          <c:showSerName val="0"/>
          <c:showPercent val="0"/>
          <c:showBubbleSize val="0"/>
        </c:dLbls>
        <c:gapWidth val="150"/>
        <c:axId val="177181824"/>
        <c:axId val="177183360"/>
      </c:barChart>
      <c:catAx>
        <c:axId val="177181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183360"/>
        <c:crosses val="autoZero"/>
        <c:auto val="1"/>
        <c:lblAlgn val="ctr"/>
        <c:lblOffset val="100"/>
        <c:noMultiLvlLbl val="0"/>
      </c:catAx>
      <c:valAx>
        <c:axId val="177183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181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2022年收入</c:v>
                </c:pt>
              </c:strCache>
            </c:strRef>
          </c:tx>
          <c:explosion val="0"/>
          <c:dPt>
            <c:idx val="0"/>
            <c:bubble3D val="0"/>
          </c:dPt>
          <c:dPt>
            <c:idx val="1"/>
            <c:bubble3D val="0"/>
          </c:dPt>
          <c:dLbls>
            <c:delete val="1"/>
          </c:dLbls>
          <c:cat>
            <c:strRef>
              <c:f>Sheet1!$A$2:$A$3</c:f>
              <c:strCache>
                <c:ptCount val="2"/>
                <c:pt idx="0">
                  <c:v>一般公共预算</c:v>
                </c:pt>
                <c:pt idx="1">
                  <c:v>其他收入</c:v>
                </c:pt>
              </c:strCache>
            </c:strRef>
          </c:cat>
          <c:val>
            <c:numRef>
              <c:f>Sheet1!$B$2:$B$3</c:f>
              <c:numCache>
                <c:formatCode>General</c:formatCode>
                <c:ptCount val="2"/>
                <c:pt idx="0">
                  <c:v>153.56</c:v>
                </c:pt>
                <c:pt idx="1">
                  <c:v>0.95</c:v>
                </c:pt>
              </c:numCache>
            </c:numRef>
          </c:val>
        </c:ser>
        <c:dLbls>
          <c:showLegendKey val="0"/>
          <c:showVal val="0"/>
          <c:showCatName val="0"/>
          <c:showSerName val="0"/>
          <c:showPercent val="0"/>
          <c:showBubbleSize val="0"/>
          <c:showLeaderLines val="0"/>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2022年支出</c:v>
                </c:pt>
              </c:strCache>
            </c:strRef>
          </c:tx>
          <c:explosion val="25"/>
          <c:dPt>
            <c:idx val="0"/>
            <c:bubble3D val="0"/>
          </c:dPt>
          <c:dPt>
            <c:idx val="1"/>
            <c:bubble3D val="0"/>
          </c:dPt>
          <c:dLbls>
            <c:dLbl>
              <c:idx val="0"/>
              <c:layout>
                <c:manualLayout>
                  <c:x val="0.0961489438222478"/>
                  <c:y val="-0.01701748386781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122.69</c:v>
                </c:pt>
                <c:pt idx="1">
                  <c:v>31.87</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152.51</c:v>
                </c:pt>
                <c:pt idx="1">
                  <c:v>168.17</c:v>
                </c:pt>
              </c:numCache>
            </c:numRef>
          </c:val>
        </c:ser>
        <c:ser>
          <c:idx val="1"/>
          <c:order val="1"/>
          <c:tx>
            <c:strRef>
              <c:f>Sheet1!$C$1</c:f>
              <c:strCache>
                <c:ptCount val="1"/>
                <c:pt idx="0">
                  <c:v>2022年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153.61</c:v>
                </c:pt>
                <c:pt idx="1">
                  <c:v>154.56</c:v>
                </c:pt>
              </c:numCache>
            </c:numRef>
          </c:val>
        </c:ser>
        <c:dLbls>
          <c:showLegendKey val="0"/>
          <c:showVal val="0"/>
          <c:showCatName val="0"/>
          <c:showSerName val="0"/>
          <c:showPercent val="0"/>
          <c:showBubbleSize val="0"/>
        </c:dLbls>
        <c:gapWidth val="150"/>
        <c:axId val="181952896"/>
        <c:axId val="181954432"/>
      </c:barChart>
      <c:catAx>
        <c:axId val="1819528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954432"/>
        <c:crosses val="autoZero"/>
        <c:auto val="1"/>
        <c:lblAlgn val="ctr"/>
        <c:lblOffset val="100"/>
        <c:noMultiLvlLbl val="0"/>
      </c:catAx>
      <c:valAx>
        <c:axId val="1819544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95289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rgbClr val="FF0000"/>
              </a:solidFill>
              <a:latin typeface="+mn-lt"/>
              <a:ea typeface="+mn-ea"/>
              <a:cs typeface="+mn-cs"/>
            </a:defRPr>
          </a:pPr>
        </a:p>
      </c:txPr>
    </c:legend>
    <c:plotVisOnly val="1"/>
    <c:dispBlanksAs val="gap"/>
    <c:showDLblsOverMax val="0"/>
  </c:chart>
  <c:spPr>
    <a:ln w="6350" cap="flat" cmpd="sng" algn="ctr">
      <a:solidFill>
        <a:schemeClr val="accent1"/>
      </a:solid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2022年一般公共预算支出</c:v>
                </c:pt>
              </c:strCache>
            </c:strRef>
          </c:tx>
          <c:invertIfNegative val="0"/>
          <c:dLbls>
            <c:delete val="1"/>
          </c:dLbls>
          <c:cat>
            <c:strRef>
              <c:f>Sheet1!$A$2</c:f>
              <c:strCache>
                <c:ptCount val="1"/>
                <c:pt idx="0">
                  <c:v>一般公共预算支出</c:v>
                </c:pt>
              </c:strCache>
            </c:strRef>
          </c:cat>
          <c:val>
            <c:numRef>
              <c:f>Sheet1!$B$2</c:f>
              <c:numCache>
                <c:formatCode>General</c:formatCode>
                <c:ptCount val="1"/>
                <c:pt idx="0">
                  <c:v>154.56</c:v>
                </c:pt>
              </c:numCache>
            </c:numRef>
          </c:val>
        </c:ser>
        <c:dLbls>
          <c:showLegendKey val="0"/>
          <c:showVal val="0"/>
          <c:showCatName val="0"/>
          <c:showSerName val="0"/>
          <c:showPercent val="0"/>
          <c:showBubbleSize val="0"/>
        </c:dLbls>
        <c:gapWidth val="150"/>
        <c:overlap val="100"/>
        <c:axId val="181979008"/>
        <c:axId val="181980544"/>
      </c:barChart>
      <c:catAx>
        <c:axId val="181979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980544"/>
        <c:crosses val="autoZero"/>
        <c:auto val="1"/>
        <c:lblAlgn val="ctr"/>
        <c:lblOffset val="100"/>
        <c:noMultiLvlLbl val="0"/>
      </c:catAx>
      <c:valAx>
        <c:axId val="181980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9790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2022年支出</c:v>
                </c:pt>
              </c:strCache>
            </c:strRef>
          </c:tx>
          <c:explosion val="25"/>
          <c:dPt>
            <c:idx val="0"/>
            <c:bubble3D val="0"/>
          </c:dPt>
          <c:dPt>
            <c:idx val="1"/>
            <c:bubble3D val="0"/>
          </c:dPt>
          <c:dPt>
            <c:idx val="2"/>
            <c:bubble3D val="0"/>
          </c:dPt>
          <c:dPt>
            <c:idx val="3"/>
            <c:bubble3D val="0"/>
          </c:dPt>
          <c:dLbls>
            <c:delete val="1"/>
          </c:dLbls>
          <c:cat>
            <c:strRef>
              <c:f>Sheet1!$A$2:$A$5</c:f>
              <c:strCache>
                <c:ptCount val="4"/>
                <c:pt idx="0">
                  <c:v>一般公共服务（类）</c:v>
                </c:pt>
                <c:pt idx="1">
                  <c:v>社会保障和就业（类）</c:v>
                </c:pt>
                <c:pt idx="2">
                  <c:v>卫生健康支出</c:v>
                </c:pt>
                <c:pt idx="3">
                  <c:v>住房保障支出</c:v>
                </c:pt>
              </c:strCache>
            </c:strRef>
          </c:cat>
          <c:val>
            <c:numRef>
              <c:f>Sheet1!$B$2:$B$5</c:f>
              <c:numCache>
                <c:formatCode>General</c:formatCode>
                <c:ptCount val="4"/>
                <c:pt idx="0">
                  <c:v>129.24</c:v>
                </c:pt>
                <c:pt idx="1">
                  <c:v>12.78</c:v>
                </c:pt>
                <c:pt idx="2">
                  <c:v>5.21</c:v>
                </c:pt>
                <c:pt idx="3">
                  <c:v>7.33</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722172134962948"/>
          <c:y val="0.438111211330782"/>
          <c:w val="0.277827865037052"/>
          <c:h val="0.2695227063872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0534-45EF-433B-ACA9-5A97159EC42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1465</Words>
  <Characters>8355</Characters>
  <Lines>69</Lines>
  <Paragraphs>19</Paragraphs>
  <TotalTime>376</TotalTime>
  <ScaleCrop>false</ScaleCrop>
  <LinksUpToDate>false</LinksUpToDate>
  <CharactersWithSpaces>9801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2022-09-22T02:48:00Z</dcterms:created>
  <dc:creator>曹颖</dc:creator>
  <cp:lastModifiedBy>Administrator</cp:lastModifiedBy>
  <cp:lastPrinted>2023-09-14T02:03:00Z</cp:lastPrinted>
  <dcterms:modified xsi:type="dcterms:W3CDTF">2023-09-19T03:01:25Z</dcterms:modified>
  <dc:title>阿坝州部门决算说明</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F99A7CCCA7374F618F1A784B1B645D0B_12</vt:lpwstr>
  </property>
</Properties>
</file>