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9523E">
      <w:pPr>
        <w:pStyle w:val="7"/>
        <w:spacing w:before="93"/>
        <w:rPr>
          <w:rFonts w:hint="default" w:ascii="Times New Roman" w:hAnsi="Times New Roman" w:eastAsia="方正小标宋简体" w:cs="Times New Roman"/>
          <w:kern w:val="2"/>
          <w:sz w:val="72"/>
          <w:szCs w:val="72"/>
        </w:rPr>
      </w:pPr>
      <w:bookmarkStart w:id="0" w:name="_Toc15377425"/>
      <w:bookmarkStart w:id="1" w:name="_Toc15377193"/>
      <w:bookmarkStart w:id="2" w:name="_Toc15396597"/>
      <w:bookmarkStart w:id="3" w:name="_Toc15378441"/>
      <w:bookmarkStart w:id="4" w:name="_Toc15396475"/>
      <w:bookmarkStart w:id="5" w:name="_Toc15306267"/>
    </w:p>
    <w:p w14:paraId="0FF4DA23">
      <w:pPr>
        <w:pStyle w:val="7"/>
        <w:spacing w:before="93"/>
        <w:rPr>
          <w:rFonts w:hint="default" w:ascii="Times New Roman" w:hAnsi="Times New Roman" w:eastAsia="方正小标宋简体" w:cs="Times New Roman"/>
          <w:kern w:val="2"/>
          <w:sz w:val="72"/>
          <w:szCs w:val="72"/>
        </w:rPr>
      </w:pPr>
    </w:p>
    <w:bookmarkEnd w:id="0"/>
    <w:bookmarkEnd w:id="1"/>
    <w:bookmarkEnd w:id="2"/>
    <w:bookmarkEnd w:id="3"/>
    <w:bookmarkEnd w:id="4"/>
    <w:p w14:paraId="7984F106">
      <w:pPr>
        <w:pStyle w:val="7"/>
        <w:spacing w:before="93"/>
        <w:jc w:val="center"/>
        <w:rPr>
          <w:rFonts w:hint="default" w:ascii="Times New Roman" w:hAnsi="Times New Roman" w:eastAsia="方正小标宋简体" w:cs="Times New Roman"/>
          <w:kern w:val="2"/>
          <w:sz w:val="44"/>
          <w:szCs w:val="44"/>
        </w:rPr>
      </w:pPr>
      <w:bookmarkStart w:id="6" w:name="_Toc15377426"/>
      <w:bookmarkStart w:id="7" w:name="_Toc15396476"/>
      <w:bookmarkStart w:id="8" w:name="_Toc15396598"/>
      <w:bookmarkStart w:id="9" w:name="_Toc15378442"/>
      <w:bookmarkStart w:id="10" w:name="_Toc15377194"/>
    </w:p>
    <w:p w14:paraId="6DA84B80">
      <w:pPr>
        <w:pStyle w:val="7"/>
        <w:spacing w:before="93"/>
        <w:jc w:val="center"/>
        <w:rPr>
          <w:rFonts w:hint="default" w:ascii="Times New Roman" w:hAnsi="Times New Roman" w:eastAsia="方正小标宋简体" w:cs="Times New Roman"/>
          <w:kern w:val="2"/>
          <w:sz w:val="52"/>
          <w:szCs w:val="52"/>
          <w:lang w:val="en-US" w:eastAsia="zh-CN"/>
        </w:rPr>
      </w:pPr>
      <w:r>
        <w:rPr>
          <w:rFonts w:hint="default" w:ascii="Times New Roman" w:hAnsi="Times New Roman" w:eastAsia="方正小标宋简体" w:cs="Times New Roman"/>
          <w:kern w:val="2"/>
          <w:sz w:val="52"/>
          <w:szCs w:val="52"/>
        </w:rPr>
        <w:t>2024年度</w:t>
      </w:r>
      <w:bookmarkEnd w:id="5"/>
      <w:bookmarkStart w:id="11" w:name="_Toc15306268"/>
      <w:r>
        <w:rPr>
          <w:rFonts w:hint="default" w:ascii="Times New Roman" w:hAnsi="Times New Roman" w:eastAsia="方正小标宋简体" w:cs="Times New Roman"/>
          <w:kern w:val="2"/>
          <w:sz w:val="52"/>
          <w:szCs w:val="52"/>
        </w:rPr>
        <w:t>阿坝州</w:t>
      </w:r>
      <w:r>
        <w:rPr>
          <w:rFonts w:hint="default" w:ascii="Times New Roman" w:hAnsi="Times New Roman" w:eastAsia="方正小标宋简体" w:cs="Times New Roman"/>
          <w:kern w:val="2"/>
          <w:sz w:val="52"/>
          <w:szCs w:val="52"/>
          <w:lang w:val="en-US" w:eastAsia="zh-CN"/>
        </w:rPr>
        <w:t>委老干部局</w:t>
      </w:r>
    </w:p>
    <w:p w14:paraId="47AEF975">
      <w:pPr>
        <w:pStyle w:val="7"/>
        <w:spacing w:before="93"/>
        <w:jc w:val="center"/>
        <w:rPr>
          <w:rFonts w:hint="default" w:ascii="Times New Roman" w:hAnsi="Times New Roman" w:eastAsia="方正小标宋简体" w:cs="Times New Roman"/>
          <w:kern w:val="2"/>
          <w:sz w:val="52"/>
          <w:szCs w:val="52"/>
          <w:lang w:val="en-US" w:eastAsia="zh-CN"/>
        </w:rPr>
      </w:pPr>
      <w:r>
        <w:rPr>
          <w:rFonts w:hint="default" w:ascii="Times New Roman" w:hAnsi="Times New Roman" w:eastAsia="方正小标宋简体" w:cs="Times New Roman"/>
          <w:kern w:val="2"/>
          <w:sz w:val="52"/>
          <w:szCs w:val="52"/>
        </w:rPr>
        <w:t>决算</w:t>
      </w:r>
      <w:bookmarkEnd w:id="6"/>
      <w:bookmarkEnd w:id="7"/>
      <w:bookmarkEnd w:id="8"/>
      <w:bookmarkEnd w:id="9"/>
      <w:bookmarkEnd w:id="10"/>
      <w:bookmarkEnd w:id="11"/>
      <w:r>
        <w:rPr>
          <w:rFonts w:hint="default" w:ascii="Times New Roman" w:hAnsi="Times New Roman" w:eastAsia="方正小标宋简体" w:cs="Times New Roman"/>
          <w:kern w:val="2"/>
          <w:sz w:val="52"/>
          <w:szCs w:val="52"/>
          <w:lang w:val="en-US" w:eastAsia="zh-CN"/>
        </w:rPr>
        <w:t>公开</w:t>
      </w:r>
      <w:r>
        <w:rPr>
          <w:rFonts w:hint="eastAsia" w:ascii="Times New Roman" w:hAnsi="Times New Roman" w:eastAsia="方正小标宋简体" w:cs="Times New Roman"/>
          <w:kern w:val="2"/>
          <w:sz w:val="52"/>
          <w:szCs w:val="52"/>
          <w:lang w:val="en-US" w:eastAsia="zh-CN"/>
        </w:rPr>
        <w:t>（本级）</w:t>
      </w:r>
    </w:p>
    <w:p w14:paraId="49C81E8C">
      <w:pPr>
        <w:widowControl/>
        <w:jc w:val="center"/>
        <w:rPr>
          <w:rFonts w:hint="default" w:ascii="Times New Roman" w:hAnsi="Times New Roman" w:eastAsia="黑体" w:cs="Times New Roman"/>
          <w:sz w:val="48"/>
          <w:szCs w:val="48"/>
        </w:rPr>
      </w:pPr>
    </w:p>
    <w:p w14:paraId="74792A1B">
      <w:pPr>
        <w:widowControl/>
        <w:jc w:val="center"/>
        <w:rPr>
          <w:rFonts w:hint="default" w:ascii="Times New Roman" w:hAnsi="Times New Roman" w:eastAsia="黑体" w:cs="Times New Roman"/>
          <w:sz w:val="48"/>
          <w:szCs w:val="48"/>
        </w:rPr>
      </w:pPr>
    </w:p>
    <w:p w14:paraId="20E687C3">
      <w:pPr>
        <w:widowControl/>
        <w:jc w:val="center"/>
        <w:rPr>
          <w:rFonts w:hint="default" w:ascii="Times New Roman" w:hAnsi="Times New Roman" w:eastAsia="黑体" w:cs="Times New Roman"/>
          <w:sz w:val="48"/>
          <w:szCs w:val="48"/>
        </w:rPr>
      </w:pPr>
    </w:p>
    <w:p w14:paraId="20F48625">
      <w:pPr>
        <w:widowControl/>
        <w:jc w:val="center"/>
        <w:rPr>
          <w:rFonts w:hint="default" w:ascii="Times New Roman" w:hAnsi="Times New Roman" w:eastAsia="黑体" w:cs="Times New Roman"/>
          <w:sz w:val="48"/>
          <w:szCs w:val="48"/>
        </w:rPr>
      </w:pPr>
    </w:p>
    <w:p w14:paraId="68E97C7E">
      <w:pPr>
        <w:widowControl/>
        <w:jc w:val="center"/>
        <w:rPr>
          <w:rFonts w:hint="default" w:ascii="Times New Roman" w:hAnsi="Times New Roman" w:eastAsia="黑体" w:cs="Times New Roman"/>
          <w:sz w:val="48"/>
          <w:szCs w:val="48"/>
        </w:rPr>
      </w:pPr>
    </w:p>
    <w:p w14:paraId="6A9FEED1">
      <w:pPr>
        <w:widowControl/>
        <w:jc w:val="center"/>
        <w:rPr>
          <w:rFonts w:hint="default" w:ascii="Times New Roman" w:hAnsi="Times New Roman" w:eastAsia="黑体" w:cs="Times New Roman"/>
          <w:sz w:val="48"/>
          <w:szCs w:val="48"/>
        </w:rPr>
      </w:pPr>
    </w:p>
    <w:p w14:paraId="3FFB21B2">
      <w:pPr>
        <w:widowControl/>
        <w:jc w:val="center"/>
        <w:rPr>
          <w:rFonts w:hint="default" w:ascii="Times New Roman" w:hAnsi="Times New Roman" w:eastAsia="黑体" w:cs="Times New Roman"/>
          <w:sz w:val="48"/>
          <w:szCs w:val="48"/>
        </w:rPr>
      </w:pPr>
    </w:p>
    <w:p w14:paraId="01D9A73A">
      <w:pPr>
        <w:widowControl/>
        <w:jc w:val="center"/>
        <w:rPr>
          <w:rFonts w:hint="default" w:ascii="Times New Roman" w:hAnsi="Times New Roman" w:eastAsia="黑体" w:cs="Times New Roman"/>
          <w:sz w:val="48"/>
          <w:szCs w:val="48"/>
        </w:rPr>
      </w:pPr>
    </w:p>
    <w:p w14:paraId="0D6B3E8C">
      <w:pPr>
        <w:widowControl/>
        <w:jc w:val="center"/>
        <w:rPr>
          <w:rFonts w:hint="default" w:ascii="Times New Roman" w:hAnsi="Times New Roman" w:eastAsia="黑体" w:cs="Times New Roman"/>
          <w:sz w:val="48"/>
          <w:szCs w:val="48"/>
          <w:lang w:eastAsia="zh-CN"/>
        </w:rPr>
      </w:pPr>
    </w:p>
    <w:p w14:paraId="706CBA92">
      <w:pPr>
        <w:widowControl/>
        <w:jc w:val="both"/>
        <w:rPr>
          <w:rFonts w:hint="default" w:ascii="Times New Roman" w:hAnsi="Times New Roman" w:eastAsia="黑体" w:cs="Times New Roman"/>
          <w:sz w:val="48"/>
          <w:szCs w:val="48"/>
          <w:lang w:eastAsia="zh-C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sdt>
      <w:sdtPr>
        <w:rPr>
          <w:rFonts w:hint="default" w:ascii="Times New Roman" w:hAnsi="Times New Roman" w:eastAsia="宋体" w:cs="Times New Roman"/>
          <w:kern w:val="2"/>
          <w:sz w:val="21"/>
          <w:szCs w:val="24"/>
          <w:lang w:val="en-US" w:eastAsia="zh-CN" w:bidi="ar-SA"/>
        </w:rPr>
        <w:id w:val="147454745"/>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14:paraId="3F73C31B">
          <w:pPr>
            <w:spacing w:before="0" w:beforeLines="0" w:after="0" w:afterLines="0" w:line="240" w:lineRule="auto"/>
            <w:ind w:left="0" w:leftChars="0" w:right="0" w:rightChars="0" w:firstLine="0" w:firstLineChars="0"/>
            <w:jc w:val="center"/>
            <w:rPr>
              <w:rFonts w:hint="default" w:ascii="Times New Roman" w:hAnsi="Times New Roman" w:cs="Times New Roman"/>
            </w:rPr>
          </w:pPr>
          <w:bookmarkStart w:id="12" w:name="_Toc15377196"/>
          <w:bookmarkStart w:id="13" w:name="_Toc15396599"/>
          <w:r>
            <w:rPr>
              <w:rFonts w:hint="default" w:ascii="Times New Roman" w:hAnsi="Times New Roman" w:eastAsia="宋体" w:cs="Times New Roman"/>
              <w:sz w:val="21"/>
            </w:rPr>
            <w:t>目录</w:t>
          </w:r>
        </w:p>
        <w:p w14:paraId="0A68BA2F">
          <w:pPr>
            <w:pStyle w:val="12"/>
            <w:tabs>
              <w:tab w:val="right" w:leader="dot" w:pos="8306"/>
              <w:tab w:val="clear" w:pos="8296"/>
            </w:tabs>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"1-3"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_Toc23743 </w:instrText>
          </w:r>
          <w:r>
            <w:rPr>
              <w:rFonts w:hint="default" w:ascii="Times New Roman" w:hAnsi="Times New Roman" w:cs="Times New Roman"/>
            </w:rPr>
            <w:fldChar w:fldCharType="separate"/>
          </w:r>
          <w:r>
            <w:rPr>
              <w:rFonts w:hint="default" w:ascii="Times New Roman" w:hAnsi="Times New Roman" w:eastAsia="方正小标宋简体" w:cs="Times New Roman"/>
            </w:rPr>
            <w:t xml:space="preserve">第一部分  </w:t>
          </w:r>
          <w:r>
            <w:rPr>
              <w:rFonts w:hint="default" w:ascii="Times New Roman" w:hAnsi="Times New Roman" w:eastAsia="方正小标宋简体" w:cs="Times New Roman"/>
              <w:bCs w:val="0"/>
            </w:rPr>
            <w:t>部门概况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_Toc23743 \h </w:instrText>
          </w:r>
          <w:r>
            <w:rPr>
              <w:rFonts w:hint="default" w:ascii="Times New Roman" w:hAnsi="Times New Roman" w:cs="Times New Roman"/>
            </w:rPr>
            <w:fldChar w:fldCharType="separate"/>
          </w:r>
          <w:r>
            <w:rPr>
              <w:rFonts w:hint="default" w:ascii="Times New Roman" w:hAnsi="Times New Roman" w:cs="Times New Roman"/>
            </w:rPr>
            <w:t>- 2 -</w:t>
          </w:r>
          <w:r>
            <w:rPr>
              <w:rFonts w:hint="default" w:ascii="Times New Roman" w:hAnsi="Times New Roman" w:cs="Times New Roman"/>
            </w:rPr>
            <w:fldChar w:fldCharType="end"/>
          </w:r>
          <w:r>
            <w:rPr>
              <w:rFonts w:hint="default" w:ascii="Times New Roman" w:hAnsi="Times New Roman" w:cs="Times New Roman"/>
            </w:rPr>
            <w:fldChar w:fldCharType="end"/>
          </w:r>
        </w:p>
        <w:p w14:paraId="59280AAB">
          <w:pPr>
            <w:pStyle w:val="14"/>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_Toc8303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rPr>
            <w:t>一 、</w:t>
          </w:r>
          <w:r>
            <w:rPr>
              <w:rFonts w:hint="default" w:ascii="Times New Roman" w:hAnsi="Times New Roman" w:eastAsia="黑体" w:cs="Times New Roman"/>
            </w:rPr>
            <w:t>部门职责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_Toc8303 \h </w:instrText>
          </w:r>
          <w:r>
            <w:rPr>
              <w:rFonts w:hint="default" w:ascii="Times New Roman" w:hAnsi="Times New Roman" w:cs="Times New Roman"/>
            </w:rPr>
            <w:fldChar w:fldCharType="separate"/>
          </w:r>
          <w:r>
            <w:rPr>
              <w:rFonts w:hint="default" w:ascii="Times New Roman" w:hAnsi="Times New Roman" w:cs="Times New Roman"/>
            </w:rPr>
            <w:t>- 2 -</w:t>
          </w:r>
          <w:r>
            <w:rPr>
              <w:rFonts w:hint="default" w:ascii="Times New Roman" w:hAnsi="Times New Roman" w:cs="Times New Roman"/>
            </w:rPr>
            <w:fldChar w:fldCharType="end"/>
          </w:r>
          <w:r>
            <w:rPr>
              <w:rFonts w:hint="default" w:ascii="Times New Roman" w:hAnsi="Times New Roman" w:cs="Times New Roman"/>
            </w:rPr>
            <w:fldChar w:fldCharType="end"/>
          </w:r>
        </w:p>
        <w:p w14:paraId="62B6FC8C">
          <w:pPr>
            <w:pStyle w:val="14"/>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_Toc17417 </w:instrText>
          </w:r>
          <w:r>
            <w:rPr>
              <w:rFonts w:hint="default" w:ascii="Times New Roman" w:hAnsi="Times New Roman" w:cs="Times New Roman"/>
            </w:rPr>
            <w:fldChar w:fldCharType="separate"/>
          </w:r>
          <w:r>
            <w:rPr>
              <w:rFonts w:hint="default" w:ascii="Times New Roman" w:hAnsi="Times New Roman" w:eastAsia="黑体" w:cs="Times New Roman"/>
            </w:rPr>
            <w:t>二、机</w:t>
          </w:r>
          <w:r>
            <w:rPr>
              <w:rFonts w:hint="default" w:ascii="Times New Roman" w:hAnsi="Times New Roman" w:eastAsia="黑体" w:cs="Times New Roman"/>
              <w:bCs w:val="0"/>
            </w:rPr>
            <w:t>构设置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_Toc17417 \h </w:instrText>
          </w:r>
          <w:r>
            <w:rPr>
              <w:rFonts w:hint="default" w:ascii="Times New Roman" w:hAnsi="Times New Roman" w:cs="Times New Roman"/>
            </w:rPr>
            <w:fldChar w:fldCharType="separate"/>
          </w:r>
          <w:r>
            <w:rPr>
              <w:rFonts w:hint="default" w:ascii="Times New Roman" w:hAnsi="Times New Roman" w:cs="Times New Roman"/>
            </w:rPr>
            <w:t>- 3 -</w:t>
          </w:r>
          <w:r>
            <w:rPr>
              <w:rFonts w:hint="default" w:ascii="Times New Roman" w:hAnsi="Times New Roman" w:cs="Times New Roman"/>
            </w:rPr>
            <w:fldChar w:fldCharType="end"/>
          </w:r>
          <w:r>
            <w:rPr>
              <w:rFonts w:hint="default" w:ascii="Times New Roman" w:hAnsi="Times New Roman" w:cs="Times New Roman"/>
            </w:rPr>
            <w:fldChar w:fldCharType="end"/>
          </w:r>
        </w:p>
        <w:p w14:paraId="789E7275">
          <w:pPr>
            <w:pStyle w:val="8"/>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_Toc3624 </w:instrText>
          </w:r>
          <w:r>
            <w:rPr>
              <w:rFonts w:hint="default" w:ascii="Times New Roman" w:hAnsi="Times New Roman" w:cs="Times New Roman"/>
            </w:rPr>
            <w:fldChar w:fldCharType="separate"/>
          </w:r>
          <w:r>
            <w:rPr>
              <w:rFonts w:hint="default" w:ascii="Times New Roman" w:hAnsi="Times New Roman" w:cs="Times New Roman"/>
              <w:szCs w:val="32"/>
              <w:lang w:val="en-US" w:eastAsia="zh-CN"/>
            </w:rPr>
            <w:t>州委老干部局、成都干休所、郫县离休干休所、郫都区休养所、都江堰老干部休养所、阿坝州州级机关退休干部驻都江堰市休养所、马尔康干休所。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_Toc3624 \h </w:instrText>
          </w:r>
          <w:r>
            <w:rPr>
              <w:rFonts w:hint="default" w:ascii="Times New Roman" w:hAnsi="Times New Roman" w:cs="Times New Roman"/>
            </w:rPr>
            <w:fldChar w:fldCharType="separate"/>
          </w:r>
          <w:r>
            <w:rPr>
              <w:b/>
            </w:rPr>
            <w:t>错误！未定义书签。</w:t>
          </w:r>
          <w:r>
            <w:rPr>
              <w:rFonts w:hint="default" w:ascii="Times New Roman" w:hAnsi="Times New Roman" w:cs="Times New Roman"/>
            </w:rPr>
            <w:fldChar w:fldCharType="end"/>
          </w:r>
          <w:r>
            <w:rPr>
              <w:rFonts w:hint="default" w:ascii="Times New Roman" w:hAnsi="Times New Roman" w:cs="Times New Roman"/>
            </w:rPr>
            <w:fldChar w:fldCharType="end"/>
          </w:r>
        </w:p>
        <w:p w14:paraId="209C1AC6">
          <w:pPr>
            <w:pStyle w:val="12"/>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_Toc20020 </w:instrText>
          </w:r>
          <w:r>
            <w:rPr>
              <w:rFonts w:hint="default" w:ascii="Times New Roman" w:hAnsi="Times New Roman" w:cs="Times New Roman"/>
            </w:rPr>
            <w:fldChar w:fldCharType="separate"/>
          </w:r>
          <w:r>
            <w:rPr>
              <w:rFonts w:hint="default" w:ascii="Times New Roman" w:hAnsi="Times New Roman" w:eastAsia="方正小标宋简体" w:cs="Times New Roman"/>
            </w:rPr>
            <w:t>第二部分 2024年度部门决算情况说明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_Toc20020 \h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r>
            <w:rPr>
              <w:rFonts w:hint="default" w:ascii="Times New Roman" w:hAnsi="Times New Roman" w:cs="Times New Roman"/>
            </w:rPr>
            <w:fldChar w:fldCharType="end"/>
          </w:r>
        </w:p>
        <w:p w14:paraId="781F73AD">
          <w:pPr>
            <w:pStyle w:val="14"/>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_Toc15177 </w:instrText>
          </w:r>
          <w:r>
            <w:rPr>
              <w:rFonts w:hint="default" w:ascii="Times New Roman" w:hAnsi="Times New Roman" w:cs="Times New Roman"/>
            </w:rPr>
            <w:fldChar w:fldCharType="separate"/>
          </w:r>
          <w:r>
            <w:rPr>
              <w:rFonts w:hint="default" w:ascii="Times New Roman" w:hAnsi="Times New Roman" w:eastAsia="黑体" w:cs="Times New Roman"/>
              <w:szCs w:val="32"/>
            </w:rPr>
            <w:t>一、收</w:t>
          </w:r>
          <w:r>
            <w:rPr>
              <w:rFonts w:hint="default" w:ascii="Times New Roman" w:hAnsi="Times New Roman" w:eastAsia="黑体" w:cs="Times New Roman"/>
            </w:rPr>
            <w:t>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_Toc15177 \h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r>
            <w:rPr>
              <w:rFonts w:hint="default" w:ascii="Times New Roman" w:hAnsi="Times New Roman" w:cs="Times New Roman"/>
            </w:rPr>
            <w:fldChar w:fldCharType="end"/>
          </w:r>
        </w:p>
        <w:p w14:paraId="68A07BE3">
          <w:pPr>
            <w:pStyle w:val="14"/>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_Toc31404 </w:instrText>
          </w:r>
          <w:r>
            <w:rPr>
              <w:rFonts w:hint="default" w:ascii="Times New Roman" w:hAnsi="Times New Roman" w:cs="Times New Roman"/>
            </w:rPr>
            <w:fldChar w:fldCharType="separate"/>
          </w:r>
          <w:r>
            <w:rPr>
              <w:rFonts w:hint="default" w:ascii="Times New Roman" w:hAnsi="Times New Roman" w:eastAsia="黑体" w:cs="Times New Roman"/>
              <w:szCs w:val="32"/>
            </w:rPr>
            <w:t>二、收入决算情况说明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_Toc31404 \h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r>
            <w:rPr>
              <w:rFonts w:hint="default" w:ascii="Times New Roman" w:hAnsi="Times New Roman" w:cs="Times New Roman"/>
            </w:rPr>
            <w:fldChar w:fldCharType="end"/>
          </w:r>
        </w:p>
        <w:p w14:paraId="1CBF8C72">
          <w:pPr>
            <w:pStyle w:val="14"/>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_Toc21313 </w:instrText>
          </w:r>
          <w:r>
            <w:rPr>
              <w:rFonts w:hint="default" w:ascii="Times New Roman" w:hAnsi="Times New Roman" w:cs="Times New Roman"/>
            </w:rPr>
            <w:fldChar w:fldCharType="separate"/>
          </w:r>
          <w:r>
            <w:rPr>
              <w:rFonts w:hint="default" w:ascii="Times New Roman" w:hAnsi="Times New Roman" w:eastAsia="黑体" w:cs="Times New Roman"/>
              <w:szCs w:val="32"/>
            </w:rPr>
            <w:t>三、支</w:t>
          </w:r>
          <w:r>
            <w:rPr>
              <w:rFonts w:hint="default" w:ascii="Times New Roman" w:hAnsi="Times New Roman" w:eastAsia="黑体" w:cs="Times New Roman"/>
            </w:rPr>
            <w:t>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_Toc21313 \h </w:instrText>
          </w:r>
          <w:r>
            <w:rPr>
              <w:rFonts w:hint="default" w:ascii="Times New Roman" w:hAnsi="Times New Roman" w:cs="Times New Roman"/>
            </w:rPr>
            <w:fldChar w:fldCharType="separate"/>
          </w:r>
          <w:r>
            <w:rPr>
              <w:rFonts w:hint="default" w:ascii="Times New Roman" w:hAnsi="Times New Roman" w:cs="Times New Roman"/>
            </w:rPr>
            <w:t>- 5 -</w:t>
          </w:r>
          <w:r>
            <w:rPr>
              <w:rFonts w:hint="default" w:ascii="Times New Roman" w:hAnsi="Times New Roman" w:cs="Times New Roman"/>
            </w:rPr>
            <w:fldChar w:fldCharType="end"/>
          </w:r>
          <w:r>
            <w:rPr>
              <w:rFonts w:hint="default" w:ascii="Times New Roman" w:hAnsi="Times New Roman" w:cs="Times New Roman"/>
            </w:rPr>
            <w:fldChar w:fldCharType="end"/>
          </w:r>
        </w:p>
        <w:p w14:paraId="5EB92F73">
          <w:pPr>
            <w:pStyle w:val="14"/>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_Toc18070 </w:instrText>
          </w:r>
          <w:r>
            <w:rPr>
              <w:rFonts w:hint="default" w:ascii="Times New Roman" w:hAnsi="Times New Roman" w:cs="Times New Roman"/>
            </w:rPr>
            <w:fldChar w:fldCharType="separate"/>
          </w:r>
          <w:r>
            <w:rPr>
              <w:rFonts w:hint="default" w:ascii="Times New Roman" w:hAnsi="Times New Roman" w:eastAsia="黑体" w:cs="Times New Roman"/>
              <w:szCs w:val="32"/>
            </w:rPr>
            <w:t>四、财</w:t>
          </w:r>
          <w:r>
            <w:rPr>
              <w:rFonts w:hint="default" w:ascii="Times New Roman" w:hAnsi="Times New Roman" w:eastAsia="黑体" w:cs="Times New Roman"/>
            </w:rPr>
            <w:t>政拨款收入支出决算总体情况说明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_Toc18070 \h </w:instrText>
          </w:r>
          <w:r>
            <w:rPr>
              <w:rFonts w:hint="default" w:ascii="Times New Roman" w:hAnsi="Times New Roman" w:cs="Times New Roman"/>
            </w:rPr>
            <w:fldChar w:fldCharType="separate"/>
          </w:r>
          <w:r>
            <w:rPr>
              <w:rFonts w:hint="default" w:ascii="Times New Roman" w:hAnsi="Times New Roman" w:cs="Times New Roman"/>
            </w:rPr>
            <w:t>- 5 -</w:t>
          </w:r>
          <w:r>
            <w:rPr>
              <w:rFonts w:hint="default" w:ascii="Times New Roman" w:hAnsi="Times New Roman" w:cs="Times New Roman"/>
            </w:rPr>
            <w:fldChar w:fldCharType="end"/>
          </w:r>
          <w:r>
            <w:rPr>
              <w:rFonts w:hint="default" w:ascii="Times New Roman" w:hAnsi="Times New Roman" w:cs="Times New Roman"/>
            </w:rPr>
            <w:fldChar w:fldCharType="end"/>
          </w:r>
        </w:p>
        <w:p w14:paraId="670340FA">
          <w:pPr>
            <w:pStyle w:val="14"/>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_Toc13068 </w:instrText>
          </w:r>
          <w:r>
            <w:rPr>
              <w:rFonts w:hint="default" w:ascii="Times New Roman" w:hAnsi="Times New Roman" w:cs="Times New Roman"/>
            </w:rPr>
            <w:fldChar w:fldCharType="separate"/>
          </w:r>
          <w:r>
            <w:rPr>
              <w:rFonts w:hint="default" w:ascii="Times New Roman" w:hAnsi="Times New Roman" w:eastAsia="黑体" w:cs="Times New Roman"/>
              <w:szCs w:val="32"/>
            </w:rPr>
            <w:t>五、一</w:t>
          </w:r>
          <w:r>
            <w:rPr>
              <w:rFonts w:hint="default" w:ascii="Times New Roman" w:hAnsi="Times New Roman" w:eastAsia="黑体" w:cs="Times New Roman"/>
            </w:rPr>
            <w:t>般公共预算财政拨款支出决算情况说明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_Toc13068 \h </w:instrText>
          </w:r>
          <w:r>
            <w:rPr>
              <w:rFonts w:hint="default" w:ascii="Times New Roman" w:hAnsi="Times New Roman" w:cs="Times New Roman"/>
            </w:rPr>
            <w:fldChar w:fldCharType="separate"/>
          </w:r>
          <w:r>
            <w:rPr>
              <w:rFonts w:hint="default" w:ascii="Times New Roman" w:hAnsi="Times New Roman" w:cs="Times New Roman"/>
            </w:rPr>
            <w:t>- 6 -</w:t>
          </w:r>
          <w:r>
            <w:rPr>
              <w:rFonts w:hint="default" w:ascii="Times New Roman" w:hAnsi="Times New Roman" w:cs="Times New Roman"/>
            </w:rPr>
            <w:fldChar w:fldCharType="end"/>
          </w:r>
          <w:r>
            <w:rPr>
              <w:rFonts w:hint="default" w:ascii="Times New Roman" w:hAnsi="Times New Roman" w:cs="Times New Roman"/>
            </w:rPr>
            <w:fldChar w:fldCharType="end"/>
          </w:r>
        </w:p>
        <w:p w14:paraId="2517386E">
          <w:pPr>
            <w:pStyle w:val="8"/>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_Toc8505 </w:instrText>
          </w:r>
          <w:r>
            <w:rPr>
              <w:rFonts w:hint="default" w:ascii="Times New Roman" w:hAnsi="Times New Roman" w:cs="Times New Roman"/>
            </w:rPr>
            <w:fldChar w:fldCharType="separate"/>
          </w:r>
          <w:r>
            <w:rPr>
              <w:rFonts w:hint="default" w:ascii="Times New Roman" w:hAnsi="Times New Roman" w:eastAsia="楷体_GB2312" w:cs="Times New Roman"/>
              <w:szCs w:val="32"/>
            </w:rPr>
            <w:t>（一）一般公共预算财政拨款支出决算总体情况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_Toc8505 \h </w:instrText>
          </w:r>
          <w:r>
            <w:rPr>
              <w:rFonts w:hint="default" w:ascii="Times New Roman" w:hAnsi="Times New Roman" w:cs="Times New Roman"/>
            </w:rPr>
            <w:fldChar w:fldCharType="separate"/>
          </w:r>
          <w:r>
            <w:rPr>
              <w:rFonts w:hint="default" w:ascii="Times New Roman" w:hAnsi="Times New Roman" w:cs="Times New Roman"/>
            </w:rPr>
            <w:t>- 6 -</w:t>
          </w:r>
          <w:r>
            <w:rPr>
              <w:rFonts w:hint="default" w:ascii="Times New Roman" w:hAnsi="Times New Roman" w:cs="Times New Roman"/>
            </w:rPr>
            <w:fldChar w:fldCharType="end"/>
          </w:r>
          <w:r>
            <w:rPr>
              <w:rFonts w:hint="default" w:ascii="Times New Roman" w:hAnsi="Times New Roman" w:cs="Times New Roman"/>
            </w:rPr>
            <w:fldChar w:fldCharType="end"/>
          </w:r>
        </w:p>
        <w:p w14:paraId="2DE315E5">
          <w:pPr>
            <w:pStyle w:val="8"/>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_Toc26416 </w:instrText>
          </w:r>
          <w:r>
            <w:rPr>
              <w:rFonts w:hint="default" w:ascii="Times New Roman" w:hAnsi="Times New Roman" w:cs="Times New Roman"/>
            </w:rPr>
            <w:fldChar w:fldCharType="separate"/>
          </w:r>
          <w:r>
            <w:rPr>
              <w:rFonts w:hint="default" w:ascii="Times New Roman" w:hAnsi="Times New Roman" w:eastAsia="楷体_GB2312" w:cs="Times New Roman"/>
              <w:szCs w:val="32"/>
            </w:rPr>
            <w:t>（二）一般公共预算财政拨款支出决算结构情况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_Toc26416 \h </w:instrText>
          </w:r>
          <w:r>
            <w:rPr>
              <w:rFonts w:hint="default" w:ascii="Times New Roman" w:hAnsi="Times New Roman" w:cs="Times New Roman"/>
            </w:rPr>
            <w:fldChar w:fldCharType="separate"/>
          </w:r>
          <w:r>
            <w:rPr>
              <w:rFonts w:hint="default" w:ascii="Times New Roman" w:hAnsi="Times New Roman" w:cs="Times New Roman"/>
            </w:rPr>
            <w:t>- 6 -</w:t>
          </w:r>
          <w:r>
            <w:rPr>
              <w:rFonts w:hint="default" w:ascii="Times New Roman" w:hAnsi="Times New Roman" w:cs="Times New Roman"/>
            </w:rPr>
            <w:fldChar w:fldCharType="end"/>
          </w:r>
          <w:r>
            <w:rPr>
              <w:rFonts w:hint="default" w:ascii="Times New Roman" w:hAnsi="Times New Roman" w:cs="Times New Roman"/>
            </w:rPr>
            <w:fldChar w:fldCharType="end"/>
          </w:r>
        </w:p>
        <w:p w14:paraId="0CC4F09D">
          <w:pPr>
            <w:pStyle w:val="8"/>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_Toc8774 </w:instrText>
          </w:r>
          <w:r>
            <w:rPr>
              <w:rFonts w:hint="default" w:ascii="Times New Roman" w:hAnsi="Times New Roman" w:cs="Times New Roman"/>
            </w:rPr>
            <w:fldChar w:fldCharType="separate"/>
          </w:r>
          <w:r>
            <w:rPr>
              <w:rFonts w:hint="default" w:ascii="Times New Roman" w:hAnsi="Times New Roman" w:eastAsia="楷体_GB2312" w:cs="Times New Roman"/>
              <w:szCs w:val="32"/>
            </w:rPr>
            <w:t>（三）一般公共预算财政拨款支出决算具体情况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_Toc8774 \h </w:instrText>
          </w:r>
          <w:r>
            <w:rPr>
              <w:rFonts w:hint="default" w:ascii="Times New Roman" w:hAnsi="Times New Roman" w:cs="Times New Roman"/>
            </w:rPr>
            <w:fldChar w:fldCharType="separate"/>
          </w:r>
          <w:r>
            <w:rPr>
              <w:rFonts w:hint="default" w:ascii="Times New Roman" w:hAnsi="Times New Roman" w:cs="Times New Roman"/>
            </w:rPr>
            <w:t>- 6 -</w:t>
          </w:r>
          <w:r>
            <w:rPr>
              <w:rFonts w:hint="default" w:ascii="Times New Roman" w:hAnsi="Times New Roman" w:cs="Times New Roman"/>
            </w:rPr>
            <w:fldChar w:fldCharType="end"/>
          </w:r>
          <w:r>
            <w:rPr>
              <w:rFonts w:hint="default" w:ascii="Times New Roman" w:hAnsi="Times New Roman" w:cs="Times New Roman"/>
            </w:rPr>
            <w:fldChar w:fldCharType="end"/>
          </w:r>
        </w:p>
        <w:p w14:paraId="554DC952">
          <w:pPr>
            <w:pStyle w:val="14"/>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_Toc20166 </w:instrText>
          </w:r>
          <w:r>
            <w:rPr>
              <w:rFonts w:hint="default" w:ascii="Times New Roman" w:hAnsi="Times New Roman" w:cs="Times New Roman"/>
            </w:rPr>
            <w:fldChar w:fldCharType="separate"/>
          </w:r>
          <w:r>
            <w:rPr>
              <w:rFonts w:hint="default" w:ascii="Times New Roman" w:hAnsi="Times New Roman" w:eastAsia="黑体" w:cs="Times New Roman"/>
              <w:szCs w:val="32"/>
            </w:rPr>
            <w:t>六、一</w:t>
          </w:r>
          <w:r>
            <w:rPr>
              <w:rFonts w:hint="default" w:ascii="Times New Roman" w:hAnsi="Times New Roman" w:eastAsia="黑体" w:cs="Times New Roman"/>
            </w:rPr>
            <w:t>般公共预算财政拨款基本支出决算情况说明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_Toc20166 \h </w:instrText>
          </w:r>
          <w:r>
            <w:rPr>
              <w:rFonts w:hint="default" w:ascii="Times New Roman" w:hAnsi="Times New Roman" w:cs="Times New Roman"/>
            </w:rPr>
            <w:fldChar w:fldCharType="separate"/>
          </w:r>
          <w:r>
            <w:rPr>
              <w:rFonts w:hint="default" w:ascii="Times New Roman" w:hAnsi="Times New Roman" w:cs="Times New Roman"/>
            </w:rPr>
            <w:t>- 7 -</w:t>
          </w:r>
          <w:r>
            <w:rPr>
              <w:rFonts w:hint="default" w:ascii="Times New Roman" w:hAnsi="Times New Roman" w:cs="Times New Roman"/>
            </w:rPr>
            <w:fldChar w:fldCharType="end"/>
          </w:r>
          <w:r>
            <w:rPr>
              <w:rFonts w:hint="default" w:ascii="Times New Roman" w:hAnsi="Times New Roman" w:cs="Times New Roman"/>
            </w:rPr>
            <w:fldChar w:fldCharType="end"/>
          </w:r>
        </w:p>
        <w:p w14:paraId="6E4A5817">
          <w:pPr>
            <w:pStyle w:val="14"/>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_Toc25068 </w:instrText>
          </w:r>
          <w:r>
            <w:rPr>
              <w:rFonts w:hint="default" w:ascii="Times New Roman" w:hAnsi="Times New Roman" w:cs="Times New Roman"/>
            </w:rPr>
            <w:fldChar w:fldCharType="separate"/>
          </w:r>
          <w:r>
            <w:rPr>
              <w:rFonts w:hint="default" w:ascii="Times New Roman" w:hAnsi="Times New Roman" w:eastAsia="黑体" w:cs="Times New Roman"/>
              <w:szCs w:val="32"/>
            </w:rPr>
            <w:t>七、</w:t>
          </w:r>
          <w:r>
            <w:rPr>
              <w:rFonts w:hint="default" w:ascii="Times New Roman" w:hAnsi="Times New Roman" w:eastAsia="黑体" w:cs="Times New Roman"/>
            </w:rPr>
            <w:t>财政拨款“三公”经费支出决算情况说明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_Toc25068 \h </w:instrText>
          </w:r>
          <w:r>
            <w:rPr>
              <w:rFonts w:hint="default" w:ascii="Times New Roman" w:hAnsi="Times New Roman" w:cs="Times New Roman"/>
            </w:rPr>
            <w:fldChar w:fldCharType="separate"/>
          </w:r>
          <w:r>
            <w:rPr>
              <w:rFonts w:hint="default" w:ascii="Times New Roman" w:hAnsi="Times New Roman" w:cs="Times New Roman"/>
            </w:rPr>
            <w:t>- 8 -</w:t>
          </w:r>
          <w:r>
            <w:rPr>
              <w:rFonts w:hint="default" w:ascii="Times New Roman" w:hAnsi="Times New Roman" w:cs="Times New Roman"/>
            </w:rPr>
            <w:fldChar w:fldCharType="end"/>
          </w:r>
          <w:r>
            <w:rPr>
              <w:rFonts w:hint="default" w:ascii="Times New Roman" w:hAnsi="Times New Roman" w:cs="Times New Roman"/>
            </w:rPr>
            <w:fldChar w:fldCharType="end"/>
          </w:r>
        </w:p>
        <w:p w14:paraId="63CED865">
          <w:pPr>
            <w:pStyle w:val="8"/>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_Toc2234 </w:instrText>
          </w:r>
          <w:r>
            <w:rPr>
              <w:rFonts w:hint="default" w:ascii="Times New Roman" w:hAnsi="Times New Roman" w:cs="Times New Roman"/>
            </w:rPr>
            <w:fldChar w:fldCharType="separate"/>
          </w:r>
          <w:r>
            <w:rPr>
              <w:rFonts w:hint="default" w:ascii="Times New Roman" w:hAnsi="Times New Roman" w:eastAsia="楷体_GB2312" w:cs="Times New Roman"/>
              <w:szCs w:val="32"/>
            </w:rPr>
            <w:t>（一）“三公”经费财政拨款支出决算总体情况说明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_Toc2234 \h </w:instrText>
          </w:r>
          <w:r>
            <w:rPr>
              <w:rFonts w:hint="default" w:ascii="Times New Roman" w:hAnsi="Times New Roman" w:cs="Times New Roman"/>
            </w:rPr>
            <w:fldChar w:fldCharType="separate"/>
          </w:r>
          <w:r>
            <w:rPr>
              <w:rFonts w:hint="default" w:ascii="Times New Roman" w:hAnsi="Times New Roman" w:cs="Times New Roman"/>
            </w:rPr>
            <w:t>- 8 -</w:t>
          </w:r>
          <w:r>
            <w:rPr>
              <w:rFonts w:hint="default" w:ascii="Times New Roman" w:hAnsi="Times New Roman" w:cs="Times New Roman"/>
            </w:rPr>
            <w:fldChar w:fldCharType="end"/>
          </w:r>
          <w:r>
            <w:rPr>
              <w:rFonts w:hint="default" w:ascii="Times New Roman" w:hAnsi="Times New Roman" w:cs="Times New Roman"/>
            </w:rPr>
            <w:fldChar w:fldCharType="end"/>
          </w:r>
        </w:p>
        <w:p w14:paraId="62E49010">
          <w:pPr>
            <w:pStyle w:val="8"/>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_Toc13563 </w:instrText>
          </w:r>
          <w:r>
            <w:rPr>
              <w:rFonts w:hint="default" w:ascii="Times New Roman" w:hAnsi="Times New Roman" w:cs="Times New Roman"/>
            </w:rPr>
            <w:fldChar w:fldCharType="separate"/>
          </w:r>
          <w:r>
            <w:rPr>
              <w:rFonts w:hint="default" w:ascii="Times New Roman" w:hAnsi="Times New Roman" w:eastAsia="楷体_GB2312" w:cs="Times New Roman"/>
              <w:szCs w:val="32"/>
            </w:rPr>
            <w:t>（二）“三公”经费财政拨款支出决算具体情况说明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_Toc13563 \h </w:instrText>
          </w:r>
          <w:r>
            <w:rPr>
              <w:rFonts w:hint="default" w:ascii="Times New Roman" w:hAnsi="Times New Roman" w:cs="Times New Roman"/>
            </w:rPr>
            <w:fldChar w:fldCharType="separate"/>
          </w:r>
          <w:r>
            <w:rPr>
              <w:rFonts w:hint="default" w:ascii="Times New Roman" w:hAnsi="Times New Roman" w:cs="Times New Roman"/>
            </w:rPr>
            <w:t>- 8 -</w:t>
          </w:r>
          <w:r>
            <w:rPr>
              <w:rFonts w:hint="default" w:ascii="Times New Roman" w:hAnsi="Times New Roman" w:cs="Times New Roman"/>
            </w:rPr>
            <w:fldChar w:fldCharType="end"/>
          </w:r>
          <w:r>
            <w:rPr>
              <w:rFonts w:hint="default" w:ascii="Times New Roman" w:hAnsi="Times New Roman" w:cs="Times New Roman"/>
            </w:rPr>
            <w:fldChar w:fldCharType="end"/>
          </w:r>
        </w:p>
        <w:p w14:paraId="29AA8889">
          <w:pPr>
            <w:pStyle w:val="14"/>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_Toc18918 </w:instrText>
          </w:r>
          <w:r>
            <w:rPr>
              <w:rFonts w:hint="default" w:ascii="Times New Roman" w:hAnsi="Times New Roman" w:cs="Times New Roman"/>
            </w:rPr>
            <w:fldChar w:fldCharType="separate"/>
          </w:r>
          <w:r>
            <w:rPr>
              <w:rFonts w:hint="default" w:ascii="Times New Roman" w:hAnsi="Times New Roman" w:eastAsia="黑体" w:cs="Times New Roman"/>
              <w:szCs w:val="32"/>
            </w:rPr>
            <w:t>八、</w:t>
          </w:r>
          <w:r>
            <w:rPr>
              <w:rFonts w:hint="default" w:ascii="Times New Roman" w:hAnsi="Times New Roman" w:eastAsia="黑体" w:cs="Times New Roman"/>
            </w:rPr>
            <w:t>政府性基金预算支出决算情况说明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_Toc18918 \h </w:instrText>
          </w:r>
          <w:r>
            <w:rPr>
              <w:rFonts w:hint="default" w:ascii="Times New Roman" w:hAnsi="Times New Roman" w:cs="Times New Roman"/>
            </w:rPr>
            <w:fldChar w:fldCharType="separate"/>
          </w:r>
          <w:r>
            <w:rPr>
              <w:rFonts w:hint="default" w:ascii="Times New Roman" w:hAnsi="Times New Roman" w:cs="Times New Roman"/>
            </w:rPr>
            <w:t>- 9 -</w:t>
          </w:r>
          <w:r>
            <w:rPr>
              <w:rFonts w:hint="default" w:ascii="Times New Roman" w:hAnsi="Times New Roman" w:cs="Times New Roman"/>
            </w:rPr>
            <w:fldChar w:fldCharType="end"/>
          </w:r>
          <w:r>
            <w:rPr>
              <w:rFonts w:hint="default" w:ascii="Times New Roman" w:hAnsi="Times New Roman" w:cs="Times New Roman"/>
            </w:rPr>
            <w:fldChar w:fldCharType="end"/>
          </w:r>
        </w:p>
        <w:p w14:paraId="188DC06F">
          <w:pPr>
            <w:pStyle w:val="14"/>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_Toc2827 </w:instrText>
          </w:r>
          <w:r>
            <w:rPr>
              <w:rFonts w:hint="default" w:ascii="Times New Roman" w:hAnsi="Times New Roman" w:cs="Times New Roman"/>
            </w:rPr>
            <w:fldChar w:fldCharType="separate"/>
          </w:r>
          <w:r>
            <w:rPr>
              <w:rFonts w:hint="default" w:ascii="Times New Roman" w:hAnsi="Times New Roman" w:eastAsia="黑体" w:cs="Times New Roman"/>
            </w:rPr>
            <w:t>九、国有资本经营预算支出决算情况说明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_Toc2827 \h </w:instrText>
          </w:r>
          <w:r>
            <w:rPr>
              <w:rFonts w:hint="default" w:ascii="Times New Roman" w:hAnsi="Times New Roman" w:cs="Times New Roman"/>
            </w:rPr>
            <w:fldChar w:fldCharType="separate"/>
          </w:r>
          <w:r>
            <w:rPr>
              <w:rFonts w:hint="default" w:ascii="Times New Roman" w:hAnsi="Times New Roman" w:cs="Times New Roman"/>
            </w:rPr>
            <w:t>- 9 -</w:t>
          </w:r>
          <w:r>
            <w:rPr>
              <w:rFonts w:hint="default" w:ascii="Times New Roman" w:hAnsi="Times New Roman" w:cs="Times New Roman"/>
            </w:rPr>
            <w:fldChar w:fldCharType="end"/>
          </w:r>
          <w:r>
            <w:rPr>
              <w:rFonts w:hint="default" w:ascii="Times New Roman" w:hAnsi="Times New Roman" w:cs="Times New Roman"/>
            </w:rPr>
            <w:fldChar w:fldCharType="end"/>
          </w:r>
        </w:p>
        <w:p w14:paraId="4FCB035C">
          <w:pPr>
            <w:pStyle w:val="14"/>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_Toc8480 </w:instrText>
          </w:r>
          <w:r>
            <w:rPr>
              <w:rFonts w:hint="default" w:ascii="Times New Roman" w:hAnsi="Times New Roman" w:cs="Times New Roman"/>
            </w:rPr>
            <w:fldChar w:fldCharType="separate"/>
          </w:r>
          <w:r>
            <w:rPr>
              <w:rFonts w:hint="default" w:ascii="Times New Roman" w:hAnsi="Times New Roman" w:eastAsia="黑体" w:cs="Times New Roman"/>
            </w:rPr>
            <w:t>十、其他重要事项的情况说明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_Toc8480 \h </w:instrText>
          </w:r>
          <w:r>
            <w:rPr>
              <w:rFonts w:hint="default" w:ascii="Times New Roman" w:hAnsi="Times New Roman" w:cs="Times New Roman"/>
            </w:rPr>
            <w:fldChar w:fldCharType="separate"/>
          </w:r>
          <w:r>
            <w:rPr>
              <w:rFonts w:hint="default" w:ascii="Times New Roman" w:hAnsi="Times New Roman" w:cs="Times New Roman"/>
            </w:rPr>
            <w:t>- 9 -</w:t>
          </w:r>
          <w:r>
            <w:rPr>
              <w:rFonts w:hint="default" w:ascii="Times New Roman" w:hAnsi="Times New Roman" w:cs="Times New Roman"/>
            </w:rPr>
            <w:fldChar w:fldCharType="end"/>
          </w:r>
          <w:r>
            <w:rPr>
              <w:rFonts w:hint="default" w:ascii="Times New Roman" w:hAnsi="Times New Roman" w:cs="Times New Roman"/>
            </w:rPr>
            <w:fldChar w:fldCharType="end"/>
          </w:r>
        </w:p>
        <w:p w14:paraId="107DDDF3">
          <w:pPr>
            <w:pStyle w:val="8"/>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_Toc1737 </w:instrText>
          </w:r>
          <w:r>
            <w:rPr>
              <w:rFonts w:hint="default" w:ascii="Times New Roman" w:hAnsi="Times New Roman" w:cs="Times New Roman"/>
            </w:rPr>
            <w:fldChar w:fldCharType="separate"/>
          </w:r>
          <w:r>
            <w:rPr>
              <w:rFonts w:hint="default" w:ascii="Times New Roman" w:hAnsi="Times New Roman" w:eastAsia="楷体_GB2312" w:cs="Times New Roman"/>
              <w:szCs w:val="32"/>
            </w:rPr>
            <w:t>（一）机关运行经费支出情况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_Toc1737 \h </w:instrText>
          </w:r>
          <w:r>
            <w:rPr>
              <w:rFonts w:hint="default" w:ascii="Times New Roman" w:hAnsi="Times New Roman" w:cs="Times New Roman"/>
            </w:rPr>
            <w:fldChar w:fldCharType="separate"/>
          </w:r>
          <w:r>
            <w:rPr>
              <w:rFonts w:hint="default" w:ascii="Times New Roman" w:hAnsi="Times New Roman" w:cs="Times New Roman"/>
            </w:rPr>
            <w:t>- 9 -</w:t>
          </w:r>
          <w:r>
            <w:rPr>
              <w:rFonts w:hint="default" w:ascii="Times New Roman" w:hAnsi="Times New Roman" w:cs="Times New Roman"/>
            </w:rPr>
            <w:fldChar w:fldCharType="end"/>
          </w:r>
          <w:r>
            <w:rPr>
              <w:rFonts w:hint="default" w:ascii="Times New Roman" w:hAnsi="Times New Roman" w:cs="Times New Roman"/>
            </w:rPr>
            <w:fldChar w:fldCharType="end"/>
          </w:r>
        </w:p>
        <w:p w14:paraId="3A962C89">
          <w:pPr>
            <w:pStyle w:val="8"/>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_Toc194 </w:instrText>
          </w:r>
          <w:r>
            <w:rPr>
              <w:rFonts w:hint="default" w:ascii="Times New Roman" w:hAnsi="Times New Roman" w:cs="Times New Roman"/>
            </w:rPr>
            <w:fldChar w:fldCharType="separate"/>
          </w:r>
          <w:r>
            <w:rPr>
              <w:rFonts w:hint="default" w:ascii="Times New Roman" w:hAnsi="Times New Roman" w:eastAsia="楷体_GB2312" w:cs="Times New Roman"/>
              <w:szCs w:val="32"/>
            </w:rPr>
            <w:t>（二）政府采购支出情况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_Toc194 \h </w:instrText>
          </w:r>
          <w:r>
            <w:rPr>
              <w:rFonts w:hint="default" w:ascii="Times New Roman" w:hAnsi="Times New Roman" w:cs="Times New Roman"/>
            </w:rPr>
            <w:fldChar w:fldCharType="separate"/>
          </w:r>
          <w:r>
            <w:rPr>
              <w:rFonts w:hint="default" w:ascii="Times New Roman" w:hAnsi="Times New Roman" w:cs="Times New Roman"/>
            </w:rPr>
            <w:t>- 10 -</w:t>
          </w:r>
          <w:r>
            <w:rPr>
              <w:rFonts w:hint="default" w:ascii="Times New Roman" w:hAnsi="Times New Roman" w:cs="Times New Roman"/>
            </w:rPr>
            <w:fldChar w:fldCharType="end"/>
          </w:r>
          <w:r>
            <w:rPr>
              <w:rFonts w:hint="default" w:ascii="Times New Roman" w:hAnsi="Times New Roman" w:cs="Times New Roman"/>
            </w:rPr>
            <w:fldChar w:fldCharType="end"/>
          </w:r>
        </w:p>
        <w:p w14:paraId="04C73662">
          <w:pPr>
            <w:pStyle w:val="8"/>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_Toc27111 </w:instrText>
          </w:r>
          <w:r>
            <w:rPr>
              <w:rFonts w:hint="default" w:ascii="Times New Roman" w:hAnsi="Times New Roman" w:cs="Times New Roman"/>
            </w:rPr>
            <w:fldChar w:fldCharType="separate"/>
          </w:r>
          <w:r>
            <w:rPr>
              <w:rFonts w:hint="default" w:ascii="Times New Roman" w:hAnsi="Times New Roman" w:eastAsia="楷体_GB2312" w:cs="Times New Roman"/>
              <w:szCs w:val="32"/>
            </w:rPr>
            <w:t>（三）国有资产占有使用情况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_Toc27111 \h </w:instrText>
          </w:r>
          <w:r>
            <w:rPr>
              <w:rFonts w:hint="default" w:ascii="Times New Roman" w:hAnsi="Times New Roman" w:cs="Times New Roman"/>
            </w:rPr>
            <w:fldChar w:fldCharType="separate"/>
          </w:r>
          <w:r>
            <w:rPr>
              <w:rFonts w:hint="default" w:ascii="Times New Roman" w:hAnsi="Times New Roman" w:cs="Times New Roman"/>
            </w:rPr>
            <w:t>- 10 -</w:t>
          </w:r>
          <w:r>
            <w:rPr>
              <w:rFonts w:hint="default" w:ascii="Times New Roman" w:hAnsi="Times New Roman" w:cs="Times New Roman"/>
            </w:rPr>
            <w:fldChar w:fldCharType="end"/>
          </w:r>
          <w:r>
            <w:rPr>
              <w:rFonts w:hint="default" w:ascii="Times New Roman" w:hAnsi="Times New Roman" w:cs="Times New Roman"/>
            </w:rPr>
            <w:fldChar w:fldCharType="end"/>
          </w:r>
        </w:p>
        <w:p w14:paraId="5D52594E">
          <w:pPr>
            <w:pStyle w:val="8"/>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_Toc24951 </w:instrText>
          </w:r>
          <w:r>
            <w:rPr>
              <w:rFonts w:hint="default" w:ascii="Times New Roman" w:hAnsi="Times New Roman" w:cs="Times New Roman"/>
            </w:rPr>
            <w:fldChar w:fldCharType="separate"/>
          </w:r>
          <w:r>
            <w:rPr>
              <w:rFonts w:hint="default" w:ascii="Times New Roman" w:hAnsi="Times New Roman" w:eastAsia="楷体_GB2312" w:cs="Times New Roman"/>
              <w:szCs w:val="32"/>
            </w:rPr>
            <w:t>（四）预算绩效管理情况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_Toc24951 \h </w:instrText>
          </w:r>
          <w:r>
            <w:rPr>
              <w:rFonts w:hint="default" w:ascii="Times New Roman" w:hAnsi="Times New Roman" w:cs="Times New Roman"/>
            </w:rPr>
            <w:fldChar w:fldCharType="separate"/>
          </w:r>
          <w:r>
            <w:rPr>
              <w:rFonts w:hint="default" w:ascii="Times New Roman" w:hAnsi="Times New Roman" w:cs="Times New Roman"/>
            </w:rPr>
            <w:t>- 10 -</w:t>
          </w:r>
          <w:r>
            <w:rPr>
              <w:rFonts w:hint="default" w:ascii="Times New Roman" w:hAnsi="Times New Roman" w:cs="Times New Roman"/>
            </w:rPr>
            <w:fldChar w:fldCharType="end"/>
          </w:r>
          <w:r>
            <w:rPr>
              <w:rFonts w:hint="default" w:ascii="Times New Roman" w:hAnsi="Times New Roman" w:cs="Times New Roman"/>
            </w:rPr>
            <w:fldChar w:fldCharType="end"/>
          </w:r>
        </w:p>
        <w:p w14:paraId="71C7E454">
          <w:pPr>
            <w:pStyle w:val="12"/>
            <w:tabs>
              <w:tab w:val="right" w:leader="dot" w:pos="8306"/>
              <w:tab w:val="clear" w:pos="8296"/>
            </w:tabs>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_Toc31034 </w:instrText>
          </w:r>
          <w:r>
            <w:rPr>
              <w:rFonts w:hint="default" w:ascii="Times New Roman" w:hAnsi="Times New Roman" w:cs="Times New Roman"/>
            </w:rPr>
            <w:fldChar w:fldCharType="separate"/>
          </w:r>
          <w:r>
            <w:rPr>
              <w:rFonts w:hint="default" w:ascii="Times New Roman" w:hAnsi="Times New Roman" w:eastAsia="方正小标宋简体" w:cs="Times New Roman"/>
            </w:rPr>
            <w:t>第三部分  名词解释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_Toc31034 \h </w:instrText>
          </w:r>
          <w:r>
            <w:rPr>
              <w:rFonts w:hint="default" w:ascii="Times New Roman" w:hAnsi="Times New Roman" w:cs="Times New Roman"/>
            </w:rPr>
            <w:fldChar w:fldCharType="separate"/>
          </w:r>
          <w:r>
            <w:rPr>
              <w:rFonts w:hint="default" w:ascii="Times New Roman" w:hAnsi="Times New Roman" w:cs="Times New Roman"/>
            </w:rPr>
            <w:t>- 12 -</w:t>
          </w:r>
          <w:r>
            <w:rPr>
              <w:rFonts w:hint="default" w:ascii="Times New Roman" w:hAnsi="Times New Roman" w:cs="Times New Roman"/>
            </w:rPr>
            <w:fldChar w:fldCharType="end"/>
          </w:r>
          <w:r>
            <w:rPr>
              <w:rFonts w:hint="default" w:ascii="Times New Roman" w:hAnsi="Times New Roman" w:cs="Times New Roman"/>
            </w:rPr>
            <w:fldChar w:fldCharType="end"/>
          </w:r>
        </w:p>
        <w:p w14:paraId="62CCA621">
          <w:pPr>
            <w:pStyle w:val="14"/>
            <w:tabs>
              <w:tab w:val="right" w:leader="dot" w:pos="8306"/>
              <w:tab w:val="clear" w:pos="8296"/>
            </w:tabs>
            <w:ind w:left="0" w:leftChars="0" w:firstLine="0" w:firstLineChars="0"/>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kern w:val="2"/>
              <w:sz w:val="28"/>
              <w:szCs w:val="28"/>
              <w:lang w:val="en-US" w:eastAsia="zh-CN" w:bidi="ar-SA"/>
            </w:rPr>
            <w:fldChar w:fldCharType="begin"/>
          </w:r>
          <w:r>
            <w:rPr>
              <w:rFonts w:hint="default" w:ascii="Times New Roman" w:hAnsi="Times New Roman" w:eastAsia="仿宋" w:cs="Times New Roman"/>
              <w:kern w:val="2"/>
              <w:sz w:val="28"/>
              <w:szCs w:val="28"/>
              <w:lang w:val="en-US" w:eastAsia="zh-CN" w:bidi="ar-SA"/>
            </w:rPr>
            <w:instrText xml:space="preserve"> HYPERLINK \l _Toc31034 </w:instrText>
          </w:r>
          <w:r>
            <w:rPr>
              <w:rFonts w:hint="default" w:ascii="Times New Roman" w:hAnsi="Times New Roman" w:eastAsia="仿宋" w:cs="Times New Roman"/>
              <w:kern w:val="2"/>
              <w:sz w:val="28"/>
              <w:szCs w:val="28"/>
              <w:lang w:val="en-US" w:eastAsia="zh-CN" w:bidi="ar-SA"/>
            </w:rPr>
            <w:fldChar w:fldCharType="separate"/>
          </w:r>
          <w:r>
            <w:rPr>
              <w:rFonts w:hint="default" w:ascii="Times New Roman" w:hAnsi="Times New Roman" w:eastAsia="方正小标宋简体" w:cs="Times New Roman"/>
              <w:kern w:val="2"/>
              <w:sz w:val="28"/>
              <w:szCs w:val="28"/>
              <w:lang w:val="en-US" w:eastAsia="zh-CN" w:bidi="ar-SA"/>
            </w:rPr>
            <w:t>第四部分  附件</w:t>
          </w:r>
          <w:r>
            <w:rPr>
              <w:rFonts w:hint="default" w:ascii="Times New Roman" w:hAnsi="Times New Roman" w:eastAsia="仿宋" w:cs="Times New Roman"/>
              <w:kern w:val="2"/>
              <w:sz w:val="28"/>
              <w:szCs w:val="28"/>
              <w:lang w:val="en-US" w:eastAsia="zh-CN" w:bidi="ar-SA"/>
            </w:rPr>
            <w:tab/>
          </w:r>
          <w:r>
            <w:rPr>
              <w:rFonts w:hint="default" w:ascii="Times New Roman" w:hAnsi="Times New Roman" w:eastAsia="仿宋" w:cs="Times New Roman"/>
              <w:kern w:val="2"/>
              <w:sz w:val="28"/>
              <w:szCs w:val="28"/>
              <w:lang w:val="en-US" w:eastAsia="zh-CN" w:bidi="ar-SA"/>
            </w:rPr>
            <w:fldChar w:fldCharType="begin"/>
          </w:r>
          <w:r>
            <w:rPr>
              <w:rFonts w:hint="default" w:ascii="Times New Roman" w:hAnsi="Times New Roman" w:eastAsia="仿宋" w:cs="Times New Roman"/>
              <w:kern w:val="2"/>
              <w:sz w:val="28"/>
              <w:szCs w:val="28"/>
              <w:lang w:val="en-US" w:eastAsia="zh-CN" w:bidi="ar-SA"/>
            </w:rPr>
            <w:instrText xml:space="preserve"> PAGEREF _Toc31034 \h </w:instrText>
          </w:r>
          <w:r>
            <w:rPr>
              <w:rFonts w:hint="default" w:ascii="Times New Roman" w:hAnsi="Times New Roman" w:eastAsia="仿宋" w:cs="Times New Roman"/>
              <w:kern w:val="2"/>
              <w:sz w:val="28"/>
              <w:szCs w:val="28"/>
              <w:lang w:val="en-US" w:eastAsia="zh-CN" w:bidi="ar-SA"/>
            </w:rPr>
            <w:fldChar w:fldCharType="separate"/>
          </w:r>
          <w:r>
            <w:rPr>
              <w:rFonts w:hint="default" w:ascii="Times New Roman" w:hAnsi="Times New Roman" w:eastAsia="仿宋" w:cs="Times New Roman"/>
              <w:kern w:val="2"/>
              <w:sz w:val="28"/>
              <w:szCs w:val="28"/>
              <w:lang w:val="en-US" w:eastAsia="zh-CN" w:bidi="ar-SA"/>
            </w:rPr>
            <w:t>- 12 -</w:t>
          </w:r>
          <w:r>
            <w:rPr>
              <w:rFonts w:hint="default" w:ascii="Times New Roman" w:hAnsi="Times New Roman" w:eastAsia="仿宋" w:cs="Times New Roman"/>
              <w:kern w:val="2"/>
              <w:sz w:val="28"/>
              <w:szCs w:val="28"/>
              <w:lang w:val="en-US" w:eastAsia="zh-CN" w:bidi="ar-SA"/>
            </w:rPr>
            <w:fldChar w:fldCharType="end"/>
          </w:r>
          <w:r>
            <w:rPr>
              <w:rFonts w:hint="default" w:ascii="Times New Roman" w:hAnsi="Times New Roman" w:eastAsia="仿宋" w:cs="Times New Roman"/>
              <w:kern w:val="2"/>
              <w:sz w:val="28"/>
              <w:szCs w:val="28"/>
              <w:lang w:val="en-US" w:eastAsia="zh-CN" w:bidi="ar-SA"/>
            </w:rPr>
            <w:fldChar w:fldCharType="end"/>
          </w:r>
        </w:p>
        <w:p w14:paraId="30550E75">
          <w:pPr>
            <w:pStyle w:val="8"/>
            <w:tabs>
              <w:tab w:val="right" w:leader="dot" w:pos="8306"/>
              <w:tab w:val="clear" w:pos="8296"/>
            </w:tabs>
            <w:rPr>
              <w:rFonts w:hint="default" w:ascii="Times New Roman" w:hAnsi="Times New Roman" w:eastAsia="楷体_GB2312" w:cs="Times New Roman"/>
              <w:kern w:val="2"/>
              <w:sz w:val="21"/>
              <w:szCs w:val="32"/>
              <w:lang w:val="en-US" w:eastAsia="zh-CN" w:bidi="ar-SA"/>
            </w:rPr>
          </w:pPr>
          <w:r>
            <w:rPr>
              <w:rFonts w:hint="default" w:ascii="Times New Roman" w:hAnsi="Times New Roman" w:eastAsia="楷体_GB2312" w:cs="Times New Roman"/>
              <w:sz w:val="21"/>
              <w:szCs w:val="21"/>
              <w:lang w:val="en-US" w:eastAsia="zh-CN"/>
            </w:rPr>
            <w:t>2024年度部门预算绩效自评报告</w:t>
          </w:r>
          <w:r>
            <w:rPr>
              <w:rFonts w:hint="default" w:ascii="Times New Roman" w:hAnsi="Times New Roman" w:cs="Times New Roman"/>
              <w:lang w:val="en-US" w:eastAsia="zh-CN"/>
            </w:rPr>
            <w:tab/>
          </w:r>
          <w:r>
            <w:rPr>
              <w:rFonts w:hint="default" w:ascii="Times New Roman" w:hAnsi="Times New Roman" w:eastAsia="仿宋" w:cs="Times New Roman"/>
              <w:kern w:val="2"/>
              <w:sz w:val="28"/>
              <w:szCs w:val="28"/>
              <w:lang w:val="en-US" w:eastAsia="zh-CN" w:bidi="ar-SA"/>
            </w:rPr>
            <w:fldChar w:fldCharType="begin"/>
          </w:r>
          <w:r>
            <w:rPr>
              <w:rFonts w:hint="default" w:ascii="Times New Roman" w:hAnsi="Times New Roman" w:eastAsia="仿宋" w:cs="Times New Roman"/>
              <w:kern w:val="2"/>
              <w:sz w:val="28"/>
              <w:szCs w:val="28"/>
              <w:lang w:val="en-US" w:eastAsia="zh-CN" w:bidi="ar-SA"/>
            </w:rPr>
            <w:instrText xml:space="preserve"> PAGEREF _Toc31034 \h </w:instrText>
          </w:r>
          <w:r>
            <w:rPr>
              <w:rFonts w:hint="default" w:ascii="Times New Roman" w:hAnsi="Times New Roman" w:eastAsia="仿宋" w:cs="Times New Roman"/>
              <w:kern w:val="2"/>
              <w:sz w:val="28"/>
              <w:szCs w:val="28"/>
              <w:lang w:val="en-US" w:eastAsia="zh-CN" w:bidi="ar-SA"/>
            </w:rPr>
            <w:fldChar w:fldCharType="separate"/>
          </w:r>
          <w:r>
            <w:rPr>
              <w:rFonts w:hint="default" w:ascii="Times New Roman" w:hAnsi="Times New Roman" w:eastAsia="仿宋" w:cs="Times New Roman"/>
              <w:kern w:val="2"/>
              <w:sz w:val="28"/>
              <w:szCs w:val="28"/>
              <w:lang w:val="en-US" w:eastAsia="zh-CN" w:bidi="ar-SA"/>
            </w:rPr>
            <w:t>- 12 -</w:t>
          </w:r>
          <w:r>
            <w:rPr>
              <w:rFonts w:hint="default" w:ascii="Times New Roman" w:hAnsi="Times New Roman" w:eastAsia="仿宋" w:cs="Times New Roman"/>
              <w:kern w:val="2"/>
              <w:sz w:val="28"/>
              <w:szCs w:val="28"/>
              <w:lang w:val="en-US" w:eastAsia="zh-CN" w:bidi="ar-SA"/>
            </w:rPr>
            <w:fldChar w:fldCharType="end"/>
          </w:r>
        </w:p>
        <w:p w14:paraId="7399DB20">
          <w:pPr>
            <w:pStyle w:val="12"/>
            <w:tabs>
              <w:tab w:val="right" w:leader="dot" w:pos="8306"/>
              <w:tab w:val="clear" w:pos="8296"/>
            </w:tabs>
            <w:jc w:val="lef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_Toc31034 </w:instrText>
          </w:r>
          <w:r>
            <w:rPr>
              <w:rFonts w:hint="default" w:ascii="Times New Roman" w:hAnsi="Times New Roman" w:cs="Times New Roman"/>
            </w:rPr>
            <w:fldChar w:fldCharType="separate"/>
          </w:r>
          <w:r>
            <w:rPr>
              <w:rFonts w:hint="default" w:ascii="Times New Roman" w:hAnsi="Times New Roman" w:eastAsia="方正小标宋简体" w:cs="Times New Roman"/>
              <w:lang w:val="en-US" w:eastAsia="zh-CN"/>
            </w:rPr>
            <w:t>第五部分  附表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_Toc31034 \h </w:instrText>
          </w:r>
          <w:r>
            <w:rPr>
              <w:rFonts w:hint="default" w:ascii="Times New Roman" w:hAnsi="Times New Roman" w:cs="Times New Roman"/>
            </w:rPr>
            <w:fldChar w:fldCharType="separate"/>
          </w:r>
          <w:r>
            <w:rPr>
              <w:rFonts w:hint="default" w:ascii="Times New Roman" w:hAnsi="Times New Roman" w:cs="Times New Roman"/>
            </w:rPr>
            <w:t>- 12 -</w:t>
          </w:r>
          <w:r>
            <w:rPr>
              <w:rFonts w:hint="default" w:ascii="Times New Roman" w:hAnsi="Times New Roman" w:cs="Times New Roman"/>
            </w:rPr>
            <w:fldChar w:fldCharType="end"/>
          </w:r>
          <w:r>
            <w:rPr>
              <w:rFonts w:hint="default" w:ascii="Times New Roman" w:hAnsi="Times New Roman" w:cs="Times New Roman"/>
            </w:rPr>
            <w:fldChar w:fldCharType="end"/>
          </w:r>
        </w:p>
        <w:p w14:paraId="526FD29B">
          <w:pPr>
            <w:rPr>
              <w:rFonts w:hint="default" w:ascii="Times New Roman" w:hAnsi="Times New Roman" w:cs="Times New Roman"/>
            </w:rPr>
          </w:pPr>
        </w:p>
        <w:p w14:paraId="70DF2E92">
          <w:pPr>
            <w:rPr>
              <w:rFonts w:hint="default" w:ascii="Times New Roman" w:hAnsi="Times New Roman" w:cs="Times New Roman"/>
            </w:rPr>
          </w:pPr>
          <w:r>
            <w:rPr>
              <w:rFonts w:hint="default" w:ascii="Times New Roman" w:hAnsi="Times New Roman" w:cs="Times New Roman"/>
            </w:rPr>
            <w:fldChar w:fldCharType="end"/>
          </w:r>
        </w:p>
      </w:sdtContent>
    </w:sdt>
    <w:p w14:paraId="3E34EE49">
      <w:pPr>
        <w:rPr>
          <w:rFonts w:hint="default" w:ascii="Times New Roman" w:hAnsi="Times New Roman" w:cs="Times New Roman"/>
        </w:rPr>
      </w:pPr>
    </w:p>
    <w:p w14:paraId="6E8BE59E">
      <w:pPr>
        <w:widowControl/>
        <w:spacing w:line="560" w:lineRule="exact"/>
        <w:jc w:val="center"/>
        <w:rPr>
          <w:rFonts w:hint="default" w:ascii="Times New Roman" w:hAnsi="Times New Roman" w:eastAsia="黑体" w:cs="Times New Roman"/>
          <w:sz w:val="32"/>
          <w:szCs w:val="32"/>
        </w:rPr>
      </w:pPr>
      <w:bookmarkStart w:id="14" w:name="_Toc23743"/>
      <w:r>
        <w:rPr>
          <w:rFonts w:hint="default" w:ascii="Times New Roman" w:hAnsi="Times New Roman" w:eastAsia="方正小标宋简体" w:cs="Times New Roman"/>
          <w:b w:val="0"/>
          <w:sz w:val="44"/>
          <w:szCs w:val="44"/>
        </w:rPr>
        <w:t>第一部分</w:t>
      </w:r>
      <w:r>
        <w:rPr>
          <w:rFonts w:hint="default" w:ascii="Times New Roman" w:hAnsi="Times New Roman" w:eastAsia="方正小标宋简体" w:cs="Times New Roman"/>
          <w:b w:val="0"/>
        </w:rPr>
        <w:t xml:space="preserve">  </w:t>
      </w:r>
      <w:r>
        <w:rPr>
          <w:rStyle w:val="31"/>
          <w:rFonts w:hint="default" w:ascii="Times New Roman" w:hAnsi="Times New Roman" w:eastAsia="方正小标宋简体" w:cs="Times New Roman"/>
          <w:b w:val="0"/>
          <w:bCs w:val="0"/>
        </w:rPr>
        <w:t>部门概况</w:t>
      </w:r>
      <w:bookmarkEnd w:id="12"/>
      <w:bookmarkEnd w:id="13"/>
      <w:bookmarkEnd w:id="14"/>
    </w:p>
    <w:p w14:paraId="77367542">
      <w:pPr>
        <w:pStyle w:val="5"/>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rPr>
      </w:pPr>
      <w:bookmarkStart w:id="15" w:name="_Toc8303"/>
      <w:r>
        <w:rPr>
          <w:rFonts w:hint="default" w:ascii="Times New Roman" w:hAnsi="Times New Roman" w:eastAsia="黑体" w:cs="Times New Roman"/>
          <w:b w:val="0"/>
          <w:lang w:val="en-US" w:eastAsia="zh-CN"/>
        </w:rPr>
        <w:t>一 、</w:t>
      </w:r>
      <w:r>
        <w:rPr>
          <w:rFonts w:hint="default" w:ascii="Times New Roman" w:hAnsi="Times New Roman" w:eastAsia="黑体" w:cs="Times New Roman"/>
          <w:b w:val="0"/>
        </w:rPr>
        <w:t>部门职责</w:t>
      </w:r>
      <w:bookmarkEnd w:id="15"/>
    </w:p>
    <w:p w14:paraId="6B1D0964">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阿委办发（2001）59号、阿编发〔2019〕94号文件规定，州委老干部局主要职能职责：一是贯彻执行党中央、国务院关于老干部工作的方针、政策和省、州有关规定，对全州老十部工作进行指导、协调、督促、检查；负责调查研究，提出老干部工作的有关政策性意见或建议，为州委、州政府决策提供依据；会同有关部门解决老干部和老干部工作中的有关问题。二是指导和承办离休干部和副州级以上退休干部的安置、管理、服务工作；负责副县（处）级以上退休干部的管理工作；负责离（退）休干部党支部建设，做好离退休干部政治思想工作；负责离退休干部活动中心（馆、室）建设，组织开展各种健康有益文明科学的活动，充分发挥老同志的政治优势，为我州政治文明、物质文明和精神文明建设，提供坚定支撑，推动跨越发展和长治久安做贡献。三是负责在重大节日组织走访慰问老干部工作。组织开展特殊困难离（退）休干部帮扶工作，组织指导易地安置离退休干部工作。四是做好医疗保健工作。经常了解和掌握离、退休干部的健康状况，协助有关单位处理好离休干部和副县级及其以上退休干部的丧葬事宜。了解、反映老干部及其遗属的有关情况。五是抓好工作部门自身建设。加强州级各系统及各县，州属成都、郫县、都江堰、马尔康六个干休所的管理、督促、指导、检查。六是负责直属干休所人事任免、人员调整、退休手续的报批、奖惩、人员编制的管理工作。七是负责全州关心下一代相关工作，并承担关心下一代工作委员会日常工作。八是完成州委和州委组织部交办的其他任务。</w:t>
      </w:r>
    </w:p>
    <w:p w14:paraId="020F2A88">
      <w:pPr>
        <w:pStyle w:val="5"/>
        <w:pageBreakBefore w:val="0"/>
        <w:widowControl w:val="0"/>
        <w:kinsoku/>
        <w:wordWrap/>
        <w:overflowPunct/>
        <w:topLinePunct w:val="0"/>
        <w:autoSpaceDE/>
        <w:autoSpaceDN/>
        <w:bidi w:val="0"/>
        <w:spacing w:line="560" w:lineRule="exact"/>
        <w:ind w:firstLine="640" w:firstLineChars="200"/>
        <w:textAlignment w:val="auto"/>
        <w:rPr>
          <w:rStyle w:val="32"/>
          <w:rFonts w:hint="default" w:ascii="Times New Roman" w:hAnsi="Times New Roman" w:cs="Times New Roman"/>
          <w:b w:val="0"/>
          <w:bCs w:val="0"/>
        </w:rPr>
      </w:pPr>
      <w:bookmarkStart w:id="16" w:name="_Toc17417"/>
      <w:bookmarkStart w:id="17" w:name="_Toc15396601"/>
      <w:bookmarkStart w:id="18" w:name="_Toc15377200"/>
      <w:r>
        <w:rPr>
          <w:rFonts w:hint="default" w:ascii="Times New Roman" w:hAnsi="Times New Roman" w:eastAsia="黑体" w:cs="Times New Roman"/>
          <w:b w:val="0"/>
        </w:rPr>
        <w:t>二、机</w:t>
      </w:r>
      <w:r>
        <w:rPr>
          <w:rStyle w:val="32"/>
          <w:rFonts w:hint="default" w:ascii="Times New Roman" w:hAnsi="Times New Roman" w:eastAsia="黑体" w:cs="Times New Roman"/>
          <w:b w:val="0"/>
          <w:bCs w:val="0"/>
        </w:rPr>
        <w:t>构设置</w:t>
      </w:r>
      <w:bookmarkEnd w:id="16"/>
      <w:bookmarkEnd w:id="17"/>
      <w:bookmarkEnd w:id="18"/>
    </w:p>
    <w:p w14:paraId="5ADF914B">
      <w:pPr>
        <w:pStyle w:val="7"/>
        <w:pageBreakBefore w:val="0"/>
        <w:widowControl w:val="0"/>
        <w:numPr>
          <w:ilvl w:val="0"/>
          <w:numId w:val="0"/>
        </w:numPr>
        <w:kinsoku/>
        <w:wordWrap/>
        <w:overflowPunct/>
        <w:topLinePunct w:val="0"/>
        <w:autoSpaceDE/>
        <w:autoSpaceDN/>
        <w:bidi w:val="0"/>
        <w:adjustRightInd w:val="0"/>
        <w:snapToGrid w:val="0"/>
        <w:spacing w:before="93" w:line="560" w:lineRule="exact"/>
        <w:ind w:firstLine="640" w:firstLineChars="200"/>
        <w:textAlignment w:val="auto"/>
        <w:outlineLvl w:val="2"/>
        <w:rPr>
          <w:rFonts w:hint="default" w:ascii="Times New Roman" w:hAnsi="Times New Roman" w:cs="Times New Roman"/>
          <w:sz w:val="32"/>
          <w:szCs w:val="32"/>
        </w:rPr>
      </w:pPr>
      <w:r>
        <w:rPr>
          <w:rFonts w:hint="default" w:ascii="Times New Roman" w:hAnsi="Times New Roman" w:cs="Times New Roman"/>
          <w:sz w:val="32"/>
          <w:szCs w:val="32"/>
          <w:lang w:val="en-US" w:eastAsia="zh-CN"/>
        </w:rPr>
        <w:t>中共阿坝州委老干部局2024年度</w:t>
      </w:r>
      <w:r>
        <w:rPr>
          <w:rFonts w:hint="default" w:ascii="Times New Roman" w:hAnsi="Times New Roman" w:eastAsia="仿宋_GB2312" w:cs="Times New Roman"/>
          <w:sz w:val="32"/>
          <w:szCs w:val="32"/>
        </w:rPr>
        <w:t>纳入本套决算编制范围的独立编制机构数</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个，比上年增加0个，独立核算机构数共</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个，比上年增加 0个。</w:t>
      </w:r>
    </w:p>
    <w:p w14:paraId="36D8F0BF">
      <w:pPr>
        <w:pStyle w:val="4"/>
        <w:pageBreakBefore w:val="0"/>
        <w:widowControl w:val="0"/>
        <w:kinsoku/>
        <w:wordWrap/>
        <w:overflowPunct/>
        <w:topLinePunct w:val="0"/>
        <w:autoSpaceDE/>
        <w:autoSpaceDN/>
        <w:bidi w:val="0"/>
        <w:spacing w:line="560" w:lineRule="exact"/>
        <w:ind w:firstLine="880" w:firstLineChars="200"/>
        <w:jc w:val="center"/>
        <w:textAlignment w:val="auto"/>
        <w:rPr>
          <w:rFonts w:hint="default" w:ascii="Times New Roman" w:hAnsi="Times New Roman" w:eastAsia="方正小标宋简体" w:cs="Times New Roman"/>
          <w:b w:val="0"/>
        </w:rPr>
      </w:pPr>
      <w:bookmarkStart w:id="19" w:name="_Toc15377204"/>
      <w:bookmarkStart w:id="20" w:name="_Toc15396602"/>
    </w:p>
    <w:p w14:paraId="1D6A0D4E">
      <w:pPr>
        <w:pageBreakBefore w:val="0"/>
        <w:widowControl w:val="0"/>
        <w:kinsoku/>
        <w:wordWrap/>
        <w:overflowPunct/>
        <w:topLinePunct w:val="0"/>
        <w:autoSpaceDE/>
        <w:autoSpaceDN/>
        <w:bidi w:val="0"/>
        <w:spacing w:line="560" w:lineRule="exact"/>
        <w:textAlignment w:val="auto"/>
        <w:rPr>
          <w:rFonts w:hint="default" w:ascii="Times New Roman" w:hAnsi="Times New Roman" w:eastAsia="方正小标宋简体" w:cs="Times New Roman"/>
          <w:b w:val="0"/>
        </w:rPr>
      </w:pPr>
    </w:p>
    <w:p w14:paraId="187F9C1C">
      <w:pPr>
        <w:pStyle w:val="7"/>
        <w:pageBreakBefore w:val="0"/>
        <w:widowControl w:val="0"/>
        <w:kinsoku/>
        <w:wordWrap/>
        <w:overflowPunct/>
        <w:topLinePunct w:val="0"/>
        <w:autoSpaceDE/>
        <w:autoSpaceDN/>
        <w:bidi w:val="0"/>
        <w:spacing w:line="560" w:lineRule="exact"/>
        <w:textAlignment w:val="auto"/>
        <w:rPr>
          <w:rFonts w:hint="default" w:ascii="Times New Roman" w:hAnsi="Times New Roman" w:eastAsia="方正小标宋简体" w:cs="Times New Roman"/>
          <w:b w:val="0"/>
        </w:rPr>
      </w:pPr>
    </w:p>
    <w:p w14:paraId="5017BCC4">
      <w:pPr>
        <w:pStyle w:val="7"/>
        <w:pageBreakBefore w:val="0"/>
        <w:widowControl w:val="0"/>
        <w:kinsoku/>
        <w:wordWrap/>
        <w:overflowPunct/>
        <w:topLinePunct w:val="0"/>
        <w:autoSpaceDE/>
        <w:autoSpaceDN/>
        <w:bidi w:val="0"/>
        <w:spacing w:line="560" w:lineRule="exact"/>
        <w:textAlignment w:val="auto"/>
        <w:rPr>
          <w:rFonts w:hint="default" w:ascii="Times New Roman" w:hAnsi="Times New Roman" w:eastAsia="方正小标宋简体" w:cs="Times New Roman"/>
          <w:b w:val="0"/>
        </w:rPr>
      </w:pPr>
    </w:p>
    <w:p w14:paraId="3DB04A81">
      <w:pPr>
        <w:pStyle w:val="7"/>
        <w:pageBreakBefore w:val="0"/>
        <w:widowControl w:val="0"/>
        <w:kinsoku/>
        <w:wordWrap/>
        <w:overflowPunct/>
        <w:topLinePunct w:val="0"/>
        <w:autoSpaceDE/>
        <w:autoSpaceDN/>
        <w:bidi w:val="0"/>
        <w:spacing w:line="560" w:lineRule="exact"/>
        <w:textAlignment w:val="auto"/>
        <w:rPr>
          <w:rFonts w:hint="default" w:ascii="Times New Roman" w:hAnsi="Times New Roman" w:eastAsia="方正小标宋简体" w:cs="Times New Roman"/>
          <w:b w:val="0"/>
        </w:rPr>
      </w:pPr>
    </w:p>
    <w:p w14:paraId="7B585F77">
      <w:pPr>
        <w:pStyle w:val="7"/>
        <w:pageBreakBefore w:val="0"/>
        <w:widowControl w:val="0"/>
        <w:kinsoku/>
        <w:wordWrap/>
        <w:overflowPunct/>
        <w:topLinePunct w:val="0"/>
        <w:autoSpaceDE/>
        <w:autoSpaceDN/>
        <w:bidi w:val="0"/>
        <w:spacing w:line="560" w:lineRule="exact"/>
        <w:textAlignment w:val="auto"/>
        <w:rPr>
          <w:rFonts w:hint="default" w:ascii="Times New Roman" w:hAnsi="Times New Roman" w:eastAsia="方正小标宋简体" w:cs="Times New Roman"/>
          <w:b w:val="0"/>
        </w:rPr>
      </w:pPr>
    </w:p>
    <w:p w14:paraId="12640B1A">
      <w:pPr>
        <w:pStyle w:val="7"/>
        <w:pageBreakBefore w:val="0"/>
        <w:widowControl w:val="0"/>
        <w:kinsoku/>
        <w:wordWrap/>
        <w:overflowPunct/>
        <w:topLinePunct w:val="0"/>
        <w:autoSpaceDE/>
        <w:autoSpaceDN/>
        <w:bidi w:val="0"/>
        <w:spacing w:line="560" w:lineRule="exact"/>
        <w:textAlignment w:val="auto"/>
        <w:rPr>
          <w:rFonts w:hint="default" w:ascii="Times New Roman" w:hAnsi="Times New Roman" w:eastAsia="方正小标宋简体" w:cs="Times New Roman"/>
          <w:b w:val="0"/>
        </w:rPr>
      </w:pPr>
    </w:p>
    <w:p w14:paraId="403E6EB9">
      <w:pPr>
        <w:pStyle w:val="7"/>
        <w:pageBreakBefore w:val="0"/>
        <w:widowControl w:val="0"/>
        <w:kinsoku/>
        <w:wordWrap/>
        <w:overflowPunct/>
        <w:topLinePunct w:val="0"/>
        <w:autoSpaceDE/>
        <w:autoSpaceDN/>
        <w:bidi w:val="0"/>
        <w:spacing w:line="560" w:lineRule="exact"/>
        <w:textAlignment w:val="auto"/>
        <w:rPr>
          <w:rFonts w:hint="default" w:ascii="Times New Roman" w:hAnsi="Times New Roman" w:eastAsia="方正小标宋简体" w:cs="Times New Roman"/>
          <w:b w:val="0"/>
        </w:rPr>
      </w:pPr>
    </w:p>
    <w:p w14:paraId="28DCE9C9">
      <w:pPr>
        <w:pStyle w:val="7"/>
        <w:pageBreakBefore w:val="0"/>
        <w:widowControl w:val="0"/>
        <w:kinsoku/>
        <w:wordWrap/>
        <w:overflowPunct/>
        <w:topLinePunct w:val="0"/>
        <w:autoSpaceDE/>
        <w:autoSpaceDN/>
        <w:bidi w:val="0"/>
        <w:spacing w:line="560" w:lineRule="exact"/>
        <w:textAlignment w:val="auto"/>
        <w:rPr>
          <w:rFonts w:hint="default" w:ascii="Times New Roman" w:hAnsi="Times New Roman" w:eastAsia="方正小标宋简体" w:cs="Times New Roman"/>
          <w:b w:val="0"/>
        </w:rPr>
      </w:pPr>
    </w:p>
    <w:p w14:paraId="6B57631A">
      <w:pPr>
        <w:pStyle w:val="4"/>
        <w:pageBreakBefore w:val="0"/>
        <w:kinsoku/>
        <w:wordWrap/>
        <w:overflowPunct/>
        <w:topLinePunct w:val="0"/>
        <w:autoSpaceDE/>
        <w:autoSpaceDN/>
        <w:bidi w:val="0"/>
        <w:spacing w:line="576" w:lineRule="exact"/>
        <w:jc w:val="center"/>
        <w:textAlignment w:val="auto"/>
        <w:rPr>
          <w:rFonts w:hint="default" w:ascii="Times New Roman" w:hAnsi="Times New Roman" w:cs="Times New Roman"/>
        </w:rPr>
      </w:pPr>
      <w:bookmarkStart w:id="21" w:name="_Toc20020"/>
      <w:r>
        <w:rPr>
          <w:rFonts w:hint="default" w:ascii="Times New Roman" w:hAnsi="Times New Roman" w:eastAsia="方正小标宋简体" w:cs="Times New Roman"/>
          <w:b w:val="0"/>
        </w:rPr>
        <w:t>第二部分 2024年度部门决算情况说明</w:t>
      </w:r>
      <w:bookmarkEnd w:id="19"/>
      <w:bookmarkEnd w:id="20"/>
      <w:bookmarkEnd w:id="21"/>
    </w:p>
    <w:p w14:paraId="7FD14667">
      <w:pPr>
        <w:pStyle w:val="30"/>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_GB2312" w:cs="Times New Roman"/>
          <w:lang w:eastAsia="zh-CN"/>
        </w:rPr>
      </w:pPr>
      <w:bookmarkStart w:id="22" w:name="_Toc15377205"/>
      <w:bookmarkStart w:id="23" w:name="_Toc15396603"/>
      <w:bookmarkStart w:id="24" w:name="_Toc15177"/>
      <w:r>
        <w:rPr>
          <w:rFonts w:hint="default" w:ascii="Times New Roman" w:hAnsi="Times New Roman" w:eastAsia="黑体" w:cs="Times New Roman"/>
          <w:sz w:val="32"/>
          <w:szCs w:val="32"/>
        </w:rPr>
        <w:t>一、收</w:t>
      </w:r>
      <w:r>
        <w:rPr>
          <w:rStyle w:val="32"/>
          <w:rFonts w:hint="default" w:ascii="Times New Roman" w:hAnsi="Times New Roman" w:eastAsia="黑体" w:cs="Times New Roman"/>
          <w:b w:val="0"/>
        </w:rPr>
        <w:t>入支出决算总体情况说明</w:t>
      </w:r>
      <w:bookmarkEnd w:id="22"/>
      <w:bookmarkEnd w:id="23"/>
      <w:bookmarkEnd w:id="24"/>
      <w:bookmarkStart w:id="25" w:name="_Toc31404"/>
      <w:bookmarkStart w:id="26" w:name="_Toc15377206"/>
      <w:bookmarkStart w:id="27" w:name="_Toc15396604"/>
    </w:p>
    <w:p w14:paraId="02B2E5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 w:cs="Times New Roman"/>
          <w:sz w:val="32"/>
          <w:szCs w:val="32"/>
          <w:lang w:val="en-US" w:eastAsia="zh-CN"/>
        </w:rPr>
        <w:t>中共阿坝州委老干部局（本级）</w:t>
      </w:r>
      <w:r>
        <w:rPr>
          <w:rFonts w:hint="default" w:ascii="Times New Roman" w:hAnsi="Times New Roman" w:eastAsia="仿宋" w:cs="Times New Roman"/>
          <w:sz w:val="32"/>
          <w:szCs w:val="32"/>
        </w:rPr>
        <w:t>2024年</w:t>
      </w:r>
      <w:r>
        <w:rPr>
          <w:rFonts w:hint="default" w:ascii="Times New Roman" w:hAnsi="Times New Roman" w:eastAsia="仿宋_GB2312" w:cs="Times New Roman"/>
          <w:sz w:val="32"/>
          <w:szCs w:val="32"/>
        </w:rPr>
        <w:t>收入、支出总计</w:t>
      </w:r>
      <w:r>
        <w:rPr>
          <w:rFonts w:hint="default" w:ascii="Times New Roman" w:hAnsi="Times New Roman" w:eastAsia="仿宋" w:cs="Times New Roman"/>
          <w:sz w:val="32"/>
          <w:szCs w:val="32"/>
          <w:lang w:val="en-US" w:eastAsia="zh-CN"/>
        </w:rPr>
        <w:t>1149.96</w:t>
      </w:r>
      <w:r>
        <w:rPr>
          <w:rFonts w:hint="default" w:ascii="Times New Roman" w:hAnsi="Times New Roman" w:eastAsia="仿宋" w:cs="Times New Roman"/>
          <w:sz w:val="32"/>
          <w:szCs w:val="32"/>
        </w:rPr>
        <w:t>万元</w:t>
      </w:r>
      <w:r>
        <w:rPr>
          <w:rFonts w:hint="default" w:ascii="Times New Roman" w:hAnsi="Times New Roman" w:eastAsia="仿宋_GB2312" w:cs="Times New Roman"/>
          <w:sz w:val="32"/>
          <w:szCs w:val="32"/>
        </w:rPr>
        <w:t>，</w:t>
      </w:r>
      <w:r>
        <w:rPr>
          <w:rFonts w:hint="default" w:ascii="Times New Roman" w:hAnsi="Times New Roman" w:eastAsia="仿宋" w:cs="Times New Roman"/>
          <w:sz w:val="32"/>
          <w:szCs w:val="32"/>
        </w:rPr>
        <w:t>较2023年</w:t>
      </w:r>
      <w:r>
        <w:rPr>
          <w:rFonts w:hint="default" w:ascii="Times New Roman" w:hAnsi="Times New Roman" w:eastAsia="仿宋" w:cs="Times New Roman"/>
          <w:sz w:val="32"/>
          <w:szCs w:val="32"/>
          <w:lang w:val="en-US" w:eastAsia="zh-CN"/>
        </w:rPr>
        <w:t>度</w:t>
      </w:r>
      <w:r>
        <w:rPr>
          <w:rFonts w:hint="default" w:ascii="Times New Roman" w:hAnsi="Times New Roman" w:eastAsia="仿宋_GB2312" w:cs="Times New Roman"/>
          <w:sz w:val="32"/>
          <w:szCs w:val="32"/>
        </w:rPr>
        <w:t>财政拨款收入、支出总计</w:t>
      </w:r>
      <w:r>
        <w:rPr>
          <w:rFonts w:hint="default" w:ascii="Times New Roman" w:hAnsi="Times New Roman" w:eastAsia="仿宋" w:cs="Times New Roman"/>
          <w:sz w:val="32"/>
          <w:szCs w:val="32"/>
          <w:lang w:val="en-US" w:eastAsia="zh-CN"/>
        </w:rPr>
        <w:t>1095.65万元，</w:t>
      </w:r>
      <w:r>
        <w:rPr>
          <w:rFonts w:hint="default" w:ascii="Times New Roman" w:hAnsi="Times New Roman" w:eastAsia="仿宋_GB2312" w:cs="Times New Roman"/>
          <w:sz w:val="32"/>
          <w:szCs w:val="32"/>
        </w:rPr>
        <w:t>各增加</w:t>
      </w:r>
      <w:r>
        <w:rPr>
          <w:rFonts w:hint="default" w:ascii="Times New Roman" w:hAnsi="Times New Roman" w:eastAsia="仿宋" w:cs="Times New Roman"/>
          <w:sz w:val="32"/>
          <w:szCs w:val="32"/>
          <w:lang w:val="en-US" w:eastAsia="zh-CN"/>
        </w:rPr>
        <w:t>54.31</w:t>
      </w:r>
      <w:r>
        <w:rPr>
          <w:rFonts w:hint="default" w:ascii="Times New Roman" w:hAnsi="Times New Roman" w:eastAsia="仿宋_GB2312" w:cs="Times New Roman"/>
          <w:sz w:val="32"/>
          <w:szCs w:val="32"/>
        </w:rPr>
        <w:t>万元，增长</w:t>
      </w:r>
      <w:r>
        <w:rPr>
          <w:rFonts w:hint="default" w:ascii="Times New Roman" w:hAnsi="Times New Roman" w:eastAsia="仿宋" w:cs="Times New Roman"/>
          <w:sz w:val="32"/>
          <w:szCs w:val="32"/>
          <w:lang w:val="en-US" w:eastAsia="zh-CN"/>
        </w:rPr>
        <w:t>4.96</w:t>
      </w:r>
      <w:r>
        <w:rPr>
          <w:rFonts w:hint="default" w:ascii="Times New Roman" w:hAnsi="Times New Roman" w:eastAsia="仿宋" w:cs="Times New Roman"/>
          <w:sz w:val="32"/>
          <w:szCs w:val="32"/>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其他收入、支出总计为0万元，</w:t>
      </w:r>
      <w:r>
        <w:rPr>
          <w:rFonts w:hint="default" w:ascii="Times New Roman" w:hAnsi="Times New Roman" w:eastAsia="仿宋_GB2312" w:cs="Times New Roman"/>
          <w:sz w:val="32"/>
          <w:szCs w:val="32"/>
        </w:rPr>
        <w:t>各增加</w:t>
      </w:r>
      <w:r>
        <w:rPr>
          <w:rFonts w:hint="default" w:ascii="Times New Roman" w:hAnsi="Times New Roman" w:eastAsia="仿宋" w:cs="Times New Roman"/>
          <w:sz w:val="32"/>
          <w:szCs w:val="32"/>
          <w:lang w:val="en-US" w:eastAsia="zh-CN"/>
        </w:rPr>
        <w:t>0</w:t>
      </w:r>
      <w:r>
        <w:rPr>
          <w:rFonts w:hint="default" w:ascii="Times New Roman" w:hAnsi="Times New Roman" w:eastAsia="仿宋_GB2312" w:cs="Times New Roman"/>
          <w:sz w:val="32"/>
          <w:szCs w:val="32"/>
        </w:rPr>
        <w:t>万元，增长</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w:t>
      </w:r>
      <w:r>
        <w:rPr>
          <w:rFonts w:hint="default" w:ascii="Times New Roman" w:hAnsi="Times New Roman" w:eastAsia="仿宋_GB2312" w:cs="Times New Roman"/>
          <w:sz w:val="32"/>
          <w:szCs w:val="32"/>
        </w:rPr>
        <w:t>。</w:t>
      </w:r>
      <w:r>
        <w:rPr>
          <w:rFonts w:hint="default" w:ascii="Times New Roman" w:hAnsi="Times New Roman" w:eastAsia="仿宋" w:cs="Times New Roman"/>
          <w:sz w:val="32"/>
          <w:szCs w:val="32"/>
        </w:rPr>
        <w:t>2024年</w:t>
      </w:r>
      <w:r>
        <w:rPr>
          <w:rFonts w:hint="default" w:ascii="Times New Roman" w:hAnsi="Times New Roman" w:eastAsia="仿宋_GB2312" w:cs="Times New Roman"/>
          <w:sz w:val="32"/>
          <w:szCs w:val="32"/>
        </w:rPr>
        <w:t>收入、支出</w:t>
      </w:r>
      <w:r>
        <w:rPr>
          <w:rFonts w:hint="default" w:ascii="Times New Roman" w:hAnsi="Times New Roman" w:eastAsia="仿宋_GB2312" w:cs="Times New Roman"/>
          <w:sz w:val="32"/>
          <w:szCs w:val="32"/>
          <w:lang w:val="en-US" w:eastAsia="zh-CN"/>
        </w:rPr>
        <w:t>总计变动</w:t>
      </w:r>
      <w:r>
        <w:rPr>
          <w:rFonts w:hint="default" w:ascii="Times New Roman" w:hAnsi="Times New Roman" w:eastAsia="仿宋_GB2312" w:cs="Times New Roman"/>
          <w:sz w:val="32"/>
          <w:szCs w:val="32"/>
        </w:rPr>
        <w:t>主要原因是预算调整</w:t>
      </w:r>
      <w:r>
        <w:rPr>
          <w:rFonts w:hint="default" w:ascii="Times New Roman" w:hAnsi="Times New Roman" w:eastAsia="仿宋_GB2312" w:cs="Times New Roman"/>
          <w:sz w:val="32"/>
          <w:szCs w:val="32"/>
          <w:lang w:eastAsia="zh-CN"/>
        </w:rPr>
        <w:t>。</w:t>
      </w:r>
      <w:r>
        <w:rPr>
          <w:rFonts w:hint="default" w:ascii="Times New Roman" w:hAnsi="Times New Roman" w:eastAsia="黑体" w:cs="Times New Roman"/>
          <w:sz w:val="32"/>
          <w:szCs w:val="32"/>
          <w:lang w:eastAsia="zh-CN"/>
        </w:rPr>
        <w:drawing>
          <wp:anchor distT="0" distB="0" distL="114300" distR="114300" simplePos="0" relativeHeight="251663360" behindDoc="0" locked="0" layoutInCell="1" allowOverlap="1">
            <wp:simplePos x="0" y="0"/>
            <wp:positionH relativeFrom="column">
              <wp:posOffset>330835</wp:posOffset>
            </wp:positionH>
            <wp:positionV relativeFrom="page">
              <wp:posOffset>4170680</wp:posOffset>
            </wp:positionV>
            <wp:extent cx="4677410" cy="2378710"/>
            <wp:effectExtent l="4445" t="4445" r="23495" b="1714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7592078">
      <w:pPr>
        <w:pStyle w:val="30"/>
        <w:pageBreakBefore w:val="0"/>
        <w:kinsoku/>
        <w:wordWrap/>
        <w:overflowPunct/>
        <w:topLinePunct w:val="0"/>
        <w:autoSpaceDE/>
        <w:autoSpaceDN/>
        <w:bidi w:val="0"/>
        <w:spacing w:line="576" w:lineRule="exact"/>
        <w:ind w:left="0" w:leftChars="0" w:firstLine="960" w:firstLineChars="300"/>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二、收入决算情况说明</w:t>
      </w:r>
      <w:bookmarkEnd w:id="25"/>
      <w:bookmarkEnd w:id="26"/>
      <w:bookmarkEnd w:id="27"/>
    </w:p>
    <w:p w14:paraId="5A195EDE">
      <w:pPr>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2024年本年收入合计</w:t>
      </w:r>
      <w:r>
        <w:rPr>
          <w:rFonts w:hint="default" w:ascii="Times New Roman" w:hAnsi="Times New Roman" w:eastAsia="仿宋" w:cs="Times New Roman"/>
          <w:sz w:val="32"/>
          <w:szCs w:val="32"/>
          <w:lang w:val="en-US" w:eastAsia="zh-CN"/>
        </w:rPr>
        <w:t>1149.96</w:t>
      </w:r>
      <w:r>
        <w:rPr>
          <w:rFonts w:hint="default" w:ascii="Times New Roman" w:hAnsi="Times New Roman" w:eastAsia="仿宋" w:cs="Times New Roman"/>
          <w:sz w:val="32"/>
          <w:szCs w:val="32"/>
        </w:rPr>
        <w:t>万元，</w:t>
      </w:r>
      <w:r>
        <w:rPr>
          <w:rFonts w:hint="default" w:ascii="Times New Roman" w:hAnsi="Times New Roman" w:eastAsia="仿宋_GB2312" w:cs="Times New Roman"/>
          <w:sz w:val="32"/>
          <w:szCs w:val="32"/>
        </w:rPr>
        <w:t>其中：一般公共预算财政拨款收入</w:t>
      </w:r>
      <w:r>
        <w:rPr>
          <w:rFonts w:hint="default" w:ascii="Times New Roman" w:hAnsi="Times New Roman" w:eastAsia="仿宋_GB2312" w:cs="Times New Roman"/>
          <w:sz w:val="32"/>
          <w:szCs w:val="32"/>
          <w:lang w:val="en-US" w:eastAsia="zh-CN"/>
        </w:rPr>
        <w:t>1149.96</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%；政府性基金预算财政拨款收入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%；国有资本经营预算财政拨款收入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%；上级补助收入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%；事业收入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%；经营收入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%；附属单位上缴收入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%；其他收入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14:paraId="06DF3FCB">
      <w:pPr>
        <w:snapToGrid w:val="0"/>
        <w:spacing w:line="520" w:lineRule="exact"/>
        <w:ind w:firstLine="420" w:firstLineChars="200"/>
        <w:rPr>
          <w:rFonts w:hint="default" w:ascii="Times New Roman" w:hAnsi="Times New Roman" w:eastAsia="黑体" w:cs="Times New Roman"/>
          <w:sz w:val="32"/>
          <w:szCs w:val="32"/>
        </w:rPr>
      </w:pPr>
      <w:r>
        <w:rPr>
          <w:rFonts w:hint="default" w:ascii="Times New Roman" w:hAnsi="Times New Roman" w:cs="Times New Roman"/>
        </w:rPr>
        <w:drawing>
          <wp:anchor distT="0" distB="0" distL="114300" distR="114300" simplePos="0" relativeHeight="251661312" behindDoc="0" locked="0" layoutInCell="1" allowOverlap="1">
            <wp:simplePos x="0" y="0"/>
            <wp:positionH relativeFrom="column">
              <wp:posOffset>927100</wp:posOffset>
            </wp:positionH>
            <wp:positionV relativeFrom="page">
              <wp:posOffset>1155065</wp:posOffset>
            </wp:positionV>
            <wp:extent cx="3629660" cy="2790190"/>
            <wp:effectExtent l="0" t="0" r="8890" b="10160"/>
            <wp:wrapTopAndBottom/>
            <wp:docPr id="1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 name="Picture 1"/>
                    <pic:cNvPicPr>
                      <a:picLocks noChangeAspect="1"/>
                    </pic:cNvPicPr>
                  </pic:nvPicPr>
                  <pic:blipFill>
                    <a:blip r:embed="rId9"/>
                    <a:stretch>
                      <a:fillRect/>
                    </a:stretch>
                  </pic:blipFill>
                  <pic:spPr>
                    <a:xfrm>
                      <a:off x="0" y="0"/>
                      <a:ext cx="3629660" cy="2790190"/>
                    </a:xfrm>
                    <a:prstGeom prst="rect">
                      <a:avLst/>
                    </a:prstGeom>
                  </pic:spPr>
                </pic:pic>
              </a:graphicData>
            </a:graphic>
          </wp:anchor>
        </w:drawing>
      </w:r>
    </w:p>
    <w:p w14:paraId="7D954DA0">
      <w:pPr>
        <w:snapToGrid w:val="0"/>
        <w:spacing w:line="520" w:lineRule="exact"/>
        <w:ind w:firstLine="640" w:firstLineChars="200"/>
        <w:rPr>
          <w:rStyle w:val="32"/>
          <w:rFonts w:hint="default" w:ascii="Times New Roman" w:hAnsi="Times New Roman" w:eastAsia="黑体" w:cs="Times New Roman"/>
          <w:b w:val="0"/>
        </w:rPr>
      </w:pPr>
      <w:bookmarkStart w:id="28" w:name="_Toc15396605"/>
      <w:bookmarkStart w:id="29" w:name="_Toc15377207"/>
      <w:bookmarkStart w:id="30" w:name="_Toc21313"/>
      <w:r>
        <w:rPr>
          <w:rFonts w:hint="default" w:ascii="Times New Roman" w:hAnsi="Times New Roman" w:eastAsia="黑体" w:cs="Times New Roman"/>
          <w:sz w:val="32"/>
          <w:szCs w:val="32"/>
        </w:rPr>
        <w:t>三、支</w:t>
      </w:r>
      <w:r>
        <w:rPr>
          <w:rStyle w:val="32"/>
          <w:rFonts w:hint="default" w:ascii="Times New Roman" w:hAnsi="Times New Roman" w:eastAsia="黑体" w:cs="Times New Roman"/>
          <w:b w:val="0"/>
        </w:rPr>
        <w:t>出决算情况说明</w:t>
      </w:r>
      <w:bookmarkEnd w:id="28"/>
      <w:bookmarkEnd w:id="29"/>
      <w:bookmarkEnd w:id="30"/>
    </w:p>
    <w:p w14:paraId="1CD14364">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2024年财政拨款各项收入为</w:t>
      </w:r>
      <w:r>
        <w:rPr>
          <w:rFonts w:hint="default" w:ascii="Times New Roman" w:hAnsi="Times New Roman" w:eastAsia="仿宋" w:cs="Times New Roman"/>
          <w:sz w:val="32"/>
          <w:szCs w:val="32"/>
          <w:lang w:val="en-US" w:eastAsia="zh-CN"/>
        </w:rPr>
        <w:t>1149.96</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各项支出为</w:t>
      </w:r>
      <w:r>
        <w:rPr>
          <w:rFonts w:hint="default" w:ascii="Times New Roman" w:hAnsi="Times New Roman" w:eastAsia="仿宋" w:cs="Times New Roman"/>
          <w:sz w:val="32"/>
          <w:szCs w:val="32"/>
          <w:lang w:val="en-US" w:eastAsia="zh-CN"/>
        </w:rPr>
        <w:t>1149.96</w:t>
      </w:r>
      <w:r>
        <w:rPr>
          <w:rFonts w:hint="default" w:ascii="Times New Roman" w:hAnsi="Times New Roman" w:eastAsia="仿宋_GB2312" w:cs="Times New Roman"/>
          <w:sz w:val="32"/>
          <w:szCs w:val="32"/>
        </w:rPr>
        <w:t>万元，其中基本支出为</w:t>
      </w:r>
      <w:r>
        <w:rPr>
          <w:rFonts w:hint="default" w:ascii="Times New Roman" w:hAnsi="Times New Roman" w:eastAsia="仿宋" w:cs="Times New Roman"/>
          <w:sz w:val="32"/>
          <w:szCs w:val="32"/>
          <w:lang w:val="en-US" w:eastAsia="zh-CN"/>
        </w:rPr>
        <w:t>557.38</w:t>
      </w:r>
      <w:r>
        <w:rPr>
          <w:rFonts w:hint="default" w:ascii="Times New Roman" w:hAnsi="Times New Roman" w:eastAsia="仿宋_GB2312" w:cs="Times New Roman"/>
          <w:sz w:val="32"/>
          <w:szCs w:val="32"/>
        </w:rPr>
        <w:t>万元，项目支出为</w:t>
      </w:r>
      <w:r>
        <w:rPr>
          <w:rFonts w:hint="default" w:ascii="Times New Roman" w:hAnsi="Times New Roman" w:eastAsia="仿宋" w:cs="Times New Roman"/>
          <w:sz w:val="32"/>
          <w:szCs w:val="32"/>
          <w:lang w:val="en-US" w:eastAsia="zh-CN"/>
        </w:rPr>
        <w:t>592.57</w:t>
      </w:r>
      <w:r>
        <w:rPr>
          <w:rFonts w:hint="default" w:ascii="Times New Roman" w:hAnsi="Times New Roman" w:eastAsia="仿宋_GB2312" w:cs="Times New Roman"/>
          <w:sz w:val="32"/>
          <w:szCs w:val="32"/>
        </w:rPr>
        <w:t>万元。上缴上级支出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%；经营支出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%；对附属单位补助支出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14:paraId="68BE8BCC">
      <w:pPr>
        <w:pStyle w:val="7"/>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eastAsia="zh-CN"/>
        </w:rPr>
        <w:drawing>
          <wp:inline distT="0" distB="0" distL="114300" distR="114300">
            <wp:extent cx="3944620" cy="2105660"/>
            <wp:effectExtent l="5080" t="5080" r="12700" b="2286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075097">
      <w:pPr>
        <w:pageBreakBefore w:val="0"/>
        <w:kinsoku/>
        <w:wordWrap/>
        <w:overflowPunct/>
        <w:topLinePunct w:val="0"/>
        <w:autoSpaceDE/>
        <w:autoSpaceDN/>
        <w:bidi w:val="0"/>
        <w:spacing w:line="576" w:lineRule="exact"/>
        <w:ind w:firstLine="640" w:firstLineChars="200"/>
        <w:textAlignment w:val="auto"/>
        <w:outlineLvl w:val="1"/>
        <w:rPr>
          <w:rStyle w:val="32"/>
          <w:rFonts w:hint="default" w:ascii="Times New Roman" w:hAnsi="Times New Roman" w:eastAsia="黑体" w:cs="Times New Roman"/>
          <w:b w:val="0"/>
        </w:rPr>
      </w:pPr>
      <w:bookmarkStart w:id="31" w:name="_Toc15396606"/>
      <w:bookmarkStart w:id="32" w:name="_Toc15377208"/>
      <w:bookmarkStart w:id="33" w:name="_Toc18070"/>
      <w:r>
        <w:rPr>
          <w:rFonts w:hint="default" w:ascii="Times New Roman" w:hAnsi="Times New Roman" w:eastAsia="黑体" w:cs="Times New Roman"/>
          <w:sz w:val="32"/>
          <w:szCs w:val="32"/>
        </w:rPr>
        <w:t>四、财</w:t>
      </w:r>
      <w:r>
        <w:rPr>
          <w:rStyle w:val="32"/>
          <w:rFonts w:hint="default" w:ascii="Times New Roman" w:hAnsi="Times New Roman" w:eastAsia="黑体" w:cs="Times New Roman"/>
          <w:b w:val="0"/>
        </w:rPr>
        <w:t>政拨款收入支出决算总体情况说明</w:t>
      </w:r>
      <w:bookmarkEnd w:id="31"/>
      <w:bookmarkEnd w:id="32"/>
      <w:bookmarkEnd w:id="33"/>
    </w:p>
    <w:p w14:paraId="3C7B5AC9">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2024年度财政拨款收入、支出总计均为</w:t>
      </w:r>
      <w:r>
        <w:rPr>
          <w:rFonts w:hint="default" w:ascii="Times New Roman" w:hAnsi="Times New Roman" w:eastAsia="仿宋" w:cs="Times New Roman"/>
          <w:sz w:val="32"/>
          <w:szCs w:val="32"/>
          <w:lang w:val="en-US" w:eastAsia="zh-CN"/>
        </w:rPr>
        <w:t>1149.96</w:t>
      </w:r>
      <w:r>
        <w:rPr>
          <w:rFonts w:hint="default" w:ascii="Times New Roman" w:hAnsi="Times New Roman" w:eastAsia="仿宋_GB2312" w:cs="Times New Roman"/>
          <w:sz w:val="32"/>
          <w:szCs w:val="32"/>
        </w:rPr>
        <w:t>万元。</w:t>
      </w:r>
      <w:r>
        <w:rPr>
          <w:rFonts w:hint="default" w:ascii="Times New Roman" w:hAnsi="Times New Roman" w:eastAsia="仿宋" w:cs="Times New Roman"/>
          <w:sz w:val="32"/>
          <w:szCs w:val="32"/>
        </w:rPr>
        <w:t>较2023年</w:t>
      </w:r>
      <w:r>
        <w:rPr>
          <w:rFonts w:hint="default" w:ascii="Times New Roman" w:hAnsi="Times New Roman" w:eastAsia="仿宋_GB2312" w:cs="Times New Roman"/>
          <w:sz w:val="32"/>
          <w:szCs w:val="32"/>
        </w:rPr>
        <w:t>财政拨款收入总计、支出总计各增加</w:t>
      </w:r>
      <w:r>
        <w:rPr>
          <w:rFonts w:hint="default" w:ascii="Times New Roman" w:hAnsi="Times New Roman" w:eastAsia="仿宋" w:cs="Times New Roman"/>
          <w:sz w:val="32"/>
          <w:szCs w:val="32"/>
          <w:lang w:val="en-US" w:eastAsia="zh-CN"/>
        </w:rPr>
        <w:t>18.18</w:t>
      </w:r>
      <w:r>
        <w:rPr>
          <w:rFonts w:hint="default" w:ascii="Times New Roman" w:hAnsi="Times New Roman" w:eastAsia="仿宋_GB2312" w:cs="Times New Roman"/>
          <w:sz w:val="32"/>
          <w:szCs w:val="32"/>
        </w:rPr>
        <w:t>万元，增长</w:t>
      </w:r>
      <w:r>
        <w:rPr>
          <w:rFonts w:hint="default" w:ascii="Times New Roman" w:hAnsi="Times New Roman" w:eastAsia="仿宋" w:cs="Times New Roman"/>
          <w:sz w:val="32"/>
          <w:szCs w:val="32"/>
          <w:lang w:val="en-US" w:eastAsia="zh-CN"/>
        </w:rPr>
        <w:t>1.77</w:t>
      </w:r>
      <w:r>
        <w:rPr>
          <w:rFonts w:hint="default" w:ascii="Times New Roman" w:hAnsi="Times New Roman" w:eastAsia="仿宋" w:cs="Times New Roman"/>
          <w:sz w:val="32"/>
          <w:szCs w:val="32"/>
        </w:rPr>
        <w:t>%</w:t>
      </w:r>
      <w:r>
        <w:rPr>
          <w:rFonts w:hint="default" w:ascii="Times New Roman" w:hAnsi="Times New Roman" w:eastAsia="仿宋_GB2312" w:cs="Times New Roman"/>
          <w:sz w:val="32"/>
          <w:szCs w:val="32"/>
        </w:rPr>
        <w:t>。主要原因是预算调整</w:t>
      </w:r>
      <w:r>
        <w:rPr>
          <w:rFonts w:hint="default" w:ascii="Times New Roman" w:hAnsi="Times New Roman" w:eastAsia="仿宋_GB2312" w:cs="Times New Roman"/>
          <w:sz w:val="32"/>
          <w:szCs w:val="32"/>
          <w:lang w:eastAsia="zh-CN"/>
        </w:rPr>
        <w:t>。</w:t>
      </w:r>
    </w:p>
    <w:p w14:paraId="588454DC">
      <w:pPr>
        <w:pageBreakBefore w:val="0"/>
        <w:kinsoku/>
        <w:wordWrap/>
        <w:overflowPunct/>
        <w:topLinePunct w:val="0"/>
        <w:autoSpaceDE/>
        <w:autoSpaceDN/>
        <w:bidi w:val="0"/>
        <w:spacing w:line="576" w:lineRule="exact"/>
        <w:ind w:firstLine="640" w:firstLineChars="200"/>
        <w:textAlignment w:val="auto"/>
        <w:outlineLvl w:val="1"/>
        <w:rPr>
          <w:rStyle w:val="32"/>
          <w:rFonts w:hint="default" w:ascii="Times New Roman" w:hAnsi="Times New Roman" w:eastAsia="黑体" w:cs="Times New Roman"/>
          <w:b w:val="0"/>
        </w:rPr>
      </w:pPr>
      <w:bookmarkStart w:id="34" w:name="_Toc13068"/>
      <w:bookmarkStart w:id="35" w:name="_Toc15377209"/>
      <w:bookmarkStart w:id="36" w:name="_Toc15396607"/>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32"/>
          <w:rFonts w:hint="default" w:ascii="Times New Roman" w:hAnsi="Times New Roman" w:eastAsia="黑体" w:cs="Times New Roman"/>
          <w:b w:val="0"/>
        </w:rPr>
        <w:t>般公共预算财政拨款支出决算情况说明</w:t>
      </w:r>
      <w:bookmarkEnd w:id="34"/>
      <w:bookmarkEnd w:id="35"/>
      <w:bookmarkEnd w:id="36"/>
    </w:p>
    <w:p w14:paraId="1F541FFE">
      <w:pPr>
        <w:pageBreakBefore w:val="0"/>
        <w:kinsoku/>
        <w:wordWrap/>
        <w:overflowPunct/>
        <w:topLinePunct w:val="0"/>
        <w:autoSpaceDE/>
        <w:autoSpaceDN/>
        <w:bidi w:val="0"/>
        <w:spacing w:line="576" w:lineRule="exact"/>
        <w:ind w:firstLine="643" w:firstLineChars="200"/>
        <w:textAlignment w:val="auto"/>
        <w:outlineLvl w:val="2"/>
        <w:rPr>
          <w:rFonts w:hint="default" w:ascii="Times New Roman" w:hAnsi="Times New Roman" w:eastAsia="楷体_GB2312" w:cs="Times New Roman"/>
          <w:b/>
          <w:sz w:val="32"/>
          <w:szCs w:val="32"/>
        </w:rPr>
      </w:pPr>
      <w:bookmarkStart w:id="37" w:name="_Toc15377210"/>
      <w:bookmarkStart w:id="38" w:name="_Toc8505"/>
      <w:r>
        <w:rPr>
          <w:rFonts w:hint="default" w:ascii="Times New Roman" w:hAnsi="Times New Roman" w:eastAsia="楷体_GB2312" w:cs="Times New Roman"/>
          <w:b/>
          <w:sz w:val="32"/>
          <w:szCs w:val="32"/>
        </w:rPr>
        <w:t>（一）一般公共预算财政拨款支出决算总体情况</w:t>
      </w:r>
      <w:bookmarkEnd w:id="37"/>
      <w:bookmarkEnd w:id="38"/>
    </w:p>
    <w:p w14:paraId="515C62F2">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2024年度一般公共预算财政拨款支出</w:t>
      </w:r>
      <w:r>
        <w:rPr>
          <w:rFonts w:hint="default" w:ascii="Times New Roman" w:hAnsi="Times New Roman" w:eastAsia="仿宋_GB2312" w:cs="Times New Roman"/>
          <w:sz w:val="32"/>
          <w:szCs w:val="32"/>
          <w:lang w:val="en-US" w:eastAsia="zh-CN"/>
        </w:rPr>
        <w:t>1149.96</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%。与2023年度相比，一般公共预算财政拨款支出增加</w:t>
      </w:r>
      <w:r>
        <w:rPr>
          <w:rFonts w:hint="default" w:ascii="Times New Roman" w:hAnsi="Times New Roman" w:eastAsia="仿宋_GB2312" w:cs="Times New Roman"/>
          <w:sz w:val="32"/>
          <w:szCs w:val="32"/>
          <w:lang w:val="en-US" w:eastAsia="zh-CN"/>
        </w:rPr>
        <w:t>18.18</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1.77</w:t>
      </w:r>
      <w:r>
        <w:rPr>
          <w:rFonts w:hint="default" w:ascii="Times New Roman" w:hAnsi="Times New Roman" w:eastAsia="仿宋_GB2312" w:cs="Times New Roman"/>
          <w:sz w:val="32"/>
          <w:szCs w:val="32"/>
        </w:rPr>
        <w:t>%。主要原因是预算调整</w:t>
      </w:r>
      <w:r>
        <w:rPr>
          <w:rFonts w:hint="default" w:ascii="Times New Roman" w:hAnsi="Times New Roman" w:eastAsia="仿宋_GB2312" w:cs="Times New Roman"/>
          <w:sz w:val="32"/>
          <w:szCs w:val="32"/>
          <w:lang w:eastAsia="zh-CN"/>
        </w:rPr>
        <w:t>。</w:t>
      </w:r>
    </w:p>
    <w:p w14:paraId="69AEC7DB">
      <w:pPr>
        <w:pageBreakBefore w:val="0"/>
        <w:kinsoku/>
        <w:wordWrap/>
        <w:overflowPunct/>
        <w:topLinePunct w:val="0"/>
        <w:autoSpaceDE/>
        <w:autoSpaceDN/>
        <w:bidi w:val="0"/>
        <w:spacing w:line="576" w:lineRule="exact"/>
        <w:ind w:firstLine="643" w:firstLineChars="200"/>
        <w:textAlignment w:val="auto"/>
        <w:outlineLvl w:val="2"/>
        <w:rPr>
          <w:rFonts w:hint="default" w:ascii="Times New Roman" w:hAnsi="Times New Roman" w:eastAsia="楷体_GB2312" w:cs="Times New Roman"/>
          <w:b/>
          <w:sz w:val="32"/>
          <w:szCs w:val="32"/>
        </w:rPr>
      </w:pPr>
      <w:bookmarkStart w:id="39" w:name="_Toc15377211"/>
      <w:bookmarkStart w:id="40" w:name="_Toc26416"/>
      <w:r>
        <w:rPr>
          <w:rFonts w:hint="default" w:ascii="Times New Roman" w:hAnsi="Times New Roman" w:eastAsia="楷体_GB2312" w:cs="Times New Roman"/>
          <w:b/>
          <w:sz w:val="32"/>
          <w:szCs w:val="32"/>
        </w:rPr>
        <w:t>（二）一般公共预算财政拨款支出决算结构情况</w:t>
      </w:r>
      <w:bookmarkEnd w:id="39"/>
      <w:bookmarkEnd w:id="40"/>
    </w:p>
    <w:p w14:paraId="314052BD">
      <w:pPr>
        <w:snapToGrid w:val="0"/>
        <w:spacing w:line="520" w:lineRule="exact"/>
        <w:ind w:firstLine="640" w:firstLineChars="200"/>
        <w:rPr>
          <w:rFonts w:hint="default" w:ascii="Times New Roman" w:hAnsi="Times New Roman" w:cs="Times New Roman"/>
          <w:lang w:val="en-US" w:eastAsia="zh-CN"/>
        </w:rPr>
      </w:pPr>
      <w:r>
        <w:rPr>
          <w:rFonts w:hint="default" w:ascii="Times New Roman" w:hAnsi="Times New Roman" w:eastAsia="仿宋" w:cs="Times New Roman"/>
          <w:color w:val="auto"/>
          <w:sz w:val="32"/>
          <w:szCs w:val="32"/>
        </w:rPr>
        <w:t>2024年本年支出合计</w:t>
      </w:r>
      <w:r>
        <w:rPr>
          <w:rFonts w:hint="default" w:ascii="Times New Roman" w:hAnsi="Times New Roman" w:eastAsia="仿宋" w:cs="Times New Roman"/>
          <w:color w:val="auto"/>
          <w:sz w:val="32"/>
          <w:szCs w:val="32"/>
          <w:lang w:val="en-US" w:eastAsia="zh-CN"/>
        </w:rPr>
        <w:t>1149.96</w:t>
      </w:r>
      <w:r>
        <w:rPr>
          <w:rFonts w:hint="default" w:ascii="Times New Roman" w:hAnsi="Times New Roman" w:eastAsia="仿宋_GB2312" w:cs="Times New Roman"/>
          <w:color w:val="auto"/>
          <w:sz w:val="32"/>
          <w:szCs w:val="32"/>
        </w:rPr>
        <w:t>万元</w:t>
      </w:r>
      <w:r>
        <w:rPr>
          <w:rFonts w:hint="default" w:ascii="Times New Roman" w:hAnsi="Times New Roman" w:eastAsia="仿宋" w:cs="Times New Roman"/>
          <w:color w:val="auto"/>
          <w:sz w:val="32"/>
          <w:szCs w:val="32"/>
        </w:rPr>
        <w:t>，</w:t>
      </w:r>
      <w:r>
        <w:rPr>
          <w:rFonts w:hint="default" w:ascii="Times New Roman" w:hAnsi="Times New Roman" w:eastAsia="仿宋_GB2312" w:cs="Times New Roman"/>
          <w:color w:val="auto"/>
          <w:sz w:val="32"/>
          <w:szCs w:val="32"/>
        </w:rPr>
        <w:t>其中：</w:t>
      </w:r>
      <w:r>
        <w:rPr>
          <w:rFonts w:hint="default" w:ascii="Times New Roman" w:hAnsi="Times New Roman" w:eastAsia="仿宋_GB2312" w:cs="Times New Roman"/>
          <w:sz w:val="32"/>
          <w:szCs w:val="32"/>
        </w:rPr>
        <w:t>一般公共服务支出1,019.69万元，占88.67%；社会保障和就业支出66.83万元，占5.81%；卫生健康支出27.14万元，占2.36%；住房保障支出36.30万元，占3.16%。</w:t>
      </w:r>
      <w:r>
        <w:rPr>
          <w:rFonts w:hint="default" w:ascii="Times New Roman" w:hAnsi="Times New Roman" w:cs="Times New Roman"/>
        </w:rPr>
        <w:drawing>
          <wp:anchor distT="0" distB="0" distL="114300" distR="114300" simplePos="0" relativeHeight="251662336" behindDoc="0" locked="0" layoutInCell="1" allowOverlap="1">
            <wp:simplePos x="0" y="0"/>
            <wp:positionH relativeFrom="column">
              <wp:posOffset>1353185</wp:posOffset>
            </wp:positionH>
            <wp:positionV relativeFrom="page">
              <wp:posOffset>5576570</wp:posOffset>
            </wp:positionV>
            <wp:extent cx="3467100" cy="2948940"/>
            <wp:effectExtent l="0" t="0" r="0" b="3810"/>
            <wp:wrapTopAndBottom/>
            <wp:docPr id="1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 name="Picture 1"/>
                    <pic:cNvPicPr>
                      <a:picLocks noChangeAspect="1"/>
                    </pic:cNvPicPr>
                  </pic:nvPicPr>
                  <pic:blipFill>
                    <a:blip r:embed="rId11"/>
                    <a:stretch>
                      <a:fillRect/>
                    </a:stretch>
                  </pic:blipFill>
                  <pic:spPr>
                    <a:xfrm>
                      <a:off x="0" y="0"/>
                      <a:ext cx="3467100" cy="2948940"/>
                    </a:xfrm>
                    <a:prstGeom prst="rect">
                      <a:avLst/>
                    </a:prstGeom>
                  </pic:spPr>
                </pic:pic>
              </a:graphicData>
            </a:graphic>
          </wp:anchor>
        </w:drawing>
      </w:r>
    </w:p>
    <w:p w14:paraId="2933DF04">
      <w:pPr>
        <w:pageBreakBefore w:val="0"/>
        <w:kinsoku/>
        <w:wordWrap/>
        <w:overflowPunct/>
        <w:topLinePunct w:val="0"/>
        <w:autoSpaceDE/>
        <w:autoSpaceDN/>
        <w:bidi w:val="0"/>
        <w:spacing w:line="576" w:lineRule="exact"/>
        <w:ind w:firstLine="643" w:firstLineChars="200"/>
        <w:textAlignment w:val="auto"/>
        <w:outlineLvl w:val="2"/>
        <w:rPr>
          <w:rFonts w:hint="default" w:ascii="Times New Roman" w:hAnsi="Times New Roman" w:eastAsia="楷体_GB2312" w:cs="Times New Roman"/>
          <w:b/>
          <w:sz w:val="32"/>
          <w:szCs w:val="32"/>
        </w:rPr>
      </w:pPr>
      <w:bookmarkStart w:id="41" w:name="_Toc8774"/>
      <w:bookmarkStart w:id="42" w:name="_Toc15377212"/>
      <w:r>
        <w:rPr>
          <w:rFonts w:hint="default" w:ascii="Times New Roman" w:hAnsi="Times New Roman" w:eastAsia="楷体_GB2312" w:cs="Times New Roman"/>
          <w:b/>
          <w:sz w:val="32"/>
          <w:szCs w:val="32"/>
        </w:rPr>
        <w:t>（三）一般公共预算财政拨款支出决算具体情况</w:t>
      </w:r>
      <w:bookmarkEnd w:id="41"/>
      <w:bookmarkEnd w:id="42"/>
    </w:p>
    <w:p w14:paraId="0C547C31">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bookmarkStart w:id="43" w:name="_Toc15378460"/>
      <w:bookmarkStart w:id="44" w:name="_Toc15377213"/>
      <w:bookmarkStart w:id="45" w:name="_Toc15377444"/>
      <w:r>
        <w:rPr>
          <w:rFonts w:hint="default" w:ascii="Times New Roman" w:hAnsi="Times New Roman" w:eastAsia="仿宋_GB2312" w:cs="Times New Roman"/>
          <w:sz w:val="32"/>
          <w:szCs w:val="32"/>
        </w:rPr>
        <w:t>2024年度一般公共预算财政拨款支出决算数为</w:t>
      </w:r>
      <w:r>
        <w:rPr>
          <w:rFonts w:hint="default" w:ascii="Times New Roman" w:hAnsi="Times New Roman" w:eastAsia="仿宋" w:cs="Times New Roman"/>
          <w:color w:val="auto"/>
          <w:sz w:val="32"/>
          <w:szCs w:val="32"/>
          <w:lang w:val="en-US" w:eastAsia="zh-CN"/>
        </w:rPr>
        <w:t>1149.96</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%。其中：</w:t>
      </w:r>
      <w:bookmarkEnd w:id="43"/>
      <w:bookmarkEnd w:id="44"/>
      <w:bookmarkEnd w:id="45"/>
    </w:p>
    <w:p w14:paraId="545F9FD8">
      <w:pPr>
        <w:pageBreakBefore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一般公共服务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2013101行政运行</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910.64</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2013102一般行政管理事务</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108.05</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2013199其它党委办公厅及相关机构事务支出</w:t>
      </w:r>
      <w:r>
        <w:rPr>
          <w:rFonts w:hint="default" w:ascii="Times New Roman" w:hAnsi="Times New Roman" w:eastAsia="仿宋_GB2312" w:cs="Times New Roman"/>
          <w:sz w:val="32"/>
          <w:szCs w:val="32"/>
        </w:rPr>
        <w:t>决算为</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14:paraId="776F2F69">
      <w:pPr>
        <w:pageBreakBefore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社会保障和就业支出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2080505养老保险缴费</w:t>
      </w:r>
      <w:r>
        <w:rPr>
          <w:rFonts w:hint="default" w:ascii="Times New Roman" w:hAnsi="Times New Roman" w:eastAsia="仿宋_GB2312" w:cs="Times New Roman"/>
          <w:sz w:val="32"/>
          <w:szCs w:val="32"/>
        </w:rPr>
        <w:t>决算为</w:t>
      </w:r>
      <w:r>
        <w:rPr>
          <w:rFonts w:hint="default" w:ascii="Times New Roman" w:hAnsi="Times New Roman" w:eastAsia="仿宋_GB2312" w:cs="Times New Roman"/>
          <w:sz w:val="32"/>
          <w:szCs w:val="32"/>
          <w:lang w:val="en-US" w:eastAsia="zh-CN"/>
        </w:rPr>
        <w:t>44.61</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2080506职业年金缴费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22.22</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14:paraId="7F96F2B7">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卫生健康</w:t>
      </w:r>
      <w:r>
        <w:rPr>
          <w:rFonts w:hint="default" w:ascii="Times New Roman" w:hAnsi="Times New Roman" w:eastAsia="仿宋_GB2312" w:cs="Times New Roman"/>
          <w:sz w:val="32"/>
          <w:szCs w:val="32"/>
          <w:lang w:val="en-US" w:eastAsia="zh-CN"/>
        </w:rPr>
        <w:t>支出：2101101行政单位医疗</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21.49</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2101103公务员医疗补助</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5.65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3D0F0BD1">
      <w:pPr>
        <w:pStyle w:val="7"/>
        <w:ind w:firstLine="640" w:firstLineChars="200"/>
        <w:rPr>
          <w:rFonts w:hint="default" w:ascii="Times New Roman" w:hAnsi="Times New Roman" w:eastAsia="仿宋_GB2312" w:cs="Times New Roman"/>
          <w:lang w:val="en-US" w:eastAsia="zh-CN"/>
        </w:rPr>
      </w:pPr>
      <w:r>
        <w:rPr>
          <w:rFonts w:hint="default" w:ascii="Times New Roman" w:hAnsi="Times New Roman" w:cs="Times New Roman"/>
          <w:sz w:val="32"/>
          <w:szCs w:val="32"/>
          <w:lang w:val="en-US" w:eastAsia="zh-CN"/>
        </w:rPr>
        <w:t>4.住房保障支出：2210201住房公积金</w:t>
      </w:r>
      <w:r>
        <w:rPr>
          <w:rFonts w:hint="default" w:ascii="Times New Roman" w:hAnsi="Times New Roman" w:eastAsia="仿宋_GB2312" w:cs="Times New Roman"/>
          <w:sz w:val="32"/>
          <w:szCs w:val="32"/>
        </w:rPr>
        <w:t>支出决算为</w:t>
      </w:r>
      <w:r>
        <w:rPr>
          <w:rFonts w:hint="default" w:ascii="Times New Roman" w:hAnsi="Times New Roman" w:cs="Times New Roman"/>
          <w:sz w:val="32"/>
          <w:szCs w:val="32"/>
          <w:lang w:val="en-US" w:eastAsia="zh-CN"/>
        </w:rPr>
        <w:t>36.3万元，</w:t>
      </w:r>
      <w:r>
        <w:rPr>
          <w:rFonts w:hint="default" w:ascii="Times New Roman" w:hAnsi="Times New Roman" w:eastAsia="仿宋_GB2312" w:cs="Times New Roman"/>
          <w:sz w:val="32"/>
          <w:szCs w:val="32"/>
        </w:rPr>
        <w:t>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09FFB682">
      <w:pPr>
        <w:pageBreakBefore w:val="0"/>
        <w:tabs>
          <w:tab w:val="right" w:pos="8306"/>
        </w:tabs>
        <w:kinsoku/>
        <w:wordWrap/>
        <w:overflowPunct/>
        <w:topLinePunct w:val="0"/>
        <w:autoSpaceDE/>
        <w:autoSpaceDN/>
        <w:bidi w:val="0"/>
        <w:spacing w:line="576" w:lineRule="exact"/>
        <w:ind w:firstLine="640" w:firstLineChars="200"/>
        <w:textAlignment w:val="auto"/>
        <w:outlineLvl w:val="1"/>
        <w:rPr>
          <w:rStyle w:val="32"/>
          <w:rFonts w:hint="default" w:ascii="Times New Roman" w:hAnsi="Times New Roman" w:cs="Times New Roman"/>
          <w:color w:val="auto"/>
        </w:rPr>
      </w:pPr>
      <w:bookmarkStart w:id="46" w:name="_Toc20166"/>
      <w:bookmarkStart w:id="47" w:name="_Toc15396608"/>
      <w:bookmarkStart w:id="48" w:name="_Toc15377214"/>
      <w:r>
        <w:rPr>
          <w:rFonts w:hint="default" w:ascii="Times New Roman" w:hAnsi="Times New Roman" w:eastAsia="黑体" w:cs="Times New Roman"/>
          <w:color w:val="auto"/>
          <w:sz w:val="32"/>
          <w:szCs w:val="32"/>
        </w:rPr>
        <w:t>六</w:t>
      </w:r>
      <w:r>
        <w:rPr>
          <w:rFonts w:hint="default" w:ascii="Times New Roman" w:hAnsi="Times New Roman" w:eastAsia="黑体" w:cs="Times New Roman"/>
          <w:b/>
          <w:color w:val="auto"/>
          <w:sz w:val="32"/>
          <w:szCs w:val="32"/>
        </w:rPr>
        <w:t>、一</w:t>
      </w:r>
      <w:r>
        <w:rPr>
          <w:rStyle w:val="32"/>
          <w:rFonts w:hint="default" w:ascii="Times New Roman" w:hAnsi="Times New Roman" w:eastAsia="黑体" w:cs="Times New Roman"/>
          <w:b w:val="0"/>
          <w:color w:val="auto"/>
        </w:rPr>
        <w:t>般公共预算财政拨款基本支出决算情况说明</w:t>
      </w:r>
      <w:bookmarkEnd w:id="46"/>
      <w:bookmarkEnd w:id="47"/>
      <w:bookmarkEnd w:id="48"/>
      <w:r>
        <w:rPr>
          <w:rStyle w:val="32"/>
          <w:rFonts w:hint="default" w:ascii="Times New Roman" w:hAnsi="Times New Roman" w:eastAsia="黑体" w:cs="Times New Roman"/>
          <w:b w:val="0"/>
          <w:color w:val="auto"/>
        </w:rPr>
        <w:tab/>
      </w:r>
    </w:p>
    <w:p w14:paraId="7A6B2C5F">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2024年度一般公共预算财政拨款基本支出</w:t>
      </w:r>
      <w:r>
        <w:rPr>
          <w:rFonts w:hint="default" w:ascii="Times New Roman" w:hAnsi="Times New Roman" w:eastAsia="仿宋_GB2312" w:cs="Times New Roman"/>
          <w:color w:val="auto"/>
          <w:sz w:val="32"/>
          <w:szCs w:val="32"/>
          <w:lang w:val="en-US" w:eastAsia="zh-CN"/>
        </w:rPr>
        <w:t>1,040.91</w:t>
      </w:r>
      <w:r>
        <w:rPr>
          <w:rFonts w:hint="default" w:ascii="Times New Roman" w:hAnsi="Times New Roman" w:eastAsia="仿宋_GB2312" w:cs="Times New Roman"/>
          <w:color w:val="auto"/>
          <w:sz w:val="32"/>
          <w:szCs w:val="32"/>
        </w:rPr>
        <w:t>万元，其中：</w:t>
      </w:r>
    </w:p>
    <w:p w14:paraId="0C82ECFB">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人员经费</w:t>
      </w:r>
      <w:r>
        <w:rPr>
          <w:rFonts w:hint="default" w:ascii="Times New Roman" w:hAnsi="Times New Roman" w:eastAsia="仿宋_GB2312" w:cs="Times New Roman"/>
          <w:b/>
          <w:bCs/>
          <w:color w:val="auto"/>
          <w:sz w:val="32"/>
          <w:szCs w:val="32"/>
          <w:lang w:val="en-US" w:eastAsia="zh-CN"/>
        </w:rPr>
        <w:t>607.2</w:t>
      </w:r>
      <w:r>
        <w:rPr>
          <w:rFonts w:hint="default" w:ascii="Times New Roman" w:hAnsi="Times New Roman" w:eastAsia="仿宋_GB2312" w:cs="Times New Roman"/>
          <w:b/>
          <w:bCs/>
          <w:color w:val="auto"/>
          <w:sz w:val="32"/>
          <w:szCs w:val="32"/>
        </w:rPr>
        <w:t>万元</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仿宋_GB2312" w:cs="Times New Roman"/>
          <w:color w:val="auto"/>
          <w:sz w:val="32"/>
          <w:szCs w:val="32"/>
        </w:rPr>
        <w:br w:type="textWrapping"/>
      </w: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b/>
          <w:bCs/>
          <w:color w:val="auto"/>
          <w:sz w:val="32"/>
          <w:szCs w:val="32"/>
        </w:rPr>
        <w:t>　公用经费</w:t>
      </w:r>
      <w:r>
        <w:rPr>
          <w:rFonts w:hint="default" w:ascii="Times New Roman" w:hAnsi="Times New Roman" w:eastAsia="仿宋_GB2312" w:cs="Times New Roman"/>
          <w:b/>
          <w:bCs/>
          <w:color w:val="auto"/>
          <w:sz w:val="32"/>
          <w:szCs w:val="32"/>
          <w:lang w:val="en-US" w:eastAsia="zh-CN"/>
        </w:rPr>
        <w:t>433.71</w:t>
      </w:r>
      <w:r>
        <w:rPr>
          <w:rFonts w:hint="default" w:ascii="Times New Roman" w:hAnsi="Times New Roman" w:eastAsia="仿宋_GB2312" w:cs="Times New Roman"/>
          <w:b/>
          <w:bCs/>
          <w:color w:val="auto"/>
          <w:sz w:val="32"/>
          <w:szCs w:val="32"/>
        </w:rPr>
        <w:t>万元</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主要包括：办公费、印刷费、咨询费、手续费、水费、电费、邮电费、物业管理费、差旅费、维修（护）费、租赁费、会议费、培训费、公务接待费、劳务费、委托业务费、工会经费、福利费、公务用车运行维护费、其他交通费、税金及附加费用、其他商品和服务支出、办公设备购置。</w:t>
      </w:r>
    </w:p>
    <w:p w14:paraId="475093D4">
      <w:pPr>
        <w:pageBreakBefore w:val="0"/>
        <w:kinsoku/>
        <w:wordWrap/>
        <w:overflowPunct/>
        <w:topLinePunct w:val="0"/>
        <w:autoSpaceDE/>
        <w:autoSpaceDN/>
        <w:bidi w:val="0"/>
        <w:spacing w:line="576" w:lineRule="exact"/>
        <w:ind w:firstLine="640" w:firstLineChars="200"/>
        <w:textAlignment w:val="auto"/>
        <w:outlineLvl w:val="1"/>
        <w:rPr>
          <w:rStyle w:val="32"/>
          <w:rFonts w:hint="default" w:ascii="Times New Roman" w:hAnsi="Times New Roman" w:eastAsia="黑体" w:cs="Times New Roman"/>
          <w:b w:val="0"/>
        </w:rPr>
      </w:pPr>
      <w:bookmarkStart w:id="49" w:name="_Toc25068"/>
      <w:bookmarkStart w:id="50" w:name="_Toc15377215"/>
      <w:bookmarkStart w:id="51" w:name="_Toc15396609"/>
      <w:r>
        <w:rPr>
          <w:rFonts w:hint="default" w:ascii="Times New Roman" w:hAnsi="Times New Roman" w:eastAsia="黑体" w:cs="Times New Roman"/>
          <w:sz w:val="32"/>
          <w:szCs w:val="32"/>
        </w:rPr>
        <w:t>七、</w:t>
      </w:r>
      <w:r>
        <w:rPr>
          <w:rStyle w:val="32"/>
          <w:rFonts w:hint="default" w:ascii="Times New Roman" w:hAnsi="Times New Roman" w:eastAsia="黑体" w:cs="Times New Roman"/>
          <w:b w:val="0"/>
        </w:rPr>
        <w:t>财政拨款</w:t>
      </w:r>
      <w:r>
        <w:rPr>
          <w:rStyle w:val="32"/>
          <w:rFonts w:hint="default" w:ascii="Times New Roman" w:hAnsi="Times New Roman" w:eastAsia="黑体" w:cs="Times New Roman"/>
        </w:rPr>
        <w:t>“</w:t>
      </w:r>
      <w:r>
        <w:rPr>
          <w:rStyle w:val="32"/>
          <w:rFonts w:hint="default" w:ascii="Times New Roman" w:hAnsi="Times New Roman" w:eastAsia="黑体" w:cs="Times New Roman"/>
          <w:b w:val="0"/>
        </w:rPr>
        <w:t>三公”经费支出决算情况说明</w:t>
      </w:r>
      <w:bookmarkEnd w:id="49"/>
      <w:bookmarkEnd w:id="50"/>
      <w:bookmarkEnd w:id="51"/>
    </w:p>
    <w:p w14:paraId="55E32413">
      <w:pPr>
        <w:pageBreakBefore w:val="0"/>
        <w:kinsoku/>
        <w:wordWrap/>
        <w:overflowPunct/>
        <w:topLinePunct w:val="0"/>
        <w:autoSpaceDE/>
        <w:autoSpaceDN/>
        <w:bidi w:val="0"/>
        <w:spacing w:line="576" w:lineRule="exact"/>
        <w:ind w:firstLine="643" w:firstLineChars="200"/>
        <w:textAlignment w:val="auto"/>
        <w:outlineLvl w:val="2"/>
        <w:rPr>
          <w:rFonts w:hint="default" w:ascii="Times New Roman" w:hAnsi="Times New Roman" w:eastAsia="楷体_GB2312" w:cs="Times New Roman"/>
          <w:b/>
          <w:sz w:val="32"/>
          <w:szCs w:val="32"/>
        </w:rPr>
      </w:pPr>
      <w:bookmarkStart w:id="52" w:name="_Toc2234"/>
      <w:bookmarkStart w:id="53" w:name="_Toc15377216"/>
      <w:r>
        <w:rPr>
          <w:rFonts w:hint="default" w:ascii="Times New Roman" w:hAnsi="Times New Roman" w:eastAsia="楷体_GB2312" w:cs="Times New Roman"/>
          <w:b/>
          <w:sz w:val="32"/>
          <w:szCs w:val="32"/>
        </w:rPr>
        <w:t>（一）“三公”经费财政拨款支出决算总体情况说明</w:t>
      </w:r>
      <w:bookmarkEnd w:id="52"/>
      <w:bookmarkEnd w:id="53"/>
    </w:p>
    <w:p w14:paraId="38291826">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方正仿宋_GBK" w:cs="Times New Roman"/>
          <w:sz w:val="32"/>
          <w:szCs w:val="32"/>
        </w:rPr>
        <w:t>2024年度“三公”经费财政拨款支出决算为</w:t>
      </w:r>
      <w:r>
        <w:rPr>
          <w:rFonts w:hint="default" w:ascii="Times New Roman" w:hAnsi="Times New Roman" w:eastAsia="方正仿宋_GBK" w:cs="Times New Roman"/>
          <w:sz w:val="32"/>
          <w:szCs w:val="32"/>
          <w:lang w:val="en-US" w:eastAsia="zh-CN"/>
        </w:rPr>
        <w:t>11.59</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%，较上年度减少</w:t>
      </w:r>
      <w:r>
        <w:rPr>
          <w:rFonts w:hint="default" w:ascii="Times New Roman" w:hAnsi="Times New Roman" w:eastAsia="方正仿宋_GBK" w:cs="Times New Roman"/>
          <w:sz w:val="32"/>
          <w:szCs w:val="32"/>
          <w:lang w:val="en-US" w:eastAsia="zh-CN"/>
        </w:rPr>
        <w:t>0.18</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1.53</w:t>
      </w:r>
      <w:r>
        <w:rPr>
          <w:rFonts w:hint="default" w:ascii="Times New Roman" w:hAnsi="Times New Roman" w:eastAsia="方正仿宋_GBK" w:cs="Times New Roman"/>
          <w:sz w:val="32"/>
          <w:szCs w:val="32"/>
        </w:rPr>
        <w:t>%。</w:t>
      </w:r>
    </w:p>
    <w:p w14:paraId="181B4920">
      <w:pPr>
        <w:pageBreakBefore w:val="0"/>
        <w:kinsoku/>
        <w:wordWrap/>
        <w:overflowPunct/>
        <w:topLinePunct w:val="0"/>
        <w:autoSpaceDE/>
        <w:autoSpaceDN/>
        <w:bidi w:val="0"/>
        <w:spacing w:line="576" w:lineRule="exact"/>
        <w:ind w:firstLine="643" w:firstLineChars="200"/>
        <w:textAlignment w:val="auto"/>
        <w:outlineLvl w:val="2"/>
        <w:rPr>
          <w:rFonts w:hint="default" w:ascii="Times New Roman" w:hAnsi="Times New Roman" w:eastAsia="楷体_GB2312" w:cs="Times New Roman"/>
          <w:b/>
          <w:sz w:val="32"/>
          <w:szCs w:val="32"/>
        </w:rPr>
      </w:pPr>
      <w:bookmarkStart w:id="54" w:name="_Toc13563"/>
      <w:bookmarkStart w:id="55" w:name="_Toc15377217"/>
      <w:r>
        <w:rPr>
          <w:rFonts w:hint="default" w:ascii="Times New Roman" w:hAnsi="Times New Roman" w:eastAsia="楷体_GB2312" w:cs="Times New Roman"/>
          <w:b/>
          <w:sz w:val="32"/>
          <w:szCs w:val="32"/>
        </w:rPr>
        <w:t>（二）“三公”经费财政拨款支出决算具体情况说明</w:t>
      </w:r>
      <w:bookmarkEnd w:id="54"/>
      <w:bookmarkEnd w:id="55"/>
    </w:p>
    <w:p w14:paraId="3582B8E9">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2024年度“三公”经费财政拨款支出决算中，因公出国（境）费支出决算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%；公务用车购置及运行维护费支出决算</w:t>
      </w:r>
      <w:r>
        <w:rPr>
          <w:rFonts w:hint="default" w:ascii="Times New Roman" w:hAnsi="Times New Roman" w:eastAsia="方正仿宋_GBK" w:cs="Times New Roman"/>
          <w:sz w:val="32"/>
          <w:szCs w:val="32"/>
          <w:lang w:val="en-US" w:eastAsia="zh-CN"/>
        </w:rPr>
        <w:t>11.59</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%；公务接待费支出决算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%。具体情况如下：</w:t>
      </w:r>
    </w:p>
    <w:tbl>
      <w:tblPr>
        <w:tblStyle w:val="18"/>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149"/>
        <w:gridCol w:w="1175"/>
        <w:gridCol w:w="1124"/>
        <w:gridCol w:w="1029"/>
        <w:gridCol w:w="899"/>
        <w:gridCol w:w="862"/>
        <w:gridCol w:w="993"/>
      </w:tblGrid>
      <w:tr w14:paraId="6CC6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300" w:type="dxa"/>
            <w:gridSpan w:val="8"/>
            <w:tcBorders>
              <w:top w:val="single" w:color="auto" w:sz="12" w:space="0"/>
              <w:left w:val="single" w:color="auto" w:sz="12" w:space="0"/>
              <w:bottom w:val="nil"/>
              <w:right w:val="single" w:color="auto" w:sz="12" w:space="0"/>
            </w:tcBorders>
          </w:tcPr>
          <w:p w14:paraId="0A6200D1">
            <w:pPr>
              <w:jc w:val="center"/>
              <w:rPr>
                <w:rFonts w:hint="default" w:ascii="Times New Roman" w:hAnsi="Times New Roman" w:cs="Times New Roman"/>
                <w:sz w:val="24"/>
              </w:rPr>
            </w:pPr>
            <w:r>
              <w:rPr>
                <w:rFonts w:hint="default" w:ascii="Times New Roman" w:hAnsi="Times New Roman" w:cs="Times New Roman"/>
                <w:b/>
                <w:color w:val="000000"/>
                <w:kern w:val="0"/>
                <w:sz w:val="24"/>
                <w:lang w:bidi="ar"/>
              </w:rPr>
              <w:t>“三公”经费支出情况</w:t>
            </w:r>
          </w:p>
        </w:tc>
      </w:tr>
      <w:tr w14:paraId="79C7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8300" w:type="dxa"/>
            <w:gridSpan w:val="8"/>
            <w:tcBorders>
              <w:top w:val="nil"/>
              <w:left w:val="single" w:color="auto" w:sz="12" w:space="0"/>
              <w:bottom w:val="single" w:color="auto" w:sz="12" w:space="0"/>
              <w:right w:val="single" w:color="auto" w:sz="12" w:space="0"/>
            </w:tcBorders>
          </w:tcPr>
          <w:p w14:paraId="05FA98E0">
            <w:pPr>
              <w:jc w:val="right"/>
              <w:rPr>
                <w:rFonts w:hint="default" w:ascii="Times New Roman" w:hAnsi="Times New Roman" w:cs="Times New Roman"/>
                <w:b/>
                <w:color w:val="000000"/>
                <w:kern w:val="0"/>
                <w:sz w:val="24"/>
                <w:lang w:bidi="ar"/>
              </w:rPr>
            </w:pPr>
            <w:r>
              <w:rPr>
                <w:rFonts w:hint="default" w:ascii="Times New Roman" w:hAnsi="Times New Roman" w:cs="Times New Roman"/>
                <w:b/>
                <w:color w:val="000000"/>
                <w:kern w:val="0"/>
                <w:sz w:val="24"/>
                <w:lang w:bidi="ar"/>
              </w:rPr>
              <w:t>单位：万元</w:t>
            </w:r>
          </w:p>
        </w:tc>
      </w:tr>
      <w:tr w14:paraId="5982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69" w:type="dxa"/>
            <w:vMerge w:val="restart"/>
            <w:tcBorders>
              <w:top w:val="single" w:color="auto" w:sz="12" w:space="0"/>
              <w:left w:val="single" w:color="auto" w:sz="12" w:space="0"/>
              <w:right w:val="single" w:color="auto" w:sz="12" w:space="0"/>
            </w:tcBorders>
            <w:vAlign w:val="center"/>
          </w:tcPr>
          <w:p w14:paraId="754CC605">
            <w:pPr>
              <w:jc w:val="center"/>
              <w:rPr>
                <w:rFonts w:hint="default" w:ascii="Times New Roman" w:hAnsi="Times New Roman" w:cs="Times New Roman"/>
                <w:b/>
                <w:color w:val="000000"/>
                <w:kern w:val="0"/>
                <w:sz w:val="24"/>
                <w:lang w:bidi="ar"/>
              </w:rPr>
            </w:pPr>
            <w:r>
              <w:rPr>
                <w:rFonts w:hint="default" w:ascii="Times New Roman" w:hAnsi="Times New Roman" w:cs="Times New Roman"/>
                <w:b/>
                <w:color w:val="000000"/>
                <w:kern w:val="0"/>
                <w:sz w:val="24"/>
                <w:lang w:bidi="ar"/>
              </w:rPr>
              <w:t>本年支出</w:t>
            </w:r>
          </w:p>
        </w:tc>
        <w:tc>
          <w:tcPr>
            <w:tcW w:w="1149" w:type="dxa"/>
            <w:vMerge w:val="restart"/>
            <w:tcBorders>
              <w:top w:val="single" w:color="auto" w:sz="12" w:space="0"/>
              <w:left w:val="single" w:color="auto" w:sz="12" w:space="0"/>
              <w:right w:val="single" w:color="auto" w:sz="12" w:space="0"/>
            </w:tcBorders>
            <w:vAlign w:val="center"/>
          </w:tcPr>
          <w:p w14:paraId="1D559FA3">
            <w:pPr>
              <w:jc w:val="center"/>
              <w:rPr>
                <w:rFonts w:hint="default" w:ascii="Times New Roman" w:hAnsi="Times New Roman" w:cs="Times New Roman"/>
                <w:b/>
                <w:color w:val="000000"/>
                <w:kern w:val="0"/>
                <w:sz w:val="24"/>
                <w:lang w:bidi="ar"/>
              </w:rPr>
            </w:pPr>
            <w:r>
              <w:rPr>
                <w:rFonts w:hint="default" w:ascii="Times New Roman" w:hAnsi="Times New Roman" w:cs="Times New Roman"/>
                <w:b/>
                <w:color w:val="000000"/>
                <w:kern w:val="0"/>
                <w:sz w:val="24"/>
                <w:lang w:bidi="ar"/>
              </w:rPr>
              <w:t>比上年增减%</w:t>
            </w:r>
          </w:p>
        </w:tc>
        <w:tc>
          <w:tcPr>
            <w:tcW w:w="6082" w:type="dxa"/>
            <w:gridSpan w:val="6"/>
            <w:tcBorders>
              <w:top w:val="single" w:color="auto" w:sz="12" w:space="0"/>
              <w:left w:val="single" w:color="auto" w:sz="12" w:space="0"/>
              <w:bottom w:val="single" w:color="auto" w:sz="12" w:space="0"/>
              <w:right w:val="single" w:color="auto" w:sz="12" w:space="0"/>
            </w:tcBorders>
            <w:vAlign w:val="center"/>
          </w:tcPr>
          <w:p w14:paraId="78D9E064">
            <w:pPr>
              <w:jc w:val="center"/>
              <w:rPr>
                <w:rFonts w:hint="default" w:ascii="Times New Roman" w:hAnsi="Times New Roman" w:cs="Times New Roman"/>
                <w:b/>
                <w:color w:val="000000"/>
                <w:kern w:val="0"/>
                <w:sz w:val="24"/>
                <w:lang w:bidi="ar"/>
              </w:rPr>
            </w:pPr>
            <w:r>
              <w:rPr>
                <w:rFonts w:hint="default" w:ascii="Times New Roman" w:hAnsi="Times New Roman" w:cs="Times New Roman"/>
                <w:b/>
                <w:color w:val="000000"/>
                <w:kern w:val="0"/>
                <w:sz w:val="24"/>
                <w:lang w:bidi="ar"/>
              </w:rPr>
              <w:t>其中：</w:t>
            </w:r>
          </w:p>
        </w:tc>
      </w:tr>
      <w:tr w14:paraId="634A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069" w:type="dxa"/>
            <w:vMerge w:val="continue"/>
            <w:tcBorders>
              <w:left w:val="single" w:color="auto" w:sz="12" w:space="0"/>
              <w:bottom w:val="single" w:color="auto" w:sz="12" w:space="0"/>
              <w:right w:val="single" w:color="auto" w:sz="12" w:space="0"/>
            </w:tcBorders>
            <w:vAlign w:val="center"/>
          </w:tcPr>
          <w:p w14:paraId="77F6CCCE">
            <w:pPr>
              <w:jc w:val="center"/>
              <w:rPr>
                <w:rFonts w:hint="default" w:ascii="Times New Roman" w:hAnsi="Times New Roman" w:cs="Times New Roman"/>
                <w:b/>
                <w:color w:val="000000"/>
                <w:kern w:val="0"/>
                <w:sz w:val="24"/>
                <w:lang w:bidi="ar"/>
              </w:rPr>
            </w:pPr>
          </w:p>
        </w:tc>
        <w:tc>
          <w:tcPr>
            <w:tcW w:w="1149" w:type="dxa"/>
            <w:vMerge w:val="continue"/>
            <w:tcBorders>
              <w:left w:val="single" w:color="auto" w:sz="12" w:space="0"/>
              <w:bottom w:val="single" w:color="auto" w:sz="12" w:space="0"/>
              <w:right w:val="single" w:color="auto" w:sz="12" w:space="0"/>
            </w:tcBorders>
            <w:vAlign w:val="center"/>
          </w:tcPr>
          <w:p w14:paraId="521BECE0">
            <w:pPr>
              <w:jc w:val="center"/>
              <w:rPr>
                <w:rFonts w:hint="default" w:ascii="Times New Roman" w:hAnsi="Times New Roman" w:cs="Times New Roman"/>
                <w:b/>
                <w:color w:val="000000"/>
                <w:kern w:val="0"/>
                <w:sz w:val="24"/>
                <w:lang w:bidi="ar"/>
              </w:rPr>
            </w:pPr>
          </w:p>
        </w:tc>
        <w:tc>
          <w:tcPr>
            <w:tcW w:w="1175" w:type="dxa"/>
            <w:tcBorders>
              <w:top w:val="single" w:color="auto" w:sz="12" w:space="0"/>
              <w:left w:val="single" w:color="auto" w:sz="12" w:space="0"/>
              <w:bottom w:val="single" w:color="auto" w:sz="12" w:space="0"/>
              <w:right w:val="single" w:color="auto" w:sz="12" w:space="0"/>
            </w:tcBorders>
            <w:vAlign w:val="center"/>
          </w:tcPr>
          <w:p w14:paraId="145B38E6">
            <w:pPr>
              <w:jc w:val="center"/>
              <w:rPr>
                <w:rFonts w:hint="default" w:ascii="Times New Roman" w:hAnsi="Times New Roman" w:cs="Times New Roman"/>
                <w:b/>
                <w:color w:val="000000"/>
                <w:kern w:val="0"/>
                <w:sz w:val="24"/>
                <w:lang w:bidi="ar"/>
              </w:rPr>
            </w:pPr>
            <w:r>
              <w:rPr>
                <w:rFonts w:hint="default" w:ascii="Times New Roman" w:hAnsi="Times New Roman" w:cs="Times New Roman"/>
                <w:b/>
                <w:color w:val="000000"/>
                <w:kern w:val="0"/>
                <w:sz w:val="24"/>
                <w:lang w:bidi="ar"/>
              </w:rPr>
              <w:t>公务用车购置及运行维护费</w:t>
            </w:r>
          </w:p>
        </w:tc>
        <w:tc>
          <w:tcPr>
            <w:tcW w:w="1124" w:type="dxa"/>
            <w:tcBorders>
              <w:top w:val="single" w:color="auto" w:sz="12" w:space="0"/>
              <w:left w:val="single" w:color="auto" w:sz="12" w:space="0"/>
              <w:bottom w:val="single" w:color="auto" w:sz="12" w:space="0"/>
              <w:right w:val="single" w:color="auto" w:sz="12" w:space="0"/>
            </w:tcBorders>
            <w:vAlign w:val="center"/>
          </w:tcPr>
          <w:p w14:paraId="0AA29C23">
            <w:pPr>
              <w:jc w:val="center"/>
              <w:rPr>
                <w:rFonts w:hint="default" w:ascii="Times New Roman" w:hAnsi="Times New Roman" w:cs="Times New Roman"/>
                <w:b/>
                <w:color w:val="000000"/>
                <w:kern w:val="0"/>
                <w:sz w:val="24"/>
                <w:lang w:bidi="ar"/>
              </w:rPr>
            </w:pPr>
            <w:r>
              <w:rPr>
                <w:rFonts w:hint="default" w:ascii="Times New Roman" w:hAnsi="Times New Roman" w:cs="Times New Roman"/>
                <w:b/>
                <w:color w:val="000000"/>
                <w:kern w:val="0"/>
                <w:sz w:val="24"/>
                <w:lang w:bidi="ar"/>
              </w:rPr>
              <w:t>比上年增减%</w:t>
            </w:r>
          </w:p>
        </w:tc>
        <w:tc>
          <w:tcPr>
            <w:tcW w:w="1029" w:type="dxa"/>
            <w:tcBorders>
              <w:top w:val="single" w:color="auto" w:sz="12" w:space="0"/>
              <w:left w:val="single" w:color="auto" w:sz="12" w:space="0"/>
              <w:bottom w:val="single" w:color="auto" w:sz="12" w:space="0"/>
              <w:right w:val="single" w:color="auto" w:sz="12" w:space="0"/>
            </w:tcBorders>
            <w:vAlign w:val="center"/>
          </w:tcPr>
          <w:p w14:paraId="1B4C9042">
            <w:pPr>
              <w:jc w:val="center"/>
              <w:rPr>
                <w:rFonts w:hint="default" w:ascii="Times New Roman" w:hAnsi="Times New Roman" w:cs="Times New Roman"/>
                <w:b/>
                <w:color w:val="000000"/>
                <w:kern w:val="0"/>
                <w:sz w:val="24"/>
                <w:lang w:bidi="ar"/>
              </w:rPr>
            </w:pPr>
            <w:r>
              <w:rPr>
                <w:rFonts w:hint="default" w:ascii="Times New Roman" w:hAnsi="Times New Roman" w:cs="Times New Roman"/>
                <w:b/>
                <w:color w:val="000000"/>
                <w:kern w:val="0"/>
                <w:sz w:val="24"/>
                <w:lang w:bidi="ar"/>
              </w:rPr>
              <w:t>公务接待费</w:t>
            </w:r>
          </w:p>
        </w:tc>
        <w:tc>
          <w:tcPr>
            <w:tcW w:w="899" w:type="dxa"/>
            <w:tcBorders>
              <w:top w:val="single" w:color="auto" w:sz="12" w:space="0"/>
              <w:left w:val="single" w:color="auto" w:sz="12" w:space="0"/>
              <w:bottom w:val="single" w:color="auto" w:sz="12" w:space="0"/>
              <w:right w:val="single" w:color="auto" w:sz="12" w:space="0"/>
            </w:tcBorders>
            <w:vAlign w:val="center"/>
          </w:tcPr>
          <w:p w14:paraId="6346E787">
            <w:pPr>
              <w:jc w:val="center"/>
              <w:rPr>
                <w:rFonts w:hint="default" w:ascii="Times New Roman" w:hAnsi="Times New Roman" w:cs="Times New Roman"/>
                <w:b/>
                <w:color w:val="000000"/>
                <w:kern w:val="0"/>
                <w:sz w:val="24"/>
                <w:lang w:bidi="ar"/>
              </w:rPr>
            </w:pPr>
            <w:r>
              <w:rPr>
                <w:rFonts w:hint="default" w:ascii="Times New Roman" w:hAnsi="Times New Roman" w:cs="Times New Roman"/>
                <w:b/>
                <w:color w:val="000000"/>
                <w:kern w:val="0"/>
                <w:sz w:val="24"/>
                <w:lang w:bidi="ar"/>
              </w:rPr>
              <w:t>比上年增减%</w:t>
            </w:r>
          </w:p>
        </w:tc>
        <w:tc>
          <w:tcPr>
            <w:tcW w:w="862" w:type="dxa"/>
            <w:tcBorders>
              <w:top w:val="single" w:color="auto" w:sz="12" w:space="0"/>
              <w:left w:val="single" w:color="auto" w:sz="12" w:space="0"/>
              <w:bottom w:val="single" w:color="auto" w:sz="12" w:space="0"/>
              <w:right w:val="single" w:color="auto" w:sz="12" w:space="0"/>
            </w:tcBorders>
            <w:vAlign w:val="center"/>
          </w:tcPr>
          <w:p w14:paraId="322CFEAF">
            <w:pPr>
              <w:jc w:val="center"/>
              <w:rPr>
                <w:rFonts w:hint="default" w:ascii="Times New Roman" w:hAnsi="Times New Roman" w:cs="Times New Roman"/>
                <w:b/>
                <w:color w:val="000000"/>
                <w:kern w:val="0"/>
                <w:sz w:val="24"/>
                <w:lang w:bidi="ar"/>
              </w:rPr>
            </w:pPr>
            <w:r>
              <w:rPr>
                <w:rFonts w:hint="default" w:ascii="Times New Roman" w:hAnsi="Times New Roman" w:cs="Times New Roman"/>
                <w:b/>
                <w:color w:val="000000"/>
                <w:kern w:val="0"/>
                <w:sz w:val="24"/>
                <w:lang w:bidi="ar"/>
              </w:rPr>
              <w:t>因公出国（境）</w:t>
            </w:r>
          </w:p>
        </w:tc>
        <w:tc>
          <w:tcPr>
            <w:tcW w:w="993" w:type="dxa"/>
            <w:tcBorders>
              <w:top w:val="single" w:color="auto" w:sz="12" w:space="0"/>
              <w:left w:val="single" w:color="auto" w:sz="12" w:space="0"/>
              <w:bottom w:val="single" w:color="auto" w:sz="12" w:space="0"/>
              <w:right w:val="single" w:color="auto" w:sz="12" w:space="0"/>
            </w:tcBorders>
            <w:vAlign w:val="center"/>
          </w:tcPr>
          <w:p w14:paraId="033354D9">
            <w:pPr>
              <w:jc w:val="center"/>
              <w:rPr>
                <w:rFonts w:hint="default" w:ascii="Times New Roman" w:hAnsi="Times New Roman" w:cs="Times New Roman"/>
                <w:b/>
                <w:color w:val="000000"/>
                <w:kern w:val="0"/>
                <w:sz w:val="24"/>
                <w:lang w:bidi="ar"/>
              </w:rPr>
            </w:pPr>
            <w:r>
              <w:rPr>
                <w:rFonts w:hint="default" w:ascii="Times New Roman" w:hAnsi="Times New Roman" w:cs="Times New Roman"/>
                <w:b/>
                <w:color w:val="000000"/>
                <w:kern w:val="0"/>
                <w:sz w:val="24"/>
                <w:lang w:bidi="ar"/>
              </w:rPr>
              <w:t>比上年增减%</w:t>
            </w:r>
          </w:p>
        </w:tc>
      </w:tr>
      <w:tr w14:paraId="7412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069" w:type="dxa"/>
            <w:tcBorders>
              <w:top w:val="single" w:color="auto" w:sz="12" w:space="0"/>
              <w:left w:val="single" w:color="auto" w:sz="12" w:space="0"/>
              <w:bottom w:val="single" w:color="auto" w:sz="12" w:space="0"/>
              <w:right w:val="single" w:color="auto" w:sz="12" w:space="0"/>
            </w:tcBorders>
            <w:vAlign w:val="center"/>
          </w:tcPr>
          <w:p w14:paraId="4377C7C6">
            <w:pPr>
              <w:jc w:val="center"/>
              <w:rPr>
                <w:rFonts w:hint="default" w:ascii="Times New Roman" w:hAnsi="Times New Roman" w:cs="Times New Roman"/>
                <w:sz w:val="24"/>
              </w:rPr>
            </w:pPr>
            <w:r>
              <w:rPr>
                <w:rFonts w:hint="default" w:ascii="Times New Roman" w:hAnsi="Times New Roman" w:cs="Times New Roman"/>
                <w:sz w:val="24"/>
                <w:lang w:val="en-US" w:eastAsia="zh-CN"/>
              </w:rPr>
              <w:t>11.59</w:t>
            </w:r>
          </w:p>
        </w:tc>
        <w:tc>
          <w:tcPr>
            <w:tcW w:w="1149" w:type="dxa"/>
            <w:tcBorders>
              <w:top w:val="single" w:color="auto" w:sz="12" w:space="0"/>
              <w:left w:val="single" w:color="auto" w:sz="12" w:space="0"/>
              <w:bottom w:val="single" w:color="auto" w:sz="12" w:space="0"/>
              <w:right w:val="single" w:color="auto" w:sz="12" w:space="0"/>
            </w:tcBorders>
            <w:vAlign w:val="center"/>
          </w:tcPr>
          <w:p w14:paraId="6537C54E">
            <w:pPr>
              <w:jc w:val="center"/>
              <w:rPr>
                <w:rFonts w:hint="default" w:ascii="Times New Roman" w:hAnsi="Times New Roman" w:cs="Times New Roman"/>
                <w:sz w:val="24"/>
              </w:rPr>
            </w:pPr>
            <w:r>
              <w:rPr>
                <w:rFonts w:hint="default" w:ascii="Times New Roman" w:hAnsi="Times New Roman" w:cs="Times New Roman"/>
                <w:sz w:val="24"/>
                <w:lang w:val="en-US" w:eastAsia="zh-CN"/>
              </w:rPr>
              <w:t>-1.53</w:t>
            </w:r>
            <w:r>
              <w:rPr>
                <w:rFonts w:hint="default" w:ascii="Times New Roman" w:hAnsi="Times New Roman" w:cs="Times New Roman"/>
                <w:sz w:val="24"/>
              </w:rPr>
              <w:t>%</w:t>
            </w:r>
          </w:p>
        </w:tc>
        <w:tc>
          <w:tcPr>
            <w:tcW w:w="1175" w:type="dxa"/>
            <w:tcBorders>
              <w:top w:val="single" w:color="auto" w:sz="12" w:space="0"/>
              <w:left w:val="single" w:color="auto" w:sz="12" w:space="0"/>
              <w:bottom w:val="single" w:color="auto" w:sz="12" w:space="0"/>
              <w:right w:val="single" w:color="auto" w:sz="12" w:space="0"/>
            </w:tcBorders>
            <w:vAlign w:val="center"/>
          </w:tcPr>
          <w:p w14:paraId="27991B07">
            <w:pPr>
              <w:jc w:val="center"/>
              <w:rPr>
                <w:rFonts w:hint="default" w:ascii="Times New Roman" w:hAnsi="Times New Roman" w:cs="Times New Roman"/>
                <w:sz w:val="24"/>
              </w:rPr>
            </w:pPr>
            <w:r>
              <w:rPr>
                <w:rFonts w:hint="default" w:ascii="Times New Roman" w:hAnsi="Times New Roman" w:cs="Times New Roman"/>
                <w:sz w:val="24"/>
                <w:lang w:val="en-US" w:eastAsia="zh-CN"/>
              </w:rPr>
              <w:t>11.59</w:t>
            </w:r>
          </w:p>
        </w:tc>
        <w:tc>
          <w:tcPr>
            <w:tcW w:w="1124" w:type="dxa"/>
            <w:tcBorders>
              <w:top w:val="single" w:color="auto" w:sz="12" w:space="0"/>
              <w:left w:val="single" w:color="auto" w:sz="12" w:space="0"/>
              <w:bottom w:val="single" w:color="auto" w:sz="12" w:space="0"/>
              <w:right w:val="single" w:color="auto" w:sz="12" w:space="0"/>
            </w:tcBorders>
            <w:vAlign w:val="center"/>
          </w:tcPr>
          <w:p w14:paraId="37AE9F47">
            <w:pPr>
              <w:jc w:val="center"/>
              <w:rPr>
                <w:rFonts w:hint="default" w:ascii="Times New Roman" w:hAnsi="Times New Roman" w:cs="Times New Roman"/>
                <w:sz w:val="24"/>
              </w:rPr>
            </w:pPr>
            <w:r>
              <w:rPr>
                <w:rFonts w:hint="default" w:ascii="Times New Roman" w:hAnsi="Times New Roman" w:cs="Times New Roman"/>
                <w:sz w:val="24"/>
                <w:lang w:val="en-US" w:eastAsia="zh-CN"/>
              </w:rPr>
              <w:t>-1.53</w:t>
            </w:r>
            <w:r>
              <w:rPr>
                <w:rFonts w:hint="default" w:ascii="Times New Roman" w:hAnsi="Times New Roman" w:cs="Times New Roman"/>
                <w:sz w:val="24"/>
              </w:rPr>
              <w:t>%</w:t>
            </w:r>
          </w:p>
        </w:tc>
        <w:tc>
          <w:tcPr>
            <w:tcW w:w="1029" w:type="dxa"/>
            <w:tcBorders>
              <w:top w:val="single" w:color="auto" w:sz="12" w:space="0"/>
              <w:left w:val="single" w:color="auto" w:sz="12" w:space="0"/>
              <w:bottom w:val="single" w:color="auto" w:sz="12" w:space="0"/>
              <w:right w:val="single" w:color="auto" w:sz="12" w:space="0"/>
            </w:tcBorders>
            <w:vAlign w:val="center"/>
          </w:tcPr>
          <w:p w14:paraId="4121486D">
            <w:pPr>
              <w:jc w:val="center"/>
              <w:rPr>
                <w:rFonts w:hint="default" w:ascii="Times New Roman" w:hAnsi="Times New Roman" w:cs="Times New Roman"/>
                <w:sz w:val="24"/>
              </w:rPr>
            </w:pPr>
            <w:r>
              <w:rPr>
                <w:rFonts w:hint="default" w:ascii="Times New Roman" w:hAnsi="Times New Roman" w:cs="Times New Roman"/>
                <w:sz w:val="24"/>
              </w:rPr>
              <w:t>0.00</w:t>
            </w:r>
          </w:p>
        </w:tc>
        <w:tc>
          <w:tcPr>
            <w:tcW w:w="899" w:type="dxa"/>
            <w:tcBorders>
              <w:top w:val="single" w:color="auto" w:sz="12" w:space="0"/>
              <w:left w:val="single" w:color="auto" w:sz="12" w:space="0"/>
              <w:bottom w:val="single" w:color="auto" w:sz="12" w:space="0"/>
              <w:right w:val="single" w:color="auto" w:sz="12" w:space="0"/>
            </w:tcBorders>
            <w:vAlign w:val="center"/>
          </w:tcPr>
          <w:p w14:paraId="34E44B13">
            <w:pPr>
              <w:jc w:val="center"/>
              <w:rPr>
                <w:rFonts w:hint="default" w:ascii="Times New Roman" w:hAnsi="Times New Roman" w:cs="Times New Roman"/>
                <w:sz w:val="24"/>
              </w:rPr>
            </w:pPr>
          </w:p>
        </w:tc>
        <w:tc>
          <w:tcPr>
            <w:tcW w:w="862" w:type="dxa"/>
            <w:tcBorders>
              <w:top w:val="single" w:color="auto" w:sz="12" w:space="0"/>
              <w:left w:val="single" w:color="auto" w:sz="12" w:space="0"/>
              <w:bottom w:val="single" w:color="auto" w:sz="12" w:space="0"/>
              <w:right w:val="single" w:color="auto" w:sz="12" w:space="0"/>
            </w:tcBorders>
            <w:vAlign w:val="center"/>
          </w:tcPr>
          <w:p w14:paraId="3520EAB3">
            <w:pPr>
              <w:jc w:val="center"/>
              <w:rPr>
                <w:rFonts w:hint="default" w:ascii="Times New Roman" w:hAnsi="Times New Roman" w:cs="Times New Roman"/>
                <w:sz w:val="24"/>
              </w:rPr>
            </w:pPr>
            <w:r>
              <w:rPr>
                <w:rFonts w:hint="default" w:ascii="Times New Roman" w:hAnsi="Times New Roman" w:cs="Times New Roman"/>
                <w:sz w:val="24"/>
              </w:rPr>
              <w:t>0.00</w:t>
            </w:r>
          </w:p>
        </w:tc>
        <w:tc>
          <w:tcPr>
            <w:tcW w:w="993" w:type="dxa"/>
            <w:tcBorders>
              <w:top w:val="single" w:color="auto" w:sz="12" w:space="0"/>
              <w:left w:val="single" w:color="auto" w:sz="12" w:space="0"/>
              <w:bottom w:val="single" w:color="auto" w:sz="12" w:space="0"/>
              <w:right w:val="single" w:color="auto" w:sz="12" w:space="0"/>
            </w:tcBorders>
            <w:vAlign w:val="center"/>
          </w:tcPr>
          <w:p w14:paraId="4AD8A3DA">
            <w:pPr>
              <w:jc w:val="center"/>
              <w:rPr>
                <w:rFonts w:hint="default" w:ascii="Times New Roman" w:hAnsi="Times New Roman" w:cs="Times New Roman"/>
                <w:sz w:val="24"/>
              </w:rPr>
            </w:pPr>
            <w:r>
              <w:rPr>
                <w:rFonts w:hint="default" w:ascii="Times New Roman" w:hAnsi="Times New Roman" w:cs="Times New Roman"/>
                <w:sz w:val="24"/>
              </w:rPr>
              <w:t>0</w:t>
            </w:r>
          </w:p>
        </w:tc>
      </w:tr>
    </w:tbl>
    <w:p w14:paraId="1E242049">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1.因公出国（境）经费支出</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全年安排因公出国（境）团组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次，出国（境）</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人。因公出国（境）支出决算比2023年增加/减少</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万元，增长/下降</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14:paraId="1ECD7BDF">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2.公务用车购置及运行维护费支出</w:t>
      </w:r>
      <w:r>
        <w:rPr>
          <w:rFonts w:hint="default" w:ascii="Times New Roman" w:hAnsi="Times New Roman" w:eastAsia="方正仿宋_GBK" w:cs="Times New Roman"/>
          <w:sz w:val="32"/>
          <w:szCs w:val="32"/>
          <w:lang w:val="en-US" w:eastAsia="zh-CN"/>
        </w:rPr>
        <w:t>11.59</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100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公务用车购置及运行维护费支出决算比2023年度减少</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下降</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。其中：公务用车购置支出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万元。全年按规定更新购置公务用车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辆。截至2024年12月31日，单位共有公务用车</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辆，其中：</w:t>
      </w:r>
      <w:r>
        <w:rPr>
          <w:rFonts w:hint="default" w:ascii="Times New Roman" w:hAnsi="Times New Roman" w:eastAsia="仿宋_GB2312" w:cs="Times New Roman"/>
          <w:sz w:val="32"/>
          <w:szCs w:val="32"/>
          <w:lang w:val="en-US" w:eastAsia="zh-CN"/>
        </w:rPr>
        <w:t>应急保障车2辆，离退休干部服务用车0辆</w:t>
      </w:r>
      <w:r>
        <w:rPr>
          <w:rFonts w:hint="default" w:ascii="Times New Roman" w:hAnsi="Times New Roman" w:eastAsia="仿宋_GB2312" w:cs="Times New Roman"/>
          <w:sz w:val="32"/>
          <w:szCs w:val="32"/>
        </w:rPr>
        <w:t>。公务用车运行维护费支出</w:t>
      </w:r>
      <w:r>
        <w:rPr>
          <w:rFonts w:hint="default" w:ascii="Times New Roman" w:hAnsi="Times New Roman" w:eastAsia="方正仿宋_GBK" w:cs="Times New Roman"/>
          <w:sz w:val="32"/>
          <w:szCs w:val="32"/>
          <w:lang w:val="en-US" w:eastAsia="zh-CN"/>
        </w:rPr>
        <w:t>11.59</w:t>
      </w:r>
      <w:r>
        <w:rPr>
          <w:rFonts w:hint="default" w:ascii="Times New Roman" w:hAnsi="Times New Roman" w:eastAsia="仿宋_GB2312" w:cs="Times New Roman"/>
          <w:sz w:val="32"/>
          <w:szCs w:val="32"/>
        </w:rPr>
        <w:t>万元。主要用于所需的公务用车燃料费、维修费、过路过桥费、保险费等支出。</w:t>
      </w:r>
    </w:p>
    <w:p w14:paraId="0DF7D7CC">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3.公务接待费支出</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公务接待费支出决算比2023年度增加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bookmarkStart w:id="56" w:name="_Toc15377218"/>
      <w:bookmarkStart w:id="57" w:name="_Toc15396610"/>
    </w:p>
    <w:p w14:paraId="47228CBE">
      <w:pPr>
        <w:pageBreakBefore w:val="0"/>
        <w:kinsoku/>
        <w:wordWrap/>
        <w:overflowPunct/>
        <w:topLinePunct w:val="0"/>
        <w:autoSpaceDE/>
        <w:autoSpaceDN/>
        <w:bidi w:val="0"/>
        <w:spacing w:line="576" w:lineRule="exact"/>
        <w:ind w:firstLine="640" w:firstLineChars="200"/>
        <w:textAlignment w:val="auto"/>
        <w:outlineLvl w:val="1"/>
        <w:rPr>
          <w:rStyle w:val="32"/>
          <w:rFonts w:hint="default" w:ascii="Times New Roman" w:hAnsi="Times New Roman" w:eastAsia="黑体" w:cs="Times New Roman"/>
        </w:rPr>
      </w:pPr>
      <w:bookmarkStart w:id="58" w:name="_Toc18918"/>
      <w:r>
        <w:rPr>
          <w:rFonts w:hint="default" w:ascii="Times New Roman" w:hAnsi="Times New Roman" w:eastAsia="黑体" w:cs="Times New Roman"/>
          <w:sz w:val="32"/>
          <w:szCs w:val="32"/>
        </w:rPr>
        <w:t>八、</w:t>
      </w:r>
      <w:r>
        <w:rPr>
          <w:rStyle w:val="32"/>
          <w:rFonts w:hint="default" w:ascii="Times New Roman" w:hAnsi="Times New Roman" w:eastAsia="黑体" w:cs="Times New Roman"/>
          <w:b w:val="0"/>
        </w:rPr>
        <w:t>政府性基金预算支出决算情况说明</w:t>
      </w:r>
      <w:bookmarkEnd w:id="56"/>
      <w:bookmarkEnd w:id="57"/>
      <w:bookmarkEnd w:id="58"/>
    </w:p>
    <w:p w14:paraId="019E7AD2">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2024年度政府性基金预算财政拨款支出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%。与2023年度相比，政府性基金预算财政拨款支出增加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14:paraId="4A9A739A">
      <w:pPr>
        <w:pageBreakBefore w:val="0"/>
        <w:kinsoku/>
        <w:wordWrap/>
        <w:overflowPunct/>
        <w:topLinePunct w:val="0"/>
        <w:autoSpaceDE/>
        <w:autoSpaceDN/>
        <w:bidi w:val="0"/>
        <w:spacing w:line="576" w:lineRule="exact"/>
        <w:ind w:firstLine="640" w:firstLineChars="200"/>
        <w:textAlignment w:val="auto"/>
        <w:outlineLvl w:val="1"/>
        <w:rPr>
          <w:rStyle w:val="32"/>
          <w:rFonts w:hint="default" w:ascii="Times New Roman" w:hAnsi="Times New Roman" w:eastAsia="黑体" w:cs="Times New Roman"/>
          <w:b w:val="0"/>
        </w:rPr>
      </w:pPr>
      <w:bookmarkStart w:id="59" w:name="_Toc2827"/>
      <w:bookmarkStart w:id="60" w:name="_Toc15396611"/>
      <w:bookmarkStart w:id="61" w:name="_Toc15377219"/>
      <w:r>
        <w:rPr>
          <w:rStyle w:val="32"/>
          <w:rFonts w:hint="default" w:ascii="Times New Roman" w:hAnsi="Times New Roman" w:eastAsia="黑体" w:cs="Times New Roman"/>
          <w:b w:val="0"/>
        </w:rPr>
        <w:t>九、国有资本经营预算支出决算情况说明</w:t>
      </w:r>
      <w:bookmarkEnd w:id="59"/>
      <w:bookmarkEnd w:id="60"/>
      <w:bookmarkEnd w:id="61"/>
    </w:p>
    <w:p w14:paraId="7AE95F82">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2024年度国有资本经营预算财政拨款支出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%。与2023年度相比，国有资本经营预算财政拨款支出增加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14:paraId="2CA2FA4F">
      <w:pPr>
        <w:pageBreakBefore w:val="0"/>
        <w:kinsoku/>
        <w:wordWrap/>
        <w:overflowPunct/>
        <w:topLinePunct w:val="0"/>
        <w:autoSpaceDE/>
        <w:autoSpaceDN/>
        <w:bidi w:val="0"/>
        <w:spacing w:line="576" w:lineRule="exact"/>
        <w:ind w:firstLine="640" w:firstLineChars="200"/>
        <w:textAlignment w:val="auto"/>
        <w:outlineLvl w:val="1"/>
        <w:rPr>
          <w:rStyle w:val="32"/>
          <w:rFonts w:hint="default" w:ascii="Times New Roman" w:hAnsi="Times New Roman" w:eastAsia="黑体" w:cs="Times New Roman"/>
          <w:b w:val="0"/>
        </w:rPr>
      </w:pPr>
      <w:bookmarkStart w:id="62" w:name="_Toc15396612"/>
      <w:bookmarkStart w:id="63" w:name="_Toc8480"/>
      <w:bookmarkStart w:id="64" w:name="_Toc15377221"/>
      <w:r>
        <w:rPr>
          <w:rStyle w:val="32"/>
          <w:rFonts w:hint="default" w:ascii="Times New Roman" w:hAnsi="Times New Roman" w:eastAsia="黑体" w:cs="Times New Roman"/>
          <w:b w:val="0"/>
        </w:rPr>
        <w:t>十、其他重要事项的情况说明</w:t>
      </w:r>
      <w:bookmarkEnd w:id="62"/>
      <w:bookmarkEnd w:id="63"/>
      <w:bookmarkEnd w:id="64"/>
    </w:p>
    <w:p w14:paraId="2635AD73">
      <w:pPr>
        <w:pageBreakBefore w:val="0"/>
        <w:kinsoku/>
        <w:wordWrap/>
        <w:overflowPunct/>
        <w:topLinePunct w:val="0"/>
        <w:autoSpaceDE/>
        <w:autoSpaceDN/>
        <w:bidi w:val="0"/>
        <w:spacing w:line="576" w:lineRule="exact"/>
        <w:ind w:firstLine="643" w:firstLineChars="200"/>
        <w:textAlignment w:val="auto"/>
        <w:outlineLvl w:val="2"/>
        <w:rPr>
          <w:rFonts w:hint="default" w:ascii="Times New Roman" w:hAnsi="Times New Roman" w:eastAsia="楷体_GB2312" w:cs="Times New Roman"/>
          <w:b/>
          <w:sz w:val="32"/>
          <w:szCs w:val="32"/>
        </w:rPr>
      </w:pPr>
      <w:bookmarkStart w:id="65" w:name="_Toc1737"/>
      <w:bookmarkStart w:id="66" w:name="_Toc15377222"/>
      <w:r>
        <w:rPr>
          <w:rFonts w:hint="default" w:ascii="Times New Roman" w:hAnsi="Times New Roman" w:eastAsia="楷体_GB2312" w:cs="Times New Roman"/>
          <w:b/>
          <w:sz w:val="32"/>
          <w:szCs w:val="32"/>
        </w:rPr>
        <w:t>（一）机关运行经费支出情况</w:t>
      </w:r>
      <w:bookmarkEnd w:id="65"/>
      <w:bookmarkEnd w:id="66"/>
    </w:p>
    <w:p w14:paraId="7B010C1B">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w:t>
      </w:r>
      <w:r>
        <w:rPr>
          <w:rFonts w:hint="default" w:ascii="Times New Roman" w:hAnsi="Times New Roman" w:eastAsia="仿宋_GB2312" w:cs="Times New Roman"/>
          <w:sz w:val="32"/>
          <w:szCs w:val="32"/>
          <w:lang w:val="en-US" w:eastAsia="zh-CN"/>
        </w:rPr>
        <w:t>中共阿坝州委老干部局</w:t>
      </w:r>
      <w:r>
        <w:rPr>
          <w:rFonts w:hint="default" w:ascii="Times New Roman" w:hAnsi="Times New Roman" w:eastAsia="仿宋_GB2312" w:cs="Times New Roman"/>
          <w:sz w:val="32"/>
          <w:szCs w:val="32"/>
        </w:rPr>
        <w:t>机关运行经费支出</w:t>
      </w:r>
      <w:r>
        <w:rPr>
          <w:rFonts w:hint="default" w:ascii="Times New Roman" w:hAnsi="Times New Roman" w:eastAsia="仿宋_GB2312" w:cs="Times New Roman"/>
          <w:sz w:val="32"/>
          <w:szCs w:val="32"/>
          <w:lang w:val="en-US" w:eastAsia="zh-CN"/>
        </w:rPr>
        <w:t>433.71</w:t>
      </w:r>
      <w:r>
        <w:rPr>
          <w:rFonts w:hint="default" w:ascii="Times New Roman" w:hAnsi="Times New Roman" w:eastAsia="仿宋_GB2312" w:cs="Times New Roman"/>
          <w:sz w:val="32"/>
          <w:szCs w:val="32"/>
        </w:rPr>
        <w:t>万元，比2023年度</w:t>
      </w:r>
      <w:r>
        <w:rPr>
          <w:rFonts w:hint="default" w:ascii="Times New Roman" w:hAnsi="Times New Roman" w:eastAsia="仿宋_GB2312" w:cs="Times New Roman"/>
          <w:sz w:val="32"/>
          <w:szCs w:val="32"/>
          <w:lang w:val="en-US" w:eastAsia="zh-CN"/>
        </w:rPr>
        <w:t>462.26万元</w:t>
      </w:r>
      <w:r>
        <w:rPr>
          <w:rFonts w:hint="default" w:ascii="Times New Roman" w:hAnsi="Times New Roman" w:eastAsia="仿宋_GB2312" w:cs="Times New Roman"/>
          <w:sz w:val="32"/>
          <w:szCs w:val="32"/>
        </w:rPr>
        <w:t>减少</w:t>
      </w:r>
      <w:r>
        <w:rPr>
          <w:rFonts w:hint="default" w:ascii="Times New Roman" w:hAnsi="Times New Roman" w:eastAsia="仿宋_GB2312" w:cs="Times New Roman"/>
          <w:sz w:val="32"/>
          <w:szCs w:val="32"/>
          <w:lang w:val="en-US" w:eastAsia="zh-CN"/>
        </w:rPr>
        <w:t>28.55</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6.18</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val="en-US" w:eastAsia="zh-CN"/>
        </w:rPr>
        <w:t>本年度单位按照中央八项规定精神厉行节约，故运行经费有所下降。</w:t>
      </w:r>
    </w:p>
    <w:p w14:paraId="55FA91AE">
      <w:pPr>
        <w:pageBreakBefore w:val="0"/>
        <w:kinsoku/>
        <w:wordWrap/>
        <w:overflowPunct/>
        <w:topLinePunct w:val="0"/>
        <w:autoSpaceDE/>
        <w:autoSpaceDN/>
        <w:bidi w:val="0"/>
        <w:spacing w:line="576" w:lineRule="exact"/>
        <w:ind w:firstLine="643" w:firstLineChars="200"/>
        <w:textAlignment w:val="auto"/>
        <w:outlineLvl w:val="2"/>
        <w:rPr>
          <w:rFonts w:hint="default" w:ascii="Times New Roman" w:hAnsi="Times New Roman" w:eastAsia="楷体_GB2312" w:cs="Times New Roman"/>
          <w:b/>
          <w:sz w:val="32"/>
          <w:szCs w:val="32"/>
        </w:rPr>
      </w:pPr>
      <w:bookmarkStart w:id="67" w:name="_Toc194"/>
      <w:bookmarkStart w:id="68" w:name="_Toc15377223"/>
      <w:r>
        <w:rPr>
          <w:rFonts w:hint="default" w:ascii="Times New Roman" w:hAnsi="Times New Roman" w:eastAsia="楷体_GB2312" w:cs="Times New Roman"/>
          <w:b/>
          <w:sz w:val="32"/>
          <w:szCs w:val="32"/>
        </w:rPr>
        <w:t>（二）政府采购支出情况</w:t>
      </w:r>
      <w:bookmarkEnd w:id="67"/>
      <w:bookmarkEnd w:id="68"/>
    </w:p>
    <w:p w14:paraId="64232170">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w:t>
      </w:r>
      <w:r>
        <w:rPr>
          <w:rFonts w:hint="default" w:ascii="Times New Roman" w:hAnsi="Times New Roman" w:eastAsia="仿宋_GB2312" w:cs="Times New Roman"/>
          <w:sz w:val="32"/>
          <w:szCs w:val="32"/>
          <w:lang w:val="en-US" w:eastAsia="zh-CN"/>
        </w:rPr>
        <w:t>中共阿坝州委老干部局</w:t>
      </w:r>
      <w:r>
        <w:rPr>
          <w:rFonts w:hint="default" w:ascii="Times New Roman" w:hAnsi="Times New Roman" w:eastAsia="仿宋_GB2312" w:cs="Times New Roman"/>
          <w:sz w:val="32"/>
          <w:szCs w:val="32"/>
        </w:rPr>
        <w:t>政府采购支出总额</w:t>
      </w:r>
      <w:r>
        <w:rPr>
          <w:rFonts w:hint="default" w:ascii="Times New Roman" w:hAnsi="Times New Roman" w:eastAsia="仿宋_GB2312" w:cs="Times New Roman"/>
          <w:sz w:val="32"/>
          <w:szCs w:val="32"/>
          <w:lang w:val="en-US" w:eastAsia="zh-CN"/>
        </w:rPr>
        <w:t>3.45</w:t>
      </w:r>
      <w:r>
        <w:rPr>
          <w:rFonts w:hint="default" w:ascii="Times New Roman" w:hAnsi="Times New Roman" w:eastAsia="仿宋_GB2312" w:cs="Times New Roman"/>
          <w:sz w:val="32"/>
          <w:szCs w:val="32"/>
        </w:rPr>
        <w:t>万元，其中：政府采购货物支出</w:t>
      </w:r>
      <w:r>
        <w:rPr>
          <w:rFonts w:hint="default" w:ascii="Times New Roman" w:hAnsi="Times New Roman" w:eastAsia="仿宋_GB2312" w:cs="Times New Roman"/>
          <w:sz w:val="32"/>
          <w:szCs w:val="32"/>
          <w:lang w:val="en-US" w:eastAsia="zh-CN"/>
        </w:rPr>
        <w:t>3.45</w:t>
      </w:r>
      <w:r>
        <w:rPr>
          <w:rFonts w:hint="default" w:ascii="Times New Roman" w:hAnsi="Times New Roman" w:eastAsia="仿宋_GB2312" w:cs="Times New Roman"/>
          <w:sz w:val="32"/>
          <w:szCs w:val="32"/>
        </w:rPr>
        <w:t>万元、政府采购工程支出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万元、政府采购服务支出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万元。主要</w:t>
      </w:r>
      <w:r>
        <w:rPr>
          <w:rFonts w:hint="default" w:ascii="Times New Roman" w:hAnsi="Times New Roman" w:eastAsia="仿宋_GB2312" w:cs="Times New Roman"/>
          <w:sz w:val="32"/>
          <w:szCs w:val="32"/>
          <w:lang w:val="en-US" w:eastAsia="zh-CN"/>
        </w:rPr>
        <w:t>车辆保险及购买办公设备</w:t>
      </w:r>
      <w:r>
        <w:rPr>
          <w:rFonts w:hint="default" w:ascii="Times New Roman" w:hAnsi="Times New Roman" w:eastAsia="仿宋_GB2312" w:cs="Times New Roman"/>
          <w:sz w:val="32"/>
          <w:szCs w:val="32"/>
        </w:rPr>
        <w:t>。授予中小企业合同金额</w:t>
      </w:r>
      <w:r>
        <w:rPr>
          <w:rFonts w:hint="default" w:ascii="Times New Roman" w:hAnsi="Times New Roman" w:eastAsia="仿宋_GB2312" w:cs="Times New Roman"/>
          <w:sz w:val="32"/>
          <w:szCs w:val="32"/>
          <w:lang w:val="en-US" w:eastAsia="zh-CN"/>
        </w:rPr>
        <w:t>3.45</w:t>
      </w:r>
      <w:r>
        <w:rPr>
          <w:rFonts w:hint="default"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%，其中：授予小微企业合同金额</w:t>
      </w:r>
      <w:r>
        <w:rPr>
          <w:rFonts w:hint="default" w:ascii="Times New Roman" w:hAnsi="Times New Roman" w:eastAsia="仿宋_GB2312" w:cs="Times New Roman"/>
          <w:sz w:val="32"/>
          <w:szCs w:val="32"/>
          <w:lang w:val="en-US" w:eastAsia="zh-CN"/>
        </w:rPr>
        <w:t>3.45</w:t>
      </w:r>
      <w:r>
        <w:rPr>
          <w:rFonts w:hint="default"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14:paraId="45302635">
      <w:pPr>
        <w:pageBreakBefore w:val="0"/>
        <w:kinsoku/>
        <w:wordWrap/>
        <w:overflowPunct/>
        <w:topLinePunct w:val="0"/>
        <w:autoSpaceDE/>
        <w:autoSpaceDN/>
        <w:bidi w:val="0"/>
        <w:spacing w:line="576" w:lineRule="exact"/>
        <w:ind w:firstLine="643" w:firstLineChars="200"/>
        <w:textAlignment w:val="auto"/>
        <w:outlineLvl w:val="2"/>
        <w:rPr>
          <w:rFonts w:hint="default" w:ascii="Times New Roman" w:hAnsi="Times New Roman" w:eastAsia="楷体_GB2312" w:cs="Times New Roman"/>
          <w:b/>
          <w:sz w:val="32"/>
          <w:szCs w:val="32"/>
        </w:rPr>
      </w:pPr>
      <w:bookmarkStart w:id="69" w:name="_Toc27111"/>
      <w:bookmarkStart w:id="70" w:name="_Toc15377224"/>
      <w:r>
        <w:rPr>
          <w:rFonts w:hint="default" w:ascii="Times New Roman" w:hAnsi="Times New Roman" w:eastAsia="楷体_GB2312" w:cs="Times New Roman"/>
          <w:b/>
          <w:sz w:val="32"/>
          <w:szCs w:val="32"/>
        </w:rPr>
        <w:t>（三）国有资产占有使用情况</w:t>
      </w:r>
      <w:bookmarkEnd w:id="69"/>
      <w:bookmarkEnd w:id="70"/>
    </w:p>
    <w:p w14:paraId="1C776524">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截至2024年12月31日，</w:t>
      </w:r>
      <w:r>
        <w:rPr>
          <w:rFonts w:hint="default" w:ascii="Times New Roman" w:hAnsi="Times New Roman" w:eastAsia="仿宋_GB2312" w:cs="Times New Roman"/>
          <w:sz w:val="32"/>
          <w:szCs w:val="32"/>
          <w:lang w:val="en-US" w:eastAsia="zh-CN"/>
        </w:rPr>
        <w:t>中共阿坝州委老干部局</w:t>
      </w:r>
      <w:r>
        <w:rPr>
          <w:rFonts w:hint="default" w:ascii="Times New Roman" w:hAnsi="Times New Roman" w:eastAsia="仿宋_GB2312" w:cs="Times New Roman"/>
          <w:sz w:val="32"/>
          <w:szCs w:val="32"/>
        </w:rPr>
        <w:t>共有车辆</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辆，其中：主要负责人用车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辆、机要通信用车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辆、应急保障用车</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辆、其他用车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辆，其他用车主要是用于</w:t>
      </w:r>
      <w:r>
        <w:rPr>
          <w:rFonts w:hint="default" w:ascii="Times New Roman" w:hAnsi="Times New Roman" w:eastAsia="仿宋_GB2312" w:cs="Times New Roman"/>
          <w:sz w:val="32"/>
          <w:szCs w:val="32"/>
          <w:lang w:val="en-US" w:eastAsia="zh-CN"/>
        </w:rPr>
        <w:t>离退休干部服务用车</w:t>
      </w:r>
      <w:r>
        <w:rPr>
          <w:rFonts w:hint="default" w:ascii="Times New Roman" w:hAnsi="Times New Roman" w:eastAsia="仿宋_GB2312" w:cs="Times New Roman"/>
          <w:sz w:val="32"/>
          <w:szCs w:val="32"/>
        </w:rPr>
        <w:t>。单价100万元（含）以上设备（不含车辆）</w:t>
      </w:r>
      <w:r>
        <w:rPr>
          <w:rFonts w:hint="default" w:ascii="Times New Roman" w:hAnsi="Times New Roman" w:eastAsia="仿宋_GB2312" w:cs="Times New Roman"/>
          <w:sz w:val="32"/>
          <w:szCs w:val="32"/>
          <w:lang w:val="en-US" w:eastAsia="zh-CN"/>
        </w:rPr>
        <w:t>0台</w:t>
      </w:r>
      <w:r>
        <w:rPr>
          <w:rFonts w:hint="default" w:ascii="Times New Roman" w:hAnsi="Times New Roman" w:eastAsia="仿宋_GB2312" w:cs="Times New Roman"/>
          <w:sz w:val="32"/>
          <w:szCs w:val="32"/>
        </w:rPr>
        <w:t>。</w:t>
      </w:r>
    </w:p>
    <w:p w14:paraId="43666F02">
      <w:pPr>
        <w:pageBreakBefore w:val="0"/>
        <w:kinsoku/>
        <w:wordWrap/>
        <w:overflowPunct/>
        <w:topLinePunct w:val="0"/>
        <w:autoSpaceDE/>
        <w:autoSpaceDN/>
        <w:bidi w:val="0"/>
        <w:spacing w:line="576" w:lineRule="exact"/>
        <w:ind w:firstLine="643" w:firstLineChars="200"/>
        <w:textAlignment w:val="auto"/>
        <w:outlineLvl w:val="2"/>
        <w:rPr>
          <w:rFonts w:hint="default" w:ascii="Times New Roman" w:hAnsi="Times New Roman" w:eastAsia="楷体_GB2312" w:cs="Times New Roman"/>
          <w:b/>
          <w:sz w:val="32"/>
          <w:szCs w:val="32"/>
        </w:rPr>
      </w:pPr>
      <w:bookmarkStart w:id="71" w:name="_Toc24951"/>
      <w:r>
        <w:rPr>
          <w:rFonts w:hint="default" w:ascii="Times New Roman" w:hAnsi="Times New Roman" w:eastAsia="楷体_GB2312" w:cs="Times New Roman"/>
          <w:b/>
          <w:sz w:val="32"/>
          <w:szCs w:val="32"/>
        </w:rPr>
        <w:t>（四）预算绩效管理情况</w:t>
      </w:r>
      <w:bookmarkEnd w:id="71"/>
    </w:p>
    <w:p w14:paraId="4818AB03">
      <w:pPr>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中共阿坝州委老干部局</w:t>
      </w:r>
      <w:r>
        <w:rPr>
          <w:rFonts w:hint="default" w:ascii="Times New Roman" w:hAnsi="Times New Roman" w:eastAsia="仿宋_GB2312" w:cs="Times New Roman"/>
          <w:sz w:val="32"/>
          <w:szCs w:val="32"/>
        </w:rPr>
        <w:t>严格按照</w:t>
      </w:r>
      <w:r>
        <w:rPr>
          <w:rFonts w:hint="default" w:ascii="Times New Roman" w:hAnsi="Times New Roman" w:eastAsia="仿宋_GB2312" w:cs="Times New Roman"/>
          <w:sz w:val="32"/>
          <w:szCs w:val="32"/>
          <w:lang w:val="en-US" w:eastAsia="zh-CN"/>
        </w:rPr>
        <w:t>本级财政相关</w:t>
      </w:r>
      <w:r>
        <w:rPr>
          <w:rFonts w:hint="default" w:ascii="Times New Roman" w:hAnsi="Times New Roman" w:eastAsia="仿宋_GB2312" w:cs="Times New Roman"/>
          <w:sz w:val="32"/>
          <w:szCs w:val="32"/>
        </w:rPr>
        <w:t>要求，对2024年度一般公共预算、政府性基金预算、国有资本经营预算、社会保险基金预算以及资本资产、债券资金等全面开展绩效自评，形成</w:t>
      </w:r>
      <w:r>
        <w:rPr>
          <w:rFonts w:hint="default" w:ascii="Times New Roman" w:hAnsi="Times New Roman" w:eastAsia="仿宋_GB2312" w:cs="Times New Roman"/>
          <w:sz w:val="32"/>
          <w:szCs w:val="32"/>
          <w:lang w:val="en-US" w:eastAsia="zh-CN"/>
        </w:rPr>
        <w:t>中共阿坝中共阿坝州委老干部局</w:t>
      </w:r>
      <w:r>
        <w:rPr>
          <w:rFonts w:hint="default" w:ascii="Times New Roman" w:hAnsi="Times New Roman" w:eastAsia="仿宋_GB2312" w:cs="Times New Roman"/>
          <w:sz w:val="32"/>
          <w:szCs w:val="32"/>
        </w:rPr>
        <w:t>整体（含部门预算项目）绩效自评报告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部门整体（含部门预算项目）绩效自评得分为</w:t>
      </w:r>
      <w:r>
        <w:rPr>
          <w:rFonts w:hint="default" w:ascii="Times New Roman" w:hAnsi="Times New Roman" w:eastAsia="仿宋_GB2312" w:cs="Times New Roman"/>
          <w:sz w:val="32"/>
          <w:szCs w:val="32"/>
          <w:lang w:val="en-US" w:eastAsia="zh-CN"/>
        </w:rPr>
        <w:t>95.19</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在规定时间内对外公开</w:t>
      </w:r>
      <w:r>
        <w:rPr>
          <w:rFonts w:hint="default" w:ascii="Times New Roman" w:hAnsi="Times New Roman" w:eastAsia="仿宋_GB2312" w:cs="Times New Roman"/>
          <w:sz w:val="32"/>
          <w:szCs w:val="32"/>
          <w:lang w:val="en-US" w:eastAsia="zh-CN"/>
        </w:rPr>
        <w:t>部门（单位）</w:t>
      </w:r>
      <w:r>
        <w:rPr>
          <w:rFonts w:hint="default" w:ascii="Times New Roman" w:hAnsi="Times New Roman" w:eastAsia="仿宋_GB2312" w:cs="Times New Roman"/>
          <w:sz w:val="32"/>
          <w:szCs w:val="32"/>
        </w:rPr>
        <w:t>决算支出情况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把决算公开与预算编制、预算执行、会计核算等工作结合起来，从源头上和过程中加强控制，全面规范财政财务管理行为。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绩效自评报告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详见附件。</w:t>
      </w:r>
      <w:r>
        <w:rPr>
          <w:rFonts w:hint="default" w:ascii="Times New Roman" w:hAnsi="Times New Roman" w:eastAsia="仿宋_GB2312" w:cs="Times New Roman"/>
          <w:sz w:val="32"/>
          <w:szCs w:val="32"/>
          <w:lang w:eastAsia="zh-CN"/>
        </w:rPr>
        <w:t>）</w:t>
      </w:r>
    </w:p>
    <w:p w14:paraId="45844E85">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bookmarkStart w:id="72" w:name="_Toc15377225"/>
      <w:bookmarkStart w:id="73" w:name="_Toc15396613"/>
      <w:bookmarkStart w:id="74" w:name="_Toc31034"/>
    </w:p>
    <w:p w14:paraId="1DFDA677">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6BA1A52C">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064343F1">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33D2C459">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2AE358BF">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7A13C1F3">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322B393B">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4595B738">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7F5959ED">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1DEFA27E">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3F8DED97">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27E3EBC9">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712DCEAD">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3695CA84">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7792AE47">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2DB080D0">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2238A4D1">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188D2002">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1E2D2665">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6F45BA35">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bookmarkStart w:id="91" w:name="_GoBack"/>
      <w:r>
        <w:rPr>
          <w:rFonts w:hint="default" w:ascii="Times New Roman" w:hAnsi="Times New Roman" w:eastAsia="黑体" w:cs="Times New Roman"/>
          <w:sz w:val="44"/>
          <w:szCs w:val="44"/>
        </w:rPr>
        <w:t>第三部分  名词解释</w:t>
      </w:r>
      <w:bookmarkEnd w:id="72"/>
      <w:bookmarkEnd w:id="73"/>
      <w:bookmarkEnd w:id="74"/>
    </w:p>
    <w:p w14:paraId="46850336">
      <w:pPr>
        <w:pageBreakBefore w:val="0"/>
        <w:kinsoku/>
        <w:wordWrap/>
        <w:overflowPunct/>
        <w:topLinePunct w:val="0"/>
        <w:autoSpaceDE/>
        <w:autoSpaceDN/>
        <w:bidi w:val="0"/>
        <w:spacing w:line="576" w:lineRule="exact"/>
        <w:ind w:firstLine="883" w:firstLineChars="200"/>
        <w:jc w:val="left"/>
        <w:textAlignment w:val="auto"/>
        <w:rPr>
          <w:rFonts w:hint="default" w:ascii="Times New Roman" w:hAnsi="Times New Roman" w:cs="Times New Roman"/>
          <w:b/>
          <w:sz w:val="44"/>
          <w:szCs w:val="44"/>
        </w:rPr>
      </w:pPr>
    </w:p>
    <w:p w14:paraId="4BAF05B5">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14:paraId="7DA482AC">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2.其他收入：指单位取得的除上述收入以外的各项收入。主要是</w:t>
      </w:r>
      <w:r>
        <w:rPr>
          <w:rFonts w:hint="default" w:ascii="Times New Roman" w:hAnsi="Times New Roman" w:eastAsia="仿宋_GB2312" w:cs="Times New Roman"/>
          <w:sz w:val="32"/>
          <w:szCs w:val="32"/>
          <w:lang w:val="en-US" w:eastAsia="zh-CN"/>
        </w:rPr>
        <w:t>干休所收取管理服务老干部的管理费</w:t>
      </w:r>
      <w:r>
        <w:rPr>
          <w:rFonts w:hint="default" w:ascii="Times New Roman" w:hAnsi="Times New Roman" w:eastAsia="仿宋_GB2312" w:cs="Times New Roman"/>
          <w:sz w:val="32"/>
          <w:szCs w:val="32"/>
        </w:rPr>
        <w:t xml:space="preserve">。 </w:t>
      </w:r>
    </w:p>
    <w:p w14:paraId="2A3583FC">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 xml:space="preserve">.使用非财政拨款结余（含专用结余）：指事业单位使用以前年度积累的非财政拨款结余弥补当年收支差额的金额。 </w:t>
      </w:r>
    </w:p>
    <w:p w14:paraId="2139D660">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 xml:space="preserve">年初结转和结余：指以前年度尚未完成、结转到本年按有关规定继续使用的资金。 </w:t>
      </w:r>
    </w:p>
    <w:p w14:paraId="6FB1F36A">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.结余分配：指事业单位按照会计制度规定缴纳的所得税、提取的专用结余以及转入非财政拨款结余的金额等。</w:t>
      </w:r>
    </w:p>
    <w:p w14:paraId="666A8C02">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.年末结转和结余：指单位按有关规定结转到下年或以后年度继续使用的资金。</w:t>
      </w:r>
    </w:p>
    <w:p w14:paraId="62BAAF9E">
      <w:pPr>
        <w:bidi w:val="0"/>
        <w:ind w:firstLine="643" w:firstLineChars="200"/>
        <w:jc w:val="both"/>
        <w:rPr>
          <w:rFonts w:hint="default" w:ascii="Times New Roman" w:hAnsi="Times New Roman" w:eastAsia="仿宋" w:cs="Times New Roman"/>
          <w:sz w:val="32"/>
          <w:szCs w:val="32"/>
          <w:lang w:bidi="ar-SA"/>
        </w:rPr>
      </w:pPr>
      <w:r>
        <w:rPr>
          <w:rFonts w:hint="default" w:ascii="Times New Roman" w:hAnsi="Times New Roman" w:eastAsia="仿宋" w:cs="Times New Roman"/>
          <w:b/>
          <w:bCs/>
          <w:sz w:val="32"/>
          <w:szCs w:val="32"/>
          <w:lang w:val="en-US" w:eastAsia="zh-CN" w:bidi="ar-SA"/>
        </w:rPr>
        <w:t>7</w:t>
      </w:r>
      <w:r>
        <w:rPr>
          <w:rFonts w:hint="default" w:ascii="Times New Roman" w:hAnsi="Times New Roman" w:eastAsia="仿宋" w:cs="Times New Roman"/>
          <w:b/>
          <w:bCs/>
          <w:sz w:val="32"/>
          <w:szCs w:val="32"/>
          <w:lang w:bidi="ar-SA"/>
        </w:rPr>
        <w:t>.社会保障和就业（类）</w:t>
      </w:r>
      <w:r>
        <w:rPr>
          <w:rFonts w:hint="default" w:ascii="Times New Roman" w:hAnsi="Times New Roman" w:eastAsia="仿宋" w:cs="Times New Roman"/>
          <w:b/>
          <w:bCs/>
          <w:sz w:val="32"/>
          <w:szCs w:val="32"/>
          <w:lang w:eastAsia="zh-CN" w:bidi="ar-SA"/>
        </w:rPr>
        <w:t>行政事业单位离退休</w:t>
      </w:r>
      <w:r>
        <w:rPr>
          <w:rFonts w:hint="default" w:ascii="Times New Roman" w:hAnsi="Times New Roman" w:eastAsia="仿宋" w:cs="Times New Roman"/>
          <w:b/>
          <w:bCs/>
          <w:sz w:val="32"/>
          <w:szCs w:val="32"/>
          <w:lang w:bidi="ar-SA"/>
        </w:rPr>
        <w:t>（款）</w:t>
      </w:r>
      <w:r>
        <w:rPr>
          <w:rFonts w:hint="default" w:ascii="Times New Roman" w:hAnsi="Times New Roman" w:eastAsia="仿宋" w:cs="Times New Roman"/>
          <w:b/>
          <w:bCs/>
          <w:sz w:val="32"/>
          <w:szCs w:val="32"/>
          <w:lang w:eastAsia="zh-CN" w:bidi="ar-SA"/>
        </w:rPr>
        <w:t>机关事业单位基本养老保险缴费支出</w:t>
      </w:r>
      <w:r>
        <w:rPr>
          <w:rFonts w:hint="default" w:ascii="Times New Roman" w:hAnsi="Times New Roman" w:eastAsia="仿宋" w:cs="Times New Roman"/>
          <w:b/>
          <w:bCs/>
          <w:sz w:val="32"/>
          <w:szCs w:val="32"/>
          <w:lang w:bidi="ar-SA"/>
        </w:rPr>
        <w:t>（项）：</w:t>
      </w:r>
      <w:r>
        <w:rPr>
          <w:rFonts w:hint="default" w:ascii="Times New Roman" w:hAnsi="Times New Roman" w:eastAsia="仿宋" w:cs="Times New Roman"/>
          <w:sz w:val="32"/>
          <w:szCs w:val="32"/>
          <w:lang w:bidi="ar-SA"/>
        </w:rPr>
        <w:t>指</w:t>
      </w:r>
      <w:r>
        <w:rPr>
          <w:rFonts w:hint="default" w:ascii="Times New Roman" w:hAnsi="Times New Roman" w:eastAsia="仿宋" w:cs="Times New Roman"/>
          <w:sz w:val="32"/>
          <w:szCs w:val="32"/>
          <w:lang w:eastAsia="zh-CN" w:bidi="ar-SA"/>
        </w:rPr>
        <w:t>反映机关事业单位实施养老保险制度由单位缴纳的基本养老保险费支出</w:t>
      </w:r>
      <w:r>
        <w:rPr>
          <w:rFonts w:hint="default" w:ascii="Times New Roman" w:hAnsi="Times New Roman" w:eastAsia="仿宋" w:cs="Times New Roman"/>
          <w:sz w:val="32"/>
          <w:szCs w:val="32"/>
          <w:lang w:bidi="ar-SA"/>
        </w:rPr>
        <w:t>。</w:t>
      </w:r>
    </w:p>
    <w:p w14:paraId="376EBA6A">
      <w:pPr>
        <w:bidi w:val="0"/>
        <w:ind w:firstLine="643" w:firstLineChars="200"/>
        <w:jc w:val="both"/>
        <w:rPr>
          <w:rFonts w:hint="default" w:ascii="Times New Roman" w:hAnsi="Times New Roman" w:eastAsia="仿宋" w:cs="Times New Roman"/>
          <w:sz w:val="32"/>
          <w:szCs w:val="32"/>
          <w:lang w:bidi="ar-SA"/>
        </w:rPr>
      </w:pPr>
      <w:r>
        <w:rPr>
          <w:rFonts w:hint="default" w:ascii="Times New Roman" w:hAnsi="Times New Roman" w:eastAsia="仿宋" w:cs="Times New Roman"/>
          <w:b/>
          <w:bCs/>
          <w:sz w:val="32"/>
          <w:szCs w:val="32"/>
          <w:lang w:val="en-US" w:eastAsia="zh-CN" w:bidi="ar-SA"/>
        </w:rPr>
        <w:t>8</w:t>
      </w:r>
      <w:r>
        <w:rPr>
          <w:rFonts w:hint="default" w:ascii="Times New Roman" w:hAnsi="Times New Roman" w:eastAsia="仿宋" w:cs="Times New Roman"/>
          <w:b/>
          <w:bCs/>
          <w:sz w:val="32"/>
          <w:szCs w:val="32"/>
          <w:lang w:bidi="ar-SA"/>
        </w:rPr>
        <w:t>.社会保障和就业（类）</w:t>
      </w:r>
      <w:r>
        <w:rPr>
          <w:rFonts w:hint="default" w:ascii="Times New Roman" w:hAnsi="Times New Roman" w:eastAsia="仿宋" w:cs="Times New Roman"/>
          <w:b/>
          <w:bCs/>
          <w:sz w:val="32"/>
          <w:szCs w:val="32"/>
          <w:lang w:eastAsia="zh-CN" w:bidi="ar-SA"/>
        </w:rPr>
        <w:t>行政事业单位离退休</w:t>
      </w:r>
      <w:r>
        <w:rPr>
          <w:rFonts w:hint="default" w:ascii="Times New Roman" w:hAnsi="Times New Roman" w:eastAsia="仿宋" w:cs="Times New Roman"/>
          <w:b/>
          <w:bCs/>
          <w:sz w:val="32"/>
          <w:szCs w:val="32"/>
          <w:lang w:bidi="ar-SA"/>
        </w:rPr>
        <w:t>（款）</w:t>
      </w:r>
      <w:r>
        <w:rPr>
          <w:rFonts w:hint="default" w:ascii="Times New Roman" w:hAnsi="Times New Roman" w:eastAsia="仿宋" w:cs="Times New Roman"/>
          <w:b/>
          <w:bCs/>
          <w:sz w:val="32"/>
          <w:szCs w:val="32"/>
          <w:lang w:eastAsia="zh-CN" w:bidi="ar-SA"/>
        </w:rPr>
        <w:t>机关事业单位职业年金缴费支出</w:t>
      </w:r>
      <w:r>
        <w:rPr>
          <w:rFonts w:hint="default" w:ascii="Times New Roman" w:hAnsi="Times New Roman" w:eastAsia="仿宋" w:cs="Times New Roman"/>
          <w:b/>
          <w:bCs/>
          <w:sz w:val="32"/>
          <w:szCs w:val="32"/>
          <w:lang w:bidi="ar-SA"/>
        </w:rPr>
        <w:t>（项）：</w:t>
      </w:r>
      <w:r>
        <w:rPr>
          <w:rFonts w:hint="default" w:ascii="Times New Roman" w:hAnsi="Times New Roman" w:eastAsia="仿宋" w:cs="Times New Roman"/>
          <w:sz w:val="32"/>
          <w:szCs w:val="32"/>
          <w:lang w:bidi="ar-SA"/>
        </w:rPr>
        <w:t>指</w:t>
      </w:r>
      <w:r>
        <w:rPr>
          <w:rFonts w:hint="default" w:ascii="Times New Roman" w:hAnsi="Times New Roman" w:eastAsia="仿宋" w:cs="Times New Roman"/>
          <w:sz w:val="32"/>
          <w:szCs w:val="32"/>
          <w:lang w:eastAsia="zh-CN" w:bidi="ar-SA"/>
        </w:rPr>
        <w:t>反映机关事业单位实施养老保险制度由单位实际缴纳的职业年金支出</w:t>
      </w:r>
      <w:r>
        <w:rPr>
          <w:rFonts w:hint="default" w:ascii="Times New Roman" w:hAnsi="Times New Roman" w:eastAsia="仿宋" w:cs="Times New Roman"/>
          <w:sz w:val="32"/>
          <w:szCs w:val="32"/>
          <w:lang w:bidi="ar-SA"/>
        </w:rPr>
        <w:t>。</w:t>
      </w:r>
    </w:p>
    <w:p w14:paraId="788FD94B">
      <w:pPr>
        <w:bidi w:val="0"/>
        <w:ind w:firstLine="643" w:firstLineChars="200"/>
        <w:jc w:val="both"/>
        <w:rPr>
          <w:rFonts w:hint="default" w:ascii="Times New Roman" w:hAnsi="Times New Roman" w:eastAsia="仿宋" w:cs="Times New Roman"/>
          <w:sz w:val="32"/>
          <w:szCs w:val="32"/>
          <w:lang w:bidi="ar-SA"/>
        </w:rPr>
      </w:pPr>
      <w:r>
        <w:rPr>
          <w:rFonts w:hint="default" w:ascii="Times New Roman" w:hAnsi="Times New Roman" w:eastAsia="仿宋" w:cs="Times New Roman"/>
          <w:b/>
          <w:bCs/>
          <w:sz w:val="32"/>
          <w:szCs w:val="32"/>
          <w:lang w:val="en-US" w:eastAsia="zh-CN" w:bidi="ar-SA"/>
        </w:rPr>
        <w:t>9</w:t>
      </w:r>
      <w:r>
        <w:rPr>
          <w:rFonts w:hint="default" w:ascii="Times New Roman" w:hAnsi="Times New Roman" w:eastAsia="仿宋" w:cs="Times New Roman"/>
          <w:b/>
          <w:bCs/>
          <w:sz w:val="32"/>
          <w:szCs w:val="32"/>
          <w:lang w:bidi="ar-SA"/>
        </w:rPr>
        <w:t>.</w:t>
      </w:r>
      <w:r>
        <w:rPr>
          <w:rFonts w:hint="default" w:ascii="Times New Roman" w:hAnsi="Times New Roman" w:eastAsia="仿宋" w:cs="Times New Roman"/>
          <w:b/>
          <w:bCs/>
          <w:sz w:val="32"/>
          <w:szCs w:val="32"/>
          <w:lang w:val="en-US" w:eastAsia="zh-CN" w:bidi="ar-SA"/>
        </w:rPr>
        <w:t>卫生健康支出</w:t>
      </w:r>
      <w:r>
        <w:rPr>
          <w:rFonts w:hint="default" w:ascii="Times New Roman" w:hAnsi="Times New Roman" w:eastAsia="仿宋" w:cs="Times New Roman"/>
          <w:b/>
          <w:bCs/>
          <w:sz w:val="32"/>
          <w:szCs w:val="32"/>
          <w:lang w:bidi="ar-SA"/>
        </w:rPr>
        <w:t>（类）</w:t>
      </w:r>
      <w:r>
        <w:rPr>
          <w:rFonts w:hint="default" w:ascii="Times New Roman" w:hAnsi="Times New Roman" w:eastAsia="仿宋" w:cs="Times New Roman"/>
          <w:b/>
          <w:bCs/>
          <w:sz w:val="32"/>
          <w:szCs w:val="32"/>
          <w:lang w:eastAsia="zh-CN" w:bidi="ar-SA"/>
        </w:rPr>
        <w:t>行政事业单位医疗</w:t>
      </w:r>
      <w:r>
        <w:rPr>
          <w:rFonts w:hint="default" w:ascii="Times New Roman" w:hAnsi="Times New Roman" w:eastAsia="仿宋" w:cs="Times New Roman"/>
          <w:b/>
          <w:bCs/>
          <w:sz w:val="32"/>
          <w:szCs w:val="32"/>
          <w:lang w:bidi="ar-SA"/>
        </w:rPr>
        <w:t>（款）</w:t>
      </w:r>
      <w:r>
        <w:rPr>
          <w:rFonts w:hint="default" w:ascii="Times New Roman" w:hAnsi="Times New Roman" w:eastAsia="仿宋" w:cs="Times New Roman"/>
          <w:b/>
          <w:bCs/>
          <w:sz w:val="32"/>
          <w:szCs w:val="32"/>
          <w:lang w:eastAsia="zh-CN" w:bidi="ar-SA"/>
        </w:rPr>
        <w:t>行政单位医疗</w:t>
      </w:r>
      <w:r>
        <w:rPr>
          <w:rFonts w:hint="default" w:ascii="Times New Roman" w:hAnsi="Times New Roman" w:eastAsia="仿宋" w:cs="Times New Roman"/>
          <w:b/>
          <w:bCs/>
          <w:sz w:val="32"/>
          <w:szCs w:val="32"/>
          <w:lang w:bidi="ar-SA"/>
        </w:rPr>
        <w:t>（项）：</w:t>
      </w:r>
      <w:r>
        <w:rPr>
          <w:rFonts w:hint="default" w:ascii="Times New Roman" w:hAnsi="Times New Roman" w:eastAsia="仿宋" w:cs="Times New Roman"/>
          <w:sz w:val="32"/>
          <w:szCs w:val="32"/>
          <w:lang w:bidi="ar-SA"/>
        </w:rPr>
        <w:t>指</w:t>
      </w:r>
      <w:r>
        <w:rPr>
          <w:rFonts w:hint="default" w:ascii="Times New Roman" w:hAnsi="Times New Roman" w:eastAsia="仿宋" w:cs="Times New Roman"/>
          <w:sz w:val="32"/>
          <w:szCs w:val="32"/>
          <w:lang w:eastAsia="zh-CN" w:bidi="ar-SA"/>
        </w:rPr>
        <w:t>反映财政部门集中安排的行政单位基本医疗保险缴费经费，未参加医疗保险的行政单位的公费医疗经费，按国家规定享受离休人员、红军老战士待遇人员的医疗经费</w:t>
      </w:r>
      <w:r>
        <w:rPr>
          <w:rFonts w:hint="default" w:ascii="Times New Roman" w:hAnsi="Times New Roman" w:eastAsia="仿宋" w:cs="Times New Roman"/>
          <w:sz w:val="32"/>
          <w:szCs w:val="32"/>
          <w:lang w:bidi="ar-SA"/>
        </w:rPr>
        <w:t>。</w:t>
      </w:r>
    </w:p>
    <w:p w14:paraId="39C311C5">
      <w:pPr>
        <w:bidi w:val="0"/>
        <w:ind w:firstLine="643" w:firstLineChars="200"/>
        <w:jc w:val="both"/>
        <w:rPr>
          <w:rFonts w:hint="default" w:ascii="Times New Roman" w:hAnsi="Times New Roman" w:eastAsia="仿宋" w:cs="Times New Roman"/>
          <w:sz w:val="32"/>
          <w:szCs w:val="32"/>
          <w:lang w:bidi="ar-SA"/>
        </w:rPr>
      </w:pPr>
      <w:r>
        <w:rPr>
          <w:rFonts w:hint="default" w:ascii="Times New Roman" w:hAnsi="Times New Roman" w:eastAsia="仿宋" w:cs="Times New Roman"/>
          <w:b/>
          <w:bCs/>
          <w:sz w:val="32"/>
          <w:szCs w:val="32"/>
          <w:lang w:val="en-US" w:eastAsia="zh-CN" w:bidi="ar-SA"/>
        </w:rPr>
        <w:t>10</w:t>
      </w:r>
      <w:r>
        <w:rPr>
          <w:rFonts w:hint="default" w:ascii="Times New Roman" w:hAnsi="Times New Roman" w:eastAsia="仿宋" w:cs="Times New Roman"/>
          <w:b/>
          <w:bCs/>
          <w:sz w:val="32"/>
          <w:szCs w:val="32"/>
          <w:lang w:bidi="ar-SA"/>
        </w:rPr>
        <w:t>.</w:t>
      </w:r>
      <w:r>
        <w:rPr>
          <w:rFonts w:hint="default" w:ascii="Times New Roman" w:hAnsi="Times New Roman" w:eastAsia="仿宋" w:cs="Times New Roman"/>
          <w:b/>
          <w:bCs/>
          <w:sz w:val="32"/>
          <w:szCs w:val="32"/>
          <w:lang w:val="en-US" w:eastAsia="zh-CN" w:bidi="ar-SA"/>
        </w:rPr>
        <w:t>卫生健康支出</w:t>
      </w:r>
      <w:r>
        <w:rPr>
          <w:rFonts w:hint="default" w:ascii="Times New Roman" w:hAnsi="Times New Roman" w:eastAsia="仿宋" w:cs="Times New Roman"/>
          <w:b/>
          <w:bCs/>
          <w:sz w:val="32"/>
          <w:szCs w:val="32"/>
          <w:lang w:bidi="ar-SA"/>
        </w:rPr>
        <w:t>（类）</w:t>
      </w:r>
      <w:r>
        <w:rPr>
          <w:rFonts w:hint="default" w:ascii="Times New Roman" w:hAnsi="Times New Roman" w:eastAsia="仿宋" w:cs="Times New Roman"/>
          <w:b/>
          <w:bCs/>
          <w:sz w:val="32"/>
          <w:szCs w:val="32"/>
          <w:lang w:eastAsia="zh-CN" w:bidi="ar-SA"/>
        </w:rPr>
        <w:t>行政事业单位医疗</w:t>
      </w:r>
      <w:r>
        <w:rPr>
          <w:rFonts w:hint="default" w:ascii="Times New Roman" w:hAnsi="Times New Roman" w:eastAsia="仿宋" w:cs="Times New Roman"/>
          <w:b/>
          <w:bCs/>
          <w:sz w:val="32"/>
          <w:szCs w:val="32"/>
          <w:lang w:bidi="ar-SA"/>
        </w:rPr>
        <w:t>（款）</w:t>
      </w:r>
      <w:r>
        <w:rPr>
          <w:rFonts w:hint="default" w:ascii="Times New Roman" w:hAnsi="Times New Roman" w:eastAsia="仿宋" w:cs="Times New Roman"/>
          <w:b/>
          <w:bCs/>
          <w:sz w:val="32"/>
          <w:szCs w:val="32"/>
          <w:lang w:eastAsia="zh-CN" w:bidi="ar-SA"/>
        </w:rPr>
        <w:t>公务员医疗补助</w:t>
      </w:r>
      <w:r>
        <w:rPr>
          <w:rFonts w:hint="default" w:ascii="Times New Roman" w:hAnsi="Times New Roman" w:eastAsia="仿宋" w:cs="Times New Roman"/>
          <w:b/>
          <w:bCs/>
          <w:sz w:val="32"/>
          <w:szCs w:val="32"/>
          <w:lang w:bidi="ar-SA"/>
        </w:rPr>
        <w:t>（项）：</w:t>
      </w:r>
      <w:r>
        <w:rPr>
          <w:rFonts w:hint="default" w:ascii="Times New Roman" w:hAnsi="Times New Roman" w:eastAsia="仿宋" w:cs="Times New Roman"/>
          <w:sz w:val="32"/>
          <w:szCs w:val="32"/>
          <w:lang w:bidi="ar-SA"/>
        </w:rPr>
        <w:t>指</w:t>
      </w:r>
      <w:r>
        <w:rPr>
          <w:rFonts w:hint="default" w:ascii="Times New Roman" w:hAnsi="Times New Roman" w:eastAsia="仿宋" w:cs="Times New Roman"/>
          <w:sz w:val="32"/>
          <w:szCs w:val="32"/>
          <w:lang w:eastAsia="zh-CN" w:bidi="ar-SA"/>
        </w:rPr>
        <w:t>反映财政部门集中安排的公务员医疗补助经费。</w:t>
      </w:r>
    </w:p>
    <w:p w14:paraId="4E17306D">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color w:val="00B0F0"/>
          <w:sz w:val="32"/>
          <w:szCs w:val="32"/>
        </w:rPr>
      </w:pPr>
      <w:r>
        <w:rPr>
          <w:rFonts w:hint="default" w:ascii="Times New Roman" w:hAnsi="Times New Roman" w:eastAsia="仿宋" w:cs="Times New Roman"/>
          <w:b/>
          <w:bCs/>
          <w:sz w:val="32"/>
          <w:szCs w:val="32"/>
          <w:lang w:val="en-US" w:eastAsia="zh-CN" w:bidi="ar-SA"/>
        </w:rPr>
        <w:t>11</w:t>
      </w:r>
      <w:r>
        <w:rPr>
          <w:rFonts w:hint="default" w:ascii="Times New Roman" w:hAnsi="Times New Roman" w:eastAsia="仿宋" w:cs="Times New Roman"/>
          <w:b/>
          <w:bCs/>
          <w:sz w:val="32"/>
          <w:szCs w:val="32"/>
          <w:lang w:bidi="ar-SA"/>
        </w:rPr>
        <w:t>.住房保障</w:t>
      </w:r>
      <w:r>
        <w:rPr>
          <w:rFonts w:hint="default" w:ascii="Times New Roman" w:hAnsi="Times New Roman" w:eastAsia="仿宋" w:cs="Times New Roman"/>
          <w:b/>
          <w:bCs/>
          <w:sz w:val="32"/>
          <w:szCs w:val="32"/>
          <w:lang w:eastAsia="zh-CN" w:bidi="ar-SA"/>
        </w:rPr>
        <w:t>支出</w:t>
      </w:r>
      <w:r>
        <w:rPr>
          <w:rFonts w:hint="default" w:ascii="Times New Roman" w:hAnsi="Times New Roman" w:eastAsia="仿宋" w:cs="Times New Roman"/>
          <w:b/>
          <w:bCs/>
          <w:sz w:val="32"/>
          <w:szCs w:val="32"/>
          <w:lang w:bidi="ar-SA"/>
        </w:rPr>
        <w:t>（类）</w:t>
      </w:r>
      <w:r>
        <w:rPr>
          <w:rFonts w:hint="default" w:ascii="Times New Roman" w:hAnsi="Times New Roman" w:eastAsia="仿宋" w:cs="Times New Roman"/>
          <w:b/>
          <w:bCs/>
          <w:sz w:val="32"/>
          <w:szCs w:val="32"/>
          <w:lang w:eastAsia="zh-CN" w:bidi="ar-SA"/>
        </w:rPr>
        <w:t>住房改革支出</w:t>
      </w:r>
      <w:r>
        <w:rPr>
          <w:rFonts w:hint="default" w:ascii="Times New Roman" w:hAnsi="Times New Roman" w:eastAsia="仿宋" w:cs="Times New Roman"/>
          <w:b/>
          <w:bCs/>
          <w:sz w:val="32"/>
          <w:szCs w:val="32"/>
          <w:lang w:bidi="ar-SA"/>
        </w:rPr>
        <w:t>（款）</w:t>
      </w:r>
      <w:r>
        <w:rPr>
          <w:rFonts w:hint="default" w:ascii="Times New Roman" w:hAnsi="Times New Roman" w:eastAsia="仿宋" w:cs="Times New Roman"/>
          <w:b/>
          <w:bCs/>
          <w:sz w:val="32"/>
          <w:szCs w:val="32"/>
          <w:lang w:eastAsia="zh-CN" w:bidi="ar-SA"/>
        </w:rPr>
        <w:t>住房公积金</w:t>
      </w:r>
      <w:r>
        <w:rPr>
          <w:rFonts w:hint="default" w:ascii="Times New Roman" w:hAnsi="Times New Roman" w:eastAsia="仿宋" w:cs="Times New Roman"/>
          <w:b/>
          <w:bCs/>
          <w:sz w:val="32"/>
          <w:szCs w:val="32"/>
          <w:lang w:bidi="ar-SA"/>
        </w:rPr>
        <w:t>（项）：</w:t>
      </w:r>
      <w:r>
        <w:rPr>
          <w:rFonts w:hint="default" w:ascii="Times New Roman" w:hAnsi="Times New Roman" w:eastAsia="仿宋" w:cs="Times New Roman"/>
          <w:sz w:val="32"/>
          <w:szCs w:val="32"/>
          <w:lang w:bidi="ar-SA"/>
        </w:rPr>
        <w:t>指</w:t>
      </w:r>
      <w:r>
        <w:rPr>
          <w:rFonts w:hint="default" w:ascii="Times New Roman" w:hAnsi="Times New Roman" w:eastAsia="仿宋" w:cs="Times New Roman"/>
          <w:sz w:val="32"/>
          <w:szCs w:val="32"/>
          <w:lang w:eastAsia="zh-CN" w:bidi="ar-SA"/>
        </w:rPr>
        <w:t>反映行政事业单位按人力资源和社会保障部、财政部规定的基本工资和津贴补贴以及规定比例为职工缴纳的住房公积金</w:t>
      </w:r>
      <w:r>
        <w:rPr>
          <w:rFonts w:hint="default" w:ascii="Times New Roman" w:hAnsi="Times New Roman" w:eastAsia="仿宋" w:cs="Times New Roman"/>
          <w:sz w:val="32"/>
          <w:szCs w:val="32"/>
          <w:lang w:bidi="ar-SA"/>
        </w:rPr>
        <w:t>。</w:t>
      </w:r>
    </w:p>
    <w:p w14:paraId="0AA8EFF7">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b/>
          <w:bCs/>
          <w:sz w:val="32"/>
          <w:szCs w:val="32"/>
          <w:lang w:val="en-US" w:eastAsia="zh-CN" w:bidi="ar-SA"/>
        </w:rPr>
        <w:t>12.基本支出：</w:t>
      </w:r>
      <w:r>
        <w:rPr>
          <w:rFonts w:hint="default" w:ascii="Times New Roman" w:hAnsi="Times New Roman" w:eastAsia="仿宋_GB2312" w:cs="Times New Roman"/>
          <w:sz w:val="32"/>
          <w:szCs w:val="32"/>
        </w:rPr>
        <w:t>指为保障机构正常运转、完成日常工作任务而发生的人员支出和公用支出。</w:t>
      </w:r>
    </w:p>
    <w:p w14:paraId="50C5AD18">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b/>
          <w:bCs/>
          <w:sz w:val="32"/>
          <w:szCs w:val="32"/>
          <w:lang w:val="en-US" w:eastAsia="zh-CN" w:bidi="ar-SA"/>
        </w:rPr>
        <w:t>13.项目支出：</w:t>
      </w:r>
      <w:r>
        <w:rPr>
          <w:rFonts w:hint="default" w:ascii="Times New Roman" w:hAnsi="Times New Roman" w:eastAsia="仿宋_GB2312" w:cs="Times New Roman"/>
          <w:sz w:val="32"/>
          <w:szCs w:val="32"/>
        </w:rPr>
        <w:t xml:space="preserve">指在基本支出之外为完成特定行政任务和事业发展目标所发生的支出。 </w:t>
      </w:r>
    </w:p>
    <w:p w14:paraId="2C1E157D">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b/>
          <w:bCs/>
          <w:sz w:val="32"/>
          <w:szCs w:val="32"/>
          <w:lang w:val="en-US" w:eastAsia="zh-CN" w:bidi="ar-SA"/>
        </w:rPr>
        <w:t>14.经营支出：</w:t>
      </w:r>
      <w:r>
        <w:rPr>
          <w:rFonts w:hint="default" w:ascii="Times New Roman" w:hAnsi="Times New Roman" w:eastAsia="仿宋_GB2312" w:cs="Times New Roman"/>
          <w:sz w:val="32"/>
          <w:szCs w:val="32"/>
        </w:rPr>
        <w:t>指事业单位在专业业务活动及其辅助活动之外开展非独立核算经营活动发生的支出。</w:t>
      </w:r>
    </w:p>
    <w:p w14:paraId="63C28601">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b/>
          <w:bCs/>
          <w:sz w:val="32"/>
          <w:szCs w:val="32"/>
          <w:lang w:val="en-US" w:eastAsia="zh-CN" w:bidi="ar-SA"/>
        </w:rPr>
        <w:t>15.“三公”经费：</w:t>
      </w:r>
      <w:r>
        <w:rPr>
          <w:rFonts w:hint="default" w:ascii="Times New Roman" w:hAnsi="Times New Roman" w:eastAsia="仿宋_GB2312" w:cs="Times New Roman"/>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36E1A17">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b/>
          <w:bCs/>
          <w:sz w:val="32"/>
          <w:szCs w:val="32"/>
          <w:lang w:val="en-US" w:eastAsia="zh-CN" w:bidi="ar-SA"/>
        </w:rPr>
        <w:t>16.机关运行经费：</w:t>
      </w:r>
      <w:r>
        <w:rPr>
          <w:rFonts w:hint="default" w:ascii="Times New Roman" w:hAnsi="Times New Roman" w:eastAsia="仿宋_GB2312" w:cs="Times New Roman"/>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91"/>
    <w:p w14:paraId="617573B4">
      <w:pPr>
        <w:pageBreakBefore w:val="0"/>
        <w:kinsoku/>
        <w:wordWrap/>
        <w:overflowPunct/>
        <w:topLinePunct w:val="0"/>
        <w:autoSpaceDE/>
        <w:autoSpaceDN/>
        <w:bidi w:val="0"/>
        <w:spacing w:line="576" w:lineRule="exact"/>
        <w:ind w:firstLine="880" w:firstLineChars="200"/>
        <w:jc w:val="center"/>
        <w:textAlignment w:val="auto"/>
        <w:rPr>
          <w:rFonts w:hint="default" w:ascii="Times New Roman" w:hAnsi="Times New Roman" w:eastAsia="黑体" w:cs="Times New Roman"/>
          <w:sz w:val="44"/>
          <w:szCs w:val="44"/>
        </w:rPr>
      </w:pPr>
      <w:bookmarkStart w:id="75" w:name="_Toc15396614"/>
      <w:bookmarkStart w:id="76" w:name="_Toc15377226"/>
    </w:p>
    <w:p w14:paraId="3C4A809B">
      <w:pPr>
        <w:pageBreakBefore w:val="0"/>
        <w:kinsoku/>
        <w:wordWrap/>
        <w:overflowPunct/>
        <w:topLinePunct w:val="0"/>
        <w:autoSpaceDE/>
        <w:autoSpaceDN/>
        <w:bidi w:val="0"/>
        <w:spacing w:line="576" w:lineRule="exact"/>
        <w:ind w:firstLine="880" w:firstLineChars="200"/>
        <w:jc w:val="center"/>
        <w:textAlignment w:val="auto"/>
        <w:rPr>
          <w:rFonts w:hint="default" w:ascii="Times New Roman" w:hAnsi="Times New Roman" w:eastAsia="黑体" w:cs="Times New Roman"/>
          <w:sz w:val="44"/>
          <w:szCs w:val="44"/>
        </w:rPr>
      </w:pPr>
    </w:p>
    <w:p w14:paraId="32772D1A">
      <w:pPr>
        <w:pStyle w:val="22"/>
        <w:rPr>
          <w:rFonts w:hint="default" w:ascii="Times New Roman" w:hAnsi="Times New Roman" w:eastAsia="黑体" w:cs="Times New Roman"/>
          <w:sz w:val="44"/>
          <w:szCs w:val="44"/>
        </w:rPr>
      </w:pPr>
    </w:p>
    <w:p w14:paraId="37E48863">
      <w:pPr>
        <w:rPr>
          <w:rFonts w:hint="default" w:ascii="Times New Roman" w:hAnsi="Times New Roman" w:eastAsia="黑体" w:cs="Times New Roman"/>
          <w:sz w:val="44"/>
          <w:szCs w:val="44"/>
        </w:rPr>
      </w:pPr>
    </w:p>
    <w:p w14:paraId="22E8C147">
      <w:pPr>
        <w:pStyle w:val="22"/>
        <w:rPr>
          <w:rFonts w:hint="default" w:ascii="Times New Roman" w:hAnsi="Times New Roman" w:eastAsia="黑体" w:cs="Times New Roman"/>
          <w:sz w:val="44"/>
          <w:szCs w:val="44"/>
        </w:rPr>
      </w:pPr>
    </w:p>
    <w:p w14:paraId="24ADA1BA">
      <w:pPr>
        <w:rPr>
          <w:rFonts w:hint="default" w:ascii="Times New Roman" w:hAnsi="Times New Roman" w:eastAsia="黑体" w:cs="Times New Roman"/>
          <w:sz w:val="44"/>
          <w:szCs w:val="44"/>
        </w:rPr>
      </w:pPr>
    </w:p>
    <w:p w14:paraId="55481C72">
      <w:pPr>
        <w:pStyle w:val="2"/>
        <w:rPr>
          <w:rFonts w:hint="default" w:ascii="Times New Roman" w:hAnsi="Times New Roman" w:eastAsia="黑体" w:cs="Times New Roman"/>
          <w:sz w:val="44"/>
          <w:szCs w:val="44"/>
        </w:rPr>
      </w:pPr>
    </w:p>
    <w:p w14:paraId="5A6F8E93">
      <w:pPr>
        <w:pStyle w:val="2"/>
        <w:rPr>
          <w:rFonts w:hint="default" w:ascii="Times New Roman" w:hAnsi="Times New Roman" w:eastAsia="黑体" w:cs="Times New Roman"/>
          <w:sz w:val="44"/>
          <w:szCs w:val="44"/>
        </w:rPr>
      </w:pPr>
    </w:p>
    <w:p w14:paraId="5DA57952">
      <w:pPr>
        <w:pStyle w:val="2"/>
        <w:rPr>
          <w:rFonts w:hint="default" w:ascii="Times New Roman" w:hAnsi="Times New Roman" w:eastAsia="黑体" w:cs="Times New Roman"/>
          <w:sz w:val="44"/>
          <w:szCs w:val="44"/>
        </w:rPr>
      </w:pPr>
    </w:p>
    <w:p w14:paraId="79395263">
      <w:pPr>
        <w:pStyle w:val="2"/>
        <w:rPr>
          <w:rFonts w:hint="default" w:ascii="Times New Roman" w:hAnsi="Times New Roman" w:eastAsia="黑体" w:cs="Times New Roman"/>
          <w:sz w:val="44"/>
          <w:szCs w:val="44"/>
        </w:rPr>
      </w:pPr>
    </w:p>
    <w:p w14:paraId="1DDE0B55">
      <w:pPr>
        <w:pStyle w:val="2"/>
        <w:rPr>
          <w:rFonts w:hint="default" w:ascii="Times New Roman" w:hAnsi="Times New Roman" w:eastAsia="黑体" w:cs="Times New Roman"/>
          <w:sz w:val="44"/>
          <w:szCs w:val="44"/>
        </w:rPr>
      </w:pPr>
    </w:p>
    <w:p w14:paraId="69740D7A">
      <w:pPr>
        <w:pStyle w:val="2"/>
        <w:rPr>
          <w:rFonts w:hint="default" w:ascii="Times New Roman" w:hAnsi="Times New Roman" w:eastAsia="黑体" w:cs="Times New Roman"/>
          <w:sz w:val="44"/>
          <w:szCs w:val="44"/>
        </w:rPr>
      </w:pPr>
    </w:p>
    <w:p w14:paraId="1E61449F">
      <w:pPr>
        <w:pageBreakBefore w:val="0"/>
        <w:kinsoku/>
        <w:wordWrap/>
        <w:overflowPunct/>
        <w:topLinePunct w:val="0"/>
        <w:autoSpaceDE/>
        <w:autoSpaceDN/>
        <w:bidi w:val="0"/>
        <w:spacing w:line="576" w:lineRule="exact"/>
        <w:jc w:val="center"/>
        <w:textAlignment w:val="auto"/>
        <w:rPr>
          <w:rFonts w:hint="default" w:ascii="Times New Roman" w:hAnsi="Times New Roman" w:eastAsia="黑体" w:cs="Times New Roman"/>
          <w:sz w:val="44"/>
          <w:szCs w:val="44"/>
        </w:rPr>
      </w:pPr>
    </w:p>
    <w:p w14:paraId="7BA44CB3">
      <w:pPr>
        <w:pageBreakBefore w:val="0"/>
        <w:kinsoku/>
        <w:wordWrap/>
        <w:overflowPunct/>
        <w:topLinePunct w:val="0"/>
        <w:autoSpaceDE/>
        <w:autoSpaceDN/>
        <w:bidi w:val="0"/>
        <w:spacing w:line="576" w:lineRule="exact"/>
        <w:jc w:val="center"/>
        <w:textAlignment w:val="auto"/>
        <w:rPr>
          <w:rFonts w:hint="default" w:ascii="Times New Roman" w:hAnsi="Times New Roman" w:eastAsia="黑体" w:cs="Times New Roman"/>
          <w:color w:val="FF0000"/>
          <w:sz w:val="32"/>
          <w:szCs w:val="32"/>
        </w:rPr>
      </w:pPr>
      <w:r>
        <w:rPr>
          <w:rFonts w:hint="default" w:ascii="Times New Roman" w:hAnsi="Times New Roman" w:eastAsia="黑体" w:cs="Times New Roman"/>
          <w:sz w:val="44"/>
          <w:szCs w:val="44"/>
        </w:rPr>
        <w:t>第四部分  附件</w:t>
      </w:r>
      <w:bookmarkEnd w:id="75"/>
    </w:p>
    <w:p w14:paraId="19AD568C">
      <w:pPr>
        <w:pageBreakBefore w:val="0"/>
        <w:widowControl/>
        <w:kinsoku/>
        <w:wordWrap/>
        <w:overflowPunct/>
        <w:topLinePunct w:val="0"/>
        <w:autoSpaceDE/>
        <w:autoSpaceDN/>
        <w:bidi w:val="0"/>
        <w:spacing w:line="576" w:lineRule="exact"/>
        <w:ind w:firstLine="880" w:firstLineChars="200"/>
        <w:contextualSpacing/>
        <w:jc w:val="center"/>
        <w:textAlignment w:val="auto"/>
        <w:rPr>
          <w:rFonts w:hint="default" w:ascii="Times New Roman" w:hAnsi="Times New Roman" w:eastAsia="方正小标宋简体" w:cs="Times New Roman"/>
          <w:bCs/>
          <w:sz w:val="44"/>
          <w:szCs w:val="44"/>
          <w:shd w:val="clear" w:color="auto" w:fill="FFFFFF"/>
        </w:rPr>
      </w:pPr>
    </w:p>
    <w:p w14:paraId="423E526F">
      <w:pPr>
        <w:widowControl/>
        <w:spacing w:line="578" w:lineRule="exact"/>
        <w:contextualSpacing/>
        <w:jc w:val="center"/>
        <w:rPr>
          <w:rFonts w:hint="default" w:ascii="Times New Roman" w:hAnsi="Times New Roman" w:eastAsia="方正小标宋_GBK" w:cs="Times New Roman"/>
          <w:b/>
          <w:sz w:val="44"/>
          <w:szCs w:val="44"/>
          <w:shd w:val="clear" w:color="auto" w:fill="FFFFFF"/>
          <w:lang w:eastAsia="zh-CN"/>
        </w:rPr>
      </w:pPr>
      <w:r>
        <w:rPr>
          <w:rFonts w:hint="default" w:ascii="Times New Roman" w:hAnsi="Times New Roman" w:eastAsia="方正小标宋_GBK" w:cs="Times New Roman"/>
          <w:b/>
          <w:sz w:val="44"/>
          <w:szCs w:val="44"/>
          <w:shd w:val="clear" w:color="auto" w:fill="FFFFFF"/>
        </w:rPr>
        <w:t>中共阿坝</w:t>
      </w:r>
      <w:r>
        <w:rPr>
          <w:rFonts w:hint="default" w:ascii="Times New Roman" w:hAnsi="Times New Roman" w:eastAsia="方正小标宋_GBK" w:cs="Times New Roman"/>
          <w:b/>
          <w:sz w:val="44"/>
          <w:szCs w:val="44"/>
          <w:shd w:val="clear" w:color="auto" w:fill="FFFFFF"/>
          <w:lang w:eastAsia="zh-CN"/>
        </w:rPr>
        <w:t>中共阿坝州委老干部局</w:t>
      </w:r>
    </w:p>
    <w:p w14:paraId="6BED3F6B">
      <w:pPr>
        <w:widowControl/>
        <w:spacing w:line="578" w:lineRule="exact"/>
        <w:contextualSpacing/>
        <w:jc w:val="center"/>
        <w:rPr>
          <w:rFonts w:hint="default" w:ascii="Times New Roman" w:hAnsi="Times New Roman" w:eastAsia="方正小标宋简体" w:cs="Times New Roman"/>
          <w:bCs/>
          <w:sz w:val="44"/>
          <w:szCs w:val="44"/>
          <w:shd w:val="clear" w:color="auto" w:fill="FFFFFF"/>
        </w:rPr>
      </w:pPr>
      <w:r>
        <w:rPr>
          <w:rFonts w:hint="default" w:ascii="Times New Roman" w:hAnsi="Times New Roman" w:eastAsia="方正小标宋_GBK" w:cs="Times New Roman"/>
          <w:b/>
          <w:sz w:val="44"/>
          <w:szCs w:val="44"/>
          <w:shd w:val="clear" w:color="auto" w:fill="FFFFFF"/>
        </w:rPr>
        <w:t>2024年度</w:t>
      </w:r>
      <w:r>
        <w:rPr>
          <w:rFonts w:hint="default" w:ascii="Times New Roman" w:hAnsi="Times New Roman" w:eastAsia="方正小标宋_GBK" w:cs="Times New Roman"/>
          <w:bCs/>
          <w:sz w:val="44"/>
          <w:szCs w:val="44"/>
          <w:shd w:val="clear" w:color="auto" w:fill="FFFFFF"/>
        </w:rPr>
        <w:t>部门预算绩效自评报告</w:t>
      </w:r>
    </w:p>
    <w:p w14:paraId="07A6D693">
      <w:pPr>
        <w:widowControl/>
        <w:adjustRightInd w:val="0"/>
        <w:snapToGrid w:val="0"/>
        <w:spacing w:line="578" w:lineRule="exact"/>
        <w:ind w:firstLine="480" w:firstLineChars="200"/>
        <w:contextualSpacing/>
        <w:jc w:val="left"/>
        <w:rPr>
          <w:rFonts w:hint="default" w:ascii="Times New Roman" w:hAnsi="Times New Roman" w:eastAsia="黑体" w:cs="Times New Roman"/>
          <w:color w:val="000000"/>
          <w:kern w:val="0"/>
          <w:sz w:val="24"/>
          <w:szCs w:val="32"/>
          <w:shd w:val="clear" w:color="auto" w:fill="FFFFFF"/>
        </w:rPr>
      </w:pPr>
    </w:p>
    <w:p w14:paraId="26826BB1">
      <w:pPr>
        <w:widowControl/>
        <w:adjustRightInd w:val="0"/>
        <w:snapToGrid w:val="0"/>
        <w:spacing w:line="578" w:lineRule="exact"/>
        <w:ind w:firstLine="640" w:firstLineChars="200"/>
        <w:contextualSpacing/>
        <w:jc w:val="left"/>
        <w:rPr>
          <w:rFonts w:hint="default" w:ascii="Times New Roman" w:hAnsi="Times New Roman" w:eastAsia="方正黑体_GBK" w:cs="Times New Roman"/>
          <w:color w:val="000000"/>
          <w:kern w:val="0"/>
          <w:sz w:val="32"/>
          <w:szCs w:val="32"/>
          <w:shd w:val="clear" w:color="auto" w:fill="FFFFFF"/>
        </w:rPr>
      </w:pPr>
      <w:r>
        <w:rPr>
          <w:rFonts w:hint="default" w:ascii="Times New Roman" w:hAnsi="Times New Roman" w:eastAsia="方正黑体_GBK" w:cs="Times New Roman"/>
          <w:color w:val="000000"/>
          <w:kern w:val="0"/>
          <w:sz w:val="32"/>
          <w:szCs w:val="32"/>
          <w:shd w:val="clear" w:color="auto" w:fill="FFFFFF"/>
          <w:lang w:val="zh-CN"/>
        </w:rPr>
        <w:t>一、部门（部门）基本情况</w:t>
      </w:r>
    </w:p>
    <w:p w14:paraId="746A382B">
      <w:pPr>
        <w:widowControl/>
        <w:adjustRightInd w:val="0"/>
        <w:snapToGrid w:val="0"/>
        <w:spacing w:line="578" w:lineRule="exact"/>
        <w:ind w:firstLine="643"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方正楷体_GBK" w:cs="Times New Roman"/>
          <w:b/>
          <w:bCs/>
          <w:color w:val="000000"/>
          <w:kern w:val="0"/>
          <w:sz w:val="32"/>
          <w:szCs w:val="32"/>
          <w:shd w:val="clear" w:color="auto" w:fill="FFFFFF"/>
          <w:lang w:val="zh-CN"/>
        </w:rPr>
        <w:t>（一）机构组成。</w:t>
      </w:r>
      <w:r>
        <w:rPr>
          <w:rFonts w:hint="default" w:ascii="Times New Roman" w:hAnsi="Times New Roman" w:eastAsia="仿宋_GB2312" w:cs="Times New Roman"/>
          <w:sz w:val="32"/>
          <w:szCs w:val="32"/>
          <w:lang w:eastAsia="zh-CN"/>
        </w:rPr>
        <w:t>中共阿坝州委老干部局</w:t>
      </w:r>
      <w:r>
        <w:rPr>
          <w:rFonts w:hint="default" w:ascii="Times New Roman" w:hAnsi="Times New Roman" w:eastAsia="仿宋_GB2312" w:cs="Times New Roman"/>
          <w:sz w:val="32"/>
          <w:szCs w:val="32"/>
        </w:rPr>
        <w:t>部门根据阿委办发（2001）59号、阿编发〔2019〕94号文件规定，我局内设办公室、离退休科、保健活动科、信息调研科、党建指导科、关心下一代工作科6个科室；下属六个干休所。</w:t>
      </w:r>
    </w:p>
    <w:p w14:paraId="29F9C5C7">
      <w:pPr>
        <w:widowControl/>
        <w:adjustRightInd w:val="0"/>
        <w:snapToGrid w:val="0"/>
        <w:spacing w:line="578" w:lineRule="exact"/>
        <w:ind w:firstLine="643" w:firstLineChars="200"/>
        <w:contextualSpacing/>
        <w:jc w:val="left"/>
        <w:rPr>
          <w:rFonts w:hint="default" w:ascii="Times New Roman" w:hAnsi="Times New Roman" w:eastAsia="仿宋_GB2312" w:cs="Times New Roman"/>
          <w:sz w:val="32"/>
          <w:szCs w:val="32"/>
          <w:lang w:val="zh-CN"/>
        </w:rPr>
      </w:pPr>
      <w:r>
        <w:rPr>
          <w:rFonts w:hint="default" w:ascii="Times New Roman" w:hAnsi="Times New Roman" w:eastAsia="方正楷体_GBK" w:cs="Times New Roman"/>
          <w:b/>
          <w:bCs/>
          <w:color w:val="000000"/>
          <w:kern w:val="0"/>
          <w:sz w:val="32"/>
          <w:szCs w:val="32"/>
          <w:shd w:val="clear" w:color="auto" w:fill="FFFFFF"/>
          <w:lang w:val="zh-CN"/>
        </w:rPr>
        <w:t>（二）机构职能。</w:t>
      </w:r>
      <w:r>
        <w:rPr>
          <w:rFonts w:hint="default" w:ascii="Times New Roman" w:hAnsi="Times New Roman" w:eastAsia="仿宋_GB2312" w:cs="Times New Roman"/>
          <w:sz w:val="32"/>
          <w:szCs w:val="32"/>
        </w:rPr>
        <w:t>主要职能职责：一是贯彻执行党中央、国务院关于老干部工作的方针、政策和省、州有关规定，对全州老十部工作进行指导、协调、督促、检查；负责调查研究，提出老干部工作的有关政策性意见或建议，为州委、州政府决策提供依据；会同有关部门解决老干部和老干部工作中的有关问题。二是指导和承办离休干部和副州级以上退休干部的安置、管理、服务工作；负责副县（处）级以上退休干部的管理工作；负责离（退）休干部党支部建设，做好离退休干部政治思想工作；负责离退休干部活动中心（馆、室）建设，组织开展各种健康有益文明科学的活动，充分发挥老同志的政治优势，为我州政治文明、物质文明和精神文明建设，为“一州两区三家园的建设，提供坚定支撑，推动跨越发展和长治久安做贡献。三是负责在重大节日组织走访慰问老干部工作。组织开展特殊困难离（退）休干部帮扶工作，组织指导易地安置离退休干部工作。四是做好医疗保健工作。经常了解和掌握离、退休干部的健康状况，协助有关部门处理好离休干部和副县级及其以上退休干部的丧葬事宜。了解、反映老干部及其遗属的有关情况。五是抓好工作部门自身建设。加强州级各系统及各县，州属成都、郫县、都江堰、马尔康六个干休所的管理、督促、指导、检查。六是负责所属干休所人事任免、人员调整、退休手续的报批、奖惩、人员编制的管理工作。七是负责全州关心下一代相关工作，并承担关心下一代工作委员会日常工作。八是完成州委和州委组织部交办的其他任务。</w:t>
      </w:r>
    </w:p>
    <w:p w14:paraId="6E253C61">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方正楷体_GBK" w:cs="Times New Roman"/>
          <w:b/>
          <w:bCs/>
          <w:color w:val="000000"/>
          <w:kern w:val="0"/>
          <w:sz w:val="32"/>
          <w:szCs w:val="32"/>
          <w:shd w:val="clear" w:color="auto" w:fill="FFFFFF"/>
          <w:lang w:val="zh-CN"/>
        </w:rPr>
        <w:t>（三）人员概况。</w:t>
      </w:r>
      <w:r>
        <w:rPr>
          <w:rFonts w:hint="default" w:ascii="Times New Roman" w:hAnsi="Times New Roman" w:eastAsia="仿宋_GB2312" w:cs="Times New Roman"/>
          <w:sz w:val="32"/>
          <w:szCs w:val="32"/>
        </w:rPr>
        <w:t>截至2024年末，州委老干部局共有编制</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个（其中行政编制</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个，工勤编制</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个），年末实有人数</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人（公务员（参公）</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人，工勤</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人）。</w:t>
      </w:r>
    </w:p>
    <w:p w14:paraId="258A5452">
      <w:pPr>
        <w:widowControl/>
        <w:adjustRightInd w:val="0"/>
        <w:snapToGrid w:val="0"/>
        <w:spacing w:line="578" w:lineRule="exact"/>
        <w:ind w:firstLine="640" w:firstLineChars="200"/>
        <w:contextualSpacing/>
        <w:jc w:val="left"/>
        <w:rPr>
          <w:rFonts w:hint="default" w:ascii="Times New Roman" w:hAnsi="Times New Roman" w:eastAsia="方正黑体_GBK" w:cs="Times New Roman"/>
          <w:color w:val="000000"/>
          <w:kern w:val="0"/>
          <w:sz w:val="32"/>
          <w:szCs w:val="32"/>
          <w:shd w:val="clear" w:color="auto" w:fill="FFFFFF"/>
          <w:lang w:val="zh-CN"/>
        </w:rPr>
      </w:pPr>
      <w:r>
        <w:rPr>
          <w:rFonts w:hint="default" w:ascii="Times New Roman" w:hAnsi="Times New Roman" w:eastAsia="方正黑体_GBK" w:cs="Times New Roman"/>
          <w:color w:val="000000"/>
          <w:kern w:val="0"/>
          <w:sz w:val="32"/>
          <w:szCs w:val="32"/>
          <w:shd w:val="clear" w:color="auto" w:fill="FFFFFF"/>
          <w:lang w:val="zh-CN"/>
        </w:rPr>
        <w:t>二、部门资金收支情况</w:t>
      </w:r>
    </w:p>
    <w:p w14:paraId="46D183AA">
      <w:pPr>
        <w:widowControl/>
        <w:adjustRightInd w:val="0"/>
        <w:snapToGrid w:val="0"/>
        <w:spacing w:line="578" w:lineRule="exact"/>
        <w:ind w:firstLine="643"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方正楷体_GBK" w:cs="Times New Roman"/>
          <w:b/>
          <w:bCs/>
          <w:color w:val="000000"/>
          <w:kern w:val="0"/>
          <w:sz w:val="32"/>
          <w:szCs w:val="32"/>
          <w:shd w:val="clear" w:color="auto" w:fill="FFFFFF"/>
          <w:lang w:val="zh-CN"/>
        </w:rPr>
        <w:t>（一）收入情况。</w:t>
      </w:r>
      <w:r>
        <w:rPr>
          <w:rFonts w:hint="default" w:ascii="Times New Roman" w:hAnsi="Times New Roman" w:eastAsia="仿宋_GB2312" w:cs="Times New Roman"/>
          <w:sz w:val="32"/>
          <w:szCs w:val="32"/>
          <w:lang w:eastAsia="zh-CN"/>
        </w:rPr>
        <w:t>中共阿坝州委老干部局</w:t>
      </w:r>
      <w:r>
        <w:rPr>
          <w:rFonts w:hint="default" w:ascii="Times New Roman" w:hAnsi="Times New Roman" w:eastAsia="仿宋_GB2312" w:cs="Times New Roman"/>
          <w:sz w:val="32"/>
          <w:szCs w:val="32"/>
        </w:rPr>
        <w:t>2024年年初预算收入</w:t>
      </w:r>
      <w:r>
        <w:rPr>
          <w:rFonts w:hint="default" w:ascii="Times New Roman" w:hAnsi="Times New Roman" w:eastAsia="仿宋_GB2312" w:cs="Times New Roman"/>
          <w:sz w:val="32"/>
          <w:szCs w:val="32"/>
          <w:lang w:val="en-US" w:eastAsia="zh-CN"/>
        </w:rPr>
        <w:t>1149.96</w:t>
      </w:r>
      <w:r>
        <w:rPr>
          <w:rFonts w:hint="default" w:ascii="Times New Roman" w:hAnsi="Times New Roman" w:eastAsia="仿宋_GB2312" w:cs="Times New Roman"/>
          <w:sz w:val="32"/>
          <w:szCs w:val="32"/>
        </w:rPr>
        <w:t>万元、年初结转结余资金</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万元，全年预算总收入为</w:t>
      </w:r>
      <w:r>
        <w:rPr>
          <w:rFonts w:hint="default" w:ascii="Times New Roman" w:hAnsi="Times New Roman" w:eastAsia="仿宋_GB2312" w:cs="Times New Roman"/>
          <w:sz w:val="32"/>
          <w:szCs w:val="32"/>
          <w:lang w:val="en-US" w:eastAsia="zh-CN"/>
        </w:rPr>
        <w:t>1149.96</w:t>
      </w:r>
      <w:r>
        <w:rPr>
          <w:rFonts w:hint="default" w:ascii="Times New Roman" w:hAnsi="Times New Roman" w:eastAsia="仿宋_GB2312" w:cs="Times New Roman"/>
          <w:sz w:val="32"/>
          <w:szCs w:val="32"/>
        </w:rPr>
        <w:t>万元，全年预算数为</w:t>
      </w:r>
      <w:r>
        <w:rPr>
          <w:rFonts w:hint="default" w:ascii="Times New Roman" w:hAnsi="Times New Roman" w:eastAsia="仿宋_GB2312" w:cs="Times New Roman"/>
          <w:sz w:val="32"/>
          <w:szCs w:val="32"/>
          <w:lang w:val="en-US" w:eastAsia="zh-CN"/>
        </w:rPr>
        <w:t>1149.96</w:t>
      </w:r>
      <w:r>
        <w:rPr>
          <w:rFonts w:hint="default" w:ascii="Times New Roman" w:hAnsi="Times New Roman" w:eastAsia="仿宋_GB2312" w:cs="Times New Roman"/>
          <w:sz w:val="32"/>
          <w:szCs w:val="32"/>
        </w:rPr>
        <w:t>万元，年初结转结余资金</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万元，决算数收入</w:t>
      </w:r>
      <w:r>
        <w:rPr>
          <w:rFonts w:hint="default" w:ascii="Times New Roman" w:hAnsi="Times New Roman" w:eastAsia="仿宋_GB2312" w:cs="Times New Roman"/>
          <w:sz w:val="32"/>
          <w:szCs w:val="32"/>
          <w:lang w:val="en-US" w:eastAsia="zh-CN"/>
        </w:rPr>
        <w:t>1149.96</w:t>
      </w:r>
      <w:r>
        <w:rPr>
          <w:rFonts w:hint="default" w:ascii="Times New Roman" w:hAnsi="Times New Roman" w:eastAsia="仿宋_GB2312" w:cs="Times New Roman"/>
          <w:sz w:val="32"/>
          <w:szCs w:val="32"/>
        </w:rPr>
        <w:t>万元，预算执行率为100%。</w:t>
      </w:r>
    </w:p>
    <w:p w14:paraId="6EB4DB3C">
      <w:pPr>
        <w:snapToGrid w:val="0"/>
        <w:spacing w:line="520" w:lineRule="exact"/>
        <w:ind w:firstLine="643" w:firstLineChars="200"/>
        <w:rPr>
          <w:rFonts w:hint="default" w:ascii="Times New Roman" w:hAnsi="Times New Roman" w:cs="Times New Roman"/>
          <w:szCs w:val="32"/>
        </w:rPr>
      </w:pPr>
      <w:r>
        <w:rPr>
          <w:rFonts w:hint="default" w:ascii="Times New Roman" w:hAnsi="Times New Roman" w:eastAsia="方正楷体_GBK" w:cs="Times New Roman"/>
          <w:b/>
          <w:bCs/>
          <w:color w:val="000000"/>
          <w:kern w:val="0"/>
          <w:sz w:val="32"/>
          <w:szCs w:val="32"/>
          <w:shd w:val="clear" w:color="auto" w:fill="FFFFFF"/>
          <w:lang w:val="zh-CN"/>
        </w:rPr>
        <w:t>（二）支出情况。</w:t>
      </w:r>
      <w:r>
        <w:rPr>
          <w:rFonts w:hint="default" w:ascii="Times New Roman" w:hAnsi="Times New Roman" w:eastAsia="仿宋_GB2312" w:cs="Times New Roman"/>
          <w:sz w:val="32"/>
          <w:szCs w:val="32"/>
          <w:lang w:eastAsia="zh-CN"/>
        </w:rPr>
        <w:t>中共阿坝州委老干部局</w:t>
      </w:r>
      <w:r>
        <w:rPr>
          <w:rFonts w:hint="default" w:ascii="Times New Roman" w:hAnsi="Times New Roman" w:eastAsia="仿宋_GB2312" w:cs="Times New Roman"/>
          <w:sz w:val="32"/>
          <w:szCs w:val="32"/>
        </w:rPr>
        <w:t>2024年年初预算支出</w:t>
      </w:r>
      <w:r>
        <w:rPr>
          <w:rFonts w:hint="default" w:ascii="Times New Roman" w:hAnsi="Times New Roman" w:eastAsia="仿宋_GB2312" w:cs="Times New Roman"/>
          <w:sz w:val="32"/>
          <w:szCs w:val="32"/>
          <w:lang w:val="en-US" w:eastAsia="zh-CN"/>
        </w:rPr>
        <w:t>1042.69</w:t>
      </w:r>
      <w:r>
        <w:rPr>
          <w:rFonts w:hint="default" w:ascii="Times New Roman" w:hAnsi="Times New Roman" w:eastAsia="仿宋_GB2312" w:cs="Times New Roman"/>
          <w:sz w:val="32"/>
          <w:szCs w:val="32"/>
        </w:rPr>
        <w:t>万元、决算报表支出</w:t>
      </w:r>
      <w:r>
        <w:rPr>
          <w:rFonts w:hint="default" w:ascii="Times New Roman" w:hAnsi="Times New Roman" w:eastAsia="仿宋_GB2312" w:cs="Times New Roman"/>
          <w:sz w:val="32"/>
          <w:szCs w:val="32"/>
          <w:lang w:val="en-US" w:eastAsia="zh-CN"/>
        </w:rPr>
        <w:t>1149.96</w:t>
      </w:r>
      <w:r>
        <w:rPr>
          <w:rFonts w:hint="default" w:ascii="Times New Roman" w:hAnsi="Times New Roman" w:eastAsia="仿宋_GB2312" w:cs="Times New Roman"/>
          <w:sz w:val="32"/>
          <w:szCs w:val="32"/>
        </w:rPr>
        <w:t>元，增长</w:t>
      </w:r>
      <w:r>
        <w:rPr>
          <w:rFonts w:hint="default" w:ascii="Times New Roman" w:hAnsi="Times New Roman" w:eastAsia="仿宋_GB2312" w:cs="Times New Roman"/>
          <w:sz w:val="32"/>
          <w:szCs w:val="32"/>
          <w:lang w:val="en-US" w:eastAsia="zh-CN"/>
        </w:rPr>
        <w:t>107.27</w:t>
      </w:r>
      <w:r>
        <w:rPr>
          <w:rFonts w:hint="default" w:ascii="Times New Roman" w:hAnsi="Times New Roman" w:eastAsia="仿宋_GB2312" w:cs="Times New Roman"/>
          <w:sz w:val="32"/>
          <w:szCs w:val="32"/>
        </w:rPr>
        <w:t>万元，主要是2024年</w:t>
      </w:r>
      <w:r>
        <w:rPr>
          <w:rFonts w:hint="default" w:ascii="Times New Roman" w:hAnsi="Times New Roman" w:eastAsia="仿宋_GB2312" w:cs="Times New Roman"/>
          <w:sz w:val="32"/>
          <w:szCs w:val="32"/>
          <w:lang w:val="en-US" w:eastAsia="zh-CN"/>
        </w:rPr>
        <w:t>度调整</w:t>
      </w:r>
      <w:r>
        <w:rPr>
          <w:rFonts w:hint="default" w:ascii="Times New Roman" w:hAnsi="Times New Roman" w:eastAsia="仿宋_GB2312" w:cs="Times New Roman"/>
          <w:sz w:val="32"/>
          <w:szCs w:val="32"/>
        </w:rPr>
        <w:t>人员经费、年中追加两个项目</w:t>
      </w:r>
      <w:r>
        <w:rPr>
          <w:rFonts w:hint="default" w:ascii="Times New Roman" w:hAnsi="Times New Roman" w:eastAsia="仿宋_GB2312" w:cs="Times New Roman"/>
          <w:sz w:val="32"/>
          <w:szCs w:val="32"/>
          <w:lang w:val="en-US" w:eastAsia="zh-CN"/>
        </w:rPr>
        <w:t>等工作</w:t>
      </w:r>
      <w:r>
        <w:rPr>
          <w:rFonts w:hint="default" w:ascii="Times New Roman" w:hAnsi="Times New Roman" w:eastAsia="仿宋_GB2312" w:cs="Times New Roman"/>
          <w:sz w:val="32"/>
          <w:szCs w:val="32"/>
        </w:rPr>
        <w:t>。</w:t>
      </w:r>
    </w:p>
    <w:p w14:paraId="2B4B7BC4">
      <w:pPr>
        <w:widowControl/>
        <w:adjustRightInd w:val="0"/>
        <w:snapToGrid w:val="0"/>
        <w:spacing w:line="578" w:lineRule="exact"/>
        <w:ind w:firstLine="643"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方正楷体_GBK" w:cs="Times New Roman"/>
          <w:b/>
          <w:bCs/>
          <w:color w:val="000000"/>
          <w:kern w:val="0"/>
          <w:sz w:val="32"/>
          <w:szCs w:val="32"/>
          <w:shd w:val="clear" w:color="auto" w:fill="FFFFFF"/>
          <w:lang w:val="zh-CN"/>
        </w:rPr>
        <w:t>（三）结余分配和结转结余情况。</w:t>
      </w:r>
      <w:r>
        <w:rPr>
          <w:rFonts w:hint="default" w:ascii="Times New Roman" w:hAnsi="Times New Roman" w:eastAsia="仿宋_GB2312" w:cs="Times New Roman"/>
          <w:sz w:val="32"/>
          <w:szCs w:val="32"/>
          <w:lang w:eastAsia="zh-CN"/>
        </w:rPr>
        <w:t>中共阿坝州委老干部局</w:t>
      </w:r>
      <w:r>
        <w:rPr>
          <w:rFonts w:hint="default" w:ascii="Times New Roman" w:hAnsi="Times New Roman" w:eastAsia="仿宋_GB2312" w:cs="Times New Roman"/>
          <w:sz w:val="32"/>
          <w:szCs w:val="32"/>
        </w:rPr>
        <w:t>2024年度决算报表财政拨款结转结余资金为0万元。非财政拨款结转结余资金为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14:paraId="09D7E87F">
      <w:pPr>
        <w:widowControl/>
        <w:adjustRightInd w:val="0"/>
        <w:snapToGrid w:val="0"/>
        <w:spacing w:line="578" w:lineRule="exact"/>
        <w:ind w:firstLine="640" w:firstLineChars="200"/>
        <w:contextualSpacing/>
        <w:jc w:val="left"/>
        <w:rPr>
          <w:rFonts w:hint="default" w:ascii="Times New Roman" w:hAnsi="Times New Roman" w:eastAsia="方正黑体_GBK" w:cs="Times New Roman"/>
          <w:color w:val="000000"/>
          <w:kern w:val="0"/>
          <w:sz w:val="32"/>
          <w:szCs w:val="32"/>
          <w:shd w:val="clear" w:color="auto" w:fill="FFFFFF"/>
          <w:lang w:val="zh-CN"/>
        </w:rPr>
      </w:pPr>
      <w:r>
        <w:rPr>
          <w:rFonts w:hint="default" w:ascii="Times New Roman" w:hAnsi="Times New Roman" w:eastAsia="方正黑体_GBK" w:cs="Times New Roman"/>
          <w:color w:val="000000"/>
          <w:kern w:val="0"/>
          <w:sz w:val="32"/>
          <w:szCs w:val="32"/>
          <w:shd w:val="clear" w:color="auto" w:fill="FFFFFF"/>
          <w:lang w:val="zh-CN"/>
        </w:rPr>
        <w:t>三、部门预算绩效分析</w:t>
      </w:r>
    </w:p>
    <w:p w14:paraId="3AFEFEE5">
      <w:pPr>
        <w:adjustRightInd w:val="0"/>
        <w:snapToGrid w:val="0"/>
        <w:spacing w:line="520" w:lineRule="exact"/>
        <w:ind w:firstLine="482" w:firstLineChars="150"/>
        <w:rPr>
          <w:rFonts w:hint="default" w:ascii="Times New Roman" w:hAnsi="Times New Roman" w:eastAsia="方正楷体_GBK" w:cs="Times New Roman"/>
          <w:b/>
          <w:bCs/>
          <w:color w:val="000000"/>
          <w:kern w:val="0"/>
          <w:sz w:val="32"/>
          <w:szCs w:val="32"/>
          <w:shd w:val="clear" w:color="auto" w:fill="FFFFFF"/>
          <w:lang w:val="zh-CN"/>
        </w:rPr>
      </w:pPr>
      <w:r>
        <w:rPr>
          <w:rFonts w:hint="default" w:ascii="Times New Roman" w:hAnsi="Times New Roman" w:eastAsia="方正楷体_GBK" w:cs="Times New Roman"/>
          <w:b/>
          <w:bCs/>
          <w:color w:val="000000"/>
          <w:kern w:val="0"/>
          <w:sz w:val="32"/>
          <w:szCs w:val="32"/>
          <w:shd w:val="clear" w:color="auto" w:fill="FFFFFF"/>
          <w:lang w:val="zh-CN"/>
        </w:rPr>
        <w:t>（一）部门预算总体绩效分析</w:t>
      </w:r>
    </w:p>
    <w:p w14:paraId="14961F5D">
      <w:pPr>
        <w:widowControl/>
        <w:adjustRightInd w:val="0"/>
        <w:snapToGrid w:val="0"/>
        <w:spacing w:line="578" w:lineRule="exact"/>
        <w:ind w:firstLine="643"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kern w:val="0"/>
          <w:sz w:val="32"/>
          <w:szCs w:val="32"/>
          <w:shd w:val="clear" w:color="auto" w:fill="FFFFFF"/>
          <w:lang w:val="zh-CN" w:eastAsia="zh-CN" w:bidi="ar-SA"/>
        </w:rPr>
        <w:t>1.履职效能。</w:t>
      </w:r>
      <w:r>
        <w:rPr>
          <w:rFonts w:hint="default" w:ascii="Times New Roman" w:hAnsi="Times New Roman" w:eastAsia="仿宋_GB2312" w:cs="Times New Roman"/>
          <w:sz w:val="32"/>
          <w:szCs w:val="32"/>
          <w:lang w:val="en-US" w:eastAsia="zh-CN"/>
        </w:rPr>
        <w:t>一是</w:t>
      </w:r>
      <w:r>
        <w:rPr>
          <w:rFonts w:hint="default" w:ascii="Times New Roman" w:hAnsi="Times New Roman" w:eastAsia="楷体_GB2312" w:cs="Times New Roman"/>
          <w:b w:val="0"/>
          <w:bCs w:val="0"/>
          <w:sz w:val="32"/>
          <w:szCs w:val="32"/>
        </w:rPr>
        <w:t>州委重视增添新动力。</w:t>
      </w:r>
      <w:r>
        <w:rPr>
          <w:rFonts w:hint="default" w:ascii="Times New Roman" w:hAnsi="Times New Roman" w:eastAsia="仿宋_GB2312" w:cs="Times New Roman"/>
          <w:sz w:val="32"/>
          <w:szCs w:val="32"/>
        </w:rPr>
        <w:t>2024年以来，州委对老干部工作重视程度更高、推进力度更大、关心支持更多。徐芝文书记专题听取老干部工作情况汇报并提出10个方面重要要求，先后6次对老干部工作作出“要多为老干部办实事”“要积极发挥老干部作用”“要建立每半年向老干部通报情况制度”等重要批示，在春节、七一、国庆期间3次入户走访慰问老干部，亲自出席厅级干部荣退仪式，并经常性通过电话关心问候老同志身体健康。罗振华州长出席离退休干部春节慰问座谈会并作情况通报，出席厅级离退休干部国庆慰问座谈会并听取意见建议，实地调研老干部活动阵地建设情况并作出提升改造的工作指示。州级领导带队开展走访慰问活动30人次、出席老干部工作和关心下一代工作重大会议活动40人次，为全州老干部工作起到了引领、注入了动力、增添了决心。</w:t>
      </w:r>
      <w:r>
        <w:rPr>
          <w:rFonts w:hint="default" w:ascii="Times New Roman" w:hAnsi="Times New Roman" w:eastAsia="楷体_GB2312" w:cs="Times New Roman"/>
          <w:b w:val="0"/>
          <w:bCs w:val="0"/>
          <w:sz w:val="32"/>
          <w:szCs w:val="32"/>
        </w:rPr>
        <w:t>二</w:t>
      </w:r>
      <w:r>
        <w:rPr>
          <w:rFonts w:hint="default" w:ascii="Times New Roman" w:hAnsi="Times New Roman" w:eastAsia="楷体_GB2312" w:cs="Times New Roman"/>
          <w:b w:val="0"/>
          <w:bCs w:val="0"/>
          <w:sz w:val="32"/>
          <w:szCs w:val="32"/>
          <w:lang w:val="en-US" w:eastAsia="zh-CN"/>
        </w:rPr>
        <w:t>是</w:t>
      </w:r>
      <w:r>
        <w:rPr>
          <w:rFonts w:hint="default" w:ascii="Times New Roman" w:hAnsi="Times New Roman" w:eastAsia="楷体_GB2312" w:cs="Times New Roman"/>
          <w:b w:val="0"/>
          <w:bCs w:val="0"/>
          <w:sz w:val="32"/>
          <w:szCs w:val="32"/>
        </w:rPr>
        <w:t>党建引领构建新格局。</w:t>
      </w:r>
      <w:r>
        <w:rPr>
          <w:rFonts w:hint="default" w:ascii="Times New Roman" w:hAnsi="Times New Roman" w:eastAsia="仿宋_GB2312" w:cs="Times New Roman"/>
          <w:sz w:val="32"/>
          <w:szCs w:val="32"/>
        </w:rPr>
        <w:t>坚持“党建引领老干部工作原则”，着力构建“大党建”工作格局。以开展党纪学习教育为契机，持续深化理论学习“六进”。先后编印6套《学习资料》（二号大体字版），采取主题党日、集中宣讲、党课报告、专家辅导、考察学习、红色教育、送学上门等形式开展学习活动1290场（次），教育引导离退休干部始终做到政治坚定、思想常新、理想永存。以提升离退休干部党支部“三率”为重点，不断规范离退休干部党组织设置。全年新建党支部8个，23个党组织顺利完成换届，9个党组织创建为全省“六好”示范党支部；阿坝州“五老”人员、茂县原史志办主任吴天明获“全国离退休干部先进个人”表彰。以探索建立离退休干部流动党员流出地、流入地党组织双向共管机制为目标，纵深推进跨区域党建联建。进一步成立“古堰金秋·阿坝情”党建联建办公室、服务点，完成年度27个联建项目。全面启动“鹃城金秋·阿坝情”党建联建，推动阿坝州驻郫都区离退休干部党组织（郫都区第十党建组团）各项工作落地落实。认真落实州委徐芝文书记给成都市委常委、组织部部长邓涛同志的《一封信》有关要求，积极推动党建联建工作机制向成都市主城区延伸，党建聚力、共建共享、协同发展的目标正在逐步实现。</w:t>
      </w:r>
      <w:r>
        <w:rPr>
          <w:rFonts w:hint="default" w:ascii="Times New Roman" w:hAnsi="Times New Roman" w:eastAsia="楷体_GB2312" w:cs="Times New Roman"/>
          <w:b w:val="0"/>
          <w:bCs w:val="0"/>
          <w:sz w:val="32"/>
          <w:szCs w:val="32"/>
        </w:rPr>
        <w:t>三</w:t>
      </w:r>
      <w:r>
        <w:rPr>
          <w:rFonts w:hint="default" w:ascii="Times New Roman" w:hAnsi="Times New Roman" w:eastAsia="楷体_GB2312" w:cs="Times New Roman"/>
          <w:b w:val="0"/>
          <w:bCs w:val="0"/>
          <w:sz w:val="32"/>
          <w:szCs w:val="32"/>
          <w:lang w:val="en-US" w:eastAsia="zh-CN"/>
        </w:rPr>
        <w:t>是</w:t>
      </w:r>
      <w:r>
        <w:rPr>
          <w:rFonts w:hint="default" w:ascii="Times New Roman" w:hAnsi="Times New Roman" w:eastAsia="楷体_GB2312" w:cs="Times New Roman"/>
          <w:b w:val="0"/>
          <w:bCs w:val="0"/>
          <w:sz w:val="32"/>
          <w:szCs w:val="32"/>
        </w:rPr>
        <w:t>服务管理探索新路径。</w:t>
      </w:r>
      <w:r>
        <w:rPr>
          <w:rFonts w:hint="default" w:ascii="Times New Roman" w:hAnsi="Times New Roman" w:eastAsia="仿宋_GB2312" w:cs="Times New Roman"/>
          <w:sz w:val="32"/>
          <w:szCs w:val="32"/>
        </w:rPr>
        <w:t>坚持问情于老、问需于老，用心用情做好离退休干部服务管理工作。精准服务做深做实离休干部“一人一策”精准服务，确定9家卫生服务机构成立“家庭医生”服务团队，为93名离退休干部办理“健康服务证”，为2名离休干部举办“百岁”寿宴。认真落实“微网实格”部署，45名离休干部和102名厅级退休干部纳入8个网格管理，落实网格员55名。进一步深化精准服务“六送”，深入实施常态化安全检查、共同过政治生日、不定期做一顿饭、每季度送学上门、动态式心理疏导等“五大惠老行动”，广大离退休干部幸福指数不断提升。分类施策申报落实3名离休干部副省部长级医疗待遇，及时调整建初干部困难补助标准，举办荣退仪式20场次，为30名特殊困难离退休干部及遗孀发放帮扶资金19.8万元。制度固本认真落实州级党政领导干部联系厅级退休干部制度，修订完善《阿坝州直属干休所微网实格+服务管理工作实施方案》《厅级退休干部纳入服务管理工作流程》等，构建全链条、全周期服务保障体系，以制度建设提升离退休干部服务保障质效。</w:t>
      </w:r>
      <w:r>
        <w:rPr>
          <w:rFonts w:hint="default" w:ascii="Times New Roman" w:hAnsi="Times New Roman" w:eastAsia="楷体_GB2312" w:cs="Times New Roman"/>
          <w:b w:val="0"/>
          <w:bCs w:val="0"/>
          <w:sz w:val="32"/>
          <w:szCs w:val="32"/>
        </w:rPr>
        <w:t>四</w:t>
      </w:r>
      <w:r>
        <w:rPr>
          <w:rFonts w:hint="default" w:ascii="Times New Roman" w:hAnsi="Times New Roman" w:eastAsia="楷体_GB2312" w:cs="Times New Roman"/>
          <w:b w:val="0"/>
          <w:bCs w:val="0"/>
          <w:sz w:val="32"/>
          <w:szCs w:val="32"/>
          <w:lang w:val="en-US" w:eastAsia="zh-CN"/>
        </w:rPr>
        <w:t>是</w:t>
      </w:r>
      <w:r>
        <w:rPr>
          <w:rFonts w:hint="default" w:ascii="Times New Roman" w:hAnsi="Times New Roman" w:eastAsia="楷体_GB2312" w:cs="Times New Roman"/>
          <w:b w:val="0"/>
          <w:bCs w:val="0"/>
          <w:sz w:val="32"/>
          <w:szCs w:val="32"/>
        </w:rPr>
        <w:t>作用发挥展示新风采。</w:t>
      </w:r>
      <w:r>
        <w:rPr>
          <w:rFonts w:hint="default" w:ascii="Times New Roman" w:hAnsi="Times New Roman" w:eastAsia="仿宋_GB2312" w:cs="Times New Roman"/>
          <w:sz w:val="32"/>
          <w:szCs w:val="32"/>
        </w:rPr>
        <w:t>坚持“一活动一主题，一方案一审批”，引导广大离退休干部发挥“三大优势”和传帮带作用。搭建新平台建立“老党员”工作室33个，在郫都区成立16支“蓉城金秋”志愿服务队，参与驻地城市基层治理。在都江堰成立老干部工作“记者站”，加大老干部工作宣传力度；在阿坝州老干部大学建立“社区教育老年教育示范基地”，进一步创新老有所学工作举措。汇聚正能量持续深化“增添正能量·共筑中国梦”活动，以“庆祝新中国成立75周年”为主题，组织开展文艺汇演、诗书画摄影展、联谊联欢活动等500余场次，讲述阿坝好故事、宣传阿坝新变化、集聚奋进正能量。激发新动能建立“银发人才”信息库116人，组织老干部回州考察调研，召开“阿坝州老干部情况通报会”，收集转办意见建议21条。广泛开展“我为成渝地区双城经济圈建设出份力”“我为城乡融合发展出份力”“赞辉煌成就·聚银发力量”等主题调研、研讨活动，高质量形成《老干部助力城乡融合发展的探索与思考》调研报告，为阿坝经济社会建设注入了银发力量、展示了银发担当。</w:t>
      </w:r>
    </w:p>
    <w:p w14:paraId="2BB5EAD8">
      <w:pPr>
        <w:pageBreakBefore w:val="0"/>
        <w:kinsoku/>
        <w:wordWrap/>
        <w:overflowPunct/>
        <w:topLinePunct w:val="0"/>
        <w:autoSpaceDE/>
        <w:autoSpaceDN/>
        <w:bidi w:val="0"/>
        <w:spacing w:line="576" w:lineRule="exact"/>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val="0"/>
          <w:bCs w:val="0"/>
          <w:sz w:val="32"/>
          <w:szCs w:val="32"/>
        </w:rPr>
        <w:t>五</w:t>
      </w:r>
      <w:r>
        <w:rPr>
          <w:rFonts w:hint="default" w:ascii="Times New Roman" w:hAnsi="Times New Roman" w:eastAsia="楷体_GB2312" w:cs="Times New Roman"/>
          <w:b w:val="0"/>
          <w:bCs w:val="0"/>
          <w:sz w:val="32"/>
          <w:szCs w:val="32"/>
          <w:lang w:val="en-US" w:eastAsia="zh-CN"/>
        </w:rPr>
        <w:t>是</w:t>
      </w:r>
      <w:r>
        <w:rPr>
          <w:rFonts w:hint="default" w:ascii="Times New Roman" w:hAnsi="Times New Roman" w:eastAsia="楷体_GB2312" w:cs="Times New Roman"/>
          <w:b w:val="0"/>
          <w:bCs w:val="0"/>
          <w:sz w:val="32"/>
          <w:szCs w:val="32"/>
        </w:rPr>
        <w:t>五老助力绘就新画卷。</w:t>
      </w:r>
      <w:r>
        <w:rPr>
          <w:rFonts w:hint="default" w:ascii="Times New Roman" w:hAnsi="Times New Roman" w:eastAsia="仿宋_GB2312" w:cs="Times New Roman"/>
          <w:sz w:val="32"/>
          <w:szCs w:val="32"/>
        </w:rPr>
        <w:t>紧扣立德树人根本任务，以做好“十件实事”为抓手，在“新长征”路上不断绘就关爱明天新画卷。一是固本强基提质。建设立德大讲堂“五老”工作室，开设“春雨课堂”，打造“雪山草地的红色光芒永照千秋万代”等精品宣讲课件3个，举办“五老”骨干和关工委干部业务培训班。阿坝州关工委获得2024年度《关爱明天》杂志宣传通联工作先进集体。二是立德育人铸魂。以铸牢中华民族共同体意识为主线，深化青少年“三交”活动，圆满承办四川省万名青少年夏令营主营开营仪式，组织200余名青少年生赴温州、嘉兴等地开展游学、红色研学和交流交往交融活动。三是助弱帮困增暖。以托底性帮扶工作为契机，协调阿坝州人民医院赴红原等地开展儿童先天性疾病筛查，争取成都市关心下一代基金会为青少年捐助眼镜600余副，开展“暖冬行动”等慰问活动67场次，赠送物资价值427万余元，受益青少年3900余人。</w:t>
      </w:r>
    </w:p>
    <w:p w14:paraId="541FA8D9">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kern w:val="0"/>
          <w:sz w:val="32"/>
          <w:szCs w:val="32"/>
          <w:shd w:val="clear" w:color="auto" w:fill="FFFFFF"/>
          <w:lang w:val="zh-CN" w:eastAsia="zh-CN" w:bidi="ar-SA"/>
        </w:rPr>
        <w:t>2.预算管理。</w:t>
      </w:r>
      <w:r>
        <w:rPr>
          <w:rFonts w:hint="default" w:ascii="Times New Roman" w:hAnsi="Times New Roman" w:eastAsia="仿宋_GB2312" w:cs="Times New Roman"/>
          <w:sz w:val="32"/>
          <w:szCs w:val="32"/>
          <w:lang w:val="zh-CN"/>
        </w:rPr>
        <w:t>我</w:t>
      </w:r>
      <w:r>
        <w:rPr>
          <w:rFonts w:hint="default" w:ascii="Times New Roman" w:hAnsi="Times New Roman" w:eastAsia="仿宋_GB2312" w:cs="Times New Roman"/>
          <w:sz w:val="32"/>
          <w:szCs w:val="32"/>
        </w:rPr>
        <w:t>部门</w:t>
      </w:r>
      <w:r>
        <w:rPr>
          <w:rFonts w:hint="default" w:ascii="Times New Roman" w:hAnsi="Times New Roman" w:eastAsia="仿宋_GB2312" w:cs="Times New Roman"/>
          <w:sz w:val="32"/>
          <w:szCs w:val="32"/>
          <w:lang w:val="zh-CN"/>
        </w:rPr>
        <w:t>严格按要求编制年初部门预算，年初预算编制</w:t>
      </w:r>
      <w:r>
        <w:rPr>
          <w:rFonts w:hint="default" w:ascii="Times New Roman" w:hAnsi="Times New Roman" w:eastAsia="仿宋_GB2312" w:cs="Times New Roman"/>
          <w:sz w:val="32"/>
          <w:szCs w:val="32"/>
        </w:rPr>
        <w:t>具有</w:t>
      </w:r>
      <w:r>
        <w:rPr>
          <w:rFonts w:hint="default" w:ascii="Times New Roman" w:hAnsi="Times New Roman" w:eastAsia="仿宋_GB2312" w:cs="Times New Roman"/>
          <w:sz w:val="32"/>
          <w:szCs w:val="32"/>
          <w:lang w:val="zh-CN"/>
        </w:rPr>
        <w:t>科学性和准确性。</w:t>
      </w:r>
      <w:r>
        <w:rPr>
          <w:rFonts w:hint="default" w:ascii="Times New Roman" w:hAnsi="Times New Roman" w:eastAsia="仿宋_GB2312" w:cs="Times New Roman"/>
          <w:sz w:val="32"/>
          <w:szCs w:val="32"/>
        </w:rPr>
        <w:t>2024年度预算批复数为</w:t>
      </w:r>
      <w:r>
        <w:rPr>
          <w:rFonts w:hint="default" w:ascii="Times New Roman" w:hAnsi="Times New Roman" w:eastAsia="仿宋_GB2312" w:cs="Times New Roman"/>
          <w:sz w:val="32"/>
          <w:szCs w:val="32"/>
          <w:lang w:val="en-US" w:eastAsia="zh-CN"/>
        </w:rPr>
        <w:t>1042.69</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预算结余0万元，</w:t>
      </w:r>
      <w:r>
        <w:rPr>
          <w:rFonts w:hint="default" w:ascii="Times New Roman" w:hAnsi="Times New Roman" w:eastAsia="仿宋_GB2312" w:cs="Times New Roman"/>
          <w:sz w:val="32"/>
          <w:szCs w:val="32"/>
        </w:rPr>
        <w:t>预算调整100万元，预算调剂数</w:t>
      </w:r>
      <w:r>
        <w:rPr>
          <w:rFonts w:hint="default" w:ascii="Times New Roman" w:hAnsi="Times New Roman" w:eastAsia="仿宋_GB2312" w:cs="Times New Roman"/>
          <w:sz w:val="32"/>
          <w:szCs w:val="32"/>
          <w:lang w:val="en-US" w:eastAsia="zh-CN"/>
        </w:rPr>
        <w:t>6.89</w:t>
      </w:r>
      <w:r>
        <w:rPr>
          <w:rFonts w:hint="default" w:ascii="Times New Roman" w:hAnsi="Times New Roman" w:eastAsia="仿宋_GB2312" w:cs="Times New Roman"/>
          <w:sz w:val="32"/>
          <w:szCs w:val="32"/>
        </w:rPr>
        <w:t>万元，实际支付数</w:t>
      </w:r>
      <w:r>
        <w:rPr>
          <w:rFonts w:hint="default" w:ascii="Times New Roman" w:hAnsi="Times New Roman" w:eastAsia="仿宋_GB2312" w:cs="Times New Roman"/>
          <w:sz w:val="32"/>
          <w:szCs w:val="32"/>
          <w:lang w:val="en-US" w:eastAsia="zh-CN"/>
        </w:rPr>
        <w:t>1149.96</w:t>
      </w:r>
      <w:r>
        <w:rPr>
          <w:rFonts w:hint="default" w:ascii="Times New Roman" w:hAnsi="Times New Roman" w:eastAsia="仿宋_GB2312" w:cs="Times New Roman"/>
          <w:sz w:val="32"/>
          <w:szCs w:val="32"/>
        </w:rPr>
        <w:t>万元，预算执行完成100%，财政预算年终无结余。本本门1–6月支出</w:t>
      </w:r>
      <w:r>
        <w:rPr>
          <w:rFonts w:hint="default" w:ascii="Times New Roman" w:hAnsi="Times New Roman" w:eastAsia="仿宋_GB2312" w:cs="Times New Roman"/>
          <w:sz w:val="32"/>
          <w:szCs w:val="32"/>
          <w:lang w:val="en-US" w:eastAsia="zh-CN"/>
        </w:rPr>
        <w:t>391.21</w:t>
      </w:r>
      <w:r>
        <w:rPr>
          <w:rFonts w:hint="default" w:ascii="Times New Roman" w:hAnsi="Times New Roman" w:eastAsia="仿宋_GB2312" w:cs="Times New Roman"/>
          <w:sz w:val="32"/>
          <w:szCs w:val="32"/>
        </w:rPr>
        <w:t>万元，预算执行完成</w:t>
      </w:r>
      <w:r>
        <w:rPr>
          <w:rFonts w:hint="default" w:ascii="Times New Roman" w:hAnsi="Times New Roman" w:eastAsia="仿宋_GB2312" w:cs="Times New Roman"/>
          <w:sz w:val="32"/>
          <w:szCs w:val="32"/>
          <w:lang w:val="en-US" w:eastAsia="zh-CN"/>
        </w:rPr>
        <w:t>34.02</w:t>
      </w:r>
      <w:r>
        <w:rPr>
          <w:rFonts w:hint="default" w:ascii="Times New Roman" w:hAnsi="Times New Roman" w:eastAsia="仿宋_GB2312" w:cs="Times New Roman"/>
          <w:sz w:val="32"/>
          <w:szCs w:val="32"/>
        </w:rPr>
        <w:t>%；1–10月支出</w:t>
      </w:r>
      <w:r>
        <w:rPr>
          <w:rFonts w:hint="default" w:ascii="Times New Roman" w:hAnsi="Times New Roman" w:eastAsia="仿宋_GB2312" w:cs="Times New Roman"/>
          <w:sz w:val="32"/>
          <w:szCs w:val="32"/>
          <w:lang w:val="en-US" w:eastAsia="zh-CN"/>
        </w:rPr>
        <w:t>878.37</w:t>
      </w:r>
      <w:r>
        <w:rPr>
          <w:rFonts w:hint="default" w:ascii="Times New Roman" w:hAnsi="Times New Roman" w:eastAsia="仿宋_GB2312" w:cs="Times New Roman"/>
          <w:sz w:val="32"/>
          <w:szCs w:val="32"/>
        </w:rPr>
        <w:t>万元，预算执行完成</w:t>
      </w:r>
      <w:r>
        <w:rPr>
          <w:rFonts w:hint="default" w:ascii="Times New Roman" w:hAnsi="Times New Roman" w:eastAsia="仿宋_GB2312" w:cs="Times New Roman"/>
          <w:sz w:val="32"/>
          <w:szCs w:val="32"/>
          <w:lang w:val="en-US" w:eastAsia="zh-CN"/>
        </w:rPr>
        <w:t>76.38</w:t>
      </w:r>
      <w:r>
        <w:rPr>
          <w:rFonts w:hint="default" w:ascii="Times New Roman" w:hAnsi="Times New Roman" w:eastAsia="仿宋_GB2312" w:cs="Times New Roman"/>
          <w:sz w:val="32"/>
          <w:szCs w:val="32"/>
        </w:rPr>
        <w:t>%；全年财政预算收入</w:t>
      </w:r>
      <w:r>
        <w:rPr>
          <w:rFonts w:hint="default" w:ascii="Times New Roman" w:hAnsi="Times New Roman" w:eastAsia="仿宋_GB2312" w:cs="Times New Roman"/>
          <w:sz w:val="32"/>
          <w:szCs w:val="32"/>
          <w:lang w:val="en-US" w:eastAsia="zh-CN"/>
        </w:rPr>
        <w:t>1149.96</w:t>
      </w:r>
      <w:r>
        <w:rPr>
          <w:rFonts w:hint="default" w:ascii="Times New Roman" w:hAnsi="Times New Roman" w:eastAsia="仿宋_GB2312" w:cs="Times New Roman"/>
          <w:sz w:val="32"/>
          <w:szCs w:val="32"/>
        </w:rPr>
        <w:t>万元，支出</w:t>
      </w:r>
      <w:r>
        <w:rPr>
          <w:rFonts w:hint="default" w:ascii="Times New Roman" w:hAnsi="Times New Roman" w:eastAsia="仿宋_GB2312" w:cs="Times New Roman"/>
          <w:sz w:val="32"/>
          <w:szCs w:val="32"/>
          <w:lang w:val="en-US" w:eastAsia="zh-CN"/>
        </w:rPr>
        <w:t>3054.34</w:t>
      </w:r>
      <w:r>
        <w:rPr>
          <w:rFonts w:hint="default" w:ascii="Times New Roman" w:hAnsi="Times New Roman" w:eastAsia="仿宋_GB2312" w:cs="Times New Roman"/>
          <w:sz w:val="32"/>
          <w:szCs w:val="32"/>
        </w:rPr>
        <w:t>万元，预算执行完成100%。</w:t>
      </w:r>
    </w:p>
    <w:p w14:paraId="5D9D5E21">
      <w:pPr>
        <w:pStyle w:val="16"/>
        <w:autoSpaceDE w:val="0"/>
        <w:autoSpaceDN w:val="0"/>
        <w:spacing w:after="0" w:line="540" w:lineRule="exact"/>
        <w:ind w:firstLine="637" w:firstLineChars="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color w:val="000000"/>
          <w:kern w:val="0"/>
          <w:sz w:val="32"/>
          <w:szCs w:val="32"/>
          <w:shd w:val="clear" w:color="auto" w:fill="FFFFFF"/>
          <w:lang w:val="en-US" w:eastAsia="zh-CN" w:bidi="ar-SA"/>
        </w:rPr>
        <w:t>3.</w:t>
      </w:r>
      <w:r>
        <w:rPr>
          <w:rFonts w:hint="default" w:ascii="Times New Roman" w:hAnsi="Times New Roman" w:eastAsia="楷体_GB2312" w:cs="Times New Roman"/>
          <w:b/>
          <w:bCs/>
          <w:color w:val="000000"/>
          <w:kern w:val="0"/>
          <w:sz w:val="32"/>
          <w:szCs w:val="32"/>
          <w:shd w:val="clear" w:color="auto" w:fill="FFFFFF"/>
          <w:lang w:val="zh-CN" w:eastAsia="zh-CN" w:bidi="ar-SA"/>
        </w:rPr>
        <w:t>财务管理。</w:t>
      </w:r>
      <w:r>
        <w:rPr>
          <w:rFonts w:hint="default" w:ascii="Times New Roman" w:hAnsi="Times New Roman" w:eastAsia="仿宋_GB2312" w:cs="Times New Roman"/>
          <w:kern w:val="2"/>
          <w:sz w:val="32"/>
          <w:szCs w:val="32"/>
          <w:lang w:val="en-US" w:eastAsia="zh-CN" w:bidi="ar-SA"/>
        </w:rPr>
        <w:t>我部门执行的是《政府会计准则制度》。财务岗位设兼职会计1人、出纳1人，由副局长分管财务工作，执行一支笔审签，对超过5000元的大额资金支出必须经局务会商议决定。通过制定财务管理制度，明确了财务人员的职责权限、财务收支审批程序和审批人的权限及责任、经费支出的范围及开支标准，规范了各项资金的使用，提高了资金使用效益，杜绝了浪费现象的发生。在财务管理中，严格执行国家有关财务法规，行政事业部门会计制度相关规定进行会计核算，确保数据真实、有效。部门发生的经济业务严格执行《预算法》规定，持续规范、完善部门预算编制、账务处理、资产管理等不规范问题，不断提高“花钱必问效，无效必问责”绩效管理理念。</w:t>
      </w:r>
    </w:p>
    <w:p w14:paraId="7930F4E5">
      <w:pPr>
        <w:adjustRightInd w:val="0"/>
        <w:snapToGrid w:val="0"/>
        <w:spacing w:line="540" w:lineRule="exact"/>
        <w:ind w:firstLine="643" w:firstLineChars="200"/>
        <w:contextualSpacing/>
        <w:jc w:val="left"/>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bCs/>
          <w:color w:val="000000"/>
          <w:kern w:val="0"/>
          <w:sz w:val="32"/>
          <w:szCs w:val="32"/>
          <w:shd w:val="clear" w:color="auto" w:fill="FFFFFF"/>
          <w:lang w:val="zh-CN" w:eastAsia="zh-CN" w:bidi="ar-SA"/>
        </w:rPr>
        <w:t>4.资产管理。</w:t>
      </w:r>
      <w:r>
        <w:rPr>
          <w:rFonts w:hint="default" w:ascii="Times New Roman" w:hAnsi="Times New Roman" w:eastAsia="仿宋_GB2312" w:cs="Times New Roman"/>
          <w:sz w:val="32"/>
          <w:szCs w:val="32"/>
        </w:rPr>
        <w:t>为了加强固定资产管理和使用，在固定资产购置时，严格按照政府采购程序进行采购，并根据有关规定，建立了账簿、款项和实物核查制度，通过建立健全制度，会计人员对各项财物、款项的增减变动和结存情况及时进行记录、计算、反映、核对等；保证无固定资产不入账，公物私用及其他违规问题。</w:t>
      </w:r>
    </w:p>
    <w:p w14:paraId="662FFE62">
      <w:pPr>
        <w:adjustRightInd w:val="0"/>
        <w:snapToGrid w:val="0"/>
        <w:spacing w:line="578" w:lineRule="exact"/>
        <w:ind w:firstLine="643" w:firstLineChars="200"/>
        <w:contextualSpacing/>
        <w:jc w:val="left"/>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bCs/>
          <w:color w:val="000000"/>
          <w:kern w:val="0"/>
          <w:sz w:val="32"/>
          <w:szCs w:val="32"/>
          <w:shd w:val="clear" w:color="auto" w:fill="FFFFFF"/>
          <w:lang w:val="en-US" w:eastAsia="zh-CN" w:bidi="ar-SA"/>
        </w:rPr>
        <w:t>5.</w:t>
      </w:r>
      <w:r>
        <w:rPr>
          <w:rFonts w:hint="default" w:ascii="Times New Roman" w:hAnsi="Times New Roman" w:eastAsia="楷体_GB2312" w:cs="Times New Roman"/>
          <w:b/>
          <w:bCs/>
          <w:color w:val="000000"/>
          <w:kern w:val="0"/>
          <w:sz w:val="32"/>
          <w:szCs w:val="32"/>
          <w:shd w:val="clear" w:color="auto" w:fill="FFFFFF"/>
          <w:lang w:val="zh-CN" w:eastAsia="zh-CN" w:bidi="ar-SA"/>
        </w:rPr>
        <w:t>采购管理。</w:t>
      </w:r>
      <w:r>
        <w:rPr>
          <w:rFonts w:hint="default" w:ascii="Times New Roman" w:hAnsi="Times New Roman" w:eastAsia="仿宋_GB2312" w:cs="Times New Roman"/>
          <w:sz w:val="32"/>
          <w:szCs w:val="32"/>
          <w:lang w:val="zh-CN"/>
        </w:rPr>
        <w:t>进一步规范部门政府采购行为，</w:t>
      </w:r>
      <w:r>
        <w:rPr>
          <w:rFonts w:hint="default" w:ascii="Times New Roman" w:hAnsi="Times New Roman" w:eastAsia="仿宋_GB2312" w:cs="Times New Roman"/>
          <w:sz w:val="32"/>
          <w:szCs w:val="32"/>
        </w:rPr>
        <w:t>2024年度，</w:t>
      </w:r>
      <w:r>
        <w:rPr>
          <w:rFonts w:hint="default" w:ascii="Times New Roman" w:hAnsi="Times New Roman" w:eastAsia="仿宋_GB2312" w:cs="Times New Roman"/>
          <w:sz w:val="32"/>
          <w:szCs w:val="32"/>
          <w:lang w:val="en-US" w:eastAsia="zh-CN"/>
        </w:rPr>
        <w:t>中共阿坝州委老干部局</w:t>
      </w:r>
      <w:r>
        <w:rPr>
          <w:rFonts w:hint="default" w:ascii="Times New Roman" w:hAnsi="Times New Roman" w:eastAsia="仿宋_GB2312" w:cs="Times New Roman"/>
          <w:sz w:val="32"/>
          <w:szCs w:val="32"/>
        </w:rPr>
        <w:t>政府采购支出总额</w:t>
      </w:r>
      <w:r>
        <w:rPr>
          <w:rFonts w:hint="default" w:ascii="Times New Roman" w:hAnsi="Times New Roman" w:eastAsia="仿宋_GB2312" w:cs="Times New Roman"/>
          <w:sz w:val="32"/>
          <w:szCs w:val="32"/>
          <w:lang w:val="en-US" w:eastAsia="zh-CN"/>
        </w:rPr>
        <w:t>3.45</w:t>
      </w:r>
      <w:r>
        <w:rPr>
          <w:rFonts w:hint="default" w:ascii="Times New Roman" w:hAnsi="Times New Roman" w:eastAsia="仿宋_GB2312" w:cs="Times New Roman"/>
          <w:sz w:val="32"/>
          <w:szCs w:val="32"/>
        </w:rPr>
        <w:t>万元，其中：政府采购货物支出</w:t>
      </w:r>
      <w:r>
        <w:rPr>
          <w:rFonts w:hint="default" w:ascii="Times New Roman" w:hAnsi="Times New Roman" w:eastAsia="仿宋_GB2312" w:cs="Times New Roman"/>
          <w:sz w:val="32"/>
          <w:szCs w:val="32"/>
          <w:lang w:val="en-US" w:eastAsia="zh-CN"/>
        </w:rPr>
        <w:t>3.45</w:t>
      </w:r>
      <w:r>
        <w:rPr>
          <w:rFonts w:hint="default" w:ascii="Times New Roman" w:hAnsi="Times New Roman" w:eastAsia="仿宋_GB2312" w:cs="Times New Roman"/>
          <w:sz w:val="32"/>
          <w:szCs w:val="32"/>
        </w:rPr>
        <w:t>万元。主要</w:t>
      </w:r>
      <w:r>
        <w:rPr>
          <w:rFonts w:hint="default" w:ascii="Times New Roman" w:hAnsi="Times New Roman" w:eastAsia="仿宋_GB2312" w:cs="Times New Roman"/>
          <w:sz w:val="32"/>
          <w:szCs w:val="32"/>
          <w:lang w:val="en-US" w:eastAsia="zh-CN"/>
        </w:rPr>
        <w:t>车辆保险及购买办公设备</w:t>
      </w:r>
      <w:r>
        <w:rPr>
          <w:rFonts w:hint="default" w:ascii="Times New Roman" w:hAnsi="Times New Roman" w:eastAsia="仿宋_GB2312" w:cs="Times New Roman"/>
          <w:sz w:val="32"/>
          <w:szCs w:val="32"/>
        </w:rPr>
        <w:t>。授予中小企业合同金额</w:t>
      </w:r>
      <w:r>
        <w:rPr>
          <w:rFonts w:hint="default" w:ascii="Times New Roman" w:hAnsi="Times New Roman" w:eastAsia="仿宋_GB2312" w:cs="Times New Roman"/>
          <w:sz w:val="32"/>
          <w:szCs w:val="32"/>
          <w:lang w:val="en-US" w:eastAsia="zh-CN"/>
        </w:rPr>
        <w:t>3.45</w:t>
      </w:r>
      <w:r>
        <w:rPr>
          <w:rFonts w:hint="default"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%，其中：授予小微企业合同金额</w:t>
      </w:r>
      <w:r>
        <w:rPr>
          <w:rFonts w:hint="default" w:ascii="Times New Roman" w:hAnsi="Times New Roman" w:eastAsia="仿宋_GB2312" w:cs="Times New Roman"/>
          <w:sz w:val="32"/>
          <w:szCs w:val="32"/>
          <w:lang w:val="en-US" w:eastAsia="zh-CN"/>
        </w:rPr>
        <w:t>3.45</w:t>
      </w:r>
      <w:r>
        <w:rPr>
          <w:rFonts w:hint="default"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14:paraId="5A3EE5EB">
      <w:pPr>
        <w:adjustRightInd w:val="0"/>
        <w:snapToGrid w:val="0"/>
        <w:spacing w:line="520" w:lineRule="exact"/>
        <w:ind w:firstLine="482" w:firstLineChars="150"/>
        <w:rPr>
          <w:rFonts w:hint="default" w:ascii="Times New Roman" w:hAnsi="Times New Roman" w:eastAsia="方正楷体_GBK" w:cs="Times New Roman"/>
          <w:b/>
          <w:bCs/>
          <w:color w:val="000000"/>
          <w:kern w:val="0"/>
          <w:sz w:val="32"/>
          <w:szCs w:val="32"/>
          <w:shd w:val="clear" w:color="auto" w:fill="FFFFFF"/>
          <w:lang w:val="zh-CN"/>
        </w:rPr>
      </w:pPr>
      <w:r>
        <w:rPr>
          <w:rFonts w:hint="default" w:ascii="Times New Roman" w:hAnsi="Times New Roman" w:eastAsia="方正楷体_GBK" w:cs="Times New Roman"/>
          <w:b/>
          <w:bCs/>
          <w:color w:val="000000"/>
          <w:kern w:val="0"/>
          <w:sz w:val="32"/>
          <w:szCs w:val="32"/>
          <w:shd w:val="clear" w:color="auto" w:fill="FFFFFF"/>
          <w:lang w:val="zh-CN"/>
        </w:rPr>
        <w:t>（二）部门预算项目绩效分析。</w:t>
      </w:r>
    </w:p>
    <w:p w14:paraId="451EF0CC">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2024年度部门预算常年项目</w:t>
      </w:r>
      <w:r>
        <w:rPr>
          <w:rFonts w:hint="default" w:ascii="Times New Roman" w:hAnsi="Times New Roman" w:eastAsia="仿宋_GB2312" w:cs="Times New Roman"/>
          <w:sz w:val="32"/>
          <w:szCs w:val="32"/>
          <w:lang w:val="zh-CN"/>
        </w:rPr>
        <w:t>总数</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zh-CN"/>
        </w:rPr>
        <w:t>个， 1—1</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zh-CN"/>
        </w:rPr>
        <w:t>月预算执行总体进度为</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lang w:val="zh-CN"/>
        </w:rPr>
        <w:t>%，其中：预算结余率大于</w:t>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val="zh-CN"/>
        </w:rPr>
        <w:t>的项目共计</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val="zh-CN"/>
        </w:rPr>
        <w:t>个，</w:t>
      </w:r>
      <w:r>
        <w:rPr>
          <w:rFonts w:hint="default" w:ascii="Times New Roman" w:hAnsi="Times New Roman" w:eastAsia="仿宋_GB2312" w:cs="Times New Roman"/>
          <w:sz w:val="32"/>
          <w:szCs w:val="32"/>
        </w:rPr>
        <w:t>阶段（含一次性）项目绩效分析。</w:t>
      </w:r>
      <w:r>
        <w:rPr>
          <w:rFonts w:hint="default" w:ascii="Times New Roman" w:hAnsi="Times New Roman" w:eastAsia="仿宋_GB2312" w:cs="Times New Roman"/>
          <w:sz w:val="32"/>
          <w:szCs w:val="32"/>
          <w:lang w:val="zh-CN"/>
        </w:rPr>
        <w:t>该类项目总数</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val="zh-CN"/>
        </w:rPr>
        <w:t>个，</w:t>
      </w:r>
    </w:p>
    <w:p w14:paraId="4F088DA3">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bCs/>
          <w:color w:val="000000"/>
          <w:kern w:val="0"/>
          <w:sz w:val="32"/>
          <w:szCs w:val="32"/>
          <w:shd w:val="clear" w:color="auto" w:fill="FFFFFF"/>
          <w:lang w:val="en-US" w:eastAsia="zh-CN" w:bidi="ar-SA"/>
        </w:rPr>
        <w:t>1.</w:t>
      </w:r>
      <w:r>
        <w:rPr>
          <w:rFonts w:hint="default" w:ascii="Times New Roman" w:hAnsi="Times New Roman" w:eastAsia="楷体_GB2312" w:cs="Times New Roman"/>
          <w:b/>
          <w:bCs/>
          <w:color w:val="000000"/>
          <w:kern w:val="0"/>
          <w:sz w:val="32"/>
          <w:szCs w:val="32"/>
          <w:shd w:val="clear" w:color="auto" w:fill="FFFFFF"/>
          <w:lang w:val="zh-CN" w:eastAsia="zh-CN" w:bidi="ar-SA"/>
        </w:rPr>
        <w:t>项目决策。</w:t>
      </w:r>
      <w:r>
        <w:rPr>
          <w:rFonts w:hint="default" w:ascii="Times New Roman" w:hAnsi="Times New Roman" w:eastAsia="仿宋_GB2312" w:cs="Times New Roman"/>
          <w:sz w:val="32"/>
          <w:szCs w:val="32"/>
        </w:rPr>
        <w:t>严格按照规程序进行申报，部门预算项目在规定时间完成项目入库。</w:t>
      </w:r>
    </w:p>
    <w:p w14:paraId="162E83A7">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bCs/>
          <w:color w:val="000000"/>
          <w:kern w:val="0"/>
          <w:sz w:val="32"/>
          <w:szCs w:val="32"/>
          <w:shd w:val="clear" w:color="auto" w:fill="FFFFFF"/>
          <w:lang w:val="en-US" w:eastAsia="zh-CN" w:bidi="ar-SA"/>
        </w:rPr>
        <w:t>2.项目执行</w:t>
      </w:r>
      <w:r>
        <w:rPr>
          <w:rFonts w:hint="default" w:ascii="Times New Roman" w:hAnsi="Times New Roman" w:eastAsia="楷体_GB2312" w:cs="Times New Roman"/>
          <w:b/>
          <w:bCs/>
          <w:color w:val="000000"/>
          <w:kern w:val="0"/>
          <w:sz w:val="32"/>
          <w:szCs w:val="32"/>
          <w:shd w:val="clear" w:color="auto" w:fill="FFFFFF"/>
          <w:lang w:val="zh-CN" w:eastAsia="zh-CN" w:bidi="ar-SA"/>
        </w:rPr>
        <w:t>。</w:t>
      </w:r>
      <w:r>
        <w:rPr>
          <w:rFonts w:hint="default" w:ascii="Times New Roman" w:hAnsi="Times New Roman" w:eastAsia="仿宋_GB2312" w:cs="Times New Roman"/>
          <w:sz w:val="32"/>
          <w:szCs w:val="32"/>
        </w:rPr>
        <w:t>部门预算项目绩效目标与计划期内的任务量、预算安排的资金量相匹配，绩效目标设置科学合理、规范完整、量化细化、与预算相匹配。部门预算项目实际列支内容与绩效目标设置方向相符，项目调整1个（阿坝州交流交融项目）金额数100万元，年中争取项目资金。</w:t>
      </w:r>
    </w:p>
    <w:p w14:paraId="1287489F">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kern w:val="0"/>
          <w:sz w:val="32"/>
          <w:szCs w:val="32"/>
          <w:shd w:val="clear" w:color="auto" w:fill="FFFFFF"/>
          <w:lang w:val="en-US" w:eastAsia="zh-CN" w:bidi="ar-SA"/>
        </w:rPr>
        <w:t>3.</w:t>
      </w:r>
      <w:r>
        <w:rPr>
          <w:rFonts w:hint="default" w:ascii="Times New Roman" w:hAnsi="Times New Roman" w:eastAsia="楷体_GB2312" w:cs="Times New Roman"/>
          <w:b/>
          <w:bCs/>
          <w:color w:val="000000"/>
          <w:kern w:val="0"/>
          <w:sz w:val="32"/>
          <w:szCs w:val="32"/>
          <w:shd w:val="clear" w:color="auto" w:fill="FFFFFF"/>
          <w:lang w:val="zh-CN" w:eastAsia="zh-CN" w:bidi="ar-SA"/>
        </w:rPr>
        <w:t>目标实现。</w:t>
      </w:r>
      <w:r>
        <w:rPr>
          <w:rFonts w:hint="default" w:ascii="Times New Roman" w:hAnsi="Times New Roman" w:eastAsia="仿宋_GB2312" w:cs="Times New Roman"/>
          <w:sz w:val="32"/>
          <w:szCs w:val="32"/>
        </w:rPr>
        <w:t>2024年度内目标完成良好，无目标偏离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我部门没有省级部门对2024年度一般公共预算、政府性基金预算、国有资本经营预算安排的常年项目、阶段项目，以及债券资金、政府购买服务项目。</w:t>
      </w:r>
    </w:p>
    <w:p w14:paraId="505DDC9B">
      <w:pPr>
        <w:adjustRightInd w:val="0"/>
        <w:snapToGrid w:val="0"/>
        <w:spacing w:line="520" w:lineRule="exact"/>
        <w:ind w:firstLine="482" w:firstLineChars="150"/>
        <w:rPr>
          <w:rFonts w:hint="default" w:ascii="Times New Roman" w:hAnsi="Times New Roman" w:eastAsia="方正楷体_GBK" w:cs="Times New Roman"/>
          <w:b/>
          <w:bCs/>
          <w:color w:val="000000"/>
          <w:kern w:val="0"/>
          <w:sz w:val="32"/>
          <w:szCs w:val="32"/>
          <w:shd w:val="clear" w:color="auto" w:fill="FFFFFF"/>
          <w:lang w:val="zh-CN"/>
        </w:rPr>
      </w:pPr>
      <w:r>
        <w:rPr>
          <w:rFonts w:hint="default" w:ascii="Times New Roman" w:hAnsi="Times New Roman" w:eastAsia="方正楷体_GBK" w:cs="Times New Roman"/>
          <w:b/>
          <w:bCs/>
          <w:color w:val="000000"/>
          <w:kern w:val="0"/>
          <w:sz w:val="32"/>
          <w:szCs w:val="32"/>
          <w:shd w:val="clear" w:color="auto" w:fill="FFFFFF"/>
          <w:lang w:val="zh-CN"/>
        </w:rPr>
        <w:t>（三）绩效结果应用情况。</w:t>
      </w:r>
    </w:p>
    <w:p w14:paraId="6AF9B59B">
      <w:pPr>
        <w:adjustRightInd w:val="0"/>
        <w:snapToGrid w:val="0"/>
        <w:spacing w:line="52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贯彻执行党中央、国务院关于老干部工作的方针、政策和省、州有关规定，对全州老十部工作进行指导、协调、督促、检查；负责调查研究，提出老干部工作的有关政策性意见或建议，为州委、州政府决策提供依据；会同有关部门解决老干部和老干部工作中的有关问题。二是指导和承办离休干部和副州级以上退休干部的安置、管理、服务工作；负责副县（处）级以上退休干部的管理工作；负责离（退）休干部党支部建设，做好离退休干部政治思想工作；负责离退休干部活动中心（馆、室）建设，组织开展各种健康有益文明科学的活动，充分发挥老同志的政治优势，为我州政治文明、物质文明和精神文明建设，为“一州两区三家园的建设，提供坚定支撑，推动跨越发展和长治久安做贡献。三是负责在重大节日组织走访慰问老干部工作。组织开展特殊困难离（退）休干部帮扶工作，组织指导易地安置离退休干部工作。四是做好医疗保健工作。五是抓好工作部门自身建设。六加强州级各系统及各县，州属成都、郫县、都江堰、马尔康是负责所属干休所人事任免、人员调整、退休手续的报批、奖惩、人员编制的管理工作。七是负责全州关心下一代相关工作，并承担关心下一代工作委员会日常工作。八是完成州委和州委组织部交办的其他任务。</w:t>
      </w:r>
    </w:p>
    <w:p w14:paraId="08B8DDD8">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方正黑体_GBK" w:cs="Times New Roman"/>
          <w:b/>
          <w:bCs/>
          <w:color w:val="000000"/>
          <w:kern w:val="0"/>
          <w:sz w:val="32"/>
          <w:szCs w:val="32"/>
          <w:shd w:val="clear" w:color="auto" w:fill="FFFFFF"/>
          <w:lang w:val="zh-CN"/>
        </w:rPr>
      </w:pPr>
      <w:r>
        <w:rPr>
          <w:rFonts w:hint="default" w:ascii="Times New Roman" w:hAnsi="Times New Roman" w:eastAsia="方正黑体_GBK" w:cs="Times New Roman"/>
          <w:b/>
          <w:bCs/>
          <w:color w:val="000000"/>
          <w:kern w:val="0"/>
          <w:sz w:val="32"/>
          <w:szCs w:val="32"/>
          <w:shd w:val="clear" w:color="auto" w:fill="FFFFFF"/>
          <w:lang w:val="zh-CN"/>
        </w:rPr>
        <w:t>四、评价结论及建议</w:t>
      </w:r>
    </w:p>
    <w:p w14:paraId="3723558D">
      <w:pPr>
        <w:adjustRightInd w:val="0"/>
        <w:snapToGrid w:val="0"/>
        <w:spacing w:line="520" w:lineRule="exact"/>
        <w:ind w:firstLine="482" w:firstLineChars="150"/>
        <w:rPr>
          <w:rFonts w:hint="default" w:ascii="Times New Roman" w:hAnsi="Times New Roman" w:eastAsia="仿宋_GB2312" w:cs="Times New Roman"/>
          <w:sz w:val="32"/>
          <w:szCs w:val="32"/>
        </w:rPr>
      </w:pPr>
      <w:r>
        <w:rPr>
          <w:rFonts w:hint="default" w:ascii="Times New Roman" w:hAnsi="Times New Roman" w:eastAsia="方正楷体_GBK" w:cs="Times New Roman"/>
          <w:b/>
          <w:bCs/>
          <w:color w:val="000000"/>
          <w:kern w:val="0"/>
          <w:sz w:val="32"/>
          <w:szCs w:val="32"/>
          <w:shd w:val="clear" w:color="auto" w:fill="FFFFFF"/>
          <w:lang w:val="zh-CN"/>
        </w:rPr>
        <w:t>（一）评价结论。</w:t>
      </w:r>
      <w:r>
        <w:rPr>
          <w:rFonts w:hint="default" w:ascii="Times New Roman" w:hAnsi="Times New Roman" w:eastAsia="仿宋_GB2312" w:cs="Times New Roman"/>
          <w:sz w:val="32"/>
          <w:szCs w:val="32"/>
        </w:rPr>
        <w:t>2024年，我部门部门预算执行情况基本良好，根据部门预算绩效评价指标体系，逐一进行分析自评，自评得分为95.19分。</w:t>
      </w:r>
    </w:p>
    <w:p w14:paraId="5E2D5C26">
      <w:pPr>
        <w:adjustRightInd w:val="0"/>
        <w:snapToGrid w:val="0"/>
        <w:spacing w:line="520" w:lineRule="exact"/>
        <w:ind w:firstLine="482" w:firstLineChars="150"/>
        <w:rPr>
          <w:rFonts w:hint="default" w:ascii="Times New Roman" w:hAnsi="Times New Roman" w:eastAsia="仿宋_GB2312" w:cs="Times New Roman"/>
          <w:sz w:val="32"/>
          <w:szCs w:val="32"/>
        </w:rPr>
      </w:pPr>
      <w:r>
        <w:rPr>
          <w:rFonts w:hint="default" w:ascii="Times New Roman" w:hAnsi="Times New Roman" w:eastAsia="方正楷体_GBK" w:cs="Times New Roman"/>
          <w:b/>
          <w:bCs/>
          <w:color w:val="000000"/>
          <w:kern w:val="0"/>
          <w:sz w:val="32"/>
          <w:szCs w:val="32"/>
          <w:shd w:val="clear" w:color="auto" w:fill="FFFFFF"/>
          <w:lang w:val="zh-CN"/>
        </w:rPr>
        <w:t>（二）存在问题。</w:t>
      </w:r>
      <w:r>
        <w:rPr>
          <w:rFonts w:hint="default" w:ascii="Times New Roman" w:hAnsi="Times New Roman" w:eastAsia="仿宋_GB2312" w:cs="Times New Roman"/>
          <w:sz w:val="32"/>
          <w:szCs w:val="32"/>
        </w:rPr>
        <w:t>预算编制的准确率还应该加强。部门经济支出分类科目调整情况较多。</w:t>
      </w:r>
    </w:p>
    <w:p w14:paraId="4E3210F0">
      <w:pPr>
        <w:adjustRightInd w:val="0"/>
        <w:snapToGrid w:val="0"/>
        <w:spacing w:line="520" w:lineRule="exact"/>
        <w:ind w:firstLine="482" w:firstLineChars="150"/>
        <w:rPr>
          <w:rFonts w:hint="default" w:ascii="Times New Roman" w:hAnsi="Times New Roman" w:eastAsia="仿宋_GB2312" w:cs="Times New Roman"/>
          <w:sz w:val="32"/>
          <w:szCs w:val="32"/>
        </w:rPr>
      </w:pPr>
      <w:r>
        <w:rPr>
          <w:rFonts w:hint="default" w:ascii="Times New Roman" w:hAnsi="Times New Roman" w:eastAsia="方正楷体_GBK" w:cs="Times New Roman"/>
          <w:b/>
          <w:bCs/>
          <w:color w:val="000000"/>
          <w:kern w:val="0"/>
          <w:sz w:val="32"/>
          <w:szCs w:val="32"/>
          <w:shd w:val="clear" w:color="auto" w:fill="FFFFFF"/>
          <w:lang w:val="zh-CN"/>
        </w:rPr>
        <w:t>（</w:t>
      </w:r>
      <w:r>
        <w:rPr>
          <w:rFonts w:hint="default" w:ascii="Times New Roman" w:hAnsi="Times New Roman" w:eastAsia="方正楷体_GBK" w:cs="Times New Roman"/>
          <w:b/>
          <w:bCs/>
          <w:color w:val="000000"/>
          <w:kern w:val="0"/>
          <w:sz w:val="32"/>
          <w:szCs w:val="32"/>
          <w:shd w:val="clear" w:color="auto" w:fill="FFFFFF"/>
          <w:lang w:val="en-US" w:eastAsia="zh-CN"/>
        </w:rPr>
        <w:t>三</w:t>
      </w:r>
      <w:r>
        <w:rPr>
          <w:rFonts w:hint="default" w:ascii="Times New Roman" w:hAnsi="Times New Roman" w:eastAsia="方正楷体_GBK" w:cs="Times New Roman"/>
          <w:b/>
          <w:bCs/>
          <w:color w:val="000000"/>
          <w:kern w:val="0"/>
          <w:sz w:val="32"/>
          <w:szCs w:val="32"/>
          <w:shd w:val="clear" w:color="auto" w:fill="FFFFFF"/>
          <w:lang w:val="zh-CN"/>
        </w:rPr>
        <w:t>）改进建议。</w:t>
      </w:r>
      <w:r>
        <w:rPr>
          <w:rFonts w:hint="default" w:ascii="Times New Roman" w:hAnsi="Times New Roman" w:eastAsia="仿宋_GB2312" w:cs="Times New Roman"/>
          <w:sz w:val="32"/>
          <w:szCs w:val="32"/>
        </w:rPr>
        <w:t>本部门将始终遵循先有预算、后有支出的原则，科学合理编制部门预算，推进预算编制科学化、标准化。下一步工作中将根据实际情况及时进行预算调整，定期做好预算执行分析，适时掌握预算执行进度，及时找出预算实际执行情况与预算目标之间存在的差距，进一步加快预算执行。</w:t>
      </w:r>
    </w:p>
    <w:p w14:paraId="4237FA01">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kern w:val="0"/>
          <w:sz w:val="32"/>
          <w:szCs w:val="32"/>
        </w:rPr>
      </w:pPr>
    </w:p>
    <w:p w14:paraId="661ABCB3">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kern w:val="0"/>
          <w:sz w:val="32"/>
          <w:szCs w:val="32"/>
        </w:rPr>
      </w:pPr>
      <w:bookmarkStart w:id="77" w:name="_Toc15396618"/>
      <w:r>
        <w:rPr>
          <w:rFonts w:hint="default" w:ascii="Times New Roman" w:hAnsi="Times New Roman" w:eastAsia="仿宋_GB2312" w:cs="Times New Roman"/>
          <w:kern w:val="0"/>
          <w:sz w:val="32"/>
          <w:szCs w:val="32"/>
        </w:rPr>
        <w:br w:type="page"/>
      </w:r>
    </w:p>
    <w:p w14:paraId="7BE27C7C">
      <w:pPr>
        <w:pageBreakBefore w:val="0"/>
        <w:widowControl/>
        <w:kinsoku/>
        <w:wordWrap/>
        <w:overflowPunct/>
        <w:topLinePunct w:val="0"/>
        <w:autoSpaceDE/>
        <w:autoSpaceDN/>
        <w:bidi w:val="0"/>
        <w:spacing w:line="576" w:lineRule="exact"/>
        <w:ind w:firstLine="880" w:firstLineChars="200"/>
        <w:jc w:val="center"/>
        <w:textAlignment w:val="auto"/>
        <w:rPr>
          <w:rFonts w:hint="default" w:ascii="Times New Roman" w:hAnsi="Times New Roman" w:eastAsia="仿宋" w:cs="Times New Roman"/>
        </w:rPr>
      </w:pPr>
      <w:r>
        <w:rPr>
          <w:rFonts w:hint="default" w:ascii="Times New Roman" w:hAnsi="Times New Roman" w:eastAsia="黑体" w:cs="Times New Roman"/>
          <w:sz w:val="44"/>
          <w:szCs w:val="44"/>
        </w:rPr>
        <w:t>第</w:t>
      </w:r>
      <w:r>
        <w:rPr>
          <w:rStyle w:val="31"/>
          <w:rFonts w:hint="default" w:ascii="Times New Roman" w:hAnsi="Times New Roman" w:eastAsia="黑体" w:cs="Times New Roman"/>
          <w:b w:val="0"/>
        </w:rPr>
        <w:t>五部分 附表</w:t>
      </w:r>
      <w:bookmarkEnd w:id="76"/>
      <w:bookmarkEnd w:id="77"/>
      <w:bookmarkStart w:id="78" w:name="_Toc15396619"/>
    </w:p>
    <w:p w14:paraId="227BAD2B">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p>
    <w:p w14:paraId="09ED9CFC">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bookmarkEnd w:id="78"/>
    </w:p>
    <w:p w14:paraId="5254CF88">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bookmarkStart w:id="79" w:name="_Toc15396620"/>
      <w:r>
        <w:rPr>
          <w:rFonts w:hint="default" w:ascii="Times New Roman" w:hAnsi="Times New Roman" w:eastAsia="仿宋_GB2312" w:cs="Times New Roman"/>
          <w:sz w:val="32"/>
          <w:szCs w:val="32"/>
        </w:rPr>
        <w:t>二、收入决算表</w:t>
      </w:r>
      <w:bookmarkEnd w:id="79"/>
    </w:p>
    <w:p w14:paraId="2F5F2926">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bookmarkStart w:id="80" w:name="_Toc15396621"/>
      <w:r>
        <w:rPr>
          <w:rFonts w:hint="default" w:ascii="Times New Roman" w:hAnsi="Times New Roman" w:eastAsia="仿宋_GB2312" w:cs="Times New Roman"/>
          <w:sz w:val="32"/>
          <w:szCs w:val="32"/>
        </w:rPr>
        <w:t>三、支出决算表</w:t>
      </w:r>
      <w:bookmarkEnd w:id="80"/>
    </w:p>
    <w:p w14:paraId="6246EB0A">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bookmarkStart w:id="81" w:name="_Toc15396622"/>
      <w:r>
        <w:rPr>
          <w:rFonts w:hint="default" w:ascii="Times New Roman" w:hAnsi="Times New Roman" w:eastAsia="仿宋_GB2312" w:cs="Times New Roman"/>
          <w:sz w:val="32"/>
          <w:szCs w:val="32"/>
        </w:rPr>
        <w:t>四、财政拨款收入支出决算总表</w:t>
      </w:r>
      <w:bookmarkEnd w:id="81"/>
    </w:p>
    <w:p w14:paraId="6BAEB6DE">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bookmarkStart w:id="82" w:name="_Toc15396623"/>
      <w:r>
        <w:rPr>
          <w:rFonts w:hint="default" w:ascii="Times New Roman" w:hAnsi="Times New Roman" w:eastAsia="仿宋_GB2312" w:cs="Times New Roman"/>
          <w:sz w:val="32"/>
          <w:szCs w:val="32"/>
        </w:rPr>
        <w:t>五、财政拨款支出决算明细表</w:t>
      </w:r>
      <w:bookmarkEnd w:id="82"/>
      <w:bookmarkStart w:id="83" w:name="_Toc15396624"/>
    </w:p>
    <w:p w14:paraId="3D2920E5">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bookmarkEnd w:id="83"/>
    </w:p>
    <w:p w14:paraId="240F08B6">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bookmarkStart w:id="84" w:name="_Toc15396625"/>
      <w:r>
        <w:rPr>
          <w:rFonts w:hint="default" w:ascii="Times New Roman" w:hAnsi="Times New Roman" w:eastAsia="仿宋_GB2312" w:cs="Times New Roman"/>
          <w:sz w:val="32"/>
          <w:szCs w:val="32"/>
        </w:rPr>
        <w:t>七、一般公共预算财政拨款支出决算明细表</w:t>
      </w:r>
      <w:bookmarkEnd w:id="84"/>
    </w:p>
    <w:p w14:paraId="2CA8AE20">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bookmarkStart w:id="85" w:name="_Toc15396626"/>
      <w:r>
        <w:rPr>
          <w:rFonts w:hint="default" w:ascii="Times New Roman" w:hAnsi="Times New Roman" w:eastAsia="仿宋_GB2312" w:cs="Times New Roman"/>
          <w:sz w:val="32"/>
          <w:szCs w:val="32"/>
        </w:rPr>
        <w:t>八、一般公共预算财政拨款基本支出决算表</w:t>
      </w:r>
      <w:bookmarkEnd w:id="85"/>
    </w:p>
    <w:p w14:paraId="1021E5EC">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bookmarkStart w:id="86" w:name="_Toc15396627"/>
      <w:r>
        <w:rPr>
          <w:rFonts w:hint="default" w:ascii="Times New Roman" w:hAnsi="Times New Roman" w:eastAsia="仿宋_GB2312" w:cs="Times New Roman"/>
          <w:sz w:val="32"/>
          <w:szCs w:val="32"/>
        </w:rPr>
        <w:t>九、一般公共预算财政拨款项目支出决算表</w:t>
      </w:r>
      <w:bookmarkEnd w:id="86"/>
    </w:p>
    <w:p w14:paraId="07043E00">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bookmarkStart w:id="87" w:name="_Toc15396628"/>
      <w:r>
        <w:rPr>
          <w:rFonts w:hint="default" w:ascii="Times New Roman" w:hAnsi="Times New Roman" w:eastAsia="仿宋_GB2312" w:cs="Times New Roman"/>
          <w:sz w:val="32"/>
          <w:szCs w:val="32"/>
        </w:rPr>
        <w:t>十、</w:t>
      </w:r>
      <w:bookmarkEnd w:id="87"/>
      <w:r>
        <w:rPr>
          <w:rFonts w:hint="default" w:ascii="Times New Roman" w:hAnsi="Times New Roman" w:eastAsia="仿宋_GB2312" w:cs="Times New Roman"/>
          <w:sz w:val="32"/>
          <w:szCs w:val="32"/>
        </w:rPr>
        <w:t>政府性基金预算财政拨款收入支出决算表</w:t>
      </w:r>
    </w:p>
    <w:p w14:paraId="7B15E922">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bookmarkStart w:id="88" w:name="_Toc15396629"/>
      <w:r>
        <w:rPr>
          <w:rFonts w:hint="default" w:ascii="Times New Roman" w:hAnsi="Times New Roman" w:eastAsia="仿宋_GB2312" w:cs="Times New Roman"/>
          <w:sz w:val="32"/>
          <w:szCs w:val="32"/>
        </w:rPr>
        <w:t>十一、</w:t>
      </w:r>
      <w:bookmarkEnd w:id="88"/>
      <w:r>
        <w:rPr>
          <w:rFonts w:hint="default" w:ascii="Times New Roman" w:hAnsi="Times New Roman" w:eastAsia="仿宋_GB2312" w:cs="Times New Roman"/>
          <w:sz w:val="32"/>
          <w:szCs w:val="32"/>
        </w:rPr>
        <w:t>国有资本经营预算财政拨款收入支出决算表</w:t>
      </w:r>
    </w:p>
    <w:p w14:paraId="0F22F1B4">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bookmarkStart w:id="89" w:name="_Toc15396630"/>
      <w:r>
        <w:rPr>
          <w:rFonts w:hint="default" w:ascii="Times New Roman" w:hAnsi="Times New Roman" w:eastAsia="仿宋_GB2312" w:cs="Times New Roman"/>
          <w:sz w:val="32"/>
          <w:szCs w:val="32"/>
        </w:rPr>
        <w:t>十二、</w:t>
      </w:r>
      <w:bookmarkEnd w:id="89"/>
      <w:r>
        <w:rPr>
          <w:rFonts w:hint="default" w:ascii="Times New Roman" w:hAnsi="Times New Roman" w:eastAsia="仿宋_GB2312" w:cs="Times New Roman"/>
          <w:sz w:val="32"/>
          <w:szCs w:val="32"/>
        </w:rPr>
        <w:t>国有资本经营预算财政拨款支出决算表</w:t>
      </w:r>
    </w:p>
    <w:p w14:paraId="3D830803">
      <w:pPr>
        <w:pStyle w:val="14"/>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仿宋_GB2312" w:cs="Times New Roman"/>
          <w:sz w:val="32"/>
          <w:szCs w:val="32"/>
        </w:rPr>
      </w:pPr>
      <w:bookmarkStart w:id="90" w:name="_Toc15396631"/>
      <w:r>
        <w:rPr>
          <w:rFonts w:hint="default" w:ascii="Times New Roman" w:hAnsi="Times New Roman" w:eastAsia="仿宋_GB2312" w:cs="Times New Roman"/>
          <w:sz w:val="32"/>
          <w:szCs w:val="32"/>
        </w:rPr>
        <w:t>十三、</w:t>
      </w:r>
      <w:bookmarkEnd w:id="90"/>
      <w:r>
        <w:rPr>
          <w:rFonts w:hint="default" w:ascii="Times New Roman" w:hAnsi="Times New Roman" w:eastAsia="仿宋_GB2312" w:cs="Times New Roman"/>
          <w:sz w:val="32"/>
          <w:szCs w:val="32"/>
        </w:rPr>
        <w:t>财政拨款“三公”经费支出决算表</w:t>
      </w:r>
    </w:p>
    <w:p w14:paraId="46D5F740">
      <w:pPr>
        <w:rPr>
          <w:rFonts w:hint="default" w:ascii="Times New Roman" w:hAnsi="Times New Roman" w:eastAsia="宋体" w:cs="Times New Roman"/>
          <w:lang w:eastAsia="zh-CN"/>
        </w:rPr>
      </w:pPr>
    </w:p>
    <w:sectPr>
      <w:footerReference r:id="rId6" w:type="first"/>
      <w:footerReference r:id="rId5"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94825">
    <w:pPr>
      <w:pStyle w:val="10"/>
      <w:jc w:val="center"/>
    </w:pPr>
  </w:p>
  <w:p w14:paraId="1C1DB24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EE4C8">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C7AD5">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11C7AD5">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66C8D479">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D32BB">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D48E5">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A4D48E5">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44DE">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3F69"/>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07004"/>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3795B"/>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1812"/>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22A3"/>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2FE1"/>
    <w:rsid w:val="00D114F0"/>
    <w:rsid w:val="00D20620"/>
    <w:rsid w:val="00D254F7"/>
    <w:rsid w:val="00D26091"/>
    <w:rsid w:val="00D2685C"/>
    <w:rsid w:val="00D34E7C"/>
    <w:rsid w:val="00D35489"/>
    <w:rsid w:val="00D36AFE"/>
    <w:rsid w:val="00D51276"/>
    <w:rsid w:val="00D5444D"/>
    <w:rsid w:val="00D577C3"/>
    <w:rsid w:val="00D7035F"/>
    <w:rsid w:val="00DA634F"/>
    <w:rsid w:val="00DA65AC"/>
    <w:rsid w:val="00DB1913"/>
    <w:rsid w:val="00DC2C99"/>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BD17FD"/>
    <w:rsid w:val="01FB2325"/>
    <w:rsid w:val="021358C1"/>
    <w:rsid w:val="025E4888"/>
    <w:rsid w:val="02FEBE30"/>
    <w:rsid w:val="031F4689"/>
    <w:rsid w:val="038A570F"/>
    <w:rsid w:val="04916F1E"/>
    <w:rsid w:val="05104FA1"/>
    <w:rsid w:val="05681A7F"/>
    <w:rsid w:val="061B2F96"/>
    <w:rsid w:val="061E35DE"/>
    <w:rsid w:val="06436AAC"/>
    <w:rsid w:val="066E0107"/>
    <w:rsid w:val="075E313A"/>
    <w:rsid w:val="078076A1"/>
    <w:rsid w:val="07996F6E"/>
    <w:rsid w:val="07DA0ED6"/>
    <w:rsid w:val="07DFD8BA"/>
    <w:rsid w:val="07FA6182"/>
    <w:rsid w:val="084367D4"/>
    <w:rsid w:val="0845254C"/>
    <w:rsid w:val="08856DEC"/>
    <w:rsid w:val="09867E8F"/>
    <w:rsid w:val="0A2032A3"/>
    <w:rsid w:val="0A6273E5"/>
    <w:rsid w:val="0B536D2E"/>
    <w:rsid w:val="0B53783F"/>
    <w:rsid w:val="0B955598"/>
    <w:rsid w:val="0BBF68DC"/>
    <w:rsid w:val="0C3D450B"/>
    <w:rsid w:val="0CA8290A"/>
    <w:rsid w:val="0CF546CC"/>
    <w:rsid w:val="0D35B1ED"/>
    <w:rsid w:val="0D8E04F1"/>
    <w:rsid w:val="0E254B6B"/>
    <w:rsid w:val="0F98263C"/>
    <w:rsid w:val="101860EC"/>
    <w:rsid w:val="101F47CC"/>
    <w:rsid w:val="10BE2E9B"/>
    <w:rsid w:val="10C055FF"/>
    <w:rsid w:val="114710E3"/>
    <w:rsid w:val="11694EBD"/>
    <w:rsid w:val="11772AA4"/>
    <w:rsid w:val="118107EC"/>
    <w:rsid w:val="11D21879"/>
    <w:rsid w:val="12B26A30"/>
    <w:rsid w:val="12C91936"/>
    <w:rsid w:val="12E24EE2"/>
    <w:rsid w:val="130A6A4E"/>
    <w:rsid w:val="13D50BC4"/>
    <w:rsid w:val="140B464A"/>
    <w:rsid w:val="145D56A9"/>
    <w:rsid w:val="14B17F78"/>
    <w:rsid w:val="14D13F6D"/>
    <w:rsid w:val="14FD6EB5"/>
    <w:rsid w:val="155450E5"/>
    <w:rsid w:val="15E05662"/>
    <w:rsid w:val="165E0673"/>
    <w:rsid w:val="16B831D5"/>
    <w:rsid w:val="16BB723D"/>
    <w:rsid w:val="16F47617"/>
    <w:rsid w:val="17E50567"/>
    <w:rsid w:val="17EB6C6C"/>
    <w:rsid w:val="17F00FA0"/>
    <w:rsid w:val="186504BB"/>
    <w:rsid w:val="18952734"/>
    <w:rsid w:val="18B45CA9"/>
    <w:rsid w:val="196579DE"/>
    <w:rsid w:val="19A445FC"/>
    <w:rsid w:val="1A02029D"/>
    <w:rsid w:val="1A7D5C9E"/>
    <w:rsid w:val="1B040045"/>
    <w:rsid w:val="1BBE5A33"/>
    <w:rsid w:val="1BE8440E"/>
    <w:rsid w:val="1C4C3A51"/>
    <w:rsid w:val="1CA70C88"/>
    <w:rsid w:val="1CC6347C"/>
    <w:rsid w:val="1CD039BD"/>
    <w:rsid w:val="1CD75A11"/>
    <w:rsid w:val="1D155CEE"/>
    <w:rsid w:val="1D1638FE"/>
    <w:rsid w:val="1E032835"/>
    <w:rsid w:val="1E054B4B"/>
    <w:rsid w:val="1E312DEB"/>
    <w:rsid w:val="1E740ACF"/>
    <w:rsid w:val="1EB61656"/>
    <w:rsid w:val="1FF35744"/>
    <w:rsid w:val="1FF6BC77"/>
    <w:rsid w:val="20CC5ACB"/>
    <w:rsid w:val="211663DC"/>
    <w:rsid w:val="2118165B"/>
    <w:rsid w:val="2186353C"/>
    <w:rsid w:val="21C75814"/>
    <w:rsid w:val="2206534F"/>
    <w:rsid w:val="23860B96"/>
    <w:rsid w:val="239F6B5C"/>
    <w:rsid w:val="24026AB3"/>
    <w:rsid w:val="240371BF"/>
    <w:rsid w:val="244F3473"/>
    <w:rsid w:val="246A53BC"/>
    <w:rsid w:val="247E1F51"/>
    <w:rsid w:val="24C97D99"/>
    <w:rsid w:val="25A718F0"/>
    <w:rsid w:val="25BB59F6"/>
    <w:rsid w:val="25F413E1"/>
    <w:rsid w:val="25F4750F"/>
    <w:rsid w:val="260F557C"/>
    <w:rsid w:val="26467763"/>
    <w:rsid w:val="26502693"/>
    <w:rsid w:val="266D0511"/>
    <w:rsid w:val="26751DF6"/>
    <w:rsid w:val="26970054"/>
    <w:rsid w:val="27070CA1"/>
    <w:rsid w:val="271138CD"/>
    <w:rsid w:val="27315D1D"/>
    <w:rsid w:val="281408E2"/>
    <w:rsid w:val="28575C58"/>
    <w:rsid w:val="289E54D1"/>
    <w:rsid w:val="28F64240"/>
    <w:rsid w:val="29EC0622"/>
    <w:rsid w:val="29FD04D3"/>
    <w:rsid w:val="2A97233B"/>
    <w:rsid w:val="2B784A89"/>
    <w:rsid w:val="2BFF7BC6"/>
    <w:rsid w:val="2C2F6C5B"/>
    <w:rsid w:val="2C7F03F5"/>
    <w:rsid w:val="2C8A61B5"/>
    <w:rsid w:val="2C8E15B2"/>
    <w:rsid w:val="2D763B36"/>
    <w:rsid w:val="2DCF44E2"/>
    <w:rsid w:val="2DF04E50"/>
    <w:rsid w:val="2E586DFA"/>
    <w:rsid w:val="2EA9088F"/>
    <w:rsid w:val="2F040D46"/>
    <w:rsid w:val="2F177EEF"/>
    <w:rsid w:val="2F37233F"/>
    <w:rsid w:val="2F6B035B"/>
    <w:rsid w:val="2FAE5751"/>
    <w:rsid w:val="2FB1A395"/>
    <w:rsid w:val="2FD9A7D8"/>
    <w:rsid w:val="2FDBF714"/>
    <w:rsid w:val="2FF873CB"/>
    <w:rsid w:val="301E6012"/>
    <w:rsid w:val="30AB6865"/>
    <w:rsid w:val="30AB6B41"/>
    <w:rsid w:val="30C96794"/>
    <w:rsid w:val="311C7A3E"/>
    <w:rsid w:val="319F7F4E"/>
    <w:rsid w:val="31D20B9C"/>
    <w:rsid w:val="31DB5204"/>
    <w:rsid w:val="32BD1EF1"/>
    <w:rsid w:val="3304709D"/>
    <w:rsid w:val="331A7F4F"/>
    <w:rsid w:val="338A5133"/>
    <w:rsid w:val="33A773CB"/>
    <w:rsid w:val="349D6851"/>
    <w:rsid w:val="34C5219B"/>
    <w:rsid w:val="34C75F13"/>
    <w:rsid w:val="350A389E"/>
    <w:rsid w:val="35B210CE"/>
    <w:rsid w:val="35E6413B"/>
    <w:rsid w:val="36394BEF"/>
    <w:rsid w:val="3651018A"/>
    <w:rsid w:val="36AA5135"/>
    <w:rsid w:val="36BE0DA7"/>
    <w:rsid w:val="376B6AA6"/>
    <w:rsid w:val="376D39B2"/>
    <w:rsid w:val="37E16F03"/>
    <w:rsid w:val="37F53A3B"/>
    <w:rsid w:val="37FF77F5"/>
    <w:rsid w:val="38215F06"/>
    <w:rsid w:val="3842422E"/>
    <w:rsid w:val="389B6C89"/>
    <w:rsid w:val="38D469F0"/>
    <w:rsid w:val="38FE7A29"/>
    <w:rsid w:val="39627CCD"/>
    <w:rsid w:val="397BAF1F"/>
    <w:rsid w:val="39C3314D"/>
    <w:rsid w:val="3AB79AF3"/>
    <w:rsid w:val="3AE834C0"/>
    <w:rsid w:val="3AF31810"/>
    <w:rsid w:val="3B712735"/>
    <w:rsid w:val="3B7EF35A"/>
    <w:rsid w:val="3B9FDB6C"/>
    <w:rsid w:val="3BF5BC2F"/>
    <w:rsid w:val="3CEBA265"/>
    <w:rsid w:val="3D98207C"/>
    <w:rsid w:val="3DC31E6C"/>
    <w:rsid w:val="3DEE7CF3"/>
    <w:rsid w:val="3E2D57FA"/>
    <w:rsid w:val="3E547818"/>
    <w:rsid w:val="3E740A63"/>
    <w:rsid w:val="3E78745D"/>
    <w:rsid w:val="3EE17838"/>
    <w:rsid w:val="3F55381A"/>
    <w:rsid w:val="3F7F7599"/>
    <w:rsid w:val="3FF4CAE0"/>
    <w:rsid w:val="3FF7B227"/>
    <w:rsid w:val="4045786A"/>
    <w:rsid w:val="40D45C40"/>
    <w:rsid w:val="412414ED"/>
    <w:rsid w:val="41566CC0"/>
    <w:rsid w:val="416A65A4"/>
    <w:rsid w:val="41710FA8"/>
    <w:rsid w:val="41A73354"/>
    <w:rsid w:val="42EF4FB3"/>
    <w:rsid w:val="430118C9"/>
    <w:rsid w:val="430D77B6"/>
    <w:rsid w:val="434500E0"/>
    <w:rsid w:val="436E7326"/>
    <w:rsid w:val="440C749E"/>
    <w:rsid w:val="44112D07"/>
    <w:rsid w:val="448C05DF"/>
    <w:rsid w:val="44DC1567"/>
    <w:rsid w:val="44E268DA"/>
    <w:rsid w:val="450D13D7"/>
    <w:rsid w:val="45506656"/>
    <w:rsid w:val="46160AA8"/>
    <w:rsid w:val="467D4684"/>
    <w:rsid w:val="477D5106"/>
    <w:rsid w:val="47F82942"/>
    <w:rsid w:val="48265363"/>
    <w:rsid w:val="4842401B"/>
    <w:rsid w:val="486A6C7A"/>
    <w:rsid w:val="487433D2"/>
    <w:rsid w:val="48B430FD"/>
    <w:rsid w:val="4A627F82"/>
    <w:rsid w:val="4AC950C5"/>
    <w:rsid w:val="4B0E749A"/>
    <w:rsid w:val="4B2477C4"/>
    <w:rsid w:val="4B373770"/>
    <w:rsid w:val="4B4340EE"/>
    <w:rsid w:val="4B4F25DA"/>
    <w:rsid w:val="4B5C0362"/>
    <w:rsid w:val="4BE068DB"/>
    <w:rsid w:val="4C6D5B21"/>
    <w:rsid w:val="4CB34504"/>
    <w:rsid w:val="4CDD18A0"/>
    <w:rsid w:val="4CED0E58"/>
    <w:rsid w:val="4CF136D5"/>
    <w:rsid w:val="4D577224"/>
    <w:rsid w:val="4D6334A1"/>
    <w:rsid w:val="4DBF1CEB"/>
    <w:rsid w:val="4DF0007C"/>
    <w:rsid w:val="4E992277"/>
    <w:rsid w:val="4EAB630A"/>
    <w:rsid w:val="4ECE2238"/>
    <w:rsid w:val="4ED67027"/>
    <w:rsid w:val="4EF83B36"/>
    <w:rsid w:val="4F046931"/>
    <w:rsid w:val="4F610FE6"/>
    <w:rsid w:val="4F6B3C13"/>
    <w:rsid w:val="4F833267"/>
    <w:rsid w:val="4FA90297"/>
    <w:rsid w:val="4FB21842"/>
    <w:rsid w:val="4FE9BD67"/>
    <w:rsid w:val="4FFB052F"/>
    <w:rsid w:val="501E6EAC"/>
    <w:rsid w:val="528B637A"/>
    <w:rsid w:val="537E6D0A"/>
    <w:rsid w:val="53F74C96"/>
    <w:rsid w:val="54E36158"/>
    <w:rsid w:val="54E83C26"/>
    <w:rsid w:val="55170BA8"/>
    <w:rsid w:val="5527540B"/>
    <w:rsid w:val="553218C9"/>
    <w:rsid w:val="55534799"/>
    <w:rsid w:val="555D5E9E"/>
    <w:rsid w:val="556E7FB9"/>
    <w:rsid w:val="558477DD"/>
    <w:rsid w:val="55FB6FA7"/>
    <w:rsid w:val="56310FE7"/>
    <w:rsid w:val="563C40B2"/>
    <w:rsid w:val="567E1AA5"/>
    <w:rsid w:val="56835CE6"/>
    <w:rsid w:val="56920816"/>
    <w:rsid w:val="56C105BC"/>
    <w:rsid w:val="56E47B74"/>
    <w:rsid w:val="56EA7B13"/>
    <w:rsid w:val="570D735E"/>
    <w:rsid w:val="57175D52"/>
    <w:rsid w:val="576C0061"/>
    <w:rsid w:val="57BD3DD4"/>
    <w:rsid w:val="57D61E46"/>
    <w:rsid w:val="58A101F8"/>
    <w:rsid w:val="592541D4"/>
    <w:rsid w:val="5A1804F3"/>
    <w:rsid w:val="5A4F003A"/>
    <w:rsid w:val="5AF92295"/>
    <w:rsid w:val="5B250254"/>
    <w:rsid w:val="5B93523E"/>
    <w:rsid w:val="5BAD7361"/>
    <w:rsid w:val="5BDD79E6"/>
    <w:rsid w:val="5BE82147"/>
    <w:rsid w:val="5BF561CA"/>
    <w:rsid w:val="5BFF5DFC"/>
    <w:rsid w:val="5C017C5A"/>
    <w:rsid w:val="5CB84210"/>
    <w:rsid w:val="5CCB5CF1"/>
    <w:rsid w:val="5CD71FC4"/>
    <w:rsid w:val="5D1F11B5"/>
    <w:rsid w:val="5D3970FE"/>
    <w:rsid w:val="5D450458"/>
    <w:rsid w:val="5D4E4952"/>
    <w:rsid w:val="5D695134"/>
    <w:rsid w:val="5DAE1B18"/>
    <w:rsid w:val="5DE7D9E5"/>
    <w:rsid w:val="5E3D64A7"/>
    <w:rsid w:val="5ECEC941"/>
    <w:rsid w:val="5F555D46"/>
    <w:rsid w:val="5FA83470"/>
    <w:rsid w:val="5FBF9FF3"/>
    <w:rsid w:val="5FCD4E2C"/>
    <w:rsid w:val="5FEF394A"/>
    <w:rsid w:val="5FF67715"/>
    <w:rsid w:val="6042276E"/>
    <w:rsid w:val="60E91876"/>
    <w:rsid w:val="61532759"/>
    <w:rsid w:val="61C06640"/>
    <w:rsid w:val="62811D1C"/>
    <w:rsid w:val="62BF3928"/>
    <w:rsid w:val="634E4F86"/>
    <w:rsid w:val="63B3701E"/>
    <w:rsid w:val="63BF40D6"/>
    <w:rsid w:val="647F5392"/>
    <w:rsid w:val="649905AD"/>
    <w:rsid w:val="652341F0"/>
    <w:rsid w:val="65711400"/>
    <w:rsid w:val="658B58B0"/>
    <w:rsid w:val="65E66580"/>
    <w:rsid w:val="661A660E"/>
    <w:rsid w:val="66432D9C"/>
    <w:rsid w:val="664B1D71"/>
    <w:rsid w:val="664B4E8E"/>
    <w:rsid w:val="668A09CB"/>
    <w:rsid w:val="67277B67"/>
    <w:rsid w:val="67AA3209"/>
    <w:rsid w:val="67F670C0"/>
    <w:rsid w:val="68880F3A"/>
    <w:rsid w:val="68D26659"/>
    <w:rsid w:val="69236EB5"/>
    <w:rsid w:val="697A703D"/>
    <w:rsid w:val="698D0931"/>
    <w:rsid w:val="69992CD3"/>
    <w:rsid w:val="69B67E91"/>
    <w:rsid w:val="69E03F98"/>
    <w:rsid w:val="6A107439"/>
    <w:rsid w:val="6A7FE5F3"/>
    <w:rsid w:val="6AD51600"/>
    <w:rsid w:val="6B053271"/>
    <w:rsid w:val="6B2F1B41"/>
    <w:rsid w:val="6B8C2AEF"/>
    <w:rsid w:val="6BDD78B3"/>
    <w:rsid w:val="6C4A05C8"/>
    <w:rsid w:val="6C8742B8"/>
    <w:rsid w:val="6CDE381E"/>
    <w:rsid w:val="6CF546C4"/>
    <w:rsid w:val="6CFF2DC0"/>
    <w:rsid w:val="6D82752C"/>
    <w:rsid w:val="6D995997"/>
    <w:rsid w:val="6DB17785"/>
    <w:rsid w:val="6DBF5E93"/>
    <w:rsid w:val="6DFF077E"/>
    <w:rsid w:val="6E714EF0"/>
    <w:rsid w:val="6E7E3605"/>
    <w:rsid w:val="6E7FDCC7"/>
    <w:rsid w:val="6ED6A62E"/>
    <w:rsid w:val="6EE00B15"/>
    <w:rsid w:val="6F6FB3EB"/>
    <w:rsid w:val="6F8731EA"/>
    <w:rsid w:val="6FB70357"/>
    <w:rsid w:val="6FCE6052"/>
    <w:rsid w:val="6FD57C00"/>
    <w:rsid w:val="6FEFFFD8"/>
    <w:rsid w:val="6FF5CC65"/>
    <w:rsid w:val="6FFB47EC"/>
    <w:rsid w:val="6FFF034A"/>
    <w:rsid w:val="70484440"/>
    <w:rsid w:val="712A28F1"/>
    <w:rsid w:val="715C0E4B"/>
    <w:rsid w:val="717C7162"/>
    <w:rsid w:val="719153B4"/>
    <w:rsid w:val="71992E7C"/>
    <w:rsid w:val="7199721F"/>
    <w:rsid w:val="71EC0662"/>
    <w:rsid w:val="72233669"/>
    <w:rsid w:val="72734D90"/>
    <w:rsid w:val="72FF44EF"/>
    <w:rsid w:val="73160E6D"/>
    <w:rsid w:val="7332FE48"/>
    <w:rsid w:val="737516C5"/>
    <w:rsid w:val="738970CF"/>
    <w:rsid w:val="73AB61DA"/>
    <w:rsid w:val="73AD73D5"/>
    <w:rsid w:val="73B12A87"/>
    <w:rsid w:val="73B6EB34"/>
    <w:rsid w:val="73D84708"/>
    <w:rsid w:val="73F31BF5"/>
    <w:rsid w:val="73FA497D"/>
    <w:rsid w:val="744731E5"/>
    <w:rsid w:val="744A1799"/>
    <w:rsid w:val="746763AF"/>
    <w:rsid w:val="74BBD01D"/>
    <w:rsid w:val="74C432FA"/>
    <w:rsid w:val="74ED5379"/>
    <w:rsid w:val="75DEEEC2"/>
    <w:rsid w:val="75E32345"/>
    <w:rsid w:val="763741CA"/>
    <w:rsid w:val="76E3355F"/>
    <w:rsid w:val="76F41F20"/>
    <w:rsid w:val="76FF5125"/>
    <w:rsid w:val="776F6FFA"/>
    <w:rsid w:val="778769C8"/>
    <w:rsid w:val="77A75DCA"/>
    <w:rsid w:val="77B331C7"/>
    <w:rsid w:val="77CF53AC"/>
    <w:rsid w:val="77DC22F5"/>
    <w:rsid w:val="780A196C"/>
    <w:rsid w:val="78250553"/>
    <w:rsid w:val="783E271A"/>
    <w:rsid w:val="78616DE9"/>
    <w:rsid w:val="78713799"/>
    <w:rsid w:val="78855E26"/>
    <w:rsid w:val="78E875D7"/>
    <w:rsid w:val="79086DAD"/>
    <w:rsid w:val="79D7FD79"/>
    <w:rsid w:val="79ED0D0C"/>
    <w:rsid w:val="79EE5BA4"/>
    <w:rsid w:val="7A020420"/>
    <w:rsid w:val="7A2F7467"/>
    <w:rsid w:val="7A894339"/>
    <w:rsid w:val="7AD284E8"/>
    <w:rsid w:val="7AFF7572"/>
    <w:rsid w:val="7B6C7DFB"/>
    <w:rsid w:val="7BBFBED0"/>
    <w:rsid w:val="7BC3E394"/>
    <w:rsid w:val="7C142DB9"/>
    <w:rsid w:val="7C1F3737"/>
    <w:rsid w:val="7C896BD7"/>
    <w:rsid w:val="7CBFC87B"/>
    <w:rsid w:val="7CFE0F48"/>
    <w:rsid w:val="7D133070"/>
    <w:rsid w:val="7D272ABC"/>
    <w:rsid w:val="7D553689"/>
    <w:rsid w:val="7D7EC23E"/>
    <w:rsid w:val="7DA0242A"/>
    <w:rsid w:val="7E8ADEBF"/>
    <w:rsid w:val="7EEE5DEA"/>
    <w:rsid w:val="7EEF11D3"/>
    <w:rsid w:val="7EFE4840"/>
    <w:rsid w:val="7F0971A6"/>
    <w:rsid w:val="7F1D62E7"/>
    <w:rsid w:val="7F36534A"/>
    <w:rsid w:val="7F3F679B"/>
    <w:rsid w:val="7F4FC4EF"/>
    <w:rsid w:val="7F5E4D54"/>
    <w:rsid w:val="7F676231"/>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0"/>
    <w:pPr>
      <w:spacing w:after="120"/>
      <w:ind w:left="200" w:leftChars="200"/>
    </w:pPr>
    <w:rPr>
      <w:rFonts w:ascii="仿宋_GB2312"/>
      <w:szCs w:val="32"/>
    </w:r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4"/>
    <w:semiHidden/>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2"/>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rPr>
      <w:sz w:val="24"/>
    </w:rPr>
  </w:style>
  <w:style w:type="paragraph" w:styleId="16">
    <w:name w:val="Body Text First Indent"/>
    <w:basedOn w:val="7"/>
    <w:qFormat/>
    <w:uiPriority w:val="0"/>
    <w:pPr>
      <w:ind w:firstLine="100" w:firstLineChars="100"/>
    </w:pPr>
    <w:rPr>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字符"/>
    <w:link w:val="11"/>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字符"/>
    <w:link w:val="10"/>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字符"/>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9"/>
    <w:link w:val="4"/>
    <w:qFormat/>
    <w:uiPriority w:val="9"/>
    <w:rPr>
      <w:rFonts w:ascii="Times New Roman" w:hAnsi="Times New Roman"/>
      <w:b/>
      <w:bCs/>
      <w:kern w:val="44"/>
      <w:sz w:val="44"/>
      <w:szCs w:val="44"/>
    </w:rPr>
  </w:style>
  <w:style w:type="character" w:customStyle="1" w:styleId="32">
    <w:name w:val="标题 2 字符"/>
    <w:basedOn w:val="19"/>
    <w:link w:val="5"/>
    <w:qFormat/>
    <w:uiPriority w:val="9"/>
    <w:rPr>
      <w:rFonts w:asciiTheme="majorHAnsi" w:hAnsiTheme="majorHAnsi" w:eastAsiaTheme="majorEastAsia" w:cstheme="majorBidi"/>
      <w:b/>
      <w:bCs/>
      <w:kern w:val="2"/>
      <w:sz w:val="32"/>
      <w:szCs w:val="32"/>
    </w:r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9"/>
    <w:link w:val="9"/>
    <w:semiHidden/>
    <w:qFormat/>
    <w:uiPriority w:val="99"/>
    <w:rPr>
      <w:rFonts w:ascii="Times New Roman" w:hAnsi="Times New Roman"/>
      <w:kern w:val="2"/>
      <w:sz w:val="18"/>
      <w:szCs w:val="18"/>
    </w:rPr>
  </w:style>
  <w:style w:type="character" w:customStyle="1" w:styleId="35">
    <w:name w:val="标题 3 字符"/>
    <w:basedOn w:val="19"/>
    <w:link w:val="6"/>
    <w:qFormat/>
    <w:uiPriority w:val="9"/>
    <w:rPr>
      <w:rFonts w:ascii="Times New Roman" w:hAnsi="Times New Roman"/>
      <w:b/>
      <w:bCs/>
      <w:kern w:val="2"/>
      <w:sz w:val="32"/>
      <w:szCs w:val="32"/>
    </w:rPr>
  </w:style>
  <w:style w:type="paragraph" w:customStyle="1" w:styleId="36">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收入支出总体情况表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2023年度</c:v>
                </c:pt>
                <c:pt idx="1">
                  <c:v>2024年度</c:v>
                </c:pt>
              </c:strCache>
            </c:strRef>
          </c:cat>
          <c:val>
            <c:numRef>
              <c:f>Sheet1!$B$2:$B$3</c:f>
              <c:numCache>
                <c:formatCode>General</c:formatCode>
                <c:ptCount val="2"/>
                <c:pt idx="0">
                  <c:v>1095.65</c:v>
                </c:pt>
                <c:pt idx="1">
                  <c:v>1149.96</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2023年度</c:v>
                </c:pt>
                <c:pt idx="1">
                  <c:v>2024年度</c:v>
                </c:pt>
              </c:strCache>
            </c:strRef>
          </c:cat>
          <c:val>
            <c:numRef>
              <c:f>Sheet1!$C$2:$C$3</c:f>
              <c:numCache>
                <c:formatCode>General</c:formatCode>
                <c:ptCount val="2"/>
                <c:pt idx="0">
                  <c:v>1095.65</c:v>
                </c:pt>
                <c:pt idx="1">
                  <c:v>1149.96</c:v>
                </c:pt>
              </c:numCache>
            </c:numRef>
          </c:val>
        </c:ser>
        <c:dLbls>
          <c:showLegendKey val="0"/>
          <c:showVal val="0"/>
          <c:showCatName val="0"/>
          <c:showSerName val="0"/>
          <c:showPercent val="0"/>
          <c:showBubbleSize val="0"/>
        </c:dLbls>
        <c:gapWidth val="246"/>
        <c:overlap val="-28"/>
        <c:axId val="639788969"/>
        <c:axId val="155150645"/>
      </c:barChart>
      <c:catAx>
        <c:axId val="6397889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150645"/>
        <c:crosses val="autoZero"/>
        <c:auto val="1"/>
        <c:lblAlgn val="ctr"/>
        <c:lblOffset val="100"/>
        <c:noMultiLvlLbl val="0"/>
      </c:catAx>
      <c:valAx>
        <c:axId val="15515064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97889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e921223-6519-4053-8b8f-c7012aa7b66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支出决算情况表</a:t>
            </a:r>
          </a:p>
        </c:rich>
      </c:tx>
      <c:layout/>
      <c:overlay val="0"/>
      <c:spPr>
        <a:noFill/>
        <a:ln>
          <a:noFill/>
        </a:ln>
        <a:effectLst/>
      </c:spPr>
    </c:title>
    <c:autoTitleDeleted val="0"/>
    <c:plotArea>
      <c:layout/>
      <c:pieChart>
        <c:varyColors val="1"/>
        <c:ser>
          <c:idx val="0"/>
          <c:order val="0"/>
          <c:tx>
            <c:strRef>
              <c:f>Sheet1!$B$1</c:f>
              <c:strCache>
                <c:ptCount val="1"/>
                <c:pt idx="0">
                  <c:v>支出情况表</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557.38</c:v>
                </c:pt>
                <c:pt idx="1" c:formatCode="General">
                  <c:v>592.57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0d00fff-c762-4a93-8f98-8479097dd4e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4143</Words>
  <Characters>4646</Characters>
  <Lines>60</Lines>
  <Paragraphs>17</Paragraphs>
  <TotalTime>15</TotalTime>
  <ScaleCrop>false</ScaleCrop>
  <LinksUpToDate>false</LinksUpToDate>
  <CharactersWithSpaces>4816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Dell</cp:lastModifiedBy>
  <cp:lastPrinted>2025-09-18T09:45:00Z</cp:lastPrinted>
  <dcterms:modified xsi:type="dcterms:W3CDTF">2025-09-23T02:24:42Z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0C1C5D96C71C46C98C1ED694DDD758DE_13</vt:lpwstr>
  </property>
  <property fmtid="{D5CDD505-2E9C-101B-9397-08002B2CF9AE}" pid="4" name="KSOTemplateDocerSaveRecord">
    <vt:lpwstr>eyJoZGlkIjoiOGEyYWE2MzEzYzdjNDFkN2M3NzViMDE2ZTA0NzNmMmEifQ==</vt:lpwstr>
  </property>
</Properties>
</file>