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B7653">
      <w:pPr>
        <w:pStyle w:val="7"/>
        <w:pageBreakBefore w:val="0"/>
        <w:kinsoku/>
        <w:wordWrap/>
        <w:overflowPunct/>
        <w:topLinePunct w:val="0"/>
        <w:autoSpaceDE/>
        <w:autoSpaceDN/>
        <w:bidi w:val="0"/>
        <w:spacing w:beforeLines="0" w:line="570" w:lineRule="exact"/>
        <w:ind w:left="0" w:leftChars="0" w:firstLine="880" w:firstLineChars="200"/>
        <w:jc w:val="both"/>
        <w:textAlignment w:val="auto"/>
        <w:rPr>
          <w:rFonts w:ascii="Times New Roman" w:eastAsia="方正小标宋简体"/>
          <w:kern w:val="2"/>
          <w:sz w:val="44"/>
          <w:szCs w:val="44"/>
        </w:rPr>
      </w:pPr>
      <w:bookmarkStart w:id="0" w:name="_Toc15377193"/>
      <w:bookmarkStart w:id="1" w:name="_Toc15306267"/>
      <w:bookmarkStart w:id="2" w:name="_Toc15378441"/>
      <w:bookmarkStart w:id="3" w:name="_Toc15396475"/>
      <w:bookmarkStart w:id="4" w:name="_Toc15377425"/>
      <w:bookmarkStart w:id="5" w:name="_Toc15396597"/>
    </w:p>
    <w:p w14:paraId="245300FB">
      <w:pPr>
        <w:pStyle w:val="7"/>
        <w:pageBreakBefore w:val="0"/>
        <w:kinsoku/>
        <w:wordWrap/>
        <w:overflowPunct/>
        <w:topLinePunct w:val="0"/>
        <w:autoSpaceDE/>
        <w:autoSpaceDN/>
        <w:bidi w:val="0"/>
        <w:spacing w:beforeLines="0" w:line="570" w:lineRule="exact"/>
        <w:ind w:left="0" w:leftChars="0" w:firstLine="880" w:firstLineChars="200"/>
        <w:jc w:val="both"/>
        <w:textAlignment w:val="auto"/>
        <w:rPr>
          <w:rFonts w:ascii="Times New Roman" w:eastAsia="方正小标宋简体"/>
          <w:kern w:val="2"/>
          <w:sz w:val="44"/>
          <w:szCs w:val="44"/>
        </w:rPr>
      </w:pPr>
    </w:p>
    <w:p w14:paraId="7CD28549">
      <w:pPr>
        <w:pStyle w:val="7"/>
        <w:pageBreakBefore w:val="0"/>
        <w:kinsoku/>
        <w:wordWrap/>
        <w:overflowPunct/>
        <w:topLinePunct w:val="0"/>
        <w:autoSpaceDE/>
        <w:autoSpaceDN/>
        <w:bidi w:val="0"/>
        <w:spacing w:beforeLines="0" w:line="570" w:lineRule="exact"/>
        <w:ind w:left="0" w:leftChars="0" w:firstLine="880" w:firstLineChars="200"/>
        <w:jc w:val="both"/>
        <w:textAlignment w:val="auto"/>
        <w:rPr>
          <w:rFonts w:ascii="Times New Roman" w:eastAsia="方正小标宋简体"/>
          <w:kern w:val="2"/>
          <w:sz w:val="44"/>
          <w:szCs w:val="44"/>
        </w:rPr>
      </w:pPr>
    </w:p>
    <w:p w14:paraId="3BE1216F">
      <w:pPr>
        <w:pStyle w:val="7"/>
        <w:pageBreakBefore w:val="0"/>
        <w:kinsoku/>
        <w:wordWrap/>
        <w:overflowPunct/>
        <w:topLinePunct w:val="0"/>
        <w:autoSpaceDE/>
        <w:autoSpaceDN/>
        <w:bidi w:val="0"/>
        <w:spacing w:beforeLines="0" w:line="570" w:lineRule="exact"/>
        <w:ind w:left="0" w:leftChars="0" w:firstLine="880" w:firstLineChars="200"/>
        <w:jc w:val="both"/>
        <w:textAlignment w:val="auto"/>
        <w:rPr>
          <w:rFonts w:ascii="Times New Roman" w:eastAsia="方正小标宋简体"/>
          <w:kern w:val="2"/>
          <w:sz w:val="44"/>
          <w:szCs w:val="44"/>
        </w:rPr>
      </w:pPr>
    </w:p>
    <w:bookmarkEnd w:id="0"/>
    <w:bookmarkEnd w:id="1"/>
    <w:bookmarkEnd w:id="2"/>
    <w:bookmarkEnd w:id="3"/>
    <w:bookmarkEnd w:id="4"/>
    <w:bookmarkEnd w:id="5"/>
    <w:p w14:paraId="7F94CBC8">
      <w:pPr>
        <w:pStyle w:val="7"/>
        <w:pageBreakBefore w:val="0"/>
        <w:kinsoku/>
        <w:wordWrap/>
        <w:overflowPunct/>
        <w:topLinePunct w:val="0"/>
        <w:autoSpaceDE/>
        <w:autoSpaceDN/>
        <w:bidi w:val="0"/>
        <w:spacing w:beforeLines="0" w:line="570" w:lineRule="exact"/>
        <w:ind w:left="0" w:leftChars="0" w:firstLine="880" w:firstLineChars="200"/>
        <w:jc w:val="center"/>
        <w:textAlignment w:val="auto"/>
        <w:rPr>
          <w:rFonts w:hint="eastAsia" w:ascii="Times New Roman" w:eastAsia="方正小标宋简体"/>
          <w:kern w:val="2"/>
          <w:sz w:val="44"/>
          <w:szCs w:val="44"/>
          <w:lang w:val="en-US" w:eastAsia="zh-CN"/>
        </w:rPr>
      </w:pPr>
      <w:bookmarkStart w:id="6" w:name="_Toc15396476"/>
      <w:bookmarkStart w:id="7" w:name="_Toc15306268"/>
      <w:bookmarkStart w:id="8" w:name="_Toc15396598"/>
      <w:bookmarkStart w:id="9" w:name="_Toc15377426"/>
      <w:bookmarkStart w:id="10" w:name="_Toc15377194"/>
      <w:bookmarkStart w:id="11" w:name="_Toc15378442"/>
      <w:r>
        <w:rPr>
          <w:rFonts w:hint="eastAsia" w:ascii="Times New Roman" w:eastAsia="方正小标宋简体"/>
          <w:kern w:val="2"/>
          <w:sz w:val="44"/>
          <w:szCs w:val="44"/>
        </w:rPr>
        <w:t>阿坝州</w:t>
      </w:r>
      <w:r>
        <w:rPr>
          <w:rFonts w:hint="eastAsia" w:ascii="Times New Roman" w:eastAsia="方正小标宋简体"/>
          <w:kern w:val="2"/>
          <w:sz w:val="44"/>
          <w:szCs w:val="44"/>
          <w:lang w:val="en-US" w:eastAsia="zh-CN"/>
        </w:rPr>
        <w:t>州级机关退休干部驻马尔康休养所</w:t>
      </w:r>
    </w:p>
    <w:p w14:paraId="5FF0CEF8">
      <w:pPr>
        <w:pStyle w:val="7"/>
        <w:pageBreakBefore w:val="0"/>
        <w:kinsoku/>
        <w:wordWrap/>
        <w:overflowPunct/>
        <w:topLinePunct w:val="0"/>
        <w:autoSpaceDE/>
        <w:autoSpaceDN/>
        <w:bidi w:val="0"/>
        <w:spacing w:beforeLines="0" w:line="570" w:lineRule="exact"/>
        <w:ind w:left="0" w:leftChars="0" w:firstLine="880" w:firstLineChars="200"/>
        <w:jc w:val="center"/>
        <w:textAlignment w:val="auto"/>
        <w:rPr>
          <w:rFonts w:hint="eastAsia" w:ascii="Times New Roman" w:eastAsia="方正小标宋简体"/>
          <w:kern w:val="2"/>
          <w:sz w:val="44"/>
          <w:szCs w:val="44"/>
          <w:lang w:val="en-US" w:eastAsia="zh-CN"/>
        </w:rPr>
      </w:pPr>
    </w:p>
    <w:p w14:paraId="5A5CA5AD">
      <w:pPr>
        <w:pStyle w:val="7"/>
        <w:pageBreakBefore w:val="0"/>
        <w:kinsoku/>
        <w:wordWrap/>
        <w:overflowPunct/>
        <w:topLinePunct w:val="0"/>
        <w:autoSpaceDE/>
        <w:autoSpaceDN/>
        <w:bidi w:val="0"/>
        <w:spacing w:beforeLines="0" w:line="570" w:lineRule="exact"/>
        <w:ind w:left="0" w:leftChars="0" w:firstLine="880" w:firstLineChars="200"/>
        <w:jc w:val="center"/>
        <w:textAlignment w:val="auto"/>
        <w:rPr>
          <w:rFonts w:hint="eastAsia" w:ascii="Times New Roman" w:eastAsia="方正小标宋简体"/>
          <w:kern w:val="2"/>
          <w:sz w:val="44"/>
          <w:szCs w:val="44"/>
          <w:lang w:val="en-US" w:eastAsia="zh-CN"/>
        </w:rPr>
      </w:pPr>
    </w:p>
    <w:p w14:paraId="47AEF975">
      <w:pPr>
        <w:pStyle w:val="7"/>
        <w:pageBreakBefore w:val="0"/>
        <w:kinsoku/>
        <w:wordWrap/>
        <w:overflowPunct/>
        <w:topLinePunct w:val="0"/>
        <w:autoSpaceDE/>
        <w:autoSpaceDN/>
        <w:bidi w:val="0"/>
        <w:spacing w:beforeLines="0" w:line="570" w:lineRule="exact"/>
        <w:ind w:left="0" w:leftChars="0" w:firstLine="880" w:firstLineChars="200"/>
        <w:jc w:val="center"/>
        <w:textAlignment w:val="auto"/>
        <w:rPr>
          <w:rFonts w:ascii="Times New Roman" w:eastAsia="方正小标宋简体"/>
          <w:kern w:val="2"/>
          <w:sz w:val="44"/>
          <w:szCs w:val="44"/>
        </w:rPr>
      </w:pPr>
      <w:r>
        <w:rPr>
          <w:rFonts w:hint="eastAsia" w:ascii="Times New Roman" w:eastAsia="方正小标宋简体"/>
          <w:kern w:val="2"/>
          <w:sz w:val="44"/>
          <w:szCs w:val="44"/>
        </w:rPr>
        <w:t>2024年度部门决算</w:t>
      </w:r>
      <w:bookmarkEnd w:id="6"/>
      <w:bookmarkEnd w:id="7"/>
      <w:bookmarkEnd w:id="8"/>
      <w:bookmarkEnd w:id="9"/>
      <w:bookmarkEnd w:id="10"/>
      <w:bookmarkEnd w:id="11"/>
    </w:p>
    <w:p w14:paraId="1FE56D6C">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p>
    <w:p w14:paraId="580FA39A">
      <w:pPr>
        <w:pageBreakBefore w:val="0"/>
        <w:widowControl/>
        <w:kinsoku/>
        <w:wordWrap/>
        <w:overflowPunct/>
        <w:topLinePunct w:val="0"/>
        <w:autoSpaceDE/>
        <w:autoSpaceDN/>
        <w:bidi w:val="0"/>
        <w:spacing w:line="570" w:lineRule="exact"/>
        <w:ind w:left="0" w:leftChars="0" w:firstLine="960" w:firstLineChars="200"/>
        <w:jc w:val="center"/>
        <w:textAlignment w:val="auto"/>
        <w:rPr>
          <w:rFonts w:hint="eastAsia" w:eastAsia="黑体"/>
          <w:sz w:val="48"/>
          <w:szCs w:val="48"/>
        </w:rPr>
        <w:sectPr>
          <w:headerReference r:id="rId3" w:type="default"/>
          <w:footerReference r:id="rId4" w:type="default"/>
          <w:pgSz w:w="11906" w:h="16838"/>
          <w:pgMar w:top="1871" w:right="1531" w:bottom="1871" w:left="1531" w:header="851" w:footer="992" w:gutter="0"/>
          <w:pgNumType w:fmt="numberInDash" w:start="1"/>
          <w:cols w:space="425" w:num="1"/>
          <w:titlePg/>
          <w:docGrid w:type="lines" w:linePitch="312" w:charSpace="0"/>
        </w:sectPr>
      </w:pPr>
    </w:p>
    <w:p w14:paraId="48525C46">
      <w:pPr>
        <w:pageBreakBefore w:val="0"/>
        <w:widowControl/>
        <w:kinsoku/>
        <w:wordWrap/>
        <w:overflowPunct/>
        <w:topLinePunct w:val="0"/>
        <w:autoSpaceDE/>
        <w:autoSpaceDN/>
        <w:bidi w:val="0"/>
        <w:spacing w:line="570" w:lineRule="exact"/>
        <w:ind w:left="0" w:leftChars="0" w:firstLine="960" w:firstLineChars="200"/>
        <w:jc w:val="center"/>
        <w:textAlignment w:val="auto"/>
        <w:rPr>
          <w:rFonts w:eastAsia="黑体"/>
          <w:sz w:val="48"/>
          <w:szCs w:val="48"/>
        </w:rPr>
      </w:pPr>
      <w:r>
        <w:rPr>
          <w:rFonts w:hint="eastAsia" w:eastAsia="黑体"/>
          <w:sz w:val="48"/>
          <w:szCs w:val="48"/>
        </w:rPr>
        <w:t>目录</w:t>
      </w:r>
    </w:p>
    <w:p w14:paraId="3A675FA4">
      <w:pPr>
        <w:pageBreakBefore w:val="0"/>
        <w:widowControl/>
        <w:kinsoku/>
        <w:wordWrap/>
        <w:overflowPunct/>
        <w:topLinePunct w:val="0"/>
        <w:autoSpaceDE/>
        <w:autoSpaceDN/>
        <w:bidi w:val="0"/>
        <w:spacing w:line="570" w:lineRule="exact"/>
        <w:ind w:left="0" w:leftChars="0" w:firstLine="560" w:firstLineChars="200"/>
        <w:jc w:val="center"/>
        <w:textAlignment w:val="auto"/>
        <w:rPr>
          <w:rFonts w:eastAsia="黑体" w:cstheme="minorBidi"/>
          <w:sz w:val="28"/>
          <w:szCs w:val="28"/>
        </w:rPr>
      </w:pPr>
    </w:p>
    <w:p w14:paraId="3AB94423">
      <w:pPr>
        <w:pStyle w:val="12"/>
        <w:pageBreakBefore w:val="0"/>
        <w:kinsoku/>
        <w:wordWrap/>
        <w:overflowPunct/>
        <w:topLinePunct w:val="0"/>
        <w:autoSpaceDE/>
        <w:autoSpaceDN/>
        <w:bidi w:val="0"/>
        <w:spacing w:before="0" w:line="570" w:lineRule="exact"/>
        <w:ind w:left="0" w:leftChars="0"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日</w:t>
      </w:r>
    </w:p>
    <w:p w14:paraId="63C0BCB0">
      <w:pPr>
        <w:pageBreakBefore w:val="0"/>
        <w:kinsoku/>
        <w:wordWrap/>
        <w:overflowPunct/>
        <w:topLinePunct w:val="0"/>
        <w:autoSpaceDE/>
        <w:autoSpaceDN/>
        <w:bidi w:val="0"/>
        <w:spacing w:line="570" w:lineRule="exact"/>
        <w:ind w:left="0" w:leftChars="0" w:firstLine="420" w:firstLineChars="200"/>
        <w:textAlignment w:val="auto"/>
      </w:pPr>
    </w:p>
    <w:sdt>
      <w:sdtPr>
        <w:rPr>
          <w:rFonts w:ascii="宋体" w:hAnsi="宋体" w:eastAsia="宋体" w:cs="Times New Roman"/>
          <w:kern w:val="2"/>
          <w:sz w:val="21"/>
          <w:szCs w:val="24"/>
          <w:lang w:val="en-US" w:eastAsia="zh-CN" w:bidi="ar-SA"/>
        </w:rPr>
        <w:id w:val="14745956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F8B6C07">
          <w:pPr>
            <w:spacing w:before="0" w:beforeLines="0" w:after="0" w:afterLines="0" w:line="240" w:lineRule="auto"/>
            <w:ind w:left="0" w:leftChars="0" w:right="0" w:rightChars="0" w:firstLine="0" w:firstLineChars="0"/>
            <w:jc w:val="center"/>
          </w:pPr>
          <w:bookmarkStart w:id="12" w:name="_Toc15396599"/>
          <w:bookmarkStart w:id="13" w:name="_Toc15377196"/>
          <w:r>
            <w:rPr>
              <w:rFonts w:ascii="宋体" w:hAnsi="宋体" w:eastAsia="宋体"/>
              <w:sz w:val="21"/>
            </w:rPr>
            <w:t>目录</w:t>
          </w:r>
        </w:p>
        <w:p w14:paraId="3170AEC3">
          <w:pPr>
            <w:pStyle w:val="12"/>
            <w:tabs>
              <w:tab w:val="right" w:leader="dot" w:pos="8844"/>
              <w:tab w:val="clear" w:pos="8296"/>
            </w:tabs>
            <w:outlineLvl w:val="4"/>
          </w:pPr>
          <w:r>
            <w:fldChar w:fldCharType="begin"/>
          </w:r>
          <w:r>
            <w:instrText xml:space="preserve">TOC \o "1-4" \h \u </w:instrText>
          </w:r>
          <w:r>
            <w:fldChar w:fldCharType="separate"/>
          </w:r>
          <w:r>
            <w:fldChar w:fldCharType="begin"/>
          </w:r>
          <w:r>
            <w:instrText xml:space="preserve"> HYPERLINK \l _Toc23970 </w:instrText>
          </w:r>
          <w:r>
            <w:fldChar w:fldCharType="separate"/>
          </w:r>
          <w:r>
            <w:rPr>
              <w:rFonts w:hint="eastAsia" w:eastAsia="方正小标宋简体" w:cs="方正小标宋简体"/>
            </w:rPr>
            <w:t xml:space="preserve">第一部分  </w:t>
          </w:r>
          <w:r>
            <w:rPr>
              <w:rFonts w:hint="eastAsia" w:eastAsia="方正小标宋简体" w:cs="方正小标宋简体"/>
              <w:bCs w:val="0"/>
            </w:rPr>
            <w:t>部门概况</w:t>
          </w:r>
          <w:r>
            <w:tab/>
          </w:r>
          <w:r>
            <w:fldChar w:fldCharType="begin"/>
          </w:r>
          <w:r>
            <w:instrText xml:space="preserve"> PAGEREF _Toc23970 \h </w:instrText>
          </w:r>
          <w:r>
            <w:fldChar w:fldCharType="separate"/>
          </w:r>
          <w:r>
            <w:t>- 2 -</w:t>
          </w:r>
          <w:r>
            <w:fldChar w:fldCharType="end"/>
          </w:r>
          <w:r>
            <w:fldChar w:fldCharType="end"/>
          </w:r>
        </w:p>
        <w:p w14:paraId="65C5DF82">
          <w:pPr>
            <w:pStyle w:val="14"/>
            <w:tabs>
              <w:tab w:val="right" w:leader="dot" w:pos="8844"/>
              <w:tab w:val="clear" w:pos="8296"/>
            </w:tabs>
          </w:pPr>
          <w:r>
            <w:fldChar w:fldCharType="begin"/>
          </w:r>
          <w:r>
            <w:instrText xml:space="preserve"> HYPERLINK \l _Toc22796 </w:instrText>
          </w:r>
          <w:r>
            <w:fldChar w:fldCharType="separate"/>
          </w:r>
          <w:r>
            <w:rPr>
              <w:rFonts w:hint="eastAsia" w:ascii="Times New Roman" w:hAnsi="Times New Roman" w:eastAsia="黑体"/>
              <w:lang w:val="en-US" w:eastAsia="zh-CN"/>
            </w:rPr>
            <w:t>一、</w:t>
          </w:r>
          <w:r>
            <w:rPr>
              <w:rFonts w:hint="eastAsia" w:ascii="Times New Roman" w:hAnsi="Times New Roman" w:eastAsia="黑体"/>
            </w:rPr>
            <w:t>部门职责</w:t>
          </w:r>
          <w:r>
            <w:tab/>
          </w:r>
          <w:r>
            <w:fldChar w:fldCharType="begin"/>
          </w:r>
          <w:r>
            <w:instrText xml:space="preserve"> PAGEREF _Toc22796 \h </w:instrText>
          </w:r>
          <w:r>
            <w:fldChar w:fldCharType="separate"/>
          </w:r>
          <w:r>
            <w:t>- 2 -</w:t>
          </w:r>
          <w:r>
            <w:fldChar w:fldCharType="end"/>
          </w:r>
          <w:r>
            <w:fldChar w:fldCharType="end"/>
          </w:r>
        </w:p>
        <w:p w14:paraId="4BC6D76F">
          <w:pPr>
            <w:pStyle w:val="14"/>
            <w:tabs>
              <w:tab w:val="right" w:leader="dot" w:pos="8844"/>
              <w:tab w:val="clear" w:pos="8296"/>
            </w:tabs>
          </w:pPr>
          <w:r>
            <w:fldChar w:fldCharType="begin"/>
          </w:r>
          <w:r>
            <w:instrText xml:space="preserve"> HYPERLINK \l _Toc10129 </w:instrText>
          </w:r>
          <w:r>
            <w:fldChar w:fldCharType="separate"/>
          </w:r>
          <w:r>
            <w:rPr>
              <w:rFonts w:hint="eastAsia" w:ascii="Times New Roman" w:hAnsi="Times New Roman" w:eastAsia="黑体"/>
              <w:lang w:val="en-US" w:eastAsia="zh-CN"/>
            </w:rPr>
            <w:t>二、</w:t>
          </w:r>
          <w:r>
            <w:rPr>
              <w:rFonts w:hint="eastAsia" w:ascii="Times New Roman" w:hAnsi="Times New Roman" w:eastAsia="黑体"/>
            </w:rPr>
            <w:t>机</w:t>
          </w:r>
          <w:r>
            <w:rPr>
              <w:rFonts w:hint="eastAsia" w:ascii="Times New Roman" w:hAnsi="Times New Roman" w:eastAsia="黑体"/>
              <w:bCs w:val="0"/>
            </w:rPr>
            <w:t>构设置</w:t>
          </w:r>
          <w:r>
            <w:tab/>
          </w:r>
          <w:r>
            <w:fldChar w:fldCharType="begin"/>
          </w:r>
          <w:r>
            <w:instrText xml:space="preserve"> PAGEREF _Toc10129 \h </w:instrText>
          </w:r>
          <w:r>
            <w:fldChar w:fldCharType="separate"/>
          </w:r>
          <w:r>
            <w:t>- 2 -</w:t>
          </w:r>
          <w:r>
            <w:fldChar w:fldCharType="end"/>
          </w:r>
          <w:r>
            <w:fldChar w:fldCharType="end"/>
          </w:r>
        </w:p>
        <w:p w14:paraId="50A16147">
          <w:pPr>
            <w:pStyle w:val="12"/>
            <w:tabs>
              <w:tab w:val="right" w:leader="dot" w:pos="8844"/>
              <w:tab w:val="clear" w:pos="8296"/>
            </w:tabs>
          </w:pPr>
          <w:r>
            <w:fldChar w:fldCharType="begin"/>
          </w:r>
          <w:r>
            <w:instrText xml:space="preserve"> HYPERLINK \l _Toc15846 </w:instrText>
          </w:r>
          <w:r>
            <w:fldChar w:fldCharType="separate"/>
          </w:r>
          <w:r>
            <w:rPr>
              <w:rFonts w:hint="eastAsia" w:eastAsia="方正小标宋简体" w:cs="方正小标宋简体"/>
            </w:rPr>
            <w:t>第二部分  2024年度部门决算情况说明</w:t>
          </w:r>
          <w:r>
            <w:tab/>
          </w:r>
          <w:r>
            <w:fldChar w:fldCharType="begin"/>
          </w:r>
          <w:r>
            <w:instrText xml:space="preserve"> PAGEREF _Toc15846 \h </w:instrText>
          </w:r>
          <w:r>
            <w:fldChar w:fldCharType="separate"/>
          </w:r>
          <w:r>
            <w:t>- 2 -</w:t>
          </w:r>
          <w:r>
            <w:fldChar w:fldCharType="end"/>
          </w:r>
          <w:r>
            <w:fldChar w:fldCharType="end"/>
          </w:r>
        </w:p>
        <w:p w14:paraId="4447E43D">
          <w:pPr>
            <w:pStyle w:val="14"/>
            <w:tabs>
              <w:tab w:val="right" w:leader="dot" w:pos="8844"/>
              <w:tab w:val="clear" w:pos="8296"/>
            </w:tabs>
          </w:pPr>
          <w:r>
            <w:fldChar w:fldCharType="begin"/>
          </w:r>
          <w:r>
            <w:instrText xml:space="preserve"> HYPERLINK \l _Toc26789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_Toc26789 \h </w:instrText>
          </w:r>
          <w:r>
            <w:fldChar w:fldCharType="separate"/>
          </w:r>
          <w:r>
            <w:t>- 2 -</w:t>
          </w:r>
          <w:r>
            <w:fldChar w:fldCharType="end"/>
          </w:r>
          <w:r>
            <w:fldChar w:fldCharType="end"/>
          </w:r>
        </w:p>
        <w:p w14:paraId="163F688E">
          <w:pPr>
            <w:pStyle w:val="14"/>
            <w:tabs>
              <w:tab w:val="right" w:leader="dot" w:pos="8844"/>
              <w:tab w:val="clear" w:pos="8296"/>
            </w:tabs>
          </w:pPr>
          <w:r>
            <w:fldChar w:fldCharType="begin"/>
          </w:r>
          <w:r>
            <w:instrText xml:space="preserve"> HYPERLINK \l _Toc1249 </w:instrText>
          </w:r>
          <w:r>
            <w:fldChar w:fldCharType="separate"/>
          </w:r>
          <w:r>
            <w:rPr>
              <w:rFonts w:hint="eastAsia" w:eastAsia="黑体"/>
              <w:szCs w:val="32"/>
            </w:rPr>
            <w:t>二、收入决算情况说明</w:t>
          </w:r>
          <w:r>
            <w:tab/>
          </w:r>
          <w:r>
            <w:fldChar w:fldCharType="begin"/>
          </w:r>
          <w:r>
            <w:instrText xml:space="preserve"> PAGEREF _Toc1249 \h </w:instrText>
          </w:r>
          <w:r>
            <w:fldChar w:fldCharType="separate"/>
          </w:r>
          <w:r>
            <w:t>- 3 -</w:t>
          </w:r>
          <w:r>
            <w:fldChar w:fldCharType="end"/>
          </w:r>
          <w:r>
            <w:fldChar w:fldCharType="end"/>
          </w:r>
        </w:p>
        <w:p w14:paraId="6A7EBBB1">
          <w:pPr>
            <w:pStyle w:val="14"/>
            <w:tabs>
              <w:tab w:val="right" w:leader="dot" w:pos="8844"/>
              <w:tab w:val="clear" w:pos="8296"/>
            </w:tabs>
          </w:pPr>
          <w:r>
            <w:fldChar w:fldCharType="begin"/>
          </w:r>
          <w:r>
            <w:instrText xml:space="preserve"> HYPERLINK \l _Toc8641 </w:instrText>
          </w:r>
          <w:r>
            <w:fldChar w:fldCharType="separate"/>
          </w:r>
          <w:r>
            <w:rPr>
              <w:rFonts w:hint="eastAsia" w:eastAsia="黑体"/>
              <w:szCs w:val="32"/>
              <w:lang w:val="en-US" w:eastAsia="zh-CN"/>
            </w:rPr>
            <w:t>三、</w:t>
          </w:r>
          <w:r>
            <w:rPr>
              <w:rFonts w:hint="eastAsia" w:eastAsia="黑体"/>
              <w:szCs w:val="32"/>
            </w:rPr>
            <w:t>支</w:t>
          </w:r>
          <w:r>
            <w:rPr>
              <w:rFonts w:hint="eastAsia" w:ascii="Times New Roman" w:hAnsi="Times New Roman" w:eastAsia="黑体"/>
            </w:rPr>
            <w:t>出决算情况说明</w:t>
          </w:r>
          <w:r>
            <w:tab/>
          </w:r>
          <w:r>
            <w:fldChar w:fldCharType="begin"/>
          </w:r>
          <w:r>
            <w:instrText xml:space="preserve"> PAGEREF _Toc8641 \h </w:instrText>
          </w:r>
          <w:r>
            <w:fldChar w:fldCharType="separate"/>
          </w:r>
          <w:r>
            <w:t>- 3 -</w:t>
          </w:r>
          <w:r>
            <w:fldChar w:fldCharType="end"/>
          </w:r>
          <w:r>
            <w:fldChar w:fldCharType="end"/>
          </w:r>
        </w:p>
        <w:p w14:paraId="6C18B5C3">
          <w:pPr>
            <w:pStyle w:val="14"/>
            <w:tabs>
              <w:tab w:val="right" w:leader="dot" w:pos="8844"/>
              <w:tab w:val="clear" w:pos="8296"/>
            </w:tabs>
          </w:pPr>
          <w:r>
            <w:fldChar w:fldCharType="begin"/>
          </w:r>
          <w:r>
            <w:instrText xml:space="preserve"> HYPERLINK \l _Toc19561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_Toc19561 \h </w:instrText>
          </w:r>
          <w:r>
            <w:fldChar w:fldCharType="separate"/>
          </w:r>
          <w:r>
            <w:t>- 4 -</w:t>
          </w:r>
          <w:r>
            <w:fldChar w:fldCharType="end"/>
          </w:r>
          <w:r>
            <w:fldChar w:fldCharType="end"/>
          </w:r>
        </w:p>
        <w:p w14:paraId="1D2445DC">
          <w:pPr>
            <w:pStyle w:val="14"/>
            <w:tabs>
              <w:tab w:val="right" w:leader="dot" w:pos="8844"/>
              <w:tab w:val="clear" w:pos="8296"/>
            </w:tabs>
          </w:pPr>
          <w:r>
            <w:fldChar w:fldCharType="begin"/>
          </w:r>
          <w:r>
            <w:instrText xml:space="preserve"> HYPERLINK \l _Toc215 </w:instrText>
          </w:r>
          <w: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_Toc215 \h </w:instrText>
          </w:r>
          <w:r>
            <w:fldChar w:fldCharType="separate"/>
          </w:r>
          <w:r>
            <w:t>- 4 -</w:t>
          </w:r>
          <w:r>
            <w:fldChar w:fldCharType="end"/>
          </w:r>
          <w:r>
            <w:fldChar w:fldCharType="end"/>
          </w:r>
        </w:p>
        <w:p w14:paraId="176B147F">
          <w:pPr>
            <w:pStyle w:val="8"/>
            <w:tabs>
              <w:tab w:val="right" w:leader="dot" w:pos="8844"/>
              <w:tab w:val="clear" w:pos="8296"/>
            </w:tabs>
          </w:pPr>
          <w:r>
            <w:fldChar w:fldCharType="begin"/>
          </w:r>
          <w:r>
            <w:instrText xml:space="preserve"> HYPERLINK \l _Toc77 </w:instrText>
          </w:r>
          <w:r>
            <w:fldChar w:fldCharType="separate"/>
          </w:r>
          <w:r>
            <w:rPr>
              <w:rFonts w:hint="eastAsia" w:eastAsia="楷体_GB2312" w:cs="楷体_GB2312"/>
              <w:szCs w:val="32"/>
            </w:rPr>
            <w:t>（一）一般公共预算财政拨款支出决算总体情况</w:t>
          </w:r>
          <w:r>
            <w:tab/>
          </w:r>
          <w:r>
            <w:fldChar w:fldCharType="begin"/>
          </w:r>
          <w:r>
            <w:instrText xml:space="preserve"> PAGEREF _Toc77 \h </w:instrText>
          </w:r>
          <w:r>
            <w:fldChar w:fldCharType="separate"/>
          </w:r>
          <w:r>
            <w:t>- 4 -</w:t>
          </w:r>
          <w:r>
            <w:fldChar w:fldCharType="end"/>
          </w:r>
          <w:r>
            <w:fldChar w:fldCharType="end"/>
          </w:r>
        </w:p>
        <w:p w14:paraId="609B07DD">
          <w:pPr>
            <w:pStyle w:val="8"/>
            <w:tabs>
              <w:tab w:val="right" w:leader="dot" w:pos="8844"/>
              <w:tab w:val="clear" w:pos="8296"/>
            </w:tabs>
            <w:outlineLvl w:val="3"/>
          </w:pPr>
          <w:r>
            <w:fldChar w:fldCharType="begin"/>
          </w:r>
          <w:r>
            <w:instrText xml:space="preserve"> HYPERLINK \l _Toc15839 </w:instrText>
          </w:r>
          <w:r>
            <w:fldChar w:fldCharType="separate"/>
          </w:r>
          <w:r>
            <w:rPr>
              <w:rFonts w:hint="eastAsia" w:eastAsia="楷体_GB2312" w:cs="楷体_GB2312"/>
              <w:szCs w:val="32"/>
            </w:rPr>
            <w:t>（二）一般公共预算财政拨款支出决算结构情况</w:t>
          </w:r>
          <w:r>
            <w:tab/>
          </w:r>
          <w:r>
            <w:fldChar w:fldCharType="begin"/>
          </w:r>
          <w:r>
            <w:instrText xml:space="preserve"> PAGEREF _Toc15839 \h </w:instrText>
          </w:r>
          <w:r>
            <w:fldChar w:fldCharType="separate"/>
          </w:r>
          <w:r>
            <w:t>- 5 -</w:t>
          </w:r>
          <w:r>
            <w:fldChar w:fldCharType="end"/>
          </w:r>
          <w:r>
            <w:fldChar w:fldCharType="end"/>
          </w:r>
        </w:p>
        <w:p w14:paraId="438678F3">
          <w:pPr>
            <w:pStyle w:val="8"/>
            <w:tabs>
              <w:tab w:val="right" w:leader="dot" w:pos="8844"/>
              <w:tab w:val="clear" w:pos="8296"/>
            </w:tabs>
          </w:pPr>
          <w:r>
            <w:fldChar w:fldCharType="begin"/>
          </w:r>
          <w:r>
            <w:instrText xml:space="preserve"> HYPERLINK \l _Toc23229 </w:instrText>
          </w:r>
          <w:r>
            <w:fldChar w:fldCharType="separate"/>
          </w:r>
          <w:r>
            <w:rPr>
              <w:rFonts w:hint="eastAsia" w:eastAsia="楷体_GB2312" w:cs="楷体_GB2312"/>
              <w:szCs w:val="32"/>
            </w:rPr>
            <w:t>（三）一般公共预算财政拨款支出决算具体情况</w:t>
          </w:r>
          <w:r>
            <w:tab/>
          </w:r>
          <w:r>
            <w:fldChar w:fldCharType="begin"/>
          </w:r>
          <w:r>
            <w:instrText xml:space="preserve"> PAGEREF _Toc23229 \h </w:instrText>
          </w:r>
          <w:r>
            <w:fldChar w:fldCharType="separate"/>
          </w:r>
          <w:r>
            <w:t>- 5 -</w:t>
          </w:r>
          <w:r>
            <w:fldChar w:fldCharType="end"/>
          </w:r>
          <w:r>
            <w:fldChar w:fldCharType="end"/>
          </w:r>
        </w:p>
        <w:p w14:paraId="09C1C0F1">
          <w:pPr>
            <w:pStyle w:val="14"/>
            <w:tabs>
              <w:tab w:val="right" w:leader="dot" w:pos="8844"/>
              <w:tab w:val="clear" w:pos="8296"/>
            </w:tabs>
          </w:pPr>
          <w:r>
            <w:fldChar w:fldCharType="begin"/>
          </w:r>
          <w:r>
            <w:instrText xml:space="preserve"> HYPERLINK \l _Toc10002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_Toc10002 \h </w:instrText>
          </w:r>
          <w:r>
            <w:fldChar w:fldCharType="separate"/>
          </w:r>
          <w:r>
            <w:t>- 6 -</w:t>
          </w:r>
          <w:r>
            <w:fldChar w:fldCharType="end"/>
          </w:r>
          <w:r>
            <w:fldChar w:fldCharType="end"/>
          </w:r>
        </w:p>
        <w:p w14:paraId="2A5247BF">
          <w:pPr>
            <w:pStyle w:val="14"/>
            <w:tabs>
              <w:tab w:val="right" w:leader="dot" w:pos="8844"/>
              <w:tab w:val="clear" w:pos="8296"/>
            </w:tabs>
          </w:pPr>
          <w:r>
            <w:fldChar w:fldCharType="begin"/>
          </w:r>
          <w:r>
            <w:instrText xml:space="preserve"> HYPERLINK \l _Toc11827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_Toc11827 \h </w:instrText>
          </w:r>
          <w:r>
            <w:fldChar w:fldCharType="separate"/>
          </w:r>
          <w:r>
            <w:t>- 7 -</w:t>
          </w:r>
          <w:r>
            <w:fldChar w:fldCharType="end"/>
          </w:r>
          <w:r>
            <w:fldChar w:fldCharType="end"/>
          </w:r>
        </w:p>
        <w:p w14:paraId="585A2BAC">
          <w:pPr>
            <w:pStyle w:val="8"/>
            <w:tabs>
              <w:tab w:val="right" w:leader="dot" w:pos="8844"/>
              <w:tab w:val="clear" w:pos="8296"/>
            </w:tabs>
          </w:pPr>
          <w:r>
            <w:fldChar w:fldCharType="begin"/>
          </w:r>
          <w:r>
            <w:instrText xml:space="preserve"> HYPERLINK \l _Toc5540 </w:instrText>
          </w:r>
          <w:r>
            <w:fldChar w:fldCharType="separate"/>
          </w:r>
          <w:r>
            <w:rPr>
              <w:rFonts w:hint="eastAsia" w:eastAsia="楷体_GB2312" w:cs="楷体_GB2312"/>
              <w:szCs w:val="32"/>
            </w:rPr>
            <w:t>（一）“三公”经费财政拨款支出决算总体情况说明</w:t>
          </w:r>
          <w:r>
            <w:tab/>
          </w:r>
          <w:r>
            <w:fldChar w:fldCharType="begin"/>
          </w:r>
          <w:r>
            <w:instrText xml:space="preserve"> PAGEREF _Toc5540 \h </w:instrText>
          </w:r>
          <w:r>
            <w:fldChar w:fldCharType="separate"/>
          </w:r>
          <w:r>
            <w:t>- 7 -</w:t>
          </w:r>
          <w:r>
            <w:fldChar w:fldCharType="end"/>
          </w:r>
          <w:r>
            <w:fldChar w:fldCharType="end"/>
          </w:r>
        </w:p>
        <w:p w14:paraId="4F0F33ED">
          <w:pPr>
            <w:pStyle w:val="8"/>
            <w:tabs>
              <w:tab w:val="right" w:leader="dot" w:pos="8844"/>
              <w:tab w:val="clear" w:pos="8296"/>
            </w:tabs>
          </w:pPr>
          <w:r>
            <w:fldChar w:fldCharType="begin"/>
          </w:r>
          <w:r>
            <w:instrText xml:space="preserve"> HYPERLINK \l _Toc25924 </w:instrText>
          </w:r>
          <w:r>
            <w:fldChar w:fldCharType="separate"/>
          </w:r>
          <w:r>
            <w:rPr>
              <w:rFonts w:hint="eastAsia" w:eastAsia="楷体_GB2312" w:cs="楷体_GB2312"/>
              <w:szCs w:val="32"/>
            </w:rPr>
            <w:t>（二）“三公”经费财政拨款支出决算具体情况说明</w:t>
          </w:r>
          <w:r>
            <w:tab/>
          </w:r>
          <w:r>
            <w:fldChar w:fldCharType="begin"/>
          </w:r>
          <w:r>
            <w:instrText xml:space="preserve"> PAGEREF _Toc25924 \h </w:instrText>
          </w:r>
          <w:r>
            <w:fldChar w:fldCharType="separate"/>
          </w:r>
          <w:r>
            <w:t>- 7 -</w:t>
          </w:r>
          <w:r>
            <w:fldChar w:fldCharType="end"/>
          </w:r>
          <w:r>
            <w:fldChar w:fldCharType="end"/>
          </w:r>
        </w:p>
        <w:p w14:paraId="50933377">
          <w:pPr>
            <w:pStyle w:val="14"/>
            <w:tabs>
              <w:tab w:val="right" w:leader="dot" w:pos="8844"/>
              <w:tab w:val="clear" w:pos="8296"/>
            </w:tabs>
          </w:pPr>
          <w:r>
            <w:fldChar w:fldCharType="begin"/>
          </w:r>
          <w:r>
            <w:instrText xml:space="preserve"> HYPERLINK \l _Toc12092 </w:instrText>
          </w:r>
          <w:r>
            <w:fldChar w:fldCharType="separate"/>
          </w:r>
          <w:r>
            <w:rPr>
              <w:rFonts w:hint="eastAsia" w:ascii="Times New Roman" w:hAnsi="Times New Roman" w:eastAsia="黑体"/>
            </w:rPr>
            <w:t>八、 政府性基金预算支出决算情况说明</w:t>
          </w:r>
          <w:r>
            <w:tab/>
          </w:r>
          <w:r>
            <w:fldChar w:fldCharType="begin"/>
          </w:r>
          <w:r>
            <w:instrText xml:space="preserve"> PAGEREF _Toc12092 \h </w:instrText>
          </w:r>
          <w:r>
            <w:fldChar w:fldCharType="separate"/>
          </w:r>
          <w:r>
            <w:t>- 8 -</w:t>
          </w:r>
          <w:r>
            <w:fldChar w:fldCharType="end"/>
          </w:r>
          <w:r>
            <w:fldChar w:fldCharType="end"/>
          </w:r>
        </w:p>
        <w:p w14:paraId="26D0114C">
          <w:pPr>
            <w:pStyle w:val="14"/>
            <w:tabs>
              <w:tab w:val="right" w:leader="dot" w:pos="8844"/>
              <w:tab w:val="clear" w:pos="8296"/>
            </w:tabs>
          </w:pPr>
          <w:r>
            <w:fldChar w:fldCharType="begin"/>
          </w:r>
          <w:r>
            <w:instrText xml:space="preserve"> HYPERLINK \l _Toc1724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_Toc1724 \h </w:instrText>
          </w:r>
          <w:r>
            <w:fldChar w:fldCharType="separate"/>
          </w:r>
          <w:r>
            <w:t>- 9 -</w:t>
          </w:r>
          <w:r>
            <w:fldChar w:fldCharType="end"/>
          </w:r>
          <w:r>
            <w:fldChar w:fldCharType="end"/>
          </w:r>
        </w:p>
        <w:p w14:paraId="46A5AD7A">
          <w:pPr>
            <w:pStyle w:val="14"/>
            <w:tabs>
              <w:tab w:val="right" w:leader="dot" w:pos="8844"/>
              <w:tab w:val="clear" w:pos="8296"/>
            </w:tabs>
          </w:pPr>
          <w:r>
            <w:fldChar w:fldCharType="begin"/>
          </w:r>
          <w:r>
            <w:instrText xml:space="preserve"> HYPERLINK \l _Toc46 </w:instrText>
          </w:r>
          <w:r>
            <w:fldChar w:fldCharType="separate"/>
          </w:r>
          <w:r>
            <w:rPr>
              <w:rFonts w:hint="eastAsia" w:ascii="Times New Roman" w:hAnsi="Times New Roman" w:eastAsia="黑体"/>
            </w:rPr>
            <w:t>十、其他重要事项的情况说明</w:t>
          </w:r>
          <w:r>
            <w:tab/>
          </w:r>
          <w:r>
            <w:fldChar w:fldCharType="begin"/>
          </w:r>
          <w:r>
            <w:instrText xml:space="preserve"> PAGEREF _Toc46 \h </w:instrText>
          </w:r>
          <w:r>
            <w:fldChar w:fldCharType="separate"/>
          </w:r>
          <w:r>
            <w:t>- 9 -</w:t>
          </w:r>
          <w:r>
            <w:fldChar w:fldCharType="end"/>
          </w:r>
          <w:r>
            <w:fldChar w:fldCharType="end"/>
          </w:r>
        </w:p>
        <w:p w14:paraId="4BFF6501">
          <w:pPr>
            <w:pStyle w:val="8"/>
            <w:tabs>
              <w:tab w:val="right" w:leader="dot" w:pos="8844"/>
              <w:tab w:val="clear" w:pos="8296"/>
            </w:tabs>
          </w:pPr>
          <w:r>
            <w:fldChar w:fldCharType="begin"/>
          </w:r>
          <w:r>
            <w:instrText xml:space="preserve"> HYPERLINK \l _Toc29557 </w:instrText>
          </w:r>
          <w:r>
            <w:fldChar w:fldCharType="separate"/>
          </w:r>
          <w:r>
            <w:rPr>
              <w:rFonts w:hint="eastAsia" w:eastAsia="楷体_GB2312" w:cs="楷体_GB2312"/>
              <w:szCs w:val="32"/>
            </w:rPr>
            <w:t>（一）机关运行经费支出情况</w:t>
          </w:r>
          <w:r>
            <w:tab/>
          </w:r>
          <w:r>
            <w:fldChar w:fldCharType="begin"/>
          </w:r>
          <w:r>
            <w:instrText xml:space="preserve"> PAGEREF _Toc29557 \h </w:instrText>
          </w:r>
          <w:r>
            <w:fldChar w:fldCharType="separate"/>
          </w:r>
          <w:r>
            <w:t>- 9 -</w:t>
          </w:r>
          <w:r>
            <w:fldChar w:fldCharType="end"/>
          </w:r>
          <w:r>
            <w:fldChar w:fldCharType="end"/>
          </w:r>
        </w:p>
        <w:p w14:paraId="15C90740">
          <w:pPr>
            <w:pStyle w:val="8"/>
            <w:tabs>
              <w:tab w:val="right" w:leader="dot" w:pos="8844"/>
              <w:tab w:val="clear" w:pos="8296"/>
            </w:tabs>
          </w:pPr>
          <w:r>
            <w:fldChar w:fldCharType="begin"/>
          </w:r>
          <w:r>
            <w:instrText xml:space="preserve"> HYPERLINK \l _Toc7291 </w:instrText>
          </w:r>
          <w:r>
            <w:fldChar w:fldCharType="separate"/>
          </w:r>
          <w:r>
            <w:rPr>
              <w:rFonts w:hint="eastAsia" w:eastAsia="楷体_GB2312" w:cs="楷体_GB2312"/>
              <w:szCs w:val="32"/>
            </w:rPr>
            <w:t>（二）政府采购支出情况</w:t>
          </w:r>
          <w:r>
            <w:tab/>
          </w:r>
          <w:r>
            <w:fldChar w:fldCharType="begin"/>
          </w:r>
          <w:r>
            <w:instrText xml:space="preserve"> PAGEREF _Toc7291 \h </w:instrText>
          </w:r>
          <w:r>
            <w:fldChar w:fldCharType="separate"/>
          </w:r>
          <w:r>
            <w:t>- 9 -</w:t>
          </w:r>
          <w:r>
            <w:fldChar w:fldCharType="end"/>
          </w:r>
          <w:r>
            <w:fldChar w:fldCharType="end"/>
          </w:r>
        </w:p>
        <w:p w14:paraId="129C243D">
          <w:pPr>
            <w:pStyle w:val="8"/>
            <w:tabs>
              <w:tab w:val="right" w:leader="dot" w:pos="8844"/>
              <w:tab w:val="clear" w:pos="8296"/>
            </w:tabs>
          </w:pPr>
          <w:r>
            <w:fldChar w:fldCharType="begin"/>
          </w:r>
          <w:r>
            <w:instrText xml:space="preserve"> HYPERLINK \l _Toc29642 </w:instrText>
          </w:r>
          <w:r>
            <w:fldChar w:fldCharType="separate"/>
          </w:r>
          <w:r>
            <w:rPr>
              <w:rFonts w:hint="eastAsia" w:eastAsia="楷体_GB2312" w:cs="楷体_GB2312"/>
              <w:szCs w:val="32"/>
            </w:rPr>
            <w:t>（三）国有资产占有使用情况</w:t>
          </w:r>
          <w:r>
            <w:tab/>
          </w:r>
          <w:r>
            <w:fldChar w:fldCharType="begin"/>
          </w:r>
          <w:r>
            <w:instrText xml:space="preserve"> PAGEREF _Toc29642 \h </w:instrText>
          </w:r>
          <w:r>
            <w:fldChar w:fldCharType="separate"/>
          </w:r>
          <w:r>
            <w:t>- 9 -</w:t>
          </w:r>
          <w:r>
            <w:fldChar w:fldCharType="end"/>
          </w:r>
          <w:r>
            <w:fldChar w:fldCharType="end"/>
          </w:r>
        </w:p>
        <w:p w14:paraId="3FECC1F1">
          <w:pPr>
            <w:pStyle w:val="8"/>
            <w:tabs>
              <w:tab w:val="right" w:leader="dot" w:pos="8844"/>
              <w:tab w:val="clear" w:pos="8296"/>
            </w:tabs>
          </w:pPr>
          <w:r>
            <w:fldChar w:fldCharType="begin"/>
          </w:r>
          <w:r>
            <w:instrText xml:space="preserve"> HYPERLINK \l _Toc9702 </w:instrText>
          </w:r>
          <w:r>
            <w:fldChar w:fldCharType="separate"/>
          </w:r>
          <w:r>
            <w:rPr>
              <w:rFonts w:hint="eastAsia" w:eastAsia="楷体_GB2312" w:cs="楷体_GB2312"/>
              <w:szCs w:val="32"/>
            </w:rPr>
            <w:t>（四）预算绩效管理情况</w:t>
          </w:r>
          <w:r>
            <w:tab/>
          </w:r>
          <w:r>
            <w:fldChar w:fldCharType="begin"/>
          </w:r>
          <w:r>
            <w:instrText xml:space="preserve"> PAGEREF _Toc9702 \h </w:instrText>
          </w:r>
          <w:r>
            <w:fldChar w:fldCharType="separate"/>
          </w:r>
          <w:r>
            <w:t>- 10 -</w:t>
          </w:r>
          <w:r>
            <w:fldChar w:fldCharType="end"/>
          </w:r>
          <w:r>
            <w:fldChar w:fldCharType="end"/>
          </w:r>
        </w:p>
        <w:p w14:paraId="4B1DA6D3">
          <w:pPr>
            <w:pStyle w:val="12"/>
            <w:tabs>
              <w:tab w:val="right" w:leader="dot" w:pos="8844"/>
              <w:tab w:val="clear" w:pos="8296"/>
            </w:tabs>
          </w:pPr>
          <w:r>
            <w:fldChar w:fldCharType="begin"/>
          </w:r>
          <w:r>
            <w:instrText xml:space="preserve"> HYPERLINK \l _Toc6629 </w:instrText>
          </w:r>
          <w:r>
            <w:fldChar w:fldCharType="separate"/>
          </w:r>
          <w:r>
            <w:rPr>
              <w:rFonts w:hint="eastAsia" w:eastAsia="黑体"/>
              <w:szCs w:val="44"/>
            </w:rPr>
            <w:t>第三部分  名词解释</w:t>
          </w:r>
          <w:r>
            <w:tab/>
          </w:r>
          <w:r>
            <w:fldChar w:fldCharType="begin"/>
          </w:r>
          <w:r>
            <w:instrText xml:space="preserve"> PAGEREF _Toc6629 \h </w:instrText>
          </w:r>
          <w:r>
            <w:fldChar w:fldCharType="separate"/>
          </w:r>
          <w:r>
            <w:t xml:space="preserve">- </w:t>
          </w:r>
          <w:r>
            <w:rPr>
              <w:rFonts w:hint="eastAsia"/>
              <w:lang w:val="en-US" w:eastAsia="zh-CN"/>
            </w:rPr>
            <w:t>11</w:t>
          </w:r>
          <w:r>
            <w:t xml:space="preserve"> -</w:t>
          </w:r>
          <w:r>
            <w:fldChar w:fldCharType="end"/>
          </w:r>
          <w:r>
            <w:fldChar w:fldCharType="end"/>
          </w:r>
          <w:bookmarkStart w:id="112" w:name="_GoBack"/>
          <w:bookmarkEnd w:id="112"/>
        </w:p>
        <w:p w14:paraId="298C6F18">
          <w:pPr>
            <w:pStyle w:val="12"/>
            <w:tabs>
              <w:tab w:val="right" w:leader="dot" w:pos="8844"/>
              <w:tab w:val="clear" w:pos="8296"/>
            </w:tabs>
          </w:pPr>
          <w:r>
            <w:rPr>
              <w:rFonts w:hint="eastAsia" w:eastAsia="黑体"/>
              <w:szCs w:val="44"/>
            </w:rPr>
            <w:t>第</w:t>
          </w:r>
          <w:r>
            <w:rPr>
              <w:rFonts w:hint="eastAsia" w:eastAsia="黑体"/>
              <w:szCs w:val="44"/>
              <w:lang w:val="en-US" w:eastAsia="zh-CN"/>
            </w:rPr>
            <w:t>四</w:t>
          </w:r>
          <w:r>
            <w:rPr>
              <w:rFonts w:hint="eastAsia" w:eastAsia="黑体"/>
              <w:szCs w:val="44"/>
            </w:rPr>
            <w:t>部分</w:t>
          </w:r>
          <w:r>
            <w:rPr>
              <w:rFonts w:hint="eastAsia" w:eastAsia="黑体"/>
              <w:szCs w:val="44"/>
              <w:lang w:val="en-US" w:eastAsia="zh-CN"/>
            </w:rPr>
            <w:t xml:space="preserve">  </w:t>
          </w:r>
          <w:r>
            <w:fldChar w:fldCharType="begin"/>
          </w:r>
          <w:r>
            <w:instrText xml:space="preserve"> HYPERLINK \l _Toc18336 </w:instrText>
          </w:r>
          <w:r>
            <w:fldChar w:fldCharType="separate"/>
          </w:r>
          <w:r>
            <w:rPr>
              <w:rFonts w:hint="eastAsia" w:eastAsia="黑体" w:cs="黑体"/>
              <w:szCs w:val="32"/>
            </w:rPr>
            <w:t>附件</w:t>
          </w:r>
          <w:r>
            <w:tab/>
          </w:r>
          <w:r>
            <w:fldChar w:fldCharType="begin"/>
          </w:r>
          <w:r>
            <w:instrText xml:space="preserve"> PAGEREF _Toc18336 \h </w:instrText>
          </w:r>
          <w:r>
            <w:fldChar w:fldCharType="separate"/>
          </w:r>
          <w:r>
            <w:t xml:space="preserve">- </w:t>
          </w:r>
          <w:r>
            <w:rPr>
              <w:rFonts w:hint="eastAsia"/>
              <w:lang w:val="en-US" w:eastAsia="zh-CN"/>
            </w:rPr>
            <w:t>15</w:t>
          </w:r>
          <w:r>
            <w:t xml:space="preserve"> -</w:t>
          </w:r>
          <w:r>
            <w:fldChar w:fldCharType="end"/>
          </w:r>
          <w:r>
            <w:fldChar w:fldCharType="end"/>
          </w:r>
        </w:p>
        <w:p w14:paraId="2CEE61D1">
          <w:pPr>
            <w:pStyle w:val="12"/>
            <w:tabs>
              <w:tab w:val="right" w:leader="dot" w:pos="8844"/>
              <w:tab w:val="clear" w:pos="8296"/>
            </w:tabs>
            <w:rPr>
              <w:rFonts w:hint="eastAsia" w:eastAsia="黑体"/>
              <w:szCs w:val="44"/>
            </w:rPr>
          </w:pPr>
          <w:r>
            <w:rPr>
              <w:rFonts w:hint="eastAsia" w:eastAsia="黑体"/>
              <w:szCs w:val="44"/>
            </w:rPr>
            <w:t>第</w:t>
          </w:r>
          <w:r>
            <w:rPr>
              <w:rFonts w:hint="eastAsia" w:eastAsia="黑体"/>
              <w:szCs w:val="44"/>
              <w:lang w:val="en-US" w:eastAsia="zh-CN"/>
            </w:rPr>
            <w:t>五</w:t>
          </w:r>
          <w:r>
            <w:rPr>
              <w:rFonts w:hint="eastAsia" w:eastAsia="黑体"/>
              <w:szCs w:val="44"/>
            </w:rPr>
            <w:t>部分</w:t>
          </w:r>
          <w:r>
            <w:rPr>
              <w:rFonts w:hint="eastAsia" w:eastAsia="黑体"/>
              <w:szCs w:val="44"/>
              <w:lang w:val="en-US" w:eastAsia="zh-CN"/>
            </w:rPr>
            <w:t xml:space="preserve">  </w:t>
          </w:r>
          <w:r>
            <w:rPr>
              <w:rFonts w:hint="eastAsia" w:eastAsia="黑体"/>
              <w:szCs w:val="44"/>
            </w:rPr>
            <w:fldChar w:fldCharType="begin"/>
          </w:r>
          <w:r>
            <w:rPr>
              <w:rFonts w:hint="eastAsia" w:eastAsia="黑体"/>
              <w:szCs w:val="44"/>
            </w:rPr>
            <w:instrText xml:space="preserve"> HYPERLINK \l _Toc18336 </w:instrText>
          </w:r>
          <w:r>
            <w:rPr>
              <w:rFonts w:hint="eastAsia" w:eastAsia="黑体"/>
              <w:szCs w:val="44"/>
            </w:rPr>
            <w:fldChar w:fldCharType="separate"/>
          </w:r>
          <w:r>
            <w:rPr>
              <w:rFonts w:hint="eastAsia" w:eastAsia="黑体"/>
              <w:szCs w:val="44"/>
            </w:rPr>
            <w:t>附</w:t>
          </w:r>
          <w:r>
            <w:rPr>
              <w:rFonts w:hint="eastAsia" w:eastAsia="黑体"/>
              <w:szCs w:val="44"/>
              <w:lang w:val="en-US" w:eastAsia="zh-CN"/>
            </w:rPr>
            <w:t>表</w:t>
          </w:r>
          <w:r>
            <w:rPr>
              <w:rFonts w:hint="eastAsia" w:eastAsia="黑体"/>
              <w:szCs w:val="44"/>
            </w:rPr>
            <w:tab/>
          </w:r>
          <w:r>
            <w:rPr>
              <w:rFonts w:hint="eastAsia" w:eastAsia="黑体"/>
              <w:szCs w:val="44"/>
            </w:rPr>
            <w:fldChar w:fldCharType="begin"/>
          </w:r>
          <w:r>
            <w:rPr>
              <w:rFonts w:hint="eastAsia" w:eastAsia="黑体"/>
              <w:szCs w:val="44"/>
            </w:rPr>
            <w:instrText xml:space="preserve"> PAGEREF _Toc18336 \h </w:instrText>
          </w:r>
          <w:r>
            <w:rPr>
              <w:rFonts w:hint="eastAsia" w:eastAsia="黑体"/>
              <w:szCs w:val="44"/>
            </w:rPr>
            <w:fldChar w:fldCharType="separate"/>
          </w:r>
          <w:r>
            <w:rPr>
              <w:rFonts w:hint="eastAsia" w:eastAsia="黑体"/>
              <w:szCs w:val="44"/>
            </w:rPr>
            <w:t>- 1</w:t>
          </w:r>
          <w:r>
            <w:rPr>
              <w:rFonts w:hint="eastAsia" w:eastAsia="黑体"/>
              <w:szCs w:val="44"/>
              <w:lang w:val="en-US" w:eastAsia="zh-CN"/>
            </w:rPr>
            <w:t>8</w:t>
          </w:r>
          <w:r>
            <w:rPr>
              <w:rFonts w:hint="eastAsia" w:eastAsia="黑体"/>
              <w:szCs w:val="44"/>
            </w:rPr>
            <w:t xml:space="preserve"> -</w:t>
          </w:r>
          <w:r>
            <w:rPr>
              <w:rFonts w:hint="eastAsia" w:eastAsia="黑体"/>
              <w:szCs w:val="44"/>
            </w:rPr>
            <w:fldChar w:fldCharType="end"/>
          </w:r>
          <w:r>
            <w:rPr>
              <w:rFonts w:hint="eastAsia" w:eastAsia="黑体"/>
              <w:szCs w:val="44"/>
            </w:rPr>
            <w:fldChar w:fldCharType="end"/>
          </w:r>
        </w:p>
        <w:p w14:paraId="1722C19B"/>
        <w:p w14:paraId="238D39E2">
          <w:pPr>
            <w:outlineLvl w:val="4"/>
          </w:pPr>
          <w:r>
            <w:fldChar w:fldCharType="end"/>
          </w:r>
        </w:p>
      </w:sdtContent>
    </w:sdt>
    <w:p w14:paraId="49A9DC74"/>
    <w:p w14:paraId="6E8BE59E">
      <w:pPr>
        <w:pageBreakBefore w:val="0"/>
        <w:widowControl/>
        <w:kinsoku/>
        <w:wordWrap/>
        <w:overflowPunct/>
        <w:topLinePunct w:val="0"/>
        <w:autoSpaceDE/>
        <w:autoSpaceDN/>
        <w:bidi w:val="0"/>
        <w:spacing w:line="570" w:lineRule="exact"/>
        <w:jc w:val="center"/>
        <w:textAlignment w:val="auto"/>
        <w:rPr>
          <w:rFonts w:eastAsia="黑体"/>
          <w:sz w:val="32"/>
          <w:szCs w:val="32"/>
        </w:rPr>
      </w:pPr>
      <w:bookmarkStart w:id="14" w:name="_Toc6560"/>
      <w:bookmarkStart w:id="15" w:name="_Toc23970"/>
      <w:r>
        <w:rPr>
          <w:rStyle w:val="30"/>
          <w:rFonts w:hint="eastAsia" w:eastAsia="方正小标宋简体" w:cs="方正小标宋简体"/>
          <w:b w:val="0"/>
          <w:bCs w:val="0"/>
        </w:rPr>
        <w:t>第一部分</w:t>
      </w:r>
      <w:r>
        <w:rPr>
          <w:rFonts w:hint="eastAsia" w:eastAsia="方正小标宋简体" w:cs="方正小标宋简体"/>
          <w:b w:val="0"/>
        </w:rPr>
        <w:t xml:space="preserve">  </w:t>
      </w:r>
      <w:r>
        <w:rPr>
          <w:rStyle w:val="30"/>
          <w:rFonts w:hint="eastAsia" w:eastAsia="方正小标宋简体" w:cs="方正小标宋简体"/>
          <w:b w:val="0"/>
          <w:bCs w:val="0"/>
        </w:rPr>
        <w:t>部门概况</w:t>
      </w:r>
      <w:bookmarkEnd w:id="12"/>
      <w:bookmarkEnd w:id="13"/>
      <w:bookmarkEnd w:id="14"/>
      <w:bookmarkEnd w:id="15"/>
    </w:p>
    <w:p w14:paraId="77367542">
      <w:pPr>
        <w:pStyle w:val="5"/>
        <w:pageBreakBefore w:val="0"/>
        <w:numPr>
          <w:ilvl w:val="0"/>
          <w:numId w:val="0"/>
        </w:numPr>
        <w:kinsoku/>
        <w:wordWrap/>
        <w:overflowPunct/>
        <w:topLinePunct w:val="0"/>
        <w:autoSpaceDE/>
        <w:autoSpaceDN/>
        <w:bidi w:val="0"/>
        <w:spacing w:before="0" w:after="0" w:line="570" w:lineRule="exact"/>
        <w:ind w:left="0" w:leftChars="0" w:firstLine="640" w:firstLineChars="200"/>
        <w:textAlignment w:val="auto"/>
        <w:rPr>
          <w:rFonts w:hint="eastAsia" w:ascii="Times New Roman" w:hAnsi="Times New Roman" w:eastAsia="黑体"/>
          <w:b w:val="0"/>
        </w:rPr>
      </w:pPr>
      <w:bookmarkStart w:id="16" w:name="_Toc12628"/>
      <w:bookmarkStart w:id="17" w:name="_Toc22796"/>
      <w:r>
        <w:rPr>
          <w:rFonts w:hint="eastAsia" w:ascii="Times New Roman" w:hAnsi="Times New Roman" w:eastAsia="黑体"/>
          <w:b w:val="0"/>
          <w:lang w:val="en-US" w:eastAsia="zh-CN"/>
        </w:rPr>
        <w:t>一、</w:t>
      </w:r>
      <w:r>
        <w:rPr>
          <w:rFonts w:hint="eastAsia" w:ascii="Times New Roman" w:hAnsi="Times New Roman" w:eastAsia="黑体"/>
          <w:b w:val="0"/>
        </w:rPr>
        <w:t>部门职责</w:t>
      </w:r>
      <w:bookmarkEnd w:id="16"/>
      <w:bookmarkEnd w:id="17"/>
    </w:p>
    <w:p w14:paraId="0189CD38">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根据阿编发［1997］3号文件规定，按照中办发（2016）3号文件要求，阿坝州州级退休干部驻马尔康修养所主要职责是负责居住在马尔康干休所退休干部及马尔康地区的州级机关离退休党员的管理服务工作；对居住在阿坝州内的离休干部、副厅级退休干部宏观管理；管理好马尔康地区老干部活动中心；贯彻落实宣传好党和国家关于老干部工作的政策。让老干部感到老有所管，老有所学，老有所医，老有所乐；让管辖范围内老同志满意，营造很好的社会敬老氛围。</w:t>
      </w:r>
    </w:p>
    <w:p w14:paraId="49DD5CDB">
      <w:pPr>
        <w:pStyle w:val="5"/>
        <w:pageBreakBefore w:val="0"/>
        <w:numPr>
          <w:ilvl w:val="0"/>
          <w:numId w:val="0"/>
        </w:numPr>
        <w:kinsoku/>
        <w:wordWrap/>
        <w:overflowPunct/>
        <w:topLinePunct w:val="0"/>
        <w:autoSpaceDE/>
        <w:autoSpaceDN/>
        <w:bidi w:val="0"/>
        <w:spacing w:before="0" w:after="0" w:line="570" w:lineRule="exact"/>
        <w:ind w:left="0" w:leftChars="0" w:firstLine="640" w:firstLineChars="200"/>
        <w:textAlignment w:val="auto"/>
        <w:rPr>
          <w:rStyle w:val="31"/>
          <w:rFonts w:hint="eastAsia" w:ascii="Times New Roman" w:hAnsi="Times New Roman" w:eastAsia="黑体"/>
          <w:b w:val="0"/>
          <w:bCs w:val="0"/>
        </w:rPr>
      </w:pPr>
      <w:bookmarkStart w:id="18" w:name="_Toc15377200"/>
      <w:bookmarkStart w:id="19" w:name="_Toc23932"/>
      <w:bookmarkStart w:id="20" w:name="_Toc10129"/>
      <w:bookmarkStart w:id="21" w:name="_Toc15396601"/>
      <w:r>
        <w:rPr>
          <w:rFonts w:hint="eastAsia" w:ascii="Times New Roman" w:hAnsi="Times New Roman" w:eastAsia="黑体"/>
          <w:b w:val="0"/>
          <w:lang w:val="en-US" w:eastAsia="zh-CN"/>
        </w:rPr>
        <w:t>二、</w:t>
      </w:r>
      <w:r>
        <w:rPr>
          <w:rFonts w:hint="eastAsia" w:ascii="Times New Roman" w:hAnsi="Times New Roman" w:eastAsia="黑体"/>
          <w:b w:val="0"/>
        </w:rPr>
        <w:t>机</w:t>
      </w:r>
      <w:r>
        <w:rPr>
          <w:rStyle w:val="31"/>
          <w:rFonts w:hint="eastAsia" w:ascii="Times New Roman" w:hAnsi="Times New Roman" w:eastAsia="黑体"/>
          <w:b w:val="0"/>
          <w:bCs w:val="0"/>
        </w:rPr>
        <w:t>构设置</w:t>
      </w:r>
      <w:bookmarkEnd w:id="18"/>
      <w:bookmarkEnd w:id="19"/>
      <w:bookmarkEnd w:id="20"/>
      <w:bookmarkEnd w:id="21"/>
    </w:p>
    <w:p w14:paraId="05A34641">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马尔康干休所属州本级二级预算单位，执行行政财会制度，阿坝州委老干部局是上级主管单位，无下属二级预算单。2024年单位年末</w:t>
      </w:r>
      <w:r>
        <w:rPr>
          <w:rFonts w:hint="default" w:ascii="方正仿宋_GBK" w:hAnsi="方正仿宋_GBK" w:eastAsia="方正仿宋_GBK" w:cs="方正仿宋_GBK"/>
          <w:sz w:val="32"/>
          <w:szCs w:val="32"/>
          <w:lang w:val="en-US" w:eastAsia="zh-CN"/>
        </w:rPr>
        <w:t>编制内实有人数</w:t>
      </w:r>
      <w:r>
        <w:rPr>
          <w:rFonts w:hint="eastAsia" w:ascii="方正仿宋_GBK" w:hAnsi="方正仿宋_GBK" w:eastAsia="方正仿宋_GBK" w:cs="方正仿宋_GBK"/>
          <w:sz w:val="32"/>
          <w:szCs w:val="32"/>
          <w:lang w:val="en-US" w:eastAsia="zh-CN"/>
        </w:rPr>
        <w:t>7人</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临聘人员2人</w:t>
      </w:r>
      <w:r>
        <w:rPr>
          <w:rFonts w:hint="default" w:ascii="方正仿宋_GBK" w:hAnsi="方正仿宋_GBK" w:eastAsia="方正仿宋_GBK" w:cs="方正仿宋_GBK"/>
          <w:sz w:val="32"/>
          <w:szCs w:val="32"/>
          <w:lang w:val="en-US" w:eastAsia="zh-CN"/>
        </w:rPr>
        <w:t>。</w:t>
      </w:r>
    </w:p>
    <w:p w14:paraId="6B57631A">
      <w:pPr>
        <w:pStyle w:val="4"/>
        <w:pageBreakBefore w:val="0"/>
        <w:kinsoku/>
        <w:wordWrap/>
        <w:overflowPunct/>
        <w:topLinePunct w:val="0"/>
        <w:autoSpaceDE/>
        <w:autoSpaceDN/>
        <w:bidi w:val="0"/>
        <w:spacing w:before="0" w:after="0" w:line="570" w:lineRule="exact"/>
        <w:ind w:left="0" w:leftChars="0" w:firstLine="880" w:firstLineChars="200"/>
        <w:jc w:val="center"/>
        <w:textAlignment w:val="auto"/>
      </w:pPr>
      <w:bookmarkStart w:id="22" w:name="_Toc15377204"/>
      <w:bookmarkStart w:id="23" w:name="_Toc15396602"/>
      <w:bookmarkStart w:id="24" w:name="_Toc29990"/>
      <w:bookmarkStart w:id="25" w:name="_Toc15846"/>
      <w:r>
        <w:rPr>
          <w:rFonts w:hint="eastAsia" w:eastAsia="方正小标宋简体" w:cs="方正小标宋简体"/>
          <w:b w:val="0"/>
        </w:rPr>
        <w:t>第二部分  2024年度部门决算情况说明</w:t>
      </w:r>
      <w:bookmarkEnd w:id="22"/>
      <w:bookmarkEnd w:id="23"/>
      <w:bookmarkEnd w:id="24"/>
      <w:bookmarkEnd w:id="25"/>
    </w:p>
    <w:p w14:paraId="61C442B7">
      <w:pPr>
        <w:pStyle w:val="29"/>
        <w:pageBreakBefore w:val="0"/>
        <w:kinsoku/>
        <w:wordWrap/>
        <w:overflowPunct/>
        <w:topLinePunct w:val="0"/>
        <w:autoSpaceDE/>
        <w:autoSpaceDN/>
        <w:bidi w:val="0"/>
        <w:spacing w:line="570" w:lineRule="exact"/>
        <w:ind w:left="0" w:leftChars="0" w:firstLine="640" w:firstLineChars="200"/>
        <w:textAlignment w:val="auto"/>
        <w:outlineLvl w:val="1"/>
        <w:rPr>
          <w:rStyle w:val="31"/>
          <w:rFonts w:ascii="Times New Roman" w:hAnsi="Times New Roman" w:eastAsia="黑体"/>
          <w:b w:val="0"/>
        </w:rPr>
      </w:pPr>
      <w:bookmarkStart w:id="26" w:name="_Toc15396603"/>
      <w:bookmarkStart w:id="27" w:name="_Toc14324"/>
      <w:bookmarkStart w:id="28" w:name="_Toc26789"/>
      <w:bookmarkStart w:id="29"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26"/>
      <w:bookmarkEnd w:id="27"/>
      <w:bookmarkEnd w:id="28"/>
      <w:bookmarkEnd w:id="29"/>
    </w:p>
    <w:p w14:paraId="6B020F35">
      <w:pPr>
        <w:pageBreakBefore w:val="0"/>
        <w:kinsoku/>
        <w:wordWrap/>
        <w:overflowPunct/>
        <w:topLinePunct w:val="0"/>
        <w:autoSpaceDE/>
        <w:autoSpaceDN/>
        <w:bidi w:val="0"/>
        <w:spacing w:line="570" w:lineRule="exact"/>
        <w:ind w:left="0" w:leftChars="0"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2024年度收入、支出总计均为278.5万元。与2024年度264.58万元相比，收入、支出总计各增加13.92万元，增长4.99%。主要变动原因是2024年末新增人员一名。</w:t>
      </w:r>
    </w:p>
    <w:p w14:paraId="324D1CF5">
      <w:pPr>
        <w:pageBreakBefore w:val="0"/>
        <w:kinsoku/>
        <w:wordWrap/>
        <w:overflowPunct/>
        <w:topLinePunct w:val="0"/>
        <w:autoSpaceDE/>
        <w:autoSpaceDN/>
        <w:bidi w:val="0"/>
        <w:spacing w:line="570" w:lineRule="exact"/>
        <w:textAlignment w:val="auto"/>
        <w:rPr>
          <w:rFonts w:hint="eastAsia" w:eastAsia="黑体"/>
          <w:sz w:val="32"/>
          <w:szCs w:val="32"/>
        </w:rPr>
      </w:pPr>
      <w:r>
        <w:rPr>
          <w:rFonts w:hint="eastAsia" w:eastAsia="宋体"/>
          <w:highlight w:val="none"/>
          <w:lang w:eastAsia="zh-CN"/>
        </w:rPr>
        <w:drawing>
          <wp:anchor distT="0" distB="0" distL="114300" distR="114300" simplePos="0" relativeHeight="251659264" behindDoc="0" locked="0" layoutInCell="1" allowOverlap="1">
            <wp:simplePos x="0" y="0"/>
            <wp:positionH relativeFrom="column">
              <wp:posOffset>346075</wp:posOffset>
            </wp:positionH>
            <wp:positionV relativeFrom="paragraph">
              <wp:posOffset>-796925</wp:posOffset>
            </wp:positionV>
            <wp:extent cx="5018405" cy="2601595"/>
            <wp:effectExtent l="4445" t="4445" r="6350" b="2286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30" w:name="_Toc15377206"/>
      <w:bookmarkStart w:id="31" w:name="_Toc15396604"/>
    </w:p>
    <w:p w14:paraId="07592078">
      <w:pPr>
        <w:pStyle w:val="29"/>
        <w:pageBreakBefore w:val="0"/>
        <w:kinsoku/>
        <w:wordWrap/>
        <w:overflowPunct/>
        <w:topLinePunct w:val="0"/>
        <w:autoSpaceDE/>
        <w:autoSpaceDN/>
        <w:bidi w:val="0"/>
        <w:spacing w:line="570" w:lineRule="exact"/>
        <w:ind w:left="0" w:leftChars="0" w:firstLine="640" w:firstLineChars="200"/>
        <w:textAlignment w:val="auto"/>
        <w:outlineLvl w:val="1"/>
        <w:rPr>
          <w:rFonts w:eastAsia="黑体"/>
          <w:sz w:val="32"/>
          <w:szCs w:val="32"/>
        </w:rPr>
      </w:pPr>
      <w:bookmarkStart w:id="32" w:name="_Toc30617"/>
      <w:bookmarkStart w:id="33" w:name="_Toc1249"/>
      <w:r>
        <w:rPr>
          <w:rFonts w:hint="eastAsia" w:eastAsia="黑体"/>
          <w:sz w:val="32"/>
          <w:szCs w:val="32"/>
        </w:rPr>
        <w:t>二、收入决算情况说明</w:t>
      </w:r>
      <w:bookmarkEnd w:id="30"/>
      <w:bookmarkEnd w:id="31"/>
      <w:bookmarkEnd w:id="32"/>
      <w:bookmarkEnd w:id="33"/>
    </w:p>
    <w:p w14:paraId="6B086842">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2024年度本年收入合计</w:t>
      </w:r>
      <w:r>
        <w:rPr>
          <w:rFonts w:hint="eastAsia" w:ascii="方正仿宋_GBK" w:hAnsi="方正仿宋_GBK" w:eastAsia="方正仿宋_GBK" w:cs="方正仿宋_GBK"/>
          <w:sz w:val="32"/>
          <w:szCs w:val="32"/>
          <w:lang w:val="en-US" w:eastAsia="zh-CN"/>
        </w:rPr>
        <w:t>278.5</w:t>
      </w:r>
      <w:r>
        <w:rPr>
          <w:rFonts w:hint="eastAsia" w:ascii="方正仿宋_GBK" w:hAnsi="方正仿宋_GBK" w:eastAsia="方正仿宋_GBK" w:cs="方正仿宋_GBK"/>
          <w:sz w:val="32"/>
          <w:szCs w:val="32"/>
        </w:rPr>
        <w:t>万元，其中：一般公共预算财政拨款收入</w:t>
      </w:r>
      <w:r>
        <w:rPr>
          <w:rFonts w:hint="eastAsia" w:ascii="方正仿宋_GBK" w:hAnsi="方正仿宋_GBK" w:eastAsia="方正仿宋_GBK" w:cs="方正仿宋_GBK"/>
          <w:sz w:val="32"/>
          <w:szCs w:val="32"/>
          <w:lang w:val="en-US" w:eastAsia="zh-CN"/>
        </w:rPr>
        <w:t>278.5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%；政府性基金预算财政拨款收入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%；国有资本经营预算财政拨款收入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%；上级补助收入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%；事业收入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%；经营收入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%；附属单位上缴收入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%；其他收入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bookmarkStart w:id="34" w:name="_Toc15396605"/>
      <w:bookmarkStart w:id="35" w:name="_Toc15377207"/>
    </w:p>
    <w:p w14:paraId="7EB62494">
      <w:pPr>
        <w:pStyle w:val="29"/>
        <w:pageBreakBefore w:val="0"/>
        <w:kinsoku/>
        <w:wordWrap/>
        <w:overflowPunct/>
        <w:topLinePunct w:val="0"/>
        <w:autoSpaceDE/>
        <w:autoSpaceDN/>
        <w:bidi w:val="0"/>
        <w:spacing w:line="570" w:lineRule="exact"/>
        <w:ind w:left="0" w:leftChars="0" w:firstLine="420" w:firstLineChars="200"/>
        <w:textAlignment w:val="auto"/>
        <w:outlineLvl w:val="1"/>
        <w:rPr>
          <w:rFonts w:hint="eastAsia" w:eastAsia="黑体"/>
          <w:sz w:val="32"/>
          <w:szCs w:val="32"/>
        </w:rPr>
      </w:pPr>
      <w:r>
        <w:rPr>
          <w:highlight w:val="none"/>
        </w:rPr>
        <w:drawing>
          <wp:anchor distT="0" distB="0" distL="114300" distR="114300" simplePos="0" relativeHeight="251660288" behindDoc="1" locked="0" layoutInCell="1" allowOverlap="1">
            <wp:simplePos x="0" y="0"/>
            <wp:positionH relativeFrom="column">
              <wp:posOffset>530225</wp:posOffset>
            </wp:positionH>
            <wp:positionV relativeFrom="page">
              <wp:posOffset>6080760</wp:posOffset>
            </wp:positionV>
            <wp:extent cx="3883660" cy="2457450"/>
            <wp:effectExtent l="0" t="0" r="59690" b="57150"/>
            <wp:wrapTight wrapText="bothSides">
              <wp:wrapPolygon>
                <wp:start x="0" y="0"/>
                <wp:lineTo x="0" y="21433"/>
                <wp:lineTo x="21508" y="21433"/>
                <wp:lineTo x="21508" y="0"/>
                <wp:lineTo x="0" y="0"/>
              </wp:wrapPolygon>
            </wp:wrapTight>
            <wp:docPr id="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Picture 1"/>
                    <pic:cNvPicPr>
                      <a:picLocks noChangeAspect="1"/>
                    </pic:cNvPicPr>
                  </pic:nvPicPr>
                  <pic:blipFill>
                    <a:blip r:embed="rId9"/>
                    <a:stretch>
                      <a:fillRect/>
                    </a:stretch>
                  </pic:blipFill>
                  <pic:spPr>
                    <a:xfrm>
                      <a:off x="0" y="0"/>
                      <a:ext cx="3883660" cy="2457450"/>
                    </a:xfrm>
                    <a:prstGeom prst="rect">
                      <a:avLst/>
                    </a:prstGeom>
                  </pic:spPr>
                </pic:pic>
              </a:graphicData>
            </a:graphic>
          </wp:anchor>
        </w:drawing>
      </w:r>
    </w:p>
    <w:p w14:paraId="3258B86C">
      <w:pPr>
        <w:pStyle w:val="29"/>
        <w:pageBreakBefore w:val="0"/>
        <w:kinsoku/>
        <w:wordWrap/>
        <w:overflowPunct/>
        <w:topLinePunct w:val="0"/>
        <w:autoSpaceDE/>
        <w:autoSpaceDN/>
        <w:bidi w:val="0"/>
        <w:spacing w:line="570" w:lineRule="exact"/>
        <w:ind w:left="0" w:leftChars="0" w:firstLine="640" w:firstLineChars="200"/>
        <w:textAlignment w:val="auto"/>
        <w:outlineLvl w:val="1"/>
        <w:rPr>
          <w:rFonts w:hint="eastAsia" w:eastAsia="黑体"/>
          <w:sz w:val="32"/>
          <w:szCs w:val="32"/>
        </w:rPr>
      </w:pPr>
    </w:p>
    <w:p w14:paraId="07EFA1BA">
      <w:pPr>
        <w:pStyle w:val="29"/>
        <w:pageBreakBefore w:val="0"/>
        <w:kinsoku/>
        <w:wordWrap/>
        <w:overflowPunct/>
        <w:topLinePunct w:val="0"/>
        <w:autoSpaceDE/>
        <w:autoSpaceDN/>
        <w:bidi w:val="0"/>
        <w:spacing w:line="570" w:lineRule="exact"/>
        <w:ind w:left="0" w:leftChars="0" w:firstLine="640" w:firstLineChars="200"/>
        <w:textAlignment w:val="auto"/>
        <w:outlineLvl w:val="1"/>
        <w:rPr>
          <w:rFonts w:hint="eastAsia" w:eastAsia="黑体"/>
          <w:sz w:val="32"/>
          <w:szCs w:val="32"/>
        </w:rPr>
      </w:pPr>
    </w:p>
    <w:p w14:paraId="2E53F7AA">
      <w:pPr>
        <w:pStyle w:val="29"/>
        <w:pageBreakBefore w:val="0"/>
        <w:kinsoku/>
        <w:wordWrap/>
        <w:overflowPunct/>
        <w:topLinePunct w:val="0"/>
        <w:autoSpaceDE/>
        <w:autoSpaceDN/>
        <w:bidi w:val="0"/>
        <w:spacing w:line="570" w:lineRule="exact"/>
        <w:ind w:left="0" w:leftChars="0" w:firstLine="640" w:firstLineChars="200"/>
        <w:textAlignment w:val="auto"/>
        <w:outlineLvl w:val="1"/>
        <w:rPr>
          <w:rFonts w:hint="eastAsia" w:eastAsia="黑体"/>
          <w:sz w:val="32"/>
          <w:szCs w:val="32"/>
        </w:rPr>
      </w:pPr>
    </w:p>
    <w:p w14:paraId="706D8D9B">
      <w:pPr>
        <w:pStyle w:val="29"/>
        <w:pageBreakBefore w:val="0"/>
        <w:kinsoku/>
        <w:wordWrap/>
        <w:overflowPunct/>
        <w:topLinePunct w:val="0"/>
        <w:autoSpaceDE/>
        <w:autoSpaceDN/>
        <w:bidi w:val="0"/>
        <w:spacing w:line="570" w:lineRule="exact"/>
        <w:ind w:left="0" w:leftChars="0" w:firstLine="640" w:firstLineChars="200"/>
        <w:textAlignment w:val="auto"/>
        <w:outlineLvl w:val="1"/>
        <w:rPr>
          <w:rFonts w:hint="eastAsia" w:eastAsia="黑体"/>
          <w:sz w:val="32"/>
          <w:szCs w:val="32"/>
        </w:rPr>
      </w:pPr>
    </w:p>
    <w:p w14:paraId="11CD289D">
      <w:pPr>
        <w:pStyle w:val="29"/>
        <w:pageBreakBefore w:val="0"/>
        <w:kinsoku/>
        <w:wordWrap/>
        <w:overflowPunct/>
        <w:topLinePunct w:val="0"/>
        <w:autoSpaceDE/>
        <w:autoSpaceDN/>
        <w:bidi w:val="0"/>
        <w:spacing w:line="570" w:lineRule="exact"/>
        <w:textAlignment w:val="auto"/>
        <w:outlineLvl w:val="1"/>
        <w:rPr>
          <w:rFonts w:hint="eastAsia" w:eastAsia="黑体"/>
          <w:sz w:val="32"/>
          <w:szCs w:val="32"/>
        </w:rPr>
      </w:pPr>
    </w:p>
    <w:p w14:paraId="10747437">
      <w:pPr>
        <w:pStyle w:val="29"/>
        <w:pageBreakBefore w:val="0"/>
        <w:kinsoku/>
        <w:wordWrap/>
        <w:overflowPunct/>
        <w:topLinePunct w:val="0"/>
        <w:autoSpaceDE/>
        <w:autoSpaceDN/>
        <w:bidi w:val="0"/>
        <w:spacing w:line="570" w:lineRule="exact"/>
        <w:textAlignment w:val="auto"/>
        <w:outlineLvl w:val="1"/>
        <w:rPr>
          <w:rFonts w:hint="eastAsia" w:eastAsia="黑体"/>
          <w:sz w:val="32"/>
          <w:szCs w:val="32"/>
        </w:rPr>
      </w:pPr>
    </w:p>
    <w:p w14:paraId="3225BA27">
      <w:pPr>
        <w:pStyle w:val="29"/>
        <w:pageBreakBefore w:val="0"/>
        <w:numPr>
          <w:ilvl w:val="0"/>
          <w:numId w:val="0"/>
        </w:numPr>
        <w:kinsoku/>
        <w:wordWrap/>
        <w:overflowPunct/>
        <w:topLinePunct w:val="0"/>
        <w:autoSpaceDE/>
        <w:autoSpaceDN/>
        <w:bidi w:val="0"/>
        <w:spacing w:line="570" w:lineRule="exact"/>
        <w:ind w:firstLine="640" w:firstLineChars="200"/>
        <w:textAlignment w:val="auto"/>
        <w:outlineLvl w:val="1"/>
        <w:rPr>
          <w:rStyle w:val="31"/>
          <w:rFonts w:hint="eastAsia" w:ascii="Times New Roman" w:hAnsi="Times New Roman" w:eastAsia="黑体"/>
          <w:b w:val="0"/>
        </w:rPr>
      </w:pPr>
      <w:bookmarkStart w:id="36" w:name="_Toc12518"/>
      <w:bookmarkStart w:id="37" w:name="_Toc8641"/>
      <w:r>
        <w:rPr>
          <w:rFonts w:hint="eastAsia" w:eastAsia="黑体"/>
          <w:sz w:val="32"/>
          <w:szCs w:val="32"/>
          <w:lang w:val="en-US" w:eastAsia="zh-CN"/>
        </w:rPr>
        <w:t>三、</w:t>
      </w:r>
      <w:r>
        <w:rPr>
          <w:rFonts w:hint="eastAsia" w:eastAsia="黑体"/>
          <w:sz w:val="32"/>
          <w:szCs w:val="32"/>
        </w:rPr>
        <w:t>支</w:t>
      </w:r>
      <w:r>
        <w:rPr>
          <w:rStyle w:val="31"/>
          <w:rFonts w:hint="eastAsia" w:ascii="Times New Roman" w:hAnsi="Times New Roman" w:eastAsia="黑体"/>
          <w:b w:val="0"/>
        </w:rPr>
        <w:t>出决算情况说明</w:t>
      </w:r>
      <w:bookmarkEnd w:id="34"/>
      <w:bookmarkEnd w:id="35"/>
      <w:bookmarkEnd w:id="36"/>
      <w:bookmarkEnd w:id="37"/>
    </w:p>
    <w:p w14:paraId="5ADEC559">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2024年度本年支出合计</w:t>
      </w:r>
      <w:r>
        <w:rPr>
          <w:rFonts w:hint="eastAsia" w:ascii="方正仿宋_GBK" w:hAnsi="方正仿宋_GBK" w:eastAsia="方正仿宋_GBK" w:cs="方正仿宋_GBK"/>
          <w:sz w:val="32"/>
          <w:szCs w:val="32"/>
          <w:lang w:val="en-US" w:eastAsia="zh-CN"/>
        </w:rPr>
        <w:t>278.5</w:t>
      </w:r>
      <w:r>
        <w:rPr>
          <w:rFonts w:hint="eastAsia" w:ascii="方正仿宋_GBK" w:hAnsi="方正仿宋_GBK" w:eastAsia="方正仿宋_GBK" w:cs="方正仿宋_GBK"/>
          <w:sz w:val="32"/>
          <w:szCs w:val="32"/>
        </w:rPr>
        <w:t>万元，其中：基本支出</w:t>
      </w:r>
      <w:r>
        <w:rPr>
          <w:rFonts w:hint="eastAsia" w:ascii="方正仿宋_GBK" w:hAnsi="方正仿宋_GBK" w:eastAsia="方正仿宋_GBK" w:cs="方正仿宋_GBK"/>
          <w:sz w:val="32"/>
          <w:szCs w:val="32"/>
          <w:lang w:val="en-US" w:eastAsia="zh-CN"/>
        </w:rPr>
        <w:t>239.17</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85.88</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val="en-US" w:eastAsia="zh-CN"/>
        </w:rPr>
        <w:t>39.33</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14.12</w:t>
      </w:r>
      <w:r>
        <w:rPr>
          <w:rFonts w:hint="eastAsia" w:ascii="方正仿宋_GBK" w:hAnsi="方正仿宋_GBK" w:eastAsia="方正仿宋_GBK" w:cs="方正仿宋_GBK"/>
          <w:sz w:val="32"/>
          <w:szCs w:val="32"/>
        </w:rPr>
        <w:t>%；上缴上级支出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%；经营支出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%；对附属单位补助支出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14:paraId="70A88AAD">
      <w:pPr>
        <w:pageBreakBefore w:val="0"/>
        <w:kinsoku/>
        <w:wordWrap/>
        <w:overflowPunct/>
        <w:topLinePunct w:val="0"/>
        <w:autoSpaceDE/>
        <w:autoSpaceDN/>
        <w:bidi w:val="0"/>
        <w:spacing w:line="570" w:lineRule="exact"/>
        <w:ind w:left="0" w:leftChars="0"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603885</wp:posOffset>
            </wp:positionH>
            <wp:positionV relativeFrom="paragraph">
              <wp:posOffset>47625</wp:posOffset>
            </wp:positionV>
            <wp:extent cx="4346575" cy="1873250"/>
            <wp:effectExtent l="4445" t="4445" r="11430" b="825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6B3A5C7">
      <w:pPr>
        <w:pStyle w:val="20"/>
        <w:rPr>
          <w:rFonts w:hint="eastAsia" w:eastAsia="仿宋_GB2312" w:cs="仿宋_GB2312"/>
          <w:sz w:val="32"/>
          <w:szCs w:val="32"/>
          <w:lang w:eastAsia="zh-CN"/>
        </w:rPr>
      </w:pPr>
    </w:p>
    <w:p w14:paraId="54D1B88D">
      <w:pPr>
        <w:pStyle w:val="20"/>
        <w:rPr>
          <w:rFonts w:hint="eastAsia" w:eastAsia="仿宋_GB2312" w:cs="仿宋_GB2312"/>
          <w:sz w:val="32"/>
          <w:szCs w:val="32"/>
          <w:lang w:eastAsia="zh-CN"/>
        </w:rPr>
      </w:pPr>
    </w:p>
    <w:p w14:paraId="571C0A7A">
      <w:pPr>
        <w:pStyle w:val="20"/>
        <w:rPr>
          <w:rFonts w:hint="eastAsia" w:eastAsia="仿宋_GB2312" w:cs="仿宋_GB2312"/>
          <w:sz w:val="32"/>
          <w:szCs w:val="32"/>
          <w:lang w:eastAsia="zh-CN"/>
        </w:rPr>
      </w:pPr>
    </w:p>
    <w:p w14:paraId="2CEC5CF2">
      <w:pPr>
        <w:pStyle w:val="20"/>
        <w:ind w:left="0" w:leftChars="0" w:firstLine="0" w:firstLineChars="0"/>
        <w:rPr>
          <w:rFonts w:hint="eastAsia" w:eastAsia="仿宋_GB2312" w:cs="仿宋_GB2312"/>
          <w:sz w:val="32"/>
          <w:szCs w:val="32"/>
          <w:lang w:eastAsia="zh-CN"/>
        </w:rPr>
      </w:pPr>
    </w:p>
    <w:p w14:paraId="01B63314">
      <w:pPr>
        <w:pageBreakBefore w:val="0"/>
        <w:kinsoku/>
        <w:wordWrap/>
        <w:overflowPunct/>
        <w:topLinePunct w:val="0"/>
        <w:autoSpaceDE/>
        <w:autoSpaceDN/>
        <w:bidi w:val="0"/>
        <w:spacing w:line="570" w:lineRule="exact"/>
        <w:textAlignment w:val="auto"/>
        <w:outlineLvl w:val="1"/>
        <w:rPr>
          <w:rFonts w:hint="eastAsia" w:eastAsia="黑体"/>
          <w:sz w:val="32"/>
          <w:szCs w:val="32"/>
        </w:rPr>
      </w:pPr>
      <w:bookmarkStart w:id="38" w:name="_Toc15396606"/>
      <w:bookmarkStart w:id="39" w:name="_Toc15377208"/>
    </w:p>
    <w:p w14:paraId="54075097">
      <w:pPr>
        <w:pageBreakBefore w:val="0"/>
        <w:kinsoku/>
        <w:wordWrap/>
        <w:overflowPunct/>
        <w:topLinePunct w:val="0"/>
        <w:autoSpaceDE/>
        <w:autoSpaceDN/>
        <w:bidi w:val="0"/>
        <w:spacing w:line="570" w:lineRule="exact"/>
        <w:ind w:firstLine="640" w:firstLineChars="200"/>
        <w:textAlignment w:val="auto"/>
        <w:outlineLvl w:val="1"/>
        <w:rPr>
          <w:rStyle w:val="31"/>
          <w:rFonts w:ascii="Times New Roman" w:hAnsi="Times New Roman" w:eastAsia="黑体"/>
          <w:b w:val="0"/>
        </w:rPr>
      </w:pPr>
      <w:bookmarkStart w:id="40" w:name="_Toc19561"/>
      <w:bookmarkStart w:id="41" w:name="_Toc15503"/>
      <w:r>
        <w:rPr>
          <w:rFonts w:hint="eastAsia" w:eastAsia="黑体"/>
          <w:sz w:val="32"/>
          <w:szCs w:val="32"/>
        </w:rPr>
        <w:t>四、财</w:t>
      </w:r>
      <w:r>
        <w:rPr>
          <w:rStyle w:val="31"/>
          <w:rFonts w:hint="eastAsia" w:ascii="Times New Roman" w:hAnsi="Times New Roman" w:eastAsia="黑体"/>
          <w:b w:val="0"/>
        </w:rPr>
        <w:t>政拨款收入支出决算总体情况说明</w:t>
      </w:r>
      <w:bookmarkEnd w:id="38"/>
      <w:bookmarkEnd w:id="39"/>
      <w:bookmarkEnd w:id="40"/>
      <w:bookmarkEnd w:id="41"/>
    </w:p>
    <w:p w14:paraId="3C7B5AC9">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2024年度财政拨款收入、支出总计均为</w:t>
      </w:r>
      <w:r>
        <w:rPr>
          <w:rFonts w:hint="eastAsia" w:ascii="方正仿宋_GBK" w:hAnsi="方正仿宋_GBK" w:eastAsia="方正仿宋_GBK" w:cs="方正仿宋_GBK"/>
          <w:sz w:val="32"/>
          <w:szCs w:val="32"/>
          <w:lang w:val="en-US" w:eastAsia="zh-CN"/>
        </w:rPr>
        <w:t>278.5</w:t>
      </w:r>
      <w:r>
        <w:rPr>
          <w:rFonts w:hint="eastAsia" w:ascii="方正仿宋_GBK" w:hAnsi="方正仿宋_GBK" w:eastAsia="方正仿宋_GBK" w:cs="方正仿宋_GBK"/>
          <w:sz w:val="32"/>
          <w:szCs w:val="32"/>
        </w:rPr>
        <w:t>万元。与</w:t>
      </w:r>
      <w:r>
        <w:rPr>
          <w:rFonts w:hint="eastAsia" w:ascii="方正仿宋_GBK" w:hAnsi="方正仿宋_GBK" w:eastAsia="方正仿宋_GBK" w:cs="方正仿宋_GBK"/>
          <w:sz w:val="32"/>
          <w:szCs w:val="32"/>
          <w:lang w:eastAsia="zh-CN"/>
        </w:rPr>
        <w:t>2024</w:t>
      </w:r>
      <w:r>
        <w:rPr>
          <w:rFonts w:hint="eastAsia" w:ascii="方正仿宋_GBK" w:hAnsi="方正仿宋_GBK" w:eastAsia="方正仿宋_GBK" w:cs="方正仿宋_GBK"/>
          <w:sz w:val="32"/>
          <w:szCs w:val="32"/>
        </w:rPr>
        <w:t>年度</w:t>
      </w:r>
      <w:r>
        <w:rPr>
          <w:rFonts w:hint="eastAsia" w:ascii="方正仿宋_GBK" w:hAnsi="方正仿宋_GBK" w:eastAsia="方正仿宋_GBK" w:cs="方正仿宋_GBK"/>
          <w:sz w:val="32"/>
          <w:szCs w:val="32"/>
          <w:lang w:val="en-US" w:eastAsia="zh-CN"/>
        </w:rPr>
        <w:t>264.58万元</w:t>
      </w:r>
      <w:r>
        <w:rPr>
          <w:rFonts w:hint="eastAsia" w:ascii="方正仿宋_GBK" w:hAnsi="方正仿宋_GBK" w:eastAsia="方正仿宋_GBK" w:cs="方正仿宋_GBK"/>
          <w:sz w:val="32"/>
          <w:szCs w:val="32"/>
        </w:rPr>
        <w:t>相比，财政拨款收入总计、支出总计各增加</w:t>
      </w:r>
      <w:r>
        <w:rPr>
          <w:rFonts w:hint="eastAsia" w:ascii="方正仿宋_GBK" w:hAnsi="方正仿宋_GBK" w:eastAsia="方正仿宋_GBK" w:cs="方正仿宋_GBK"/>
          <w:sz w:val="32"/>
          <w:szCs w:val="32"/>
          <w:lang w:val="en-US" w:eastAsia="zh-CN"/>
        </w:rPr>
        <w:t>13.92</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4.99</w:t>
      </w:r>
      <w:r>
        <w:rPr>
          <w:rFonts w:hint="eastAsia" w:ascii="方正仿宋_GBK" w:hAnsi="方正仿宋_GBK" w:eastAsia="方正仿宋_GBK" w:cs="方正仿宋_GBK"/>
          <w:sz w:val="32"/>
          <w:szCs w:val="32"/>
        </w:rPr>
        <w:t>%。主要变动原因是</w:t>
      </w:r>
      <w:r>
        <w:rPr>
          <w:rFonts w:hint="eastAsia" w:ascii="方正仿宋_GBK" w:hAnsi="方正仿宋_GBK" w:eastAsia="方正仿宋_GBK" w:cs="方正仿宋_GBK"/>
          <w:sz w:val="32"/>
          <w:szCs w:val="32"/>
          <w:lang w:val="en-US" w:eastAsia="zh-CN"/>
        </w:rPr>
        <w:t>2024年末新增人员一名。</w:t>
      </w:r>
    </w:p>
    <w:p w14:paraId="588454DC">
      <w:pPr>
        <w:pageBreakBefore w:val="0"/>
        <w:kinsoku/>
        <w:wordWrap/>
        <w:overflowPunct/>
        <w:topLinePunct w:val="0"/>
        <w:autoSpaceDE/>
        <w:autoSpaceDN/>
        <w:bidi w:val="0"/>
        <w:spacing w:line="570" w:lineRule="exact"/>
        <w:ind w:left="0" w:leftChars="0" w:firstLine="640" w:firstLineChars="200"/>
        <w:textAlignment w:val="auto"/>
        <w:outlineLvl w:val="1"/>
        <w:rPr>
          <w:rStyle w:val="31"/>
          <w:rFonts w:ascii="Times New Roman" w:hAnsi="Times New Roman" w:eastAsia="黑体"/>
          <w:b w:val="0"/>
        </w:rPr>
      </w:pPr>
      <w:bookmarkStart w:id="42" w:name="_Toc15396607"/>
      <w:bookmarkStart w:id="43" w:name="_Toc15377209"/>
      <w:bookmarkStart w:id="44" w:name="_Toc215"/>
      <w:bookmarkStart w:id="45" w:name="_Toc2164"/>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42"/>
      <w:bookmarkEnd w:id="43"/>
      <w:bookmarkEnd w:id="44"/>
      <w:bookmarkEnd w:id="45"/>
    </w:p>
    <w:p w14:paraId="1F541FFE">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46" w:name="_Toc3804"/>
      <w:bookmarkStart w:id="47" w:name="_Toc77"/>
      <w:bookmarkStart w:id="48" w:name="_Toc15377210"/>
      <w:r>
        <w:rPr>
          <w:rFonts w:hint="eastAsia" w:eastAsia="楷体_GB2312" w:cs="楷体_GB2312"/>
          <w:b/>
          <w:sz w:val="32"/>
          <w:szCs w:val="32"/>
        </w:rPr>
        <w:t>（一）一般公共预算财政拨款支出决算总体情况</w:t>
      </w:r>
      <w:bookmarkEnd w:id="46"/>
      <w:bookmarkEnd w:id="47"/>
      <w:bookmarkEnd w:id="48"/>
    </w:p>
    <w:p w14:paraId="34FF90A1">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drawing>
          <wp:anchor distT="0" distB="0" distL="114300" distR="114300" simplePos="0" relativeHeight="251663360" behindDoc="0" locked="0" layoutInCell="1" allowOverlap="1">
            <wp:simplePos x="0" y="0"/>
            <wp:positionH relativeFrom="column">
              <wp:posOffset>113030</wp:posOffset>
            </wp:positionH>
            <wp:positionV relativeFrom="paragraph">
              <wp:posOffset>1113790</wp:posOffset>
            </wp:positionV>
            <wp:extent cx="5488940" cy="1521460"/>
            <wp:effectExtent l="4445" t="4445" r="12065" b="1714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方正仿宋_GBK" w:hAnsi="方正仿宋_GBK" w:eastAsia="方正仿宋_GBK" w:cs="方正仿宋_GBK"/>
          <w:kern w:val="2"/>
          <w:sz w:val="32"/>
          <w:szCs w:val="32"/>
          <w:lang w:val="en-US" w:eastAsia="zh-CN" w:bidi="ar-SA"/>
        </w:rPr>
        <w:t>2024年度一般公共预算财政拨款支出264.58万元，占本年支出合计的100%。与2023年度相比，一般公共预算财政拨款支出增加13.92万元，增长4.99%。主要变动原因是2024年末新增</w:t>
      </w:r>
      <w:r>
        <w:rPr>
          <w:rFonts w:hint="eastAsia" w:ascii="方正仿宋_GBK" w:hAnsi="方正仿宋_GBK" w:eastAsia="方正仿宋_GBK" w:cs="方正仿宋_GBK"/>
          <w:sz w:val="32"/>
          <w:szCs w:val="32"/>
          <w:lang w:val="en-US" w:eastAsia="zh-CN"/>
        </w:rPr>
        <w:t>人员一名。</w:t>
      </w:r>
    </w:p>
    <w:p w14:paraId="69AEC7DB">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49" w:name="_Toc22865"/>
      <w:bookmarkStart w:id="50" w:name="_Toc15839"/>
      <w:bookmarkStart w:id="51" w:name="_Toc15377211"/>
      <w:r>
        <w:rPr>
          <w:rFonts w:hint="eastAsia" w:eastAsia="楷体_GB2312" w:cs="楷体_GB2312"/>
          <w:b/>
          <w:sz w:val="32"/>
          <w:szCs w:val="32"/>
        </w:rPr>
        <w:t>（二）一般公共预算财政拨款支出决算结构情况</w:t>
      </w:r>
      <w:bookmarkEnd w:id="49"/>
      <w:bookmarkEnd w:id="50"/>
      <w:bookmarkEnd w:id="51"/>
    </w:p>
    <w:p w14:paraId="776624FB">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2024年度一般公共预算财政拨款支出</w:t>
      </w:r>
      <w:r>
        <w:rPr>
          <w:rFonts w:hint="eastAsia" w:ascii="方正仿宋_GBK" w:hAnsi="方正仿宋_GBK" w:eastAsia="方正仿宋_GBK" w:cs="方正仿宋_GBK"/>
          <w:sz w:val="32"/>
          <w:szCs w:val="32"/>
          <w:lang w:val="en-US" w:eastAsia="zh-CN"/>
        </w:rPr>
        <w:t>278.5</w:t>
      </w:r>
      <w:r>
        <w:rPr>
          <w:rFonts w:hint="eastAsia" w:ascii="方正仿宋_GBK" w:hAnsi="方正仿宋_GBK" w:eastAsia="方正仿宋_GBK" w:cs="方正仿宋_GBK"/>
          <w:sz w:val="32"/>
          <w:szCs w:val="32"/>
        </w:rPr>
        <w:t>万元，主要用于以下方面：一般公共服务支出</w:t>
      </w:r>
      <w:r>
        <w:rPr>
          <w:rFonts w:hint="eastAsia" w:ascii="方正仿宋_GBK" w:hAnsi="方正仿宋_GBK" w:eastAsia="方正仿宋_GBK" w:cs="方正仿宋_GBK"/>
          <w:sz w:val="32"/>
          <w:szCs w:val="32"/>
          <w:lang w:val="en-US" w:eastAsia="zh-CN"/>
        </w:rPr>
        <w:t>228.27</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81.96</w:t>
      </w:r>
      <w:r>
        <w:rPr>
          <w:rFonts w:hint="eastAsia" w:ascii="方正仿宋_GBK" w:hAnsi="方正仿宋_GBK" w:eastAsia="方正仿宋_GBK" w:cs="方正仿宋_GBK"/>
          <w:sz w:val="32"/>
          <w:szCs w:val="32"/>
        </w:rPr>
        <w:t>%；教育支出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%；科学技术支出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%；文化旅游体育与传媒支出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%；社会保障和就业支出</w:t>
      </w:r>
      <w:r>
        <w:rPr>
          <w:rFonts w:hint="eastAsia" w:ascii="方正仿宋_GBK" w:hAnsi="方正仿宋_GBK" w:eastAsia="方正仿宋_GBK" w:cs="方正仿宋_GBK"/>
          <w:sz w:val="32"/>
          <w:szCs w:val="32"/>
          <w:lang w:val="en-US" w:eastAsia="zh-CN"/>
        </w:rPr>
        <w:t>24.68</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7.96</w:t>
      </w:r>
      <w:r>
        <w:rPr>
          <w:rFonts w:hint="eastAsia" w:ascii="方正仿宋_GBK" w:hAnsi="方正仿宋_GBK" w:eastAsia="方正仿宋_GBK" w:cs="方正仿宋_GBK"/>
          <w:sz w:val="32"/>
          <w:szCs w:val="32"/>
        </w:rPr>
        <w:t>%；卫生健康支出</w:t>
      </w:r>
      <w:r>
        <w:rPr>
          <w:rFonts w:hint="eastAsia" w:ascii="方正仿宋_GBK" w:hAnsi="方正仿宋_GBK" w:eastAsia="方正仿宋_GBK" w:cs="方正仿宋_GBK"/>
          <w:sz w:val="32"/>
          <w:szCs w:val="32"/>
          <w:lang w:val="en-US" w:eastAsia="zh-CN"/>
        </w:rPr>
        <w:t>10.34</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3.92</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10.79</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4.07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tbl>
      <w:tblPr>
        <w:tblStyle w:val="15"/>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53"/>
        <w:gridCol w:w="1833"/>
        <w:gridCol w:w="1622"/>
        <w:gridCol w:w="1627"/>
        <w:gridCol w:w="1865"/>
      </w:tblGrid>
      <w:tr w14:paraId="540F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9000" w:type="dxa"/>
            <w:gridSpan w:val="5"/>
            <w:tcBorders>
              <w:top w:val="nil"/>
              <w:left w:val="nil"/>
              <w:bottom w:val="nil"/>
              <w:right w:val="nil"/>
            </w:tcBorders>
            <w:noWrap/>
            <w:tcMar>
              <w:top w:w="12" w:type="dxa"/>
              <w:left w:w="12" w:type="dxa"/>
              <w:right w:w="12" w:type="dxa"/>
            </w:tcMar>
            <w:vAlign w:val="center"/>
          </w:tcPr>
          <w:p w14:paraId="6E2440A0">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一般公共预算财政拨款支出决算结构</w:t>
            </w:r>
          </w:p>
        </w:tc>
      </w:tr>
      <w:tr w14:paraId="6BC5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9000" w:type="dxa"/>
            <w:gridSpan w:val="5"/>
            <w:tcBorders>
              <w:top w:val="nil"/>
              <w:left w:val="nil"/>
              <w:bottom w:val="nil"/>
              <w:right w:val="nil"/>
            </w:tcBorders>
            <w:noWrap/>
            <w:tcMar>
              <w:top w:w="12" w:type="dxa"/>
              <w:left w:w="12" w:type="dxa"/>
              <w:right w:w="12" w:type="dxa"/>
            </w:tcMar>
            <w:vAlign w:val="center"/>
          </w:tcPr>
          <w:p w14:paraId="0AD689CE">
            <w:pPr>
              <w:bidi w:val="0"/>
              <w:jc w:val="righ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单位：万元</w:t>
            </w:r>
          </w:p>
        </w:tc>
      </w:tr>
      <w:tr w14:paraId="77E3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jc w:val="center"/>
        </w:trPr>
        <w:tc>
          <w:tcPr>
            <w:tcW w:w="20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877C3">
            <w:pPr>
              <w:bidi w:val="0"/>
              <w:jc w:val="center"/>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收入、支出功能科目</w:t>
            </w:r>
          </w:p>
        </w:tc>
        <w:tc>
          <w:tcPr>
            <w:tcW w:w="18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78E20">
            <w:pPr>
              <w:bidi w:val="0"/>
              <w:jc w:val="center"/>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预算数</w:t>
            </w:r>
          </w:p>
        </w:tc>
        <w:tc>
          <w:tcPr>
            <w:tcW w:w="16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1DEEE">
            <w:pPr>
              <w:bidi w:val="0"/>
              <w:jc w:val="center"/>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决算数</w:t>
            </w:r>
          </w:p>
        </w:tc>
        <w:tc>
          <w:tcPr>
            <w:tcW w:w="162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056C87">
            <w:pPr>
              <w:bidi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预决算绝对数</w:t>
            </w:r>
          </w:p>
        </w:tc>
        <w:tc>
          <w:tcPr>
            <w:tcW w:w="18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DF0916">
            <w:pPr>
              <w:bidi w:val="0"/>
              <w:jc w:val="center"/>
              <w:rPr>
                <w:rFonts w:hint="default"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预决算增幅</w:t>
            </w:r>
            <w:r>
              <w:rPr>
                <w:rFonts w:hint="eastAsia" w:ascii="宋体" w:hAnsi="宋体" w:cs="宋体"/>
                <w:b/>
                <w:bCs/>
                <w:sz w:val="24"/>
                <w:szCs w:val="24"/>
                <w:highlight w:val="none"/>
                <w:lang w:val="en-US" w:eastAsia="zh-CN"/>
              </w:rPr>
              <w:t>(%)</w:t>
            </w:r>
          </w:p>
        </w:tc>
      </w:tr>
      <w:tr w14:paraId="1670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0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67DC18">
            <w:pPr>
              <w:jc w:val="center"/>
              <w:rPr>
                <w:rFonts w:hint="eastAsia"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t>一般公共服务支出</w:t>
            </w:r>
          </w:p>
        </w:tc>
        <w:tc>
          <w:tcPr>
            <w:tcW w:w="18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A11CA1">
            <w:pPr>
              <w:jc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220</w:t>
            </w:r>
          </w:p>
        </w:tc>
        <w:tc>
          <w:tcPr>
            <w:tcW w:w="16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0941BA">
            <w:pPr>
              <w:jc w:val="center"/>
              <w:rPr>
                <w:rFonts w:hint="default" w:ascii="宋体" w:hAnsi="宋体" w:eastAsia="宋体" w:cs="宋体"/>
                <w:sz w:val="24"/>
                <w:szCs w:val="24"/>
                <w:highlight w:val="none"/>
                <w:lang w:val="en-US"/>
              </w:rPr>
            </w:pPr>
            <w:r>
              <w:rPr>
                <w:rFonts w:hint="eastAsia" w:ascii="宋体" w:hAnsi="宋体" w:cs="宋体"/>
                <w:color w:val="auto"/>
                <w:sz w:val="24"/>
                <w:szCs w:val="24"/>
                <w:highlight w:val="none"/>
                <w:lang w:val="en-US" w:eastAsia="zh-CN"/>
              </w:rPr>
              <w:t>228.27</w:t>
            </w:r>
          </w:p>
        </w:tc>
        <w:tc>
          <w:tcPr>
            <w:tcW w:w="162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E33D7A">
            <w:pPr>
              <w:keepNext w:val="0"/>
              <w:keepLines w:val="0"/>
              <w:widowControl/>
              <w:suppressLineNumbers w:val="0"/>
              <w:jc w:val="right"/>
              <w:textAlignment w:val="center"/>
              <w:rPr>
                <w:rFonts w:hint="default" w:ascii="宋体" w:hAnsi="宋体" w:eastAsia="宋体" w:cs="宋体"/>
                <w:sz w:val="24"/>
                <w:szCs w:val="24"/>
                <w:highlight w:val="none"/>
                <w:lang w:val="en-US" w:eastAsia="zh-CN"/>
              </w:rPr>
            </w:pPr>
            <w:r>
              <w:rPr>
                <w:rFonts w:hint="eastAsia" w:ascii="宋体" w:hAnsi="宋体" w:cs="宋体"/>
                <w:i w:val="0"/>
                <w:iCs w:val="0"/>
                <w:color w:val="000000"/>
                <w:kern w:val="0"/>
                <w:sz w:val="22"/>
                <w:szCs w:val="22"/>
                <w:u w:val="none"/>
                <w:lang w:val="en-US" w:eastAsia="zh-CN" w:bidi="ar"/>
              </w:rPr>
              <w:t>81.96</w:t>
            </w:r>
          </w:p>
        </w:tc>
        <w:tc>
          <w:tcPr>
            <w:tcW w:w="18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7B8CFC">
            <w:pPr>
              <w:keepNext w:val="0"/>
              <w:keepLines w:val="0"/>
              <w:widowControl/>
              <w:suppressLineNumbers w:val="0"/>
              <w:jc w:val="righ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3.8 </w:t>
            </w:r>
          </w:p>
        </w:tc>
      </w:tr>
      <w:tr w14:paraId="58E8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0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C1EE0F">
            <w:pPr>
              <w:jc w:val="center"/>
              <w:rPr>
                <w:rFonts w:hint="eastAsia"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t>社会保障和就业支出</w:t>
            </w:r>
          </w:p>
        </w:tc>
        <w:tc>
          <w:tcPr>
            <w:tcW w:w="18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4E9A62">
            <w:pPr>
              <w:jc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24.87</w:t>
            </w:r>
          </w:p>
        </w:tc>
        <w:tc>
          <w:tcPr>
            <w:tcW w:w="16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559EAD">
            <w:pPr>
              <w:jc w:val="center"/>
              <w:rPr>
                <w:rFonts w:hint="default" w:ascii="宋体" w:hAnsi="宋体" w:eastAsia="宋体" w:cs="宋体"/>
                <w:sz w:val="24"/>
                <w:szCs w:val="24"/>
                <w:highlight w:val="none"/>
                <w:lang w:val="en-US"/>
              </w:rPr>
            </w:pPr>
            <w:r>
              <w:rPr>
                <w:rFonts w:hint="eastAsia" w:ascii="宋体" w:hAnsi="宋体" w:cs="宋体"/>
                <w:color w:val="auto"/>
                <w:sz w:val="24"/>
                <w:szCs w:val="24"/>
                <w:highlight w:val="none"/>
                <w:lang w:val="en-US" w:eastAsia="zh-CN"/>
              </w:rPr>
              <w:t>24.68</w:t>
            </w:r>
          </w:p>
        </w:tc>
        <w:tc>
          <w:tcPr>
            <w:tcW w:w="162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B86A31">
            <w:pPr>
              <w:keepNext w:val="0"/>
              <w:keepLines w:val="0"/>
              <w:widowControl/>
              <w:suppressLineNumbers w:val="0"/>
              <w:jc w:val="righ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u w:val="none"/>
                <w:lang w:val="en-US" w:eastAsia="zh-CN" w:bidi="ar"/>
              </w:rPr>
              <w:t>-0.2</w:t>
            </w:r>
          </w:p>
        </w:tc>
        <w:tc>
          <w:tcPr>
            <w:tcW w:w="18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0E42BD">
            <w:pPr>
              <w:keepNext w:val="0"/>
              <w:keepLines w:val="0"/>
              <w:widowControl/>
              <w:suppressLineNumbers w:val="0"/>
              <w:jc w:val="righ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-0.8 </w:t>
            </w:r>
          </w:p>
        </w:tc>
      </w:tr>
      <w:tr w14:paraId="26FA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0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DDEE6A">
            <w:pPr>
              <w:jc w:val="center"/>
              <w:rPr>
                <w:rFonts w:hint="eastAsia"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t>卫生健康支出</w:t>
            </w:r>
          </w:p>
        </w:tc>
        <w:tc>
          <w:tcPr>
            <w:tcW w:w="18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AAC0CD">
            <w:pPr>
              <w:jc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10.28</w:t>
            </w:r>
          </w:p>
        </w:tc>
        <w:tc>
          <w:tcPr>
            <w:tcW w:w="16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433E16">
            <w:pPr>
              <w:jc w:val="center"/>
              <w:rPr>
                <w:rFonts w:hint="default" w:ascii="宋体" w:hAnsi="宋体" w:eastAsia="宋体" w:cs="宋体"/>
                <w:sz w:val="24"/>
                <w:szCs w:val="24"/>
                <w:highlight w:val="none"/>
                <w:lang w:val="en-US"/>
              </w:rPr>
            </w:pPr>
            <w:r>
              <w:rPr>
                <w:rFonts w:hint="eastAsia" w:ascii="宋体" w:hAnsi="宋体" w:cs="宋体"/>
                <w:color w:val="auto"/>
                <w:sz w:val="24"/>
                <w:szCs w:val="24"/>
                <w:highlight w:val="none"/>
                <w:lang w:val="en-US" w:eastAsia="zh-CN"/>
              </w:rPr>
              <w:t>11.71</w:t>
            </w:r>
          </w:p>
        </w:tc>
        <w:tc>
          <w:tcPr>
            <w:tcW w:w="162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2FEC4D">
            <w:pPr>
              <w:keepNext w:val="0"/>
              <w:keepLines w:val="0"/>
              <w:widowControl/>
              <w:suppressLineNumbers w:val="0"/>
              <w:jc w:val="righ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u w:val="none"/>
                <w:lang w:val="en-US" w:eastAsia="zh-CN" w:bidi="ar"/>
              </w:rPr>
              <w:t>1.43</w:t>
            </w:r>
          </w:p>
        </w:tc>
        <w:tc>
          <w:tcPr>
            <w:tcW w:w="18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1931DA">
            <w:pPr>
              <w:keepNext w:val="0"/>
              <w:keepLines w:val="0"/>
              <w:widowControl/>
              <w:suppressLineNumbers w:val="0"/>
              <w:jc w:val="righ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13.9 </w:t>
            </w:r>
          </w:p>
        </w:tc>
      </w:tr>
      <w:tr w14:paraId="1CF1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0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C53DDB">
            <w:pPr>
              <w:jc w:val="center"/>
              <w:rPr>
                <w:rFonts w:hint="eastAsia" w:ascii="宋体" w:hAnsi="宋体" w:eastAsia="宋体" w:cs="宋体"/>
                <w:sz w:val="24"/>
                <w:szCs w:val="24"/>
                <w:highlight w:val="none"/>
                <w:lang w:val="en-US"/>
              </w:rPr>
            </w:pPr>
            <w:r>
              <w:rPr>
                <w:rFonts w:hint="eastAsia" w:ascii="宋体" w:hAnsi="宋体" w:eastAsia="宋体" w:cs="宋体"/>
                <w:color w:val="auto"/>
                <w:sz w:val="24"/>
                <w:szCs w:val="24"/>
                <w:highlight w:val="none"/>
                <w:lang w:val="en-US" w:eastAsia="zh-CN"/>
              </w:rPr>
              <w:t>住房保障支出</w:t>
            </w:r>
          </w:p>
        </w:tc>
        <w:tc>
          <w:tcPr>
            <w:tcW w:w="18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36F0D1">
            <w:pPr>
              <w:jc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12.13</w:t>
            </w:r>
          </w:p>
        </w:tc>
        <w:tc>
          <w:tcPr>
            <w:tcW w:w="16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60966B">
            <w:pPr>
              <w:jc w:val="center"/>
              <w:rPr>
                <w:rFonts w:hint="default" w:ascii="宋体" w:hAnsi="宋体" w:eastAsia="宋体" w:cs="宋体"/>
                <w:sz w:val="24"/>
                <w:szCs w:val="24"/>
                <w:highlight w:val="none"/>
                <w:lang w:val="en-US"/>
              </w:rPr>
            </w:pPr>
            <w:r>
              <w:rPr>
                <w:rFonts w:hint="eastAsia" w:ascii="宋体" w:hAnsi="宋体" w:cs="宋体"/>
                <w:color w:val="auto"/>
                <w:sz w:val="24"/>
                <w:szCs w:val="24"/>
                <w:highlight w:val="none"/>
                <w:lang w:val="en-US" w:eastAsia="zh-CN"/>
              </w:rPr>
              <w:t>13.84</w:t>
            </w:r>
          </w:p>
        </w:tc>
        <w:tc>
          <w:tcPr>
            <w:tcW w:w="162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98A31">
            <w:pPr>
              <w:keepNext w:val="0"/>
              <w:keepLines w:val="0"/>
              <w:widowControl/>
              <w:suppressLineNumbers w:val="0"/>
              <w:jc w:val="righ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u w:val="none"/>
                <w:lang w:val="en-US" w:eastAsia="zh-CN" w:bidi="ar"/>
              </w:rPr>
              <w:t>1.71</w:t>
            </w:r>
          </w:p>
        </w:tc>
        <w:tc>
          <w:tcPr>
            <w:tcW w:w="18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E49288">
            <w:pPr>
              <w:keepNext w:val="0"/>
              <w:keepLines w:val="0"/>
              <w:widowControl/>
              <w:suppressLineNumbers w:val="0"/>
              <w:jc w:val="righ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u w:val="none"/>
                <w:lang w:val="en-US" w:eastAsia="zh-CN" w:bidi="ar"/>
              </w:rPr>
              <w:t xml:space="preserve">14.1 </w:t>
            </w:r>
          </w:p>
        </w:tc>
      </w:tr>
    </w:tbl>
    <w:p w14:paraId="2933DF04">
      <w:pPr>
        <w:pageBreakBefore w:val="0"/>
        <w:kinsoku/>
        <w:wordWrap/>
        <w:overflowPunct/>
        <w:topLinePunct w:val="0"/>
        <w:autoSpaceDE/>
        <w:autoSpaceDN/>
        <w:bidi w:val="0"/>
        <w:spacing w:line="570" w:lineRule="exact"/>
        <w:ind w:firstLine="643" w:firstLineChars="200"/>
        <w:textAlignment w:val="auto"/>
        <w:outlineLvl w:val="2"/>
        <w:rPr>
          <w:rFonts w:eastAsia="楷体_GB2312" w:cs="楷体_GB2312"/>
          <w:b/>
          <w:sz w:val="32"/>
          <w:szCs w:val="32"/>
        </w:rPr>
      </w:pPr>
      <w:bookmarkStart w:id="52" w:name="_Toc19738"/>
      <w:bookmarkStart w:id="53" w:name="_Toc23229"/>
      <w:bookmarkStart w:id="54" w:name="_Toc15377212"/>
      <w:r>
        <w:rPr>
          <w:rFonts w:hint="eastAsia" w:eastAsia="楷体_GB2312" w:cs="楷体_GB2312"/>
          <w:b/>
          <w:sz w:val="32"/>
          <w:szCs w:val="32"/>
        </w:rPr>
        <w:t>（三）一般公共预算财政拨款支出决算具体情况</w:t>
      </w:r>
      <w:bookmarkEnd w:id="52"/>
      <w:bookmarkEnd w:id="53"/>
      <w:bookmarkEnd w:id="54"/>
    </w:p>
    <w:p w14:paraId="0C547C31">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bookmarkStart w:id="55" w:name="_Toc15377444"/>
      <w:bookmarkStart w:id="56" w:name="_Toc15378460"/>
      <w:bookmarkStart w:id="57" w:name="_Toc15377213"/>
      <w:r>
        <w:rPr>
          <w:rFonts w:hint="eastAsia" w:ascii="方正仿宋_GBK" w:hAnsi="方正仿宋_GBK" w:eastAsia="方正仿宋_GBK" w:cs="方正仿宋_GBK"/>
          <w:sz w:val="32"/>
          <w:szCs w:val="32"/>
        </w:rPr>
        <w:t>2024年度一般公共预算财政拨款支出决算数为</w:t>
      </w:r>
      <w:r>
        <w:rPr>
          <w:rFonts w:hint="eastAsia" w:ascii="方正仿宋_GBK" w:hAnsi="方正仿宋_GBK" w:eastAsia="方正仿宋_GBK" w:cs="方正仿宋_GBK"/>
          <w:sz w:val="32"/>
          <w:szCs w:val="32"/>
          <w:lang w:val="en-US" w:eastAsia="zh-CN"/>
        </w:rPr>
        <w:t>278.5</w:t>
      </w:r>
      <w:r>
        <w:rPr>
          <w:rFonts w:hint="eastAsia" w:ascii="方正仿宋_GBK" w:hAnsi="方正仿宋_GBK" w:eastAsia="方正仿宋_GBK" w:cs="方正仿宋_GBK"/>
          <w:sz w:val="32"/>
          <w:szCs w:val="32"/>
        </w:rPr>
        <w:t>，完成预算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%。其中：</w:t>
      </w:r>
      <w:bookmarkEnd w:id="55"/>
      <w:bookmarkEnd w:id="56"/>
      <w:bookmarkEnd w:id="57"/>
    </w:p>
    <w:p w14:paraId="700DC0C6">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一般公共服务</w:t>
      </w:r>
      <w:r>
        <w:rPr>
          <w:rFonts w:hint="eastAsia" w:ascii="方正仿宋_GBK" w:hAnsi="方正仿宋_GBK" w:eastAsia="方正仿宋_GBK" w:cs="方正仿宋_GBK"/>
          <w:sz w:val="32"/>
          <w:szCs w:val="32"/>
          <w:lang w:val="en-US" w:eastAsia="zh-CN"/>
        </w:rPr>
        <w:t>合计228.27万元。其中：2013602</w:t>
      </w:r>
      <w:r>
        <w:rPr>
          <w:rFonts w:hint="eastAsia" w:ascii="方正仿宋_GBK" w:hAnsi="方正仿宋_GBK" w:eastAsia="方正仿宋_GBK" w:cs="方正仿宋_GBK"/>
          <w:sz w:val="32"/>
          <w:szCs w:val="32"/>
        </w:rPr>
        <w:t>：支出决算为</w:t>
      </w:r>
      <w:r>
        <w:rPr>
          <w:rFonts w:hint="eastAsia" w:ascii="方正仿宋_GBK" w:hAnsi="方正仿宋_GBK" w:eastAsia="方正仿宋_GBK" w:cs="方正仿宋_GBK"/>
          <w:sz w:val="32"/>
          <w:szCs w:val="32"/>
          <w:lang w:val="en-US" w:eastAsia="zh-CN"/>
        </w:rPr>
        <w:t>39.33</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2013601:</w:t>
      </w:r>
      <w:r>
        <w:rPr>
          <w:rFonts w:hint="eastAsia" w:ascii="方正仿宋_GBK" w:hAnsi="方正仿宋_GBK" w:eastAsia="方正仿宋_GBK" w:cs="方正仿宋_GBK"/>
          <w:sz w:val="32"/>
          <w:szCs w:val="32"/>
        </w:rPr>
        <w:t>支出决算为</w:t>
      </w:r>
      <w:r>
        <w:rPr>
          <w:rFonts w:hint="eastAsia" w:ascii="方正仿宋_GBK" w:hAnsi="方正仿宋_GBK" w:eastAsia="方正仿宋_GBK" w:cs="方正仿宋_GBK"/>
          <w:sz w:val="32"/>
          <w:szCs w:val="32"/>
          <w:lang w:val="en-US" w:eastAsia="zh-CN"/>
        </w:rPr>
        <w:t>188.94</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w:t>
      </w:r>
    </w:p>
    <w:p w14:paraId="66D9FDB1">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2.教育（类）***（款）***（项）: 支出决算为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14:paraId="73966118">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3.科学技术（类）***（款）***（项）：支出决算为**万元，完成预算**%。</w:t>
      </w:r>
    </w:p>
    <w:p w14:paraId="64337BBD">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4.文化旅游体育与传媒（类）***（款）***（项）：支出决算为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14:paraId="776F2F69">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5.社会保障和就业</w:t>
      </w:r>
      <w:r>
        <w:rPr>
          <w:rFonts w:hint="eastAsia" w:ascii="方正仿宋_GBK" w:hAnsi="方正仿宋_GBK" w:eastAsia="方正仿宋_GBK" w:cs="方正仿宋_GBK"/>
          <w:sz w:val="32"/>
          <w:szCs w:val="32"/>
          <w:lang w:val="en-US" w:eastAsia="zh-CN"/>
        </w:rPr>
        <w:t>24.68万元。其中:2080505</w:t>
      </w:r>
      <w:r>
        <w:rPr>
          <w:rFonts w:hint="eastAsia" w:ascii="方正仿宋_GBK" w:hAnsi="方正仿宋_GBK" w:eastAsia="方正仿宋_GBK" w:cs="方正仿宋_GBK"/>
          <w:sz w:val="32"/>
          <w:szCs w:val="32"/>
        </w:rPr>
        <w:t>：支出决算为</w:t>
      </w:r>
      <w:r>
        <w:rPr>
          <w:rFonts w:hint="eastAsia" w:ascii="方正仿宋_GBK" w:hAnsi="方正仿宋_GBK" w:eastAsia="方正仿宋_GBK" w:cs="方正仿宋_GBK"/>
          <w:sz w:val="32"/>
          <w:szCs w:val="32"/>
          <w:lang w:val="en-US" w:eastAsia="zh-CN"/>
        </w:rPr>
        <w:t>16.6</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;2080506</w:t>
      </w:r>
      <w:r>
        <w:rPr>
          <w:rFonts w:hint="eastAsia" w:ascii="方正仿宋_GBK" w:hAnsi="方正仿宋_GBK" w:eastAsia="方正仿宋_GBK" w:cs="方正仿宋_GBK"/>
          <w:sz w:val="32"/>
          <w:szCs w:val="32"/>
        </w:rPr>
        <w:t>：支出决算为</w:t>
      </w:r>
      <w:r>
        <w:rPr>
          <w:rFonts w:hint="eastAsia" w:ascii="方正仿宋_GBK" w:hAnsi="方正仿宋_GBK" w:eastAsia="方正仿宋_GBK" w:cs="方正仿宋_GBK"/>
          <w:sz w:val="32"/>
          <w:szCs w:val="32"/>
          <w:lang w:val="en-US" w:eastAsia="zh-CN"/>
        </w:rPr>
        <w:t>8.08</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w:t>
      </w:r>
    </w:p>
    <w:p w14:paraId="5FCE8C74">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6.卫生健康</w:t>
      </w:r>
      <w:r>
        <w:rPr>
          <w:rFonts w:hint="eastAsia" w:ascii="方正仿宋_GBK" w:hAnsi="方正仿宋_GBK" w:eastAsia="方正仿宋_GBK" w:cs="方正仿宋_GBK"/>
          <w:sz w:val="32"/>
          <w:szCs w:val="32"/>
          <w:lang w:val="en-US" w:eastAsia="zh-CN"/>
        </w:rPr>
        <w:t>11.71万元。其中：2101101</w:t>
      </w:r>
      <w:r>
        <w:rPr>
          <w:rFonts w:hint="eastAsia" w:ascii="方正仿宋_GBK" w:hAnsi="方正仿宋_GBK" w:eastAsia="方正仿宋_GBK" w:cs="方正仿宋_GBK"/>
          <w:sz w:val="32"/>
          <w:szCs w:val="32"/>
        </w:rPr>
        <w:t>：支出决算为</w:t>
      </w:r>
      <w:r>
        <w:rPr>
          <w:rFonts w:hint="eastAsia" w:ascii="方正仿宋_GBK" w:hAnsi="方正仿宋_GBK" w:eastAsia="方正仿宋_GBK" w:cs="方正仿宋_GBK"/>
          <w:sz w:val="32"/>
          <w:szCs w:val="32"/>
          <w:lang w:val="en-US" w:eastAsia="zh-CN"/>
        </w:rPr>
        <w:t>7.94</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%，卫生健康</w:t>
      </w:r>
      <w:r>
        <w:rPr>
          <w:rFonts w:hint="eastAsia" w:ascii="方正仿宋_GBK" w:hAnsi="方正仿宋_GBK" w:eastAsia="方正仿宋_GBK" w:cs="方正仿宋_GBK"/>
          <w:sz w:val="32"/>
          <w:szCs w:val="32"/>
          <w:lang w:val="en-US" w:eastAsia="zh-CN"/>
        </w:rPr>
        <w:t>2101103</w:t>
      </w:r>
      <w:r>
        <w:rPr>
          <w:rFonts w:hint="eastAsia" w:ascii="方正仿宋_GBK" w:hAnsi="方正仿宋_GBK" w:eastAsia="方正仿宋_GBK" w:cs="方正仿宋_GBK"/>
          <w:sz w:val="32"/>
          <w:szCs w:val="32"/>
        </w:rPr>
        <w:t>：支出决算为</w:t>
      </w:r>
      <w:r>
        <w:rPr>
          <w:rFonts w:hint="eastAsia" w:ascii="方正仿宋_GBK" w:hAnsi="方正仿宋_GBK" w:eastAsia="方正仿宋_GBK" w:cs="方正仿宋_GBK"/>
          <w:sz w:val="32"/>
          <w:szCs w:val="32"/>
          <w:lang w:val="en-US" w:eastAsia="zh-CN"/>
        </w:rPr>
        <w:t>2.88</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w:t>
      </w:r>
    </w:p>
    <w:p w14:paraId="3C4FB63E">
      <w:pPr>
        <w:bidi w:val="0"/>
        <w:jc w:val="center"/>
        <w:rPr>
          <w:rFonts w:hint="default" w:eastAsia="仿宋_GB2312" w:cs="仿宋_GB2312"/>
          <w:sz w:val="32"/>
          <w:szCs w:val="32"/>
          <w:lang w:val="en-US" w:eastAsia="zh-CN"/>
        </w:rPr>
      </w:pPr>
      <w:r>
        <w:rPr>
          <w:rFonts w:hint="default"/>
          <w:highlight w:val="none"/>
          <w:lang w:val="en-US"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FFB682">
      <w:pPr>
        <w:pageBreakBefore w:val="0"/>
        <w:tabs>
          <w:tab w:val="right" w:pos="8306"/>
        </w:tabs>
        <w:kinsoku/>
        <w:wordWrap/>
        <w:overflowPunct/>
        <w:topLinePunct w:val="0"/>
        <w:autoSpaceDE/>
        <w:autoSpaceDN/>
        <w:bidi w:val="0"/>
        <w:spacing w:line="570" w:lineRule="exact"/>
        <w:ind w:left="0" w:leftChars="0" w:firstLine="640" w:firstLineChars="200"/>
        <w:textAlignment w:val="auto"/>
        <w:outlineLvl w:val="1"/>
        <w:rPr>
          <w:rStyle w:val="31"/>
          <w:rFonts w:ascii="Times New Roman" w:hAnsi="Times New Roman"/>
        </w:rPr>
      </w:pPr>
      <w:bookmarkStart w:id="58" w:name="_Toc15396608"/>
      <w:bookmarkStart w:id="59" w:name="_Toc15377214"/>
      <w:bookmarkStart w:id="60" w:name="_Toc29623"/>
      <w:bookmarkStart w:id="61" w:name="_Toc10002"/>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58"/>
      <w:bookmarkEnd w:id="59"/>
      <w:bookmarkEnd w:id="60"/>
      <w:bookmarkEnd w:id="61"/>
      <w:r>
        <w:rPr>
          <w:rStyle w:val="31"/>
          <w:rFonts w:ascii="Times New Roman" w:hAnsi="Times New Roman" w:eastAsia="黑体"/>
          <w:b w:val="0"/>
        </w:rPr>
        <w:tab/>
      </w:r>
    </w:p>
    <w:p w14:paraId="7A6B2C5F">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2024年度一般公共预算财政拨款基本支出</w:t>
      </w:r>
      <w:r>
        <w:rPr>
          <w:rFonts w:hint="eastAsia" w:ascii="方正仿宋_GBK" w:hAnsi="方正仿宋_GBK" w:eastAsia="方正仿宋_GBK" w:cs="方正仿宋_GBK"/>
          <w:sz w:val="32"/>
          <w:szCs w:val="32"/>
          <w:lang w:val="en-US" w:eastAsia="zh-CN"/>
        </w:rPr>
        <w:t>214.11</w:t>
      </w:r>
      <w:r>
        <w:rPr>
          <w:rFonts w:hint="eastAsia" w:ascii="方正仿宋_GBK" w:hAnsi="方正仿宋_GBK" w:eastAsia="方正仿宋_GBK" w:cs="方正仿宋_GBK"/>
          <w:sz w:val="32"/>
          <w:szCs w:val="32"/>
        </w:rPr>
        <w:t>万元，其中：</w:t>
      </w:r>
    </w:p>
    <w:p w14:paraId="0C82ECFB">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w:t>
      </w:r>
      <w:r>
        <w:rPr>
          <w:rFonts w:hint="eastAsia" w:ascii="方正仿宋_GBK" w:hAnsi="方正仿宋_GBK" w:eastAsia="方正仿宋_GBK" w:cs="方正仿宋_GBK"/>
          <w:sz w:val="32"/>
          <w:szCs w:val="32"/>
          <w:lang w:val="en-US" w:eastAsia="zh-CN"/>
        </w:rPr>
        <w:t>198.49</w:t>
      </w:r>
      <w:r>
        <w:rPr>
          <w:rFonts w:hint="eastAsia" w:ascii="方正仿宋_GBK" w:hAnsi="方正仿宋_GBK" w:eastAsia="方正仿宋_GBK" w:cs="方正仿宋_GBK"/>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公用经费</w:t>
      </w:r>
      <w:r>
        <w:rPr>
          <w:rFonts w:hint="eastAsia" w:ascii="方正仿宋_GBK" w:hAnsi="方正仿宋_GBK" w:eastAsia="方正仿宋_GBK" w:cs="方正仿宋_GBK"/>
          <w:sz w:val="32"/>
          <w:szCs w:val="32"/>
          <w:lang w:val="en-US" w:eastAsia="zh-CN"/>
        </w:rPr>
        <w:t>15.61</w:t>
      </w:r>
      <w:r>
        <w:rPr>
          <w:rFonts w:hint="eastAsia" w:ascii="方正仿宋_GBK" w:hAnsi="方正仿宋_GBK" w:eastAsia="方正仿宋_GBK" w:cs="方正仿宋_GBK"/>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75093D4">
      <w:pPr>
        <w:pageBreakBefore w:val="0"/>
        <w:kinsoku/>
        <w:wordWrap/>
        <w:overflowPunct/>
        <w:topLinePunct w:val="0"/>
        <w:autoSpaceDE/>
        <w:autoSpaceDN/>
        <w:bidi w:val="0"/>
        <w:spacing w:line="570" w:lineRule="exact"/>
        <w:ind w:left="0" w:leftChars="0" w:firstLine="640" w:firstLineChars="200"/>
        <w:textAlignment w:val="auto"/>
        <w:outlineLvl w:val="1"/>
        <w:rPr>
          <w:rStyle w:val="31"/>
          <w:rFonts w:ascii="Times New Roman" w:hAnsi="Times New Roman" w:eastAsia="黑体"/>
          <w:b w:val="0"/>
        </w:rPr>
      </w:pPr>
      <w:bookmarkStart w:id="62" w:name="_Toc15396609"/>
      <w:bookmarkStart w:id="63" w:name="_Toc15377215"/>
      <w:bookmarkStart w:id="64" w:name="_Toc18345"/>
      <w:bookmarkStart w:id="65" w:name="_Toc11827"/>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62"/>
      <w:bookmarkEnd w:id="63"/>
      <w:bookmarkEnd w:id="64"/>
      <w:bookmarkEnd w:id="65"/>
    </w:p>
    <w:p w14:paraId="55E32413">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66" w:name="_Toc15377216"/>
      <w:bookmarkStart w:id="67" w:name="_Toc5540"/>
      <w:bookmarkStart w:id="68" w:name="_Toc19304"/>
      <w:r>
        <w:rPr>
          <w:rFonts w:hint="eastAsia" w:eastAsia="楷体_GB2312" w:cs="楷体_GB2312"/>
          <w:b/>
          <w:sz w:val="32"/>
          <w:szCs w:val="32"/>
        </w:rPr>
        <w:t>（一）“三公”经费财政拨款支出决算总体情况说明</w:t>
      </w:r>
      <w:bookmarkEnd w:id="66"/>
      <w:bookmarkEnd w:id="67"/>
      <w:bookmarkEnd w:id="68"/>
    </w:p>
    <w:p w14:paraId="166E8147">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2024年度“三公”经费财政拨款支出决算为</w:t>
      </w:r>
      <w:r>
        <w:rPr>
          <w:rFonts w:hint="eastAsia" w:ascii="方正仿宋_GBK" w:hAnsi="方正仿宋_GBK" w:eastAsia="方正仿宋_GBK" w:cs="方正仿宋_GBK"/>
          <w:sz w:val="32"/>
          <w:szCs w:val="32"/>
          <w:lang w:val="en-US" w:eastAsia="zh-CN"/>
        </w:rPr>
        <w:t>2.16</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%，较上年度</w:t>
      </w:r>
      <w:r>
        <w:rPr>
          <w:rFonts w:hint="eastAsia" w:ascii="方正仿宋_GBK" w:hAnsi="方正仿宋_GBK" w:eastAsia="方正仿宋_GBK" w:cs="方正仿宋_GBK"/>
          <w:sz w:val="32"/>
          <w:szCs w:val="32"/>
          <w:lang w:val="en-US" w:eastAsia="zh-CN"/>
        </w:rPr>
        <w:t>减少28.71</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下降94.71</w:t>
      </w:r>
      <w:r>
        <w:rPr>
          <w:rFonts w:hint="eastAsia" w:ascii="方正仿宋_GBK" w:hAnsi="方正仿宋_GBK" w:eastAsia="方正仿宋_GBK" w:cs="方正仿宋_GBK"/>
          <w:sz w:val="32"/>
          <w:szCs w:val="32"/>
        </w:rPr>
        <w:t>%。</w:t>
      </w:r>
    </w:p>
    <w:tbl>
      <w:tblPr>
        <w:tblStyle w:val="16"/>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92"/>
        <w:gridCol w:w="1423"/>
        <w:gridCol w:w="1239"/>
        <w:gridCol w:w="1269"/>
        <w:gridCol w:w="1187"/>
        <w:gridCol w:w="1044"/>
        <w:gridCol w:w="1191"/>
      </w:tblGrid>
      <w:tr w14:paraId="100A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210" w:type="dxa"/>
            <w:gridSpan w:val="8"/>
            <w:tcBorders>
              <w:top w:val="single" w:color="auto" w:sz="12" w:space="0"/>
              <w:left w:val="single" w:color="auto" w:sz="12" w:space="0"/>
              <w:bottom w:val="nil"/>
              <w:right w:val="single" w:color="auto" w:sz="12" w:space="0"/>
            </w:tcBorders>
            <w:vAlign w:val="top"/>
          </w:tcPr>
          <w:p w14:paraId="4758A0F1">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i w:val="0"/>
                <w:color w:val="000000"/>
                <w:kern w:val="0"/>
                <w:sz w:val="15"/>
                <w:szCs w:val="15"/>
                <w:highlight w:val="none"/>
                <w:u w:val="none"/>
                <w:lang w:val="en-US" w:eastAsia="zh-CN" w:bidi="ar"/>
              </w:rPr>
              <w:t>“三公”经费支出情况</w:t>
            </w:r>
          </w:p>
        </w:tc>
      </w:tr>
      <w:tr w14:paraId="3C49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210" w:type="dxa"/>
            <w:gridSpan w:val="8"/>
            <w:tcBorders>
              <w:top w:val="nil"/>
              <w:left w:val="single" w:color="auto" w:sz="12" w:space="0"/>
              <w:bottom w:val="single" w:color="auto" w:sz="12" w:space="0"/>
              <w:right w:val="single" w:color="auto" w:sz="12" w:space="0"/>
            </w:tcBorders>
            <w:vAlign w:val="top"/>
          </w:tcPr>
          <w:p w14:paraId="3444E5E9">
            <w:pPr>
              <w:keepNext w:val="0"/>
              <w:keepLines w:val="0"/>
              <w:suppressLineNumbers w:val="0"/>
              <w:bidi w:val="0"/>
              <w:spacing w:before="0" w:beforeAutospacing="0" w:after="0" w:afterAutospacing="0"/>
              <w:ind w:left="0" w:right="0"/>
              <w:jc w:val="right"/>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15"/>
                <w:szCs w:val="15"/>
                <w:highlight w:val="none"/>
                <w:u w:val="none"/>
                <w:lang w:val="en-US" w:eastAsia="zh-CN" w:bidi="ar"/>
              </w:rPr>
              <w:t>单位：万元</w:t>
            </w:r>
          </w:p>
        </w:tc>
      </w:tr>
      <w:tr w14:paraId="7C03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65" w:type="dxa"/>
            <w:vMerge w:val="restart"/>
            <w:tcBorders>
              <w:top w:val="single" w:color="auto" w:sz="12" w:space="0"/>
              <w:left w:val="single" w:color="auto" w:sz="12" w:space="0"/>
              <w:right w:val="single" w:color="auto" w:sz="12" w:space="0"/>
            </w:tcBorders>
            <w:vAlign w:val="center"/>
          </w:tcPr>
          <w:p w14:paraId="3A07926F">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本年支出</w:t>
            </w:r>
          </w:p>
        </w:tc>
        <w:tc>
          <w:tcPr>
            <w:tcW w:w="1392" w:type="dxa"/>
            <w:vMerge w:val="restart"/>
            <w:tcBorders>
              <w:top w:val="single" w:color="auto" w:sz="12" w:space="0"/>
              <w:left w:val="single" w:color="auto" w:sz="12" w:space="0"/>
              <w:right w:val="single" w:color="auto" w:sz="12" w:space="0"/>
            </w:tcBorders>
            <w:vAlign w:val="center"/>
          </w:tcPr>
          <w:p w14:paraId="43223DCC">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比上年增减%</w:t>
            </w:r>
          </w:p>
        </w:tc>
        <w:tc>
          <w:tcPr>
            <w:tcW w:w="7353" w:type="dxa"/>
            <w:gridSpan w:val="6"/>
            <w:tcBorders>
              <w:top w:val="single" w:color="auto" w:sz="12" w:space="0"/>
              <w:left w:val="single" w:color="auto" w:sz="12" w:space="0"/>
              <w:bottom w:val="single" w:color="auto" w:sz="12" w:space="0"/>
              <w:right w:val="single" w:color="auto" w:sz="12" w:space="0"/>
            </w:tcBorders>
            <w:vAlign w:val="center"/>
          </w:tcPr>
          <w:p w14:paraId="0FE093FE">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其中：</w:t>
            </w:r>
          </w:p>
        </w:tc>
      </w:tr>
      <w:tr w14:paraId="42D2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 w:type="dxa"/>
            <w:vMerge w:val="continue"/>
            <w:tcBorders>
              <w:left w:val="single" w:color="auto" w:sz="12" w:space="0"/>
              <w:bottom w:val="single" w:color="auto" w:sz="12" w:space="0"/>
              <w:right w:val="single" w:color="auto" w:sz="12" w:space="0"/>
            </w:tcBorders>
            <w:vAlign w:val="center"/>
          </w:tcPr>
          <w:p w14:paraId="46ADDE9F">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p>
        </w:tc>
        <w:tc>
          <w:tcPr>
            <w:tcW w:w="1392" w:type="dxa"/>
            <w:vMerge w:val="continue"/>
            <w:tcBorders>
              <w:left w:val="single" w:color="auto" w:sz="12" w:space="0"/>
              <w:bottom w:val="single" w:color="auto" w:sz="12" w:space="0"/>
              <w:right w:val="single" w:color="auto" w:sz="12" w:space="0"/>
            </w:tcBorders>
            <w:vAlign w:val="center"/>
          </w:tcPr>
          <w:p w14:paraId="5D28130B">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p>
        </w:tc>
        <w:tc>
          <w:tcPr>
            <w:tcW w:w="1423" w:type="dxa"/>
            <w:tcBorders>
              <w:top w:val="single" w:color="auto" w:sz="12" w:space="0"/>
              <w:left w:val="single" w:color="auto" w:sz="12" w:space="0"/>
              <w:bottom w:val="single" w:color="auto" w:sz="12" w:space="0"/>
              <w:right w:val="single" w:color="auto" w:sz="12" w:space="0"/>
            </w:tcBorders>
            <w:vAlign w:val="center"/>
          </w:tcPr>
          <w:p w14:paraId="333C7A0E">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公务用车购置及运行维护费</w:t>
            </w:r>
          </w:p>
        </w:tc>
        <w:tc>
          <w:tcPr>
            <w:tcW w:w="1239" w:type="dxa"/>
            <w:tcBorders>
              <w:top w:val="single" w:color="auto" w:sz="12" w:space="0"/>
              <w:left w:val="single" w:color="auto" w:sz="12" w:space="0"/>
              <w:bottom w:val="single" w:color="auto" w:sz="12" w:space="0"/>
              <w:right w:val="single" w:color="auto" w:sz="12" w:space="0"/>
            </w:tcBorders>
            <w:vAlign w:val="center"/>
          </w:tcPr>
          <w:p w14:paraId="53057308">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比上年增减%</w:t>
            </w:r>
          </w:p>
        </w:tc>
        <w:tc>
          <w:tcPr>
            <w:tcW w:w="1269" w:type="dxa"/>
            <w:tcBorders>
              <w:top w:val="single" w:color="auto" w:sz="12" w:space="0"/>
              <w:left w:val="single" w:color="auto" w:sz="12" w:space="0"/>
              <w:bottom w:val="single" w:color="auto" w:sz="12" w:space="0"/>
              <w:right w:val="single" w:color="auto" w:sz="12" w:space="0"/>
            </w:tcBorders>
            <w:vAlign w:val="center"/>
          </w:tcPr>
          <w:p w14:paraId="45045AD5">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公务接待费</w:t>
            </w:r>
          </w:p>
        </w:tc>
        <w:tc>
          <w:tcPr>
            <w:tcW w:w="1187" w:type="dxa"/>
            <w:tcBorders>
              <w:top w:val="single" w:color="auto" w:sz="12" w:space="0"/>
              <w:left w:val="single" w:color="auto" w:sz="12" w:space="0"/>
              <w:bottom w:val="single" w:color="auto" w:sz="12" w:space="0"/>
              <w:right w:val="single" w:color="auto" w:sz="12" w:space="0"/>
            </w:tcBorders>
            <w:vAlign w:val="center"/>
          </w:tcPr>
          <w:p w14:paraId="11961468">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比上年增减%</w:t>
            </w:r>
          </w:p>
        </w:tc>
        <w:tc>
          <w:tcPr>
            <w:tcW w:w="1044" w:type="dxa"/>
            <w:tcBorders>
              <w:top w:val="single" w:color="auto" w:sz="12" w:space="0"/>
              <w:left w:val="single" w:color="auto" w:sz="12" w:space="0"/>
              <w:bottom w:val="single" w:color="auto" w:sz="12" w:space="0"/>
              <w:right w:val="single" w:color="auto" w:sz="12" w:space="0"/>
            </w:tcBorders>
            <w:vAlign w:val="center"/>
          </w:tcPr>
          <w:p w14:paraId="3C1BC638">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因公出国（境）</w:t>
            </w:r>
          </w:p>
        </w:tc>
        <w:tc>
          <w:tcPr>
            <w:tcW w:w="1191" w:type="dxa"/>
            <w:tcBorders>
              <w:top w:val="single" w:color="auto" w:sz="12" w:space="0"/>
              <w:left w:val="single" w:color="auto" w:sz="12" w:space="0"/>
              <w:bottom w:val="single" w:color="auto" w:sz="12" w:space="0"/>
              <w:right w:val="single" w:color="auto" w:sz="12" w:space="0"/>
            </w:tcBorders>
            <w:vAlign w:val="center"/>
          </w:tcPr>
          <w:p w14:paraId="1220E00F">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比上年增减%</w:t>
            </w:r>
          </w:p>
        </w:tc>
      </w:tr>
      <w:tr w14:paraId="66F2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5" w:type="dxa"/>
            <w:tcBorders>
              <w:top w:val="single" w:color="auto" w:sz="12" w:space="0"/>
              <w:left w:val="single" w:color="auto" w:sz="12" w:space="0"/>
              <w:bottom w:val="single" w:color="auto" w:sz="12" w:space="0"/>
              <w:right w:val="single" w:color="auto" w:sz="12" w:space="0"/>
            </w:tcBorders>
            <w:vAlign w:val="center"/>
          </w:tcPr>
          <w:p w14:paraId="630B51A2">
            <w:pPr>
              <w:keepNext w:val="0"/>
              <w:keepLines w:val="0"/>
              <w:suppressLineNumbers w:val="0"/>
              <w:bidi w:val="0"/>
              <w:spacing w:before="0" w:beforeAutospacing="0" w:after="0" w:afterAutospacing="0"/>
              <w:ind w:left="0" w:right="0"/>
              <w:jc w:val="center"/>
              <w:rPr>
                <w:rFonts w:hint="default" w:ascii="宋体" w:hAnsi="宋体" w:eastAsia="宋体" w:cs="宋体"/>
                <w:sz w:val="15"/>
                <w:szCs w:val="15"/>
                <w:highlight w:val="none"/>
                <w:vertAlign w:val="baseline"/>
                <w:lang w:val="en-US"/>
              </w:rPr>
            </w:pPr>
            <w:r>
              <w:rPr>
                <w:rFonts w:hint="eastAsia" w:ascii="宋体" w:hAnsi="宋体" w:cs="宋体"/>
                <w:color w:val="auto"/>
                <w:sz w:val="15"/>
                <w:szCs w:val="15"/>
                <w:highlight w:val="none"/>
                <w:lang w:val="en-US" w:eastAsia="zh-CN"/>
              </w:rPr>
              <w:t>2.16</w:t>
            </w:r>
          </w:p>
        </w:tc>
        <w:tc>
          <w:tcPr>
            <w:tcW w:w="1392" w:type="dxa"/>
            <w:tcBorders>
              <w:top w:val="single" w:color="auto" w:sz="12" w:space="0"/>
              <w:left w:val="single" w:color="auto" w:sz="12" w:space="0"/>
              <w:bottom w:val="single" w:color="auto" w:sz="12" w:space="0"/>
              <w:right w:val="single" w:color="auto" w:sz="12" w:space="0"/>
            </w:tcBorders>
            <w:vAlign w:val="center"/>
          </w:tcPr>
          <w:p w14:paraId="6DAB0F9C">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rPr>
            </w:pPr>
            <w:r>
              <w:rPr>
                <w:rFonts w:hint="eastAsia" w:ascii="宋体" w:hAnsi="宋体" w:eastAsia="宋体" w:cs="宋体"/>
                <w:sz w:val="15"/>
                <w:szCs w:val="15"/>
                <w:highlight w:val="none"/>
                <w:vertAlign w:val="baseline"/>
                <w:lang w:val="en-US" w:eastAsia="zh-CN"/>
              </w:rPr>
              <w:t>下降</w:t>
            </w:r>
            <w:r>
              <w:rPr>
                <w:rFonts w:hint="eastAsia" w:ascii="宋体" w:hAnsi="宋体" w:cs="宋体"/>
                <w:sz w:val="15"/>
                <w:szCs w:val="15"/>
                <w:highlight w:val="none"/>
                <w:vertAlign w:val="baseline"/>
                <w:lang w:val="en-US" w:eastAsia="zh-CN"/>
              </w:rPr>
              <w:t>94.71</w:t>
            </w:r>
            <w:r>
              <w:rPr>
                <w:rFonts w:hint="eastAsia" w:ascii="宋体" w:hAnsi="宋体" w:eastAsia="宋体" w:cs="宋体"/>
                <w:sz w:val="15"/>
                <w:szCs w:val="15"/>
                <w:highlight w:val="none"/>
                <w:vertAlign w:val="baseline"/>
                <w:lang w:val="en-US" w:eastAsia="zh-CN"/>
              </w:rPr>
              <w:t>%</w:t>
            </w:r>
          </w:p>
        </w:tc>
        <w:tc>
          <w:tcPr>
            <w:tcW w:w="1423" w:type="dxa"/>
            <w:tcBorders>
              <w:top w:val="single" w:color="auto" w:sz="12" w:space="0"/>
              <w:left w:val="single" w:color="auto" w:sz="12" w:space="0"/>
              <w:bottom w:val="single" w:color="auto" w:sz="12" w:space="0"/>
              <w:right w:val="single" w:color="auto" w:sz="12" w:space="0"/>
            </w:tcBorders>
            <w:vAlign w:val="center"/>
          </w:tcPr>
          <w:p w14:paraId="7493E57C">
            <w:pPr>
              <w:keepNext w:val="0"/>
              <w:keepLines w:val="0"/>
              <w:suppressLineNumbers w:val="0"/>
              <w:bidi w:val="0"/>
              <w:spacing w:before="0" w:beforeAutospacing="0" w:after="0" w:afterAutospacing="0"/>
              <w:ind w:left="0" w:right="0"/>
              <w:jc w:val="center"/>
              <w:rPr>
                <w:rFonts w:hint="default" w:ascii="宋体" w:hAnsi="宋体" w:eastAsia="宋体" w:cs="宋体"/>
                <w:sz w:val="15"/>
                <w:szCs w:val="15"/>
                <w:highlight w:val="none"/>
                <w:vertAlign w:val="baseline"/>
                <w:lang w:val="en-US" w:eastAsia="zh-CN"/>
              </w:rPr>
            </w:pPr>
            <w:r>
              <w:rPr>
                <w:rFonts w:hint="eastAsia" w:ascii="宋体" w:hAnsi="宋体" w:cs="宋体"/>
                <w:sz w:val="15"/>
                <w:szCs w:val="15"/>
                <w:highlight w:val="none"/>
                <w:vertAlign w:val="baseline"/>
                <w:lang w:val="en-US" w:eastAsia="zh-CN"/>
              </w:rPr>
              <w:t>2.16</w:t>
            </w:r>
          </w:p>
        </w:tc>
        <w:tc>
          <w:tcPr>
            <w:tcW w:w="1239" w:type="dxa"/>
            <w:tcBorders>
              <w:top w:val="single" w:color="auto" w:sz="12" w:space="0"/>
              <w:left w:val="single" w:color="auto" w:sz="12" w:space="0"/>
              <w:bottom w:val="single" w:color="auto" w:sz="12" w:space="0"/>
              <w:right w:val="single" w:color="auto" w:sz="12" w:space="0"/>
            </w:tcBorders>
            <w:vAlign w:val="center"/>
          </w:tcPr>
          <w:p w14:paraId="30087F5C">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下降</w:t>
            </w:r>
            <w:r>
              <w:rPr>
                <w:rFonts w:hint="eastAsia" w:ascii="宋体" w:hAnsi="宋体" w:cs="宋体"/>
                <w:sz w:val="15"/>
                <w:szCs w:val="15"/>
                <w:highlight w:val="none"/>
                <w:vertAlign w:val="baseline"/>
                <w:lang w:val="en-US" w:eastAsia="zh-CN"/>
              </w:rPr>
              <w:t>94.71</w:t>
            </w:r>
            <w:r>
              <w:rPr>
                <w:rFonts w:hint="eastAsia" w:ascii="宋体" w:hAnsi="宋体" w:eastAsia="宋体" w:cs="宋体"/>
                <w:sz w:val="15"/>
                <w:szCs w:val="15"/>
                <w:highlight w:val="none"/>
                <w:vertAlign w:val="baseline"/>
                <w:lang w:val="en-US" w:eastAsia="zh-CN"/>
              </w:rPr>
              <w:t>%</w:t>
            </w:r>
          </w:p>
        </w:tc>
        <w:tc>
          <w:tcPr>
            <w:tcW w:w="1269" w:type="dxa"/>
            <w:tcBorders>
              <w:top w:val="single" w:color="auto" w:sz="12" w:space="0"/>
              <w:left w:val="single" w:color="auto" w:sz="12" w:space="0"/>
              <w:bottom w:val="single" w:color="auto" w:sz="12" w:space="0"/>
              <w:right w:val="single" w:color="auto" w:sz="12" w:space="0"/>
            </w:tcBorders>
            <w:vAlign w:val="center"/>
          </w:tcPr>
          <w:p w14:paraId="65F2757D">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0.00</w:t>
            </w:r>
          </w:p>
        </w:tc>
        <w:tc>
          <w:tcPr>
            <w:tcW w:w="1187" w:type="dxa"/>
            <w:tcBorders>
              <w:top w:val="single" w:color="auto" w:sz="12" w:space="0"/>
              <w:left w:val="single" w:color="auto" w:sz="12" w:space="0"/>
              <w:bottom w:val="single" w:color="auto" w:sz="12" w:space="0"/>
              <w:right w:val="single" w:color="auto" w:sz="12" w:space="0"/>
            </w:tcBorders>
            <w:vAlign w:val="center"/>
          </w:tcPr>
          <w:p w14:paraId="5C0A4470">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p>
        </w:tc>
        <w:tc>
          <w:tcPr>
            <w:tcW w:w="1044" w:type="dxa"/>
            <w:tcBorders>
              <w:top w:val="single" w:color="auto" w:sz="12" w:space="0"/>
              <w:left w:val="single" w:color="auto" w:sz="12" w:space="0"/>
              <w:bottom w:val="single" w:color="auto" w:sz="12" w:space="0"/>
              <w:right w:val="single" w:color="auto" w:sz="12" w:space="0"/>
            </w:tcBorders>
            <w:vAlign w:val="center"/>
          </w:tcPr>
          <w:p w14:paraId="1FDEEF75">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0.00</w:t>
            </w:r>
          </w:p>
        </w:tc>
        <w:tc>
          <w:tcPr>
            <w:tcW w:w="1191" w:type="dxa"/>
            <w:tcBorders>
              <w:top w:val="single" w:color="auto" w:sz="12" w:space="0"/>
              <w:left w:val="single" w:color="auto" w:sz="12" w:space="0"/>
              <w:bottom w:val="single" w:color="auto" w:sz="12" w:space="0"/>
              <w:right w:val="single" w:color="auto" w:sz="12" w:space="0"/>
            </w:tcBorders>
            <w:vAlign w:val="center"/>
          </w:tcPr>
          <w:p w14:paraId="75E06D91">
            <w:pPr>
              <w:keepNext w:val="0"/>
              <w:keepLines w:val="0"/>
              <w:suppressLineNumbers w:val="0"/>
              <w:bidi w:val="0"/>
              <w:spacing w:before="0" w:beforeAutospacing="0" w:after="0" w:afterAutospacing="0"/>
              <w:ind w:left="0" w:right="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0</w:t>
            </w:r>
          </w:p>
        </w:tc>
      </w:tr>
    </w:tbl>
    <w:p w14:paraId="181B4920">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69" w:name="_Toc31899"/>
      <w:bookmarkStart w:id="70" w:name="_Toc25924"/>
      <w:bookmarkStart w:id="71" w:name="_Toc15377217"/>
      <w:r>
        <w:rPr>
          <w:rFonts w:hint="eastAsia" w:eastAsia="楷体_GB2312" w:cs="楷体_GB2312"/>
          <w:b/>
          <w:sz w:val="32"/>
          <w:szCs w:val="32"/>
        </w:rPr>
        <w:t>（二）“三公”经费财政拨款支出决算具体情况说明</w:t>
      </w:r>
      <w:bookmarkEnd w:id="69"/>
      <w:bookmarkEnd w:id="70"/>
      <w:bookmarkEnd w:id="71"/>
    </w:p>
    <w:p w14:paraId="3582B8E9">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2024年度“三公”经费财政拨款支出决算中，因公出国（境）费支出决算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%；公务用车购置及运行维护费支出决算</w:t>
      </w:r>
      <w:r>
        <w:rPr>
          <w:rFonts w:hint="eastAsia" w:ascii="方正仿宋_GBK" w:hAnsi="方正仿宋_GBK" w:eastAsia="方正仿宋_GBK" w:cs="方正仿宋_GBK"/>
          <w:sz w:val="32"/>
          <w:szCs w:val="32"/>
          <w:lang w:val="en-US" w:eastAsia="zh-CN"/>
        </w:rPr>
        <w:t>2.16</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%；公务接待费支出决算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%。具体情况如下：</w:t>
      </w:r>
    </w:p>
    <w:p w14:paraId="39313668">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因公出国（境）经费支出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%。全年安排因公出国（境）团组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次，出国（境）</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人。因公出国（境）支出决算比</w:t>
      </w:r>
      <w:r>
        <w:rPr>
          <w:rFonts w:hint="eastAsia" w:ascii="方正仿宋_GBK" w:hAnsi="方正仿宋_GBK" w:eastAsia="方正仿宋_GBK" w:cs="方正仿宋_GBK"/>
          <w:sz w:val="32"/>
          <w:szCs w:val="32"/>
          <w:lang w:eastAsia="zh-CN"/>
        </w:rPr>
        <w:t>2024</w:t>
      </w:r>
      <w:r>
        <w:rPr>
          <w:rFonts w:hint="eastAsia" w:ascii="方正仿宋_GBK" w:hAnsi="方正仿宋_GBK" w:eastAsia="方正仿宋_GBK" w:cs="方正仿宋_GBK"/>
          <w:sz w:val="32"/>
          <w:szCs w:val="32"/>
        </w:rPr>
        <w:t>年增加/减少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14:paraId="46B9BD6F">
      <w:pPr>
        <w:pageBreakBefore w:val="0"/>
        <w:numPr>
          <w:ilvl w:val="0"/>
          <w:numId w:val="0"/>
        </w:numPr>
        <w:kinsoku/>
        <w:wordWrap/>
        <w:overflowPunct/>
        <w:topLinePunct w:val="0"/>
        <w:autoSpaceDE/>
        <w:autoSpaceDN/>
        <w:bidi w:val="0"/>
        <w:spacing w:line="570" w:lineRule="exact"/>
        <w:ind w:left="0" w:leftChars="0" w:firstLine="643" w:firstLineChars="200"/>
        <w:textAlignment w:val="auto"/>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2.16</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2.16</w:t>
      </w:r>
      <w:r>
        <w:rPr>
          <w:rFonts w:hint="eastAsia" w:eastAsia="仿宋_GB2312" w:cs="仿宋_GB2312"/>
          <w:b/>
          <w:bCs/>
          <w:sz w:val="32"/>
          <w:szCs w:val="32"/>
        </w:rPr>
        <w:t>%。</w:t>
      </w:r>
    </w:p>
    <w:p w14:paraId="2F80BDA2">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其中：公务用车购置支出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万元。全年按规定更新购置公务用车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辆，其中：轿车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万元，越野车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万元，载客汽车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万元。截至2024年12月31日，单位共有公务用车</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辆，其中：轿车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辆、越野车</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辆、载客汽车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w:t>
      </w:r>
    </w:p>
    <w:p w14:paraId="1ECD7BDF">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公务用车运行维护费支出</w:t>
      </w:r>
      <w:r>
        <w:rPr>
          <w:rFonts w:hint="eastAsia" w:ascii="方正仿宋_GBK" w:hAnsi="方正仿宋_GBK" w:eastAsia="方正仿宋_GBK" w:cs="方正仿宋_GBK"/>
          <w:sz w:val="32"/>
          <w:szCs w:val="32"/>
          <w:lang w:val="en-US" w:eastAsia="zh-CN"/>
        </w:rPr>
        <w:t>2.16</w:t>
      </w:r>
      <w:r>
        <w:rPr>
          <w:rFonts w:hint="eastAsia" w:ascii="方正仿宋_GBK" w:hAnsi="方正仿宋_GBK" w:eastAsia="方正仿宋_GBK" w:cs="方正仿宋_GBK"/>
          <w:sz w:val="32"/>
          <w:szCs w:val="32"/>
        </w:rPr>
        <w:t>万元。主要用于工作所需的公务用车燃料费、维修费、过路过桥费、保险费等支出。</w:t>
      </w:r>
    </w:p>
    <w:p w14:paraId="24D7788E">
      <w:pPr>
        <w:pageBreakBefore w:val="0"/>
        <w:kinsoku/>
        <w:wordWrap/>
        <w:overflowPunct/>
        <w:topLinePunct w:val="0"/>
        <w:autoSpaceDE/>
        <w:autoSpaceDN/>
        <w:bidi w:val="0"/>
        <w:spacing w:line="57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ascii="方正仿宋_GBK" w:hAnsi="方正仿宋_GBK" w:eastAsia="方正仿宋_GBK" w:cs="方正仿宋_GBK"/>
          <w:sz w:val="32"/>
          <w:szCs w:val="32"/>
        </w:rPr>
        <w:t>公务接待费支出决算比</w:t>
      </w:r>
      <w:r>
        <w:rPr>
          <w:rFonts w:hint="eastAsia" w:ascii="方正仿宋_GBK" w:hAnsi="方正仿宋_GBK" w:eastAsia="方正仿宋_GBK" w:cs="方正仿宋_GBK"/>
          <w:sz w:val="32"/>
          <w:szCs w:val="32"/>
          <w:lang w:eastAsia="zh-CN"/>
        </w:rPr>
        <w:t>2024</w:t>
      </w:r>
      <w:r>
        <w:rPr>
          <w:rFonts w:hint="eastAsia" w:ascii="方正仿宋_GBK" w:hAnsi="方正仿宋_GBK" w:eastAsia="方正仿宋_GBK" w:cs="方正仿宋_GBK"/>
          <w:sz w:val="32"/>
          <w:szCs w:val="32"/>
        </w:rPr>
        <w:t>年度增加/减少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万元，增长/下降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%。其中：</w:t>
      </w:r>
    </w:p>
    <w:p w14:paraId="296FD5FD">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国内公务接待支出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万元，。国内公务接待</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批次，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人次（不包括陪同人员），共计支出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14:paraId="0DF7D7CC">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外事接待支出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万元。外事接待</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批次，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人次（不包括陪同人员），共计支出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bookmarkStart w:id="72" w:name="_Toc15396610"/>
      <w:bookmarkStart w:id="73" w:name="_Toc15377218"/>
    </w:p>
    <w:p w14:paraId="6ED71BCA">
      <w:pPr>
        <w:pageBreakBefore w:val="0"/>
        <w:numPr>
          <w:ilvl w:val="0"/>
          <w:numId w:val="1"/>
        </w:numPr>
        <w:kinsoku/>
        <w:wordWrap/>
        <w:overflowPunct/>
        <w:topLinePunct w:val="0"/>
        <w:autoSpaceDE/>
        <w:autoSpaceDN/>
        <w:bidi w:val="0"/>
        <w:spacing w:line="570" w:lineRule="exact"/>
        <w:ind w:left="0" w:leftChars="0" w:firstLine="640" w:firstLineChars="200"/>
        <w:textAlignment w:val="auto"/>
        <w:outlineLvl w:val="1"/>
        <w:rPr>
          <w:rStyle w:val="31"/>
          <w:rFonts w:hint="eastAsia" w:ascii="Times New Roman" w:hAnsi="Times New Roman" w:eastAsia="黑体"/>
          <w:b w:val="0"/>
        </w:rPr>
      </w:pPr>
      <w:bookmarkStart w:id="74" w:name="_Toc16927"/>
      <w:bookmarkStart w:id="75" w:name="_Toc12092"/>
      <w:r>
        <w:rPr>
          <w:rStyle w:val="31"/>
          <w:rFonts w:hint="eastAsia" w:ascii="Times New Roman" w:hAnsi="Times New Roman" w:eastAsia="黑体"/>
          <w:b w:val="0"/>
        </w:rPr>
        <w:t>政府性基金预算支出决算情况说明</w:t>
      </w:r>
      <w:bookmarkEnd w:id="72"/>
      <w:bookmarkEnd w:id="73"/>
      <w:bookmarkEnd w:id="74"/>
      <w:bookmarkEnd w:id="75"/>
    </w:p>
    <w:p w14:paraId="469BDC26">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2024年度政府性基金预算财政拨款支出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万元，占本年支出合计的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%。与</w:t>
      </w:r>
      <w:r>
        <w:rPr>
          <w:rFonts w:hint="eastAsia" w:ascii="方正仿宋_GBK" w:hAnsi="方正仿宋_GBK" w:eastAsia="方正仿宋_GBK" w:cs="方正仿宋_GBK"/>
          <w:sz w:val="32"/>
          <w:szCs w:val="32"/>
          <w:lang w:eastAsia="zh-CN"/>
        </w:rPr>
        <w:t>2024</w:t>
      </w:r>
      <w:r>
        <w:rPr>
          <w:rFonts w:hint="eastAsia" w:ascii="方正仿宋_GBK" w:hAnsi="方正仿宋_GBK" w:eastAsia="方正仿宋_GBK" w:cs="方正仿宋_GBK"/>
          <w:sz w:val="32"/>
          <w:szCs w:val="32"/>
        </w:rPr>
        <w:t>年度相比，政府性基金预算财政拨款支出增加/减少</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14:paraId="4A9A739A">
      <w:pPr>
        <w:pageBreakBefore w:val="0"/>
        <w:kinsoku/>
        <w:wordWrap/>
        <w:overflowPunct/>
        <w:topLinePunct w:val="0"/>
        <w:autoSpaceDE/>
        <w:autoSpaceDN/>
        <w:bidi w:val="0"/>
        <w:spacing w:line="570" w:lineRule="exact"/>
        <w:ind w:left="0" w:leftChars="0" w:firstLine="640" w:firstLineChars="200"/>
        <w:textAlignment w:val="auto"/>
        <w:outlineLvl w:val="1"/>
        <w:rPr>
          <w:rStyle w:val="31"/>
          <w:rFonts w:ascii="Times New Roman" w:hAnsi="Times New Roman" w:eastAsia="黑体"/>
          <w:b w:val="0"/>
        </w:rPr>
      </w:pPr>
      <w:bookmarkStart w:id="76" w:name="_Toc15396611"/>
      <w:bookmarkStart w:id="77" w:name="_Toc15377219"/>
      <w:bookmarkStart w:id="78" w:name="_Toc31465"/>
      <w:bookmarkStart w:id="79" w:name="_Toc1724"/>
      <w:r>
        <w:rPr>
          <w:rStyle w:val="31"/>
          <w:rFonts w:hint="eastAsia" w:ascii="Times New Roman" w:hAnsi="Times New Roman" w:eastAsia="黑体"/>
          <w:b w:val="0"/>
        </w:rPr>
        <w:t>九、国有资本经营预算支出决算情况说明</w:t>
      </w:r>
      <w:bookmarkEnd w:id="76"/>
      <w:bookmarkEnd w:id="77"/>
      <w:bookmarkEnd w:id="78"/>
      <w:bookmarkEnd w:id="79"/>
    </w:p>
    <w:p w14:paraId="7AE95F82">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2024年度国有资本经营预算财政拨款支出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万元，占本年支出合计的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%。与</w:t>
      </w:r>
      <w:r>
        <w:rPr>
          <w:rFonts w:hint="eastAsia" w:ascii="方正仿宋_GBK" w:hAnsi="方正仿宋_GBK" w:eastAsia="方正仿宋_GBK" w:cs="方正仿宋_GBK"/>
          <w:sz w:val="32"/>
          <w:szCs w:val="32"/>
          <w:lang w:eastAsia="zh-CN"/>
        </w:rPr>
        <w:t>2024</w:t>
      </w:r>
      <w:r>
        <w:rPr>
          <w:rFonts w:hint="eastAsia" w:ascii="方正仿宋_GBK" w:hAnsi="方正仿宋_GBK" w:eastAsia="方正仿宋_GBK" w:cs="方正仿宋_GBK"/>
          <w:sz w:val="32"/>
          <w:szCs w:val="32"/>
        </w:rPr>
        <w:t>年度相比，国有资本经营预算财政拨款支出增加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14:paraId="2CA2FA4F">
      <w:pPr>
        <w:pageBreakBefore w:val="0"/>
        <w:kinsoku/>
        <w:wordWrap/>
        <w:overflowPunct/>
        <w:topLinePunct w:val="0"/>
        <w:autoSpaceDE/>
        <w:autoSpaceDN/>
        <w:bidi w:val="0"/>
        <w:spacing w:line="570" w:lineRule="exact"/>
        <w:ind w:left="0" w:leftChars="0" w:firstLine="640" w:firstLineChars="200"/>
        <w:textAlignment w:val="auto"/>
        <w:outlineLvl w:val="1"/>
        <w:rPr>
          <w:rStyle w:val="31"/>
          <w:rFonts w:ascii="Times New Roman" w:hAnsi="Times New Roman" w:eastAsia="黑体"/>
          <w:b w:val="0"/>
        </w:rPr>
      </w:pPr>
      <w:bookmarkStart w:id="80" w:name="_Toc15396612"/>
      <w:bookmarkStart w:id="81" w:name="_Toc15377221"/>
      <w:bookmarkStart w:id="82" w:name="_Toc46"/>
      <w:bookmarkStart w:id="83" w:name="_Toc13940"/>
      <w:r>
        <w:rPr>
          <w:rStyle w:val="31"/>
          <w:rFonts w:hint="eastAsia" w:ascii="Times New Roman" w:hAnsi="Times New Roman" w:eastAsia="黑体"/>
          <w:b w:val="0"/>
        </w:rPr>
        <w:t>十、其他重要事项的情况说明</w:t>
      </w:r>
      <w:bookmarkEnd w:id="80"/>
      <w:bookmarkEnd w:id="81"/>
      <w:bookmarkEnd w:id="82"/>
      <w:bookmarkEnd w:id="83"/>
    </w:p>
    <w:p w14:paraId="2635AD73">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84" w:name="_Toc3145"/>
      <w:bookmarkStart w:id="85" w:name="_Toc15377222"/>
      <w:bookmarkStart w:id="86" w:name="_Toc29557"/>
      <w:r>
        <w:rPr>
          <w:rFonts w:hint="eastAsia" w:eastAsia="楷体_GB2312" w:cs="楷体_GB2312"/>
          <w:b/>
          <w:sz w:val="32"/>
          <w:szCs w:val="32"/>
        </w:rPr>
        <w:t>（一）机关运行经费支出情况</w:t>
      </w:r>
      <w:bookmarkEnd w:id="84"/>
      <w:bookmarkEnd w:id="85"/>
      <w:bookmarkEnd w:id="86"/>
    </w:p>
    <w:p w14:paraId="7B010C1B">
      <w:pPr>
        <w:pageBreakBefore w:val="0"/>
        <w:kinsoku/>
        <w:wordWrap/>
        <w:overflowPunct/>
        <w:topLinePunct w:val="0"/>
        <w:autoSpaceDE/>
        <w:autoSpaceDN/>
        <w:bidi w:val="0"/>
        <w:spacing w:line="57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2024年度，中国共产党资中县委员会办公室机关运行经费支出</w:t>
      </w:r>
      <w:r>
        <w:rPr>
          <w:rFonts w:hint="eastAsia" w:ascii="方正仿宋_GBK" w:hAnsi="方正仿宋_GBK" w:eastAsia="方正仿宋_GBK" w:cs="方正仿宋_GBK"/>
          <w:sz w:val="32"/>
          <w:szCs w:val="32"/>
          <w:lang w:val="en-US" w:eastAsia="zh-CN"/>
        </w:rPr>
        <w:t>16.85</w:t>
      </w:r>
      <w:r>
        <w:rPr>
          <w:rFonts w:hint="eastAsia" w:ascii="方正仿宋_GBK" w:hAnsi="方正仿宋_GBK" w:eastAsia="方正仿宋_GBK" w:cs="方正仿宋_GBK"/>
          <w:sz w:val="32"/>
          <w:szCs w:val="32"/>
        </w:rPr>
        <w:t>万元，比</w:t>
      </w:r>
      <w:r>
        <w:rPr>
          <w:rFonts w:hint="eastAsia" w:ascii="方正仿宋_GBK" w:hAnsi="方正仿宋_GBK" w:eastAsia="方正仿宋_GBK" w:cs="方正仿宋_GBK"/>
          <w:sz w:val="32"/>
          <w:szCs w:val="32"/>
          <w:lang w:eastAsia="zh-CN"/>
        </w:rPr>
        <w:t>2024</w:t>
      </w:r>
      <w:r>
        <w:rPr>
          <w:rFonts w:hint="eastAsia" w:ascii="方正仿宋_GBK" w:hAnsi="方正仿宋_GBK" w:eastAsia="方正仿宋_GBK" w:cs="方正仿宋_GBK"/>
          <w:sz w:val="32"/>
          <w:szCs w:val="32"/>
        </w:rPr>
        <w:t>年度</w:t>
      </w:r>
      <w:r>
        <w:rPr>
          <w:rFonts w:hint="eastAsia" w:ascii="方正仿宋_GBK" w:hAnsi="方正仿宋_GBK" w:eastAsia="方正仿宋_GBK" w:cs="方正仿宋_GBK"/>
          <w:sz w:val="32"/>
          <w:szCs w:val="32"/>
          <w:lang w:val="en-US" w:eastAsia="zh-CN"/>
        </w:rPr>
        <w:t>19.52万元</w:t>
      </w:r>
      <w:r>
        <w:rPr>
          <w:rFonts w:hint="eastAsia" w:ascii="方正仿宋_GBK" w:hAnsi="方正仿宋_GBK" w:eastAsia="方正仿宋_GBK" w:cs="方正仿宋_GBK"/>
          <w:sz w:val="32"/>
          <w:szCs w:val="32"/>
        </w:rPr>
        <w:t>减少</w:t>
      </w:r>
      <w:r>
        <w:rPr>
          <w:rFonts w:hint="eastAsia" w:ascii="方正仿宋_GBK" w:hAnsi="方正仿宋_GBK" w:eastAsia="方正仿宋_GBK" w:cs="方正仿宋_GBK"/>
          <w:sz w:val="32"/>
          <w:szCs w:val="32"/>
          <w:lang w:val="en-US" w:eastAsia="zh-CN"/>
        </w:rPr>
        <w:t>2.67</w:t>
      </w:r>
      <w:r>
        <w:rPr>
          <w:rFonts w:hint="eastAsia" w:ascii="方正仿宋_GBK" w:hAnsi="方正仿宋_GBK" w:eastAsia="方正仿宋_GBK" w:cs="方正仿宋_GBK"/>
          <w:sz w:val="32"/>
          <w:szCs w:val="32"/>
        </w:rPr>
        <w:t>万元，下降</w:t>
      </w:r>
      <w:r>
        <w:rPr>
          <w:rFonts w:hint="eastAsia" w:ascii="方正仿宋_GBK" w:hAnsi="方正仿宋_GBK" w:eastAsia="方正仿宋_GBK" w:cs="方正仿宋_GBK"/>
          <w:sz w:val="32"/>
          <w:szCs w:val="32"/>
          <w:lang w:val="en-US" w:eastAsia="zh-CN"/>
        </w:rPr>
        <w:t>13.67</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 xml:space="preserve">厉行节约。 </w:t>
      </w:r>
    </w:p>
    <w:p w14:paraId="55FA91AE">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87" w:name="_Toc7291"/>
      <w:bookmarkStart w:id="88" w:name="_Toc731"/>
      <w:bookmarkStart w:id="89" w:name="_Toc15377223"/>
      <w:r>
        <w:rPr>
          <w:rFonts w:hint="eastAsia" w:eastAsia="楷体_GB2312" w:cs="楷体_GB2312"/>
          <w:b/>
          <w:sz w:val="32"/>
          <w:szCs w:val="32"/>
        </w:rPr>
        <w:t>（二）政府采购支出情况</w:t>
      </w:r>
      <w:bookmarkEnd w:id="87"/>
      <w:bookmarkEnd w:id="88"/>
      <w:bookmarkEnd w:id="89"/>
    </w:p>
    <w:p w14:paraId="64232170">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2024年度，中国共产党资中县委员会办公室政府采购支出总额</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万元，其中：政府采购货物支出</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万元、政府采购工程支出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万元、政府采购服务支出</w:t>
      </w:r>
      <w:r>
        <w:rPr>
          <w:rFonts w:hint="eastAsia" w:ascii="方正仿宋_GBK" w:hAnsi="方正仿宋_GBK" w:eastAsia="方正仿宋_GBK" w:cs="方正仿宋_GBK"/>
          <w:sz w:val="32"/>
          <w:szCs w:val="32"/>
          <w:lang w:val="en-US" w:eastAsia="zh-CN"/>
        </w:rPr>
        <w:t>0.6</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val="en-US" w:eastAsia="zh-CN"/>
        </w:rPr>
        <w:t>购买公务用车保险，购买空调设备</w:t>
      </w:r>
      <w:r>
        <w:rPr>
          <w:rFonts w:hint="eastAsia" w:ascii="方正仿宋_GBK" w:hAnsi="方正仿宋_GBK" w:eastAsia="方正仿宋_GBK" w:cs="方正仿宋_GBK"/>
          <w:sz w:val="32"/>
          <w:szCs w:val="32"/>
        </w:rPr>
        <w:t>。授予中小企业合同金额</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万元，占政府采购支出总额的</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%，其中：授予小微企业合同金额</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万元，占政府采购支出总额的</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w:t>
      </w:r>
    </w:p>
    <w:p w14:paraId="45302635">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90" w:name="_Toc17064"/>
      <w:bookmarkStart w:id="91" w:name="_Toc15377224"/>
      <w:bookmarkStart w:id="92" w:name="_Toc29642"/>
      <w:r>
        <w:rPr>
          <w:rFonts w:hint="eastAsia" w:eastAsia="楷体_GB2312" w:cs="楷体_GB2312"/>
          <w:b/>
          <w:sz w:val="32"/>
          <w:szCs w:val="32"/>
        </w:rPr>
        <w:t>（三）国有资产占有使用情况</w:t>
      </w:r>
      <w:bookmarkEnd w:id="90"/>
      <w:bookmarkEnd w:id="91"/>
      <w:bookmarkEnd w:id="92"/>
    </w:p>
    <w:p w14:paraId="1C776524">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w:t>
      </w:r>
      <w:r>
        <w:rPr>
          <w:rFonts w:hint="eastAsia" w:ascii="方正仿宋_GBK" w:hAnsi="方正仿宋_GBK" w:eastAsia="方正仿宋_GBK" w:cs="方正仿宋_GBK"/>
          <w:sz w:val="32"/>
          <w:szCs w:val="32"/>
          <w:lang w:val="en-US" w:eastAsia="zh-CN"/>
        </w:rPr>
        <w:t>阿坝州州级机关退休干部驻马尔康休养所，</w:t>
      </w:r>
      <w:r>
        <w:rPr>
          <w:rFonts w:hint="eastAsia" w:ascii="方正仿宋_GBK" w:hAnsi="方正仿宋_GBK" w:eastAsia="方正仿宋_GBK" w:cs="方正仿宋_GBK"/>
          <w:sz w:val="32"/>
          <w:szCs w:val="32"/>
        </w:rPr>
        <w:t>共有车辆</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辆，其中：主要负责人用车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辆、机要通信用车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辆、应急保障用车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辆、其他用车</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辆，其他用车主要是用于</w:t>
      </w:r>
      <w:r>
        <w:rPr>
          <w:rFonts w:hint="eastAsia" w:ascii="方正仿宋_GBK" w:hAnsi="方正仿宋_GBK" w:eastAsia="方正仿宋_GBK" w:cs="方正仿宋_GBK"/>
          <w:sz w:val="32"/>
          <w:szCs w:val="32"/>
          <w:lang w:val="en-US" w:eastAsia="zh-CN"/>
        </w:rPr>
        <w:t>日常开展工作</w:t>
      </w:r>
      <w:r>
        <w:rPr>
          <w:rFonts w:hint="eastAsia" w:ascii="方正仿宋_GBK" w:hAnsi="方正仿宋_GBK" w:eastAsia="方正仿宋_GBK" w:cs="方正仿宋_GBK"/>
          <w:sz w:val="32"/>
          <w:szCs w:val="32"/>
        </w:rPr>
        <w:t>。单价100万元（含）以上设备（不含车辆）</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台（套）。</w:t>
      </w:r>
    </w:p>
    <w:p w14:paraId="43666F02">
      <w:pPr>
        <w:pageBreakBefore w:val="0"/>
        <w:kinsoku/>
        <w:wordWrap/>
        <w:overflowPunct/>
        <w:topLinePunct w:val="0"/>
        <w:autoSpaceDE/>
        <w:autoSpaceDN/>
        <w:bidi w:val="0"/>
        <w:spacing w:line="570" w:lineRule="exact"/>
        <w:ind w:left="0" w:leftChars="0" w:firstLine="643" w:firstLineChars="200"/>
        <w:textAlignment w:val="auto"/>
        <w:outlineLvl w:val="2"/>
        <w:rPr>
          <w:rFonts w:eastAsia="楷体_GB2312" w:cs="楷体_GB2312"/>
          <w:b/>
          <w:sz w:val="32"/>
          <w:szCs w:val="32"/>
        </w:rPr>
      </w:pPr>
      <w:bookmarkStart w:id="93" w:name="_Toc9702"/>
      <w:bookmarkStart w:id="94" w:name="_Toc13736"/>
      <w:r>
        <w:rPr>
          <w:rFonts w:hint="eastAsia" w:eastAsia="楷体_GB2312" w:cs="楷体_GB2312"/>
          <w:b/>
          <w:sz w:val="32"/>
          <w:szCs w:val="32"/>
        </w:rPr>
        <w:t>（四）预算绩效管理情况</w:t>
      </w:r>
      <w:bookmarkEnd w:id="93"/>
      <w:bookmarkEnd w:id="94"/>
    </w:p>
    <w:p w14:paraId="1CEAE84E">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w:t>
      </w:r>
      <w:r>
        <w:rPr>
          <w:rFonts w:hint="eastAsia" w:ascii="方正仿宋_GBK" w:hAnsi="方正仿宋_GBK" w:eastAsia="方正仿宋_GBK" w:cs="方正仿宋_GBK"/>
          <w:sz w:val="32"/>
          <w:szCs w:val="32"/>
          <w:lang w:val="en-US" w:eastAsia="zh-CN"/>
        </w:rPr>
        <w:t>阿坝州州级机关退休干部驻马尔康休养所</w:t>
      </w:r>
      <w:r>
        <w:rPr>
          <w:rFonts w:hint="eastAsia" w:ascii="方正仿宋_GBK" w:hAnsi="方正仿宋_GBK" w:eastAsia="方正仿宋_GBK" w:cs="方正仿宋_GBK"/>
          <w:sz w:val="32"/>
          <w:szCs w:val="32"/>
        </w:rPr>
        <w:t>在2024年度预算编制阶段，组织对</w:t>
      </w:r>
      <w:r>
        <w:rPr>
          <w:rFonts w:hint="eastAsia" w:ascii="方正仿宋_GBK" w:hAnsi="方正仿宋_GBK" w:eastAsia="方正仿宋_GBK" w:cs="方正仿宋_GBK"/>
          <w:sz w:val="32"/>
          <w:szCs w:val="32"/>
          <w:lang w:val="en-US" w:eastAsia="zh-CN"/>
        </w:rPr>
        <w:t>离退休机构运营及维修维护</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个项目开展了预算事前绩效评估，对</w:t>
      </w:r>
      <w:r>
        <w:rPr>
          <w:rFonts w:hint="eastAsia" w:ascii="方正仿宋_GBK" w:hAnsi="方正仿宋_GBK" w:eastAsia="方正仿宋_GBK" w:cs="方正仿宋_GBK"/>
          <w:sz w:val="32"/>
          <w:szCs w:val="32"/>
          <w:lang w:val="en-US" w:eastAsia="zh-CN"/>
        </w:rPr>
        <w:t>离退休机构运营及维修维护</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个项目编制了绩效目标，预算执行过程中，选取</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个项目开展绩效监控。</w:t>
      </w:r>
    </w:p>
    <w:p w14:paraId="4818AB03">
      <w:pPr>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组织对2024年度一般公共预算、政府性基金预算、国有资本经营预算、社会保险基金预算以及资本资产、债券资金等全面开展绩效自评，形成</w:t>
      </w:r>
      <w:r>
        <w:rPr>
          <w:rFonts w:hint="eastAsia" w:ascii="方正仿宋_GBK" w:hAnsi="方正仿宋_GBK" w:eastAsia="方正仿宋_GBK" w:cs="方正仿宋_GBK"/>
          <w:sz w:val="32"/>
          <w:szCs w:val="32"/>
          <w:lang w:val="en-US" w:eastAsia="zh-CN"/>
        </w:rPr>
        <w:t>马尔康干休所</w:t>
      </w:r>
      <w:r>
        <w:rPr>
          <w:rFonts w:hint="eastAsia" w:ascii="方正仿宋_GBK" w:hAnsi="方正仿宋_GBK" w:eastAsia="方正仿宋_GBK" w:cs="方正仿宋_GBK"/>
          <w:sz w:val="32"/>
          <w:szCs w:val="32"/>
        </w:rPr>
        <w:t>部门整体（含部门预算项目）绩效自评报告，其中，</w:t>
      </w:r>
      <w:r>
        <w:rPr>
          <w:rFonts w:hint="eastAsia" w:ascii="方正仿宋_GBK" w:hAnsi="方正仿宋_GBK" w:eastAsia="方正仿宋_GBK" w:cs="方正仿宋_GBK"/>
          <w:sz w:val="32"/>
          <w:szCs w:val="32"/>
          <w:lang w:val="en-US" w:eastAsia="zh-CN"/>
        </w:rPr>
        <w:t>马尔康干休所</w:t>
      </w:r>
      <w:r>
        <w:rPr>
          <w:rFonts w:hint="eastAsia" w:ascii="方正仿宋_GBK" w:hAnsi="方正仿宋_GBK" w:eastAsia="方正仿宋_GBK" w:cs="方正仿宋_GBK"/>
          <w:sz w:val="32"/>
          <w:szCs w:val="32"/>
        </w:rPr>
        <w:t>部门整体绩效自评得分为</w:t>
      </w:r>
      <w:r>
        <w:rPr>
          <w:rFonts w:hint="eastAsia" w:ascii="方正仿宋_GBK" w:hAnsi="方正仿宋_GBK" w:eastAsia="方正仿宋_GBK" w:cs="方正仿宋_GBK"/>
          <w:sz w:val="32"/>
          <w:szCs w:val="32"/>
          <w:lang w:val="en-US" w:eastAsia="zh-CN"/>
        </w:rPr>
        <w:t>96.09</w:t>
      </w:r>
      <w:r>
        <w:rPr>
          <w:rFonts w:hint="eastAsia" w:ascii="方正仿宋_GBK" w:hAnsi="方正仿宋_GBK" w:eastAsia="方正仿宋_GBK" w:cs="方正仿宋_GBK"/>
          <w:sz w:val="32"/>
          <w:szCs w:val="32"/>
        </w:rPr>
        <w:t>分。绩效自评报告详见附件。</w:t>
      </w:r>
    </w:p>
    <w:p w14:paraId="0AED0319">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bookmarkStart w:id="95" w:name="_Toc15396614"/>
      <w:bookmarkStart w:id="96" w:name="_Toc15377226"/>
    </w:p>
    <w:p w14:paraId="2611DD69">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3B425B2">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5D6245A9">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2161EDA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40B78D0F">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5565E3F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68E96361">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73D3FF44">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6336A7F2">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p>
    <w:p w14:paraId="0D5BFCE5">
      <w:pPr>
        <w:pageBreakBefore w:val="0"/>
        <w:kinsoku/>
        <w:wordWrap/>
        <w:overflowPunct/>
        <w:topLinePunct w:val="0"/>
        <w:autoSpaceDE/>
        <w:autoSpaceDN/>
        <w:bidi w:val="0"/>
        <w:spacing w:line="576" w:lineRule="exact"/>
        <w:jc w:val="center"/>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p>
    <w:p w14:paraId="78918CA0">
      <w:pPr>
        <w:pageBreakBefore w:val="0"/>
        <w:kinsoku/>
        <w:wordWrap/>
        <w:overflowPunct/>
        <w:topLinePunct w:val="0"/>
        <w:autoSpaceDE/>
        <w:autoSpaceDN/>
        <w:bidi w:val="0"/>
        <w:spacing w:line="576" w:lineRule="exact"/>
        <w:ind w:firstLine="883" w:firstLineChars="200"/>
        <w:jc w:val="left"/>
        <w:textAlignment w:val="auto"/>
        <w:rPr>
          <w:rFonts w:hint="default" w:ascii="Times New Roman" w:hAnsi="Times New Roman" w:cs="Times New Roman"/>
          <w:b/>
          <w:sz w:val="44"/>
          <w:szCs w:val="44"/>
        </w:rPr>
      </w:pPr>
    </w:p>
    <w:p w14:paraId="330033C5">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4205DA56">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2.其他收入：指单位取得的除上述收入以外的各项收入。主要是</w:t>
      </w:r>
      <w:r>
        <w:rPr>
          <w:rFonts w:hint="default" w:ascii="Times New Roman" w:hAnsi="Times New Roman" w:eastAsia="仿宋_GB2312" w:cs="Times New Roman"/>
          <w:sz w:val="32"/>
          <w:szCs w:val="32"/>
          <w:lang w:val="en-US" w:eastAsia="zh-CN"/>
        </w:rPr>
        <w:t>干休所收取管理服务老干部的管理费</w:t>
      </w:r>
      <w:r>
        <w:rPr>
          <w:rFonts w:hint="default" w:ascii="Times New Roman" w:hAnsi="Times New Roman" w:eastAsia="仿宋_GB2312" w:cs="Times New Roman"/>
          <w:sz w:val="32"/>
          <w:szCs w:val="32"/>
        </w:rPr>
        <w:t xml:space="preserve">。 </w:t>
      </w:r>
    </w:p>
    <w:p w14:paraId="765C29DB">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.使用非财政拨款结余（含专用结余）：指事业单位使用以前年度积累的非财政拨款结余弥补当年收支差额的金额。 </w:t>
      </w:r>
    </w:p>
    <w:p w14:paraId="261689DC">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22BED92A">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.结余分配：指事业单位按照会计制度规定缴纳的所得税、提取的专用结余以及转入非财政拨款结余的金额等。</w:t>
      </w:r>
    </w:p>
    <w:p w14:paraId="564148E6">
      <w:pPr>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.年末结转和结余：指单位按有关规定结转到下年或以后年度继续使用的资金。</w:t>
      </w:r>
    </w:p>
    <w:p w14:paraId="7AC5DC9C">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7</w:t>
      </w:r>
      <w:r>
        <w:rPr>
          <w:rFonts w:hint="default" w:ascii="Times New Roman" w:hAnsi="Times New Roman" w:eastAsia="仿宋" w:cs="Times New Roman"/>
          <w:b/>
          <w:bCs/>
          <w:sz w:val="32"/>
          <w:szCs w:val="32"/>
          <w:lang w:bidi="ar-SA"/>
        </w:rPr>
        <w:t>.社会保障和就业（类）</w:t>
      </w:r>
      <w:r>
        <w:rPr>
          <w:rFonts w:hint="default" w:ascii="Times New Roman" w:hAnsi="Times New Roman" w:eastAsia="仿宋" w:cs="Times New Roman"/>
          <w:b/>
          <w:bCs/>
          <w:sz w:val="32"/>
          <w:szCs w:val="32"/>
          <w:lang w:eastAsia="zh-CN" w:bidi="ar-SA"/>
        </w:rPr>
        <w:t>行政事业单位离退休</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机关事业单位基本养老保险缴费支出</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反映机关事业单位实施养老保险制度由单位缴纳的基本养老保险费支出</w:t>
      </w:r>
      <w:r>
        <w:rPr>
          <w:rFonts w:hint="default" w:ascii="Times New Roman" w:hAnsi="Times New Roman" w:eastAsia="仿宋" w:cs="Times New Roman"/>
          <w:sz w:val="32"/>
          <w:szCs w:val="32"/>
          <w:lang w:bidi="ar-SA"/>
        </w:rPr>
        <w:t>。</w:t>
      </w:r>
    </w:p>
    <w:p w14:paraId="4EE514E9">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8</w:t>
      </w:r>
      <w:r>
        <w:rPr>
          <w:rFonts w:hint="default" w:ascii="Times New Roman" w:hAnsi="Times New Roman" w:eastAsia="仿宋" w:cs="Times New Roman"/>
          <w:b/>
          <w:bCs/>
          <w:sz w:val="32"/>
          <w:szCs w:val="32"/>
          <w:lang w:bidi="ar-SA"/>
        </w:rPr>
        <w:t>.社会保障和就业（类）</w:t>
      </w:r>
      <w:r>
        <w:rPr>
          <w:rFonts w:hint="default" w:ascii="Times New Roman" w:hAnsi="Times New Roman" w:eastAsia="仿宋" w:cs="Times New Roman"/>
          <w:b/>
          <w:bCs/>
          <w:sz w:val="32"/>
          <w:szCs w:val="32"/>
          <w:lang w:eastAsia="zh-CN" w:bidi="ar-SA"/>
        </w:rPr>
        <w:t>行政事业单位离退休</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机关事业单位职业年金缴费支出</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反映机关事业单位实施养老保险制度由单位实际缴纳的职业年金支出</w:t>
      </w:r>
      <w:r>
        <w:rPr>
          <w:rFonts w:hint="default" w:ascii="Times New Roman" w:hAnsi="Times New Roman" w:eastAsia="仿宋" w:cs="Times New Roman"/>
          <w:sz w:val="32"/>
          <w:szCs w:val="32"/>
          <w:lang w:bidi="ar-SA"/>
        </w:rPr>
        <w:t>。</w:t>
      </w:r>
    </w:p>
    <w:p w14:paraId="066B8925">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9</w:t>
      </w:r>
      <w:r>
        <w:rPr>
          <w:rFonts w:hint="default" w:ascii="Times New Roman" w:hAnsi="Times New Roman" w:eastAsia="仿宋" w:cs="Times New Roman"/>
          <w:b/>
          <w:bCs/>
          <w:sz w:val="32"/>
          <w:szCs w:val="32"/>
          <w:lang w:bidi="ar-SA"/>
        </w:rPr>
        <w:t>.</w:t>
      </w:r>
      <w:r>
        <w:rPr>
          <w:rFonts w:hint="default" w:ascii="Times New Roman" w:hAnsi="Times New Roman" w:eastAsia="仿宋" w:cs="Times New Roman"/>
          <w:b/>
          <w:bCs/>
          <w:sz w:val="32"/>
          <w:szCs w:val="32"/>
          <w:lang w:val="en-US" w:eastAsia="zh-CN" w:bidi="ar-SA"/>
        </w:rPr>
        <w:t>卫生健康支出</w:t>
      </w:r>
      <w:r>
        <w:rPr>
          <w:rFonts w:hint="default" w:ascii="Times New Roman" w:hAnsi="Times New Roman" w:eastAsia="仿宋" w:cs="Times New Roman"/>
          <w:b/>
          <w:bCs/>
          <w:sz w:val="32"/>
          <w:szCs w:val="32"/>
          <w:lang w:bidi="ar-SA"/>
        </w:rPr>
        <w:t>（类）</w:t>
      </w:r>
      <w:r>
        <w:rPr>
          <w:rFonts w:hint="default" w:ascii="Times New Roman" w:hAnsi="Times New Roman" w:eastAsia="仿宋" w:cs="Times New Roman"/>
          <w:b/>
          <w:bCs/>
          <w:sz w:val="32"/>
          <w:szCs w:val="32"/>
          <w:lang w:eastAsia="zh-CN" w:bidi="ar-SA"/>
        </w:rPr>
        <w:t>行政事业单位医疗</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行政单位医疗</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反映财政部门集中安排的行政单位基本医疗保险缴费经费，未参加医疗保险的行政单位的公费医疗经费，按国家规定享受离休人员、红军老战士待遇人员的医疗经费</w:t>
      </w:r>
      <w:r>
        <w:rPr>
          <w:rFonts w:hint="default" w:ascii="Times New Roman" w:hAnsi="Times New Roman" w:eastAsia="仿宋" w:cs="Times New Roman"/>
          <w:sz w:val="32"/>
          <w:szCs w:val="32"/>
          <w:lang w:bidi="ar-SA"/>
        </w:rPr>
        <w:t>。</w:t>
      </w:r>
    </w:p>
    <w:p w14:paraId="7BC066A8">
      <w:pPr>
        <w:bidi w:val="0"/>
        <w:ind w:firstLine="643" w:firstLineChars="200"/>
        <w:jc w:val="both"/>
        <w:rPr>
          <w:rFonts w:hint="default" w:ascii="Times New Roman" w:hAnsi="Times New Roman" w:eastAsia="仿宋" w:cs="Times New Roman"/>
          <w:sz w:val="32"/>
          <w:szCs w:val="32"/>
          <w:lang w:bidi="ar-SA"/>
        </w:rPr>
      </w:pPr>
      <w:r>
        <w:rPr>
          <w:rFonts w:hint="default" w:ascii="Times New Roman" w:hAnsi="Times New Roman" w:eastAsia="仿宋" w:cs="Times New Roman"/>
          <w:b/>
          <w:bCs/>
          <w:sz w:val="32"/>
          <w:szCs w:val="32"/>
          <w:lang w:val="en-US" w:eastAsia="zh-CN" w:bidi="ar-SA"/>
        </w:rPr>
        <w:t>10</w:t>
      </w:r>
      <w:r>
        <w:rPr>
          <w:rFonts w:hint="default" w:ascii="Times New Roman" w:hAnsi="Times New Roman" w:eastAsia="仿宋" w:cs="Times New Roman"/>
          <w:b/>
          <w:bCs/>
          <w:sz w:val="32"/>
          <w:szCs w:val="32"/>
          <w:lang w:bidi="ar-SA"/>
        </w:rPr>
        <w:t>.</w:t>
      </w:r>
      <w:r>
        <w:rPr>
          <w:rFonts w:hint="default" w:ascii="Times New Roman" w:hAnsi="Times New Roman" w:eastAsia="仿宋" w:cs="Times New Roman"/>
          <w:b/>
          <w:bCs/>
          <w:sz w:val="32"/>
          <w:szCs w:val="32"/>
          <w:lang w:val="en-US" w:eastAsia="zh-CN" w:bidi="ar-SA"/>
        </w:rPr>
        <w:t>卫生健康支出</w:t>
      </w:r>
      <w:r>
        <w:rPr>
          <w:rFonts w:hint="default" w:ascii="Times New Roman" w:hAnsi="Times New Roman" w:eastAsia="仿宋" w:cs="Times New Roman"/>
          <w:b/>
          <w:bCs/>
          <w:sz w:val="32"/>
          <w:szCs w:val="32"/>
          <w:lang w:bidi="ar-SA"/>
        </w:rPr>
        <w:t>（类）</w:t>
      </w:r>
      <w:r>
        <w:rPr>
          <w:rFonts w:hint="default" w:ascii="Times New Roman" w:hAnsi="Times New Roman" w:eastAsia="仿宋" w:cs="Times New Roman"/>
          <w:b/>
          <w:bCs/>
          <w:sz w:val="32"/>
          <w:szCs w:val="32"/>
          <w:lang w:eastAsia="zh-CN" w:bidi="ar-SA"/>
        </w:rPr>
        <w:t>行政事业单位医疗</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公务员医疗补助</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反映财政部门集中安排的公务员医疗补助经费。</w:t>
      </w:r>
    </w:p>
    <w:p w14:paraId="7367D27E">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color w:val="00B0F0"/>
          <w:sz w:val="32"/>
          <w:szCs w:val="32"/>
        </w:rPr>
      </w:pPr>
      <w:r>
        <w:rPr>
          <w:rFonts w:hint="default" w:ascii="Times New Roman" w:hAnsi="Times New Roman" w:eastAsia="仿宋" w:cs="Times New Roman"/>
          <w:b/>
          <w:bCs/>
          <w:sz w:val="32"/>
          <w:szCs w:val="32"/>
          <w:lang w:val="en-US" w:eastAsia="zh-CN" w:bidi="ar-SA"/>
        </w:rPr>
        <w:t>11</w:t>
      </w:r>
      <w:r>
        <w:rPr>
          <w:rFonts w:hint="default" w:ascii="Times New Roman" w:hAnsi="Times New Roman" w:eastAsia="仿宋" w:cs="Times New Roman"/>
          <w:b/>
          <w:bCs/>
          <w:sz w:val="32"/>
          <w:szCs w:val="32"/>
          <w:lang w:bidi="ar-SA"/>
        </w:rPr>
        <w:t>.住房保障</w:t>
      </w:r>
      <w:r>
        <w:rPr>
          <w:rFonts w:hint="default" w:ascii="Times New Roman" w:hAnsi="Times New Roman" w:eastAsia="仿宋" w:cs="Times New Roman"/>
          <w:b/>
          <w:bCs/>
          <w:sz w:val="32"/>
          <w:szCs w:val="32"/>
          <w:lang w:eastAsia="zh-CN" w:bidi="ar-SA"/>
        </w:rPr>
        <w:t>支出</w:t>
      </w:r>
      <w:r>
        <w:rPr>
          <w:rFonts w:hint="default" w:ascii="Times New Roman" w:hAnsi="Times New Roman" w:eastAsia="仿宋" w:cs="Times New Roman"/>
          <w:b/>
          <w:bCs/>
          <w:sz w:val="32"/>
          <w:szCs w:val="32"/>
          <w:lang w:bidi="ar-SA"/>
        </w:rPr>
        <w:t>（类）</w:t>
      </w:r>
      <w:r>
        <w:rPr>
          <w:rFonts w:hint="default" w:ascii="Times New Roman" w:hAnsi="Times New Roman" w:eastAsia="仿宋" w:cs="Times New Roman"/>
          <w:b/>
          <w:bCs/>
          <w:sz w:val="32"/>
          <w:szCs w:val="32"/>
          <w:lang w:eastAsia="zh-CN" w:bidi="ar-SA"/>
        </w:rPr>
        <w:t>住房改革支出</w:t>
      </w:r>
      <w:r>
        <w:rPr>
          <w:rFonts w:hint="default" w:ascii="Times New Roman" w:hAnsi="Times New Roman" w:eastAsia="仿宋" w:cs="Times New Roman"/>
          <w:b/>
          <w:bCs/>
          <w:sz w:val="32"/>
          <w:szCs w:val="32"/>
          <w:lang w:bidi="ar-SA"/>
        </w:rPr>
        <w:t>（款）</w:t>
      </w:r>
      <w:r>
        <w:rPr>
          <w:rFonts w:hint="default" w:ascii="Times New Roman" w:hAnsi="Times New Roman" w:eastAsia="仿宋" w:cs="Times New Roman"/>
          <w:b/>
          <w:bCs/>
          <w:sz w:val="32"/>
          <w:szCs w:val="32"/>
          <w:lang w:eastAsia="zh-CN" w:bidi="ar-SA"/>
        </w:rPr>
        <w:t>住房公积金</w:t>
      </w:r>
      <w:r>
        <w:rPr>
          <w:rFonts w:hint="default" w:ascii="Times New Roman" w:hAnsi="Times New Roman" w:eastAsia="仿宋" w:cs="Times New Roman"/>
          <w:b/>
          <w:bCs/>
          <w:sz w:val="32"/>
          <w:szCs w:val="32"/>
          <w:lang w:bidi="ar-SA"/>
        </w:rPr>
        <w:t>（项）：</w:t>
      </w:r>
      <w:r>
        <w:rPr>
          <w:rFonts w:hint="default" w:ascii="Times New Roman" w:hAnsi="Times New Roman" w:eastAsia="仿宋" w:cs="Times New Roman"/>
          <w:sz w:val="32"/>
          <w:szCs w:val="32"/>
          <w:lang w:bidi="ar-SA"/>
        </w:rPr>
        <w:t>指</w:t>
      </w:r>
      <w:r>
        <w:rPr>
          <w:rFonts w:hint="default" w:ascii="Times New Roman" w:hAnsi="Times New Roman" w:eastAsia="仿宋" w:cs="Times New Roman"/>
          <w:sz w:val="32"/>
          <w:szCs w:val="32"/>
          <w:lang w:eastAsia="zh-CN" w:bidi="ar-SA"/>
        </w:rPr>
        <w:t>反映行政事业单位按人力资源和社会保障部、财政部规定的基本工资和津贴补贴以及规定比例为职工缴纳的住房公积金</w:t>
      </w:r>
      <w:r>
        <w:rPr>
          <w:rFonts w:hint="default" w:ascii="Times New Roman" w:hAnsi="Times New Roman" w:eastAsia="仿宋" w:cs="Times New Roman"/>
          <w:sz w:val="32"/>
          <w:szCs w:val="32"/>
          <w:lang w:bidi="ar-SA"/>
        </w:rPr>
        <w:t>。</w:t>
      </w:r>
    </w:p>
    <w:p w14:paraId="07950DD9">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12.基本支出：</w:t>
      </w:r>
      <w:r>
        <w:rPr>
          <w:rFonts w:hint="default" w:ascii="Times New Roman" w:hAnsi="Times New Roman" w:eastAsia="仿宋_GB2312" w:cs="Times New Roman"/>
          <w:sz w:val="32"/>
          <w:szCs w:val="32"/>
        </w:rPr>
        <w:t>指为保障机构正常运转、完成日常工作任务而发生的人员支出和公用支出。</w:t>
      </w:r>
    </w:p>
    <w:p w14:paraId="4D820608">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13.项目支出：</w:t>
      </w:r>
      <w:r>
        <w:rPr>
          <w:rFonts w:hint="default" w:ascii="Times New Roman" w:hAnsi="Times New Roman" w:eastAsia="仿宋_GB2312" w:cs="Times New Roman"/>
          <w:sz w:val="32"/>
          <w:szCs w:val="32"/>
        </w:rPr>
        <w:t xml:space="preserve">指在基本支出之外为完成特定行政任务和事业发展目标所发生的支出。 </w:t>
      </w:r>
    </w:p>
    <w:p w14:paraId="76301C01">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14.经营支出：</w:t>
      </w:r>
      <w:r>
        <w:rPr>
          <w:rFonts w:hint="default" w:ascii="Times New Roman" w:hAnsi="Times New Roman" w:eastAsia="仿宋_GB2312" w:cs="Times New Roman"/>
          <w:sz w:val="32"/>
          <w:szCs w:val="32"/>
        </w:rPr>
        <w:t>指事业单位在专业业务活动及其辅助活动之外开展非独立核算经营活动发生的支出。</w:t>
      </w:r>
    </w:p>
    <w:p w14:paraId="543EFAD6">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15.“三公”经费：</w:t>
      </w:r>
      <w:r>
        <w:rPr>
          <w:rFonts w:hint="default" w:ascii="Times New Roman" w:hAnsi="Times New Roman" w:eastAsia="仿宋_GB2312" w:cs="Times New Roman"/>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57CE39E">
      <w:pPr>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b/>
          <w:bCs/>
          <w:sz w:val="32"/>
          <w:szCs w:val="32"/>
          <w:lang w:val="en-US" w:eastAsia="zh-CN" w:bidi="ar-SA"/>
        </w:rPr>
        <w:t>16.机关运行经费：</w:t>
      </w:r>
      <w:r>
        <w:rPr>
          <w:rFonts w:hint="default" w:ascii="Times New Roman" w:hAnsi="Times New Roman" w:eastAsia="仿宋_GB2312"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EB6487">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7A1AA855">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374A3C3F">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3D25AAA4">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79A892AE">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10C10CF6">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3CB65479">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53AFFE21">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4CB62192">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65FCEC53">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3584816C">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39F89A46">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20A1F93D">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256D38BA">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4416012E">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322680BF">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4BFFEEFE">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5E63930D">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46FAEDB9">
      <w:pPr>
        <w:pageBreakBefore w:val="0"/>
        <w:kinsoku/>
        <w:wordWrap/>
        <w:overflowPunct/>
        <w:topLinePunct w:val="0"/>
        <w:autoSpaceDE/>
        <w:autoSpaceDN/>
        <w:bidi w:val="0"/>
        <w:spacing w:line="570" w:lineRule="exact"/>
        <w:ind w:left="0" w:leftChars="0" w:firstLine="880" w:firstLineChars="200"/>
        <w:jc w:val="center"/>
        <w:textAlignment w:val="auto"/>
        <w:rPr>
          <w:rFonts w:hint="eastAsia" w:eastAsia="黑体"/>
          <w:sz w:val="44"/>
          <w:szCs w:val="44"/>
        </w:rPr>
      </w:pPr>
    </w:p>
    <w:p w14:paraId="0596286A">
      <w:pPr>
        <w:pageBreakBefore w:val="0"/>
        <w:kinsoku/>
        <w:wordWrap/>
        <w:overflowPunct/>
        <w:topLinePunct w:val="0"/>
        <w:autoSpaceDE/>
        <w:autoSpaceDN/>
        <w:bidi w:val="0"/>
        <w:spacing w:line="570" w:lineRule="exact"/>
        <w:ind w:left="0" w:leftChars="0" w:firstLine="880" w:firstLineChars="200"/>
        <w:jc w:val="center"/>
        <w:textAlignment w:val="auto"/>
        <w:rPr>
          <w:rStyle w:val="30"/>
          <w:rFonts w:eastAsia="黑体"/>
          <w:b w:val="0"/>
        </w:rPr>
      </w:pPr>
      <w:r>
        <w:rPr>
          <w:rFonts w:hint="eastAsia" w:eastAsia="黑体"/>
          <w:sz w:val="44"/>
          <w:szCs w:val="44"/>
        </w:rPr>
        <w:t>第四部分  附件</w:t>
      </w:r>
      <w:bookmarkEnd w:id="95"/>
    </w:p>
    <w:p w14:paraId="7BA44CB3">
      <w:pPr>
        <w:pageBreakBefore w:val="0"/>
        <w:kinsoku/>
        <w:wordWrap/>
        <w:overflowPunct/>
        <w:topLinePunct w:val="0"/>
        <w:autoSpaceDE/>
        <w:autoSpaceDN/>
        <w:bidi w:val="0"/>
        <w:spacing w:line="570" w:lineRule="exact"/>
        <w:ind w:left="0" w:leftChars="0" w:firstLine="640" w:firstLineChars="200"/>
        <w:jc w:val="left"/>
        <w:textAlignment w:val="auto"/>
        <w:outlineLvl w:val="0"/>
        <w:rPr>
          <w:rFonts w:eastAsia="黑体" w:cs="黑体"/>
          <w:color w:val="FF0000"/>
          <w:sz w:val="32"/>
          <w:szCs w:val="32"/>
        </w:rPr>
      </w:pPr>
    </w:p>
    <w:p w14:paraId="19AD568C">
      <w:pPr>
        <w:pageBreakBefore w:val="0"/>
        <w:widowControl/>
        <w:kinsoku/>
        <w:wordWrap/>
        <w:overflowPunct/>
        <w:topLinePunct w:val="0"/>
        <w:autoSpaceDE/>
        <w:autoSpaceDN/>
        <w:bidi w:val="0"/>
        <w:spacing w:line="570" w:lineRule="exact"/>
        <w:ind w:left="0" w:leftChars="0" w:firstLine="880" w:firstLineChars="200"/>
        <w:contextualSpacing/>
        <w:jc w:val="center"/>
        <w:textAlignment w:val="auto"/>
        <w:rPr>
          <w:rFonts w:eastAsia="方正小标宋简体"/>
          <w:bCs/>
          <w:sz w:val="44"/>
          <w:szCs w:val="44"/>
          <w:shd w:val="clear" w:color="auto" w:fill="FFFFFF"/>
        </w:rPr>
      </w:pPr>
    </w:p>
    <w:p w14:paraId="13BE0DD4">
      <w:pPr>
        <w:keepNext w:val="0"/>
        <w:keepLines w:val="0"/>
        <w:pageBreakBefore w:val="0"/>
        <w:widowControl/>
        <w:kinsoku/>
        <w:wordWrap/>
        <w:overflowPunct/>
        <w:topLinePunct w:val="0"/>
        <w:autoSpaceDE/>
        <w:autoSpaceDN/>
        <w:bidi w:val="0"/>
        <w:spacing w:line="570" w:lineRule="exact"/>
        <w:ind w:left="0" w:leftChars="0" w:firstLine="880" w:firstLineChars="20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97" w:name="_Toc15396618"/>
      <w:r>
        <w:rPr>
          <w:rFonts w:hint="eastAsia" w:eastAsia="方正小标宋简体" w:cs="Times New Roman"/>
          <w:b w:val="0"/>
          <w:bCs/>
          <w:sz w:val="44"/>
          <w:szCs w:val="44"/>
          <w:highlight w:val="none"/>
          <w:shd w:val="clear" w:color="auto" w:fill="FFFFFF"/>
          <w:lang w:eastAsia="zh-CN"/>
        </w:rPr>
        <w:t>关于</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452A8557">
      <w:pPr>
        <w:keepNext w:val="0"/>
        <w:keepLines w:val="0"/>
        <w:pageBreakBefore w:val="0"/>
        <w:widowControl/>
        <w:kinsoku/>
        <w:wordWrap/>
        <w:overflowPunct/>
        <w:topLinePunct w:val="0"/>
        <w:autoSpaceDE/>
        <w:autoSpaceDN/>
        <w:bidi w:val="0"/>
        <w:adjustRightInd w:val="0"/>
        <w:snapToGrid w:val="0"/>
        <w:spacing w:line="570" w:lineRule="exact"/>
        <w:ind w:left="0" w:leftChars="0"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559336C">
      <w:pPr>
        <w:keepNext w:val="0"/>
        <w:keepLines w:val="0"/>
        <w:pageBreakBefore w:val="0"/>
        <w:widowControl/>
        <w:numPr>
          <w:ilvl w:val="0"/>
          <w:numId w:val="0"/>
        </w:numPr>
        <w:kinsoku/>
        <w:wordWrap/>
        <w:overflowPunct/>
        <w:topLinePunct w:val="0"/>
        <w:autoSpaceDE/>
        <w:autoSpaceDN/>
        <w:bidi w:val="0"/>
        <w:adjustRightInd w:val="0"/>
        <w:snapToGrid w:val="0"/>
        <w:spacing w:line="570" w:lineRule="exact"/>
        <w:ind w:left="0" w:leftChars="0" w:firstLine="640" w:firstLineChars="200"/>
        <w:contextualSpacing/>
        <w:jc w:val="left"/>
        <w:textAlignment w:val="auto"/>
        <w:outlineLvl w:val="9"/>
        <w:rPr>
          <w:rFonts w:hint="default" w:ascii="Times New Roman" w:hAnsi="Times New Roman" w:cs="Times New Roman"/>
          <w:sz w:val="32"/>
          <w:szCs w:val="32"/>
        </w:rPr>
      </w:pPr>
      <w:r>
        <w:rPr>
          <w:rFonts w:hint="eastAsia"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B04ECE5">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eastAsia" w:ascii="方正仿宋_GBK" w:hAnsi="方正仿宋_GBK" w:eastAsia="方正仿宋_GBK" w:cs="方正仿宋_GBK"/>
          <w:sz w:val="32"/>
          <w:szCs w:val="32"/>
          <w:lang w:val="zh-CN" w:eastAsia="zh-CN"/>
        </w:rPr>
        <w:t>我单位属于中共阿坝州委老干部局下属二级独立核算的参公单位。</w:t>
      </w:r>
    </w:p>
    <w:p w14:paraId="33A9513C">
      <w:pPr>
        <w:keepNext w:val="0"/>
        <w:keepLines w:val="0"/>
        <w:pageBreakBefore w:val="0"/>
        <w:kinsoku/>
        <w:wordWrap/>
        <w:overflowPunct/>
        <w:topLinePunct w:val="0"/>
        <w:autoSpaceDE/>
        <w:autoSpaceDN/>
        <w:bidi w:val="0"/>
        <w:adjustRightInd/>
        <w:snapToGrid w:val="0"/>
        <w:spacing w:beforeAutospacing="0" w:afterAutospacing="0" w:line="570" w:lineRule="exact"/>
        <w:ind w:left="0" w:leftChars="0" w:right="0" w:firstLine="643" w:firstLineChars="200"/>
        <w:textAlignment w:val="auto"/>
        <w:rPr>
          <w:rFonts w:hint="default" w:ascii="方正仿宋_GBK" w:hAnsi="方正仿宋_GBK" w:eastAsia="方正仿宋_GBK" w:cs="方正仿宋_GBK"/>
          <w:sz w:val="32"/>
          <w:szCs w:val="32"/>
          <w:lang w:val="zh-CN" w:eastAsia="zh-CN"/>
        </w:rPr>
      </w:pPr>
      <w:r>
        <w:rPr>
          <w:rFonts w:hint="default" w:eastAsia="楷体_GB2312" w:cs="Times New Roman"/>
          <w:b/>
          <w:bCs/>
          <w:color w:val="000000"/>
          <w:kern w:val="0"/>
          <w:sz w:val="32"/>
          <w:szCs w:val="32"/>
          <w:highlight w:val="none"/>
          <w:shd w:val="clear" w:color="auto" w:fill="FFFFFF"/>
          <w:lang w:val="zh-CN"/>
        </w:rPr>
        <w:t>（二）机构职能</w:t>
      </w:r>
      <w:r>
        <w:rPr>
          <w:rFonts w:hint="eastAsia"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zh-CN" w:eastAsia="zh-CN"/>
        </w:rPr>
        <w:t>阿坝州州级机关退休干部驻马尔康休养所</w:t>
      </w:r>
      <w:r>
        <w:rPr>
          <w:rFonts w:hint="eastAsia" w:ascii="方正仿宋_GBK" w:hAnsi="方正仿宋_GBK" w:eastAsia="方正仿宋_GBK" w:cs="方正仿宋_GBK"/>
          <w:sz w:val="32"/>
          <w:szCs w:val="32"/>
          <w:lang w:val="en-US" w:eastAsia="zh-CN"/>
        </w:rPr>
        <w:t>职责和功能。根据根据阿编发［1997］3号文件规定，按照中办发（2016）3号文件要求，阿坝州州级退休干部驻马尔康修养所主要职责是负责居住在马尔康干休所退休干部及马尔康地区的州级机关离退休党员的管理服务工作；对居住在阿坝州内的离休干部、副厅级退休干部宏观管理；管理好马尔康地区老干部活动中心；贯彻落实宣传好党和国家关于老干部工作的政策。让老干部感到老有所管，老有所学，老有所医，老有所乐；让管辖范围内老同志满意，营造很好的社会敬老氛围。</w:t>
      </w:r>
    </w:p>
    <w:p w14:paraId="606D5C69">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方正仿宋_GBK" w:hAnsi="方正仿宋_GBK" w:eastAsia="方正仿宋_GBK" w:cs="方正仿宋_GBK"/>
          <w:sz w:val="32"/>
          <w:szCs w:val="32"/>
          <w:lang w:val="en-US" w:eastAsia="zh-CN"/>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三</w:t>
      </w:r>
      <w:r>
        <w:rPr>
          <w:rFonts w:hint="default"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方正仿宋_GBK" w:hAnsi="方正仿宋_GBK" w:eastAsia="方正仿宋_GBK" w:cs="方正仿宋_GBK"/>
          <w:sz w:val="32"/>
          <w:szCs w:val="32"/>
          <w:lang w:val="en-US" w:eastAsia="zh-CN"/>
        </w:rPr>
        <w:t>截至</w:t>
      </w:r>
      <w:r>
        <w:rPr>
          <w:rFonts w:hint="eastAsia" w:ascii="方正仿宋_GBK" w:hAnsi="方正仿宋_GBK" w:eastAsia="方正仿宋_GBK" w:cs="方正仿宋_GBK"/>
          <w:sz w:val="32"/>
          <w:szCs w:val="32"/>
          <w:lang w:val="en-US" w:eastAsia="zh-CN"/>
        </w:rPr>
        <w:t>2024</w:t>
      </w:r>
      <w:r>
        <w:rPr>
          <w:rFonts w:hint="default" w:ascii="方正仿宋_GBK" w:hAnsi="方正仿宋_GBK" w:eastAsia="方正仿宋_GBK" w:cs="方正仿宋_GBK"/>
          <w:sz w:val="32"/>
          <w:szCs w:val="32"/>
          <w:lang w:val="en-US" w:eastAsia="zh-CN"/>
        </w:rPr>
        <w:t>年末，</w:t>
      </w:r>
      <w:r>
        <w:rPr>
          <w:rFonts w:hint="eastAsia" w:ascii="方正仿宋_GBK" w:hAnsi="方正仿宋_GBK" w:eastAsia="方正仿宋_GBK" w:cs="方正仿宋_GBK"/>
          <w:sz w:val="32"/>
          <w:szCs w:val="32"/>
          <w:lang w:val="en-US" w:eastAsia="zh-CN"/>
        </w:rPr>
        <w:t>马尔康干休所实有</w:t>
      </w:r>
      <w:r>
        <w:rPr>
          <w:rFonts w:hint="default" w:ascii="方正仿宋_GBK" w:hAnsi="方正仿宋_GBK" w:eastAsia="方正仿宋_GBK" w:cs="方正仿宋_GBK"/>
          <w:sz w:val="32"/>
          <w:szCs w:val="32"/>
          <w:lang w:val="en-US" w:eastAsia="zh-CN"/>
        </w:rPr>
        <w:t>编制</w:t>
      </w:r>
      <w:r>
        <w:rPr>
          <w:rFonts w:hint="eastAsia" w:ascii="方正仿宋_GBK" w:hAnsi="方正仿宋_GBK" w:eastAsia="方正仿宋_GBK" w:cs="方正仿宋_GBK"/>
          <w:sz w:val="32"/>
          <w:szCs w:val="32"/>
          <w:lang w:val="en-US" w:eastAsia="zh-CN"/>
        </w:rPr>
        <w:t>数7人及</w:t>
      </w:r>
      <w:r>
        <w:rPr>
          <w:rFonts w:hint="default" w:ascii="方正仿宋_GBK" w:hAnsi="方正仿宋_GBK" w:eastAsia="方正仿宋_GBK" w:cs="方正仿宋_GBK"/>
          <w:sz w:val="32"/>
          <w:szCs w:val="32"/>
          <w:lang w:val="en-US" w:eastAsia="zh-CN"/>
        </w:rPr>
        <w:t>年末实有人数</w:t>
      </w:r>
      <w:r>
        <w:rPr>
          <w:rFonts w:hint="eastAsia" w:ascii="方正仿宋_GBK" w:hAnsi="方正仿宋_GBK" w:eastAsia="方正仿宋_GBK" w:cs="方正仿宋_GBK"/>
          <w:sz w:val="32"/>
          <w:szCs w:val="32"/>
          <w:lang w:val="en-US" w:eastAsia="zh-CN"/>
        </w:rPr>
        <w:t>7人。</w:t>
      </w:r>
    </w:p>
    <w:p w14:paraId="1D9495DE">
      <w:pPr>
        <w:keepNext w:val="0"/>
        <w:keepLines w:val="0"/>
        <w:pageBreakBefore w:val="0"/>
        <w:widowControl/>
        <w:numPr>
          <w:ilvl w:val="0"/>
          <w:numId w:val="0"/>
        </w:numPr>
        <w:kinsoku/>
        <w:wordWrap/>
        <w:overflowPunct/>
        <w:topLinePunct w:val="0"/>
        <w:autoSpaceDE/>
        <w:autoSpaceDN/>
        <w:bidi w:val="0"/>
        <w:adjustRightInd w:val="0"/>
        <w:snapToGrid w:val="0"/>
        <w:spacing w:line="570" w:lineRule="exact"/>
        <w:ind w:left="0" w:leftChars="0"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rPr>
        <w:t>二、</w:t>
      </w:r>
      <w:r>
        <w:rPr>
          <w:rFonts w:hint="default" w:eastAsia="黑体" w:cs="Times New Roman"/>
          <w:color w:val="000000"/>
          <w:kern w:val="0"/>
          <w:sz w:val="32"/>
          <w:szCs w:val="32"/>
          <w:highlight w:val="none"/>
          <w:shd w:val="clear" w:color="auto" w:fill="FFFFFF"/>
          <w:lang w:val="zh-CN" w:eastAsia="zh-CN"/>
        </w:rPr>
        <w:t>部门</w:t>
      </w:r>
      <w:r>
        <w:rPr>
          <w:rFonts w:hint="default" w:eastAsia="黑体" w:cs="Times New Roman"/>
          <w:color w:val="000000"/>
          <w:kern w:val="0"/>
          <w:sz w:val="32"/>
          <w:szCs w:val="32"/>
          <w:highlight w:val="none"/>
          <w:shd w:val="clear" w:color="auto" w:fill="FFFFFF"/>
          <w:lang w:val="zh-CN"/>
        </w:rPr>
        <w:t>资金收支情况</w:t>
      </w:r>
    </w:p>
    <w:p w14:paraId="6048135D">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default" w:ascii="方正仿宋_GBK" w:hAnsi="方正仿宋_GBK" w:eastAsia="方正仿宋_GBK" w:cs="方正仿宋_GBK"/>
          <w:sz w:val="32"/>
          <w:szCs w:val="32"/>
          <w:lang w:val="en-US" w:eastAsia="zh-CN"/>
        </w:rPr>
      </w:pPr>
      <w:r>
        <w:rPr>
          <w:rFonts w:hint="default"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收入情况</w:t>
      </w:r>
      <w:r>
        <w:rPr>
          <w:rFonts w:hint="default"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en-US" w:eastAsia="zh-CN"/>
        </w:rPr>
        <w:t>马尔康干休所2024年年初预算收入278.5万元、决算报表收入278.5万元。</w:t>
      </w:r>
    </w:p>
    <w:p w14:paraId="7C9C1737">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仿宋_GB2312" w:hAnsi="Times New Roman" w:cs="仿宋_GB2312"/>
          <w:kern w:val="0"/>
          <w:sz w:val="32"/>
          <w:szCs w:val="32"/>
          <w:lang w:val="en-US" w:eastAsia="zh-CN" w:bidi="ar-SA"/>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二</w:t>
      </w: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支出情况</w:t>
      </w:r>
      <w:r>
        <w:rPr>
          <w:rFonts w:hint="default"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en-US" w:eastAsia="zh-CN"/>
        </w:rPr>
        <w:t>2024年度本单位收入全年预算数为278.5万元，收入决算数为278.5万元元，预算完成度为100.00%。</w:t>
      </w:r>
    </w:p>
    <w:p w14:paraId="714D0639">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default" w:ascii="方正仿宋_GBK" w:hAnsi="方正仿宋_GBK" w:eastAsia="方正仿宋_GBK" w:cs="方正仿宋_GBK"/>
          <w:sz w:val="32"/>
          <w:szCs w:val="32"/>
          <w:lang w:val="zh-CN" w:eastAsia="zh-CN"/>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三</w:t>
      </w:r>
      <w:r>
        <w:rPr>
          <w:rFonts w:hint="default" w:eastAsia="楷体_GB2312" w:cs="Times New Roman"/>
          <w:b/>
          <w:bCs/>
          <w:color w:val="000000"/>
          <w:kern w:val="0"/>
          <w:sz w:val="32"/>
          <w:szCs w:val="32"/>
          <w:highlight w:val="none"/>
          <w:shd w:val="clear" w:color="auto" w:fill="FFFFFF"/>
          <w:lang w:val="zh-CN"/>
        </w:rPr>
        <w:t>）结余分配和结转结余情况</w:t>
      </w:r>
      <w:r>
        <w:rPr>
          <w:rFonts w:hint="eastAsia" w:eastAsia="楷体_GB2312" w:cs="Times New Roman"/>
          <w:b/>
          <w:bCs/>
          <w:color w:val="000000"/>
          <w:kern w:val="0"/>
          <w:sz w:val="32"/>
          <w:szCs w:val="32"/>
          <w:highlight w:val="none"/>
          <w:shd w:val="clear" w:color="auto" w:fill="FFFFFF"/>
          <w:lang w:val="zh-CN" w:eastAsia="zh-CN"/>
        </w:rPr>
        <w:t>。</w:t>
      </w:r>
      <w:r>
        <w:rPr>
          <w:rFonts w:hint="eastAsia" w:ascii="方正仿宋_GBK" w:hAnsi="方正仿宋_GBK" w:eastAsia="方正仿宋_GBK" w:cs="方正仿宋_GBK"/>
          <w:sz w:val="32"/>
          <w:szCs w:val="32"/>
          <w:lang w:val="en-US" w:eastAsia="zh-CN"/>
        </w:rPr>
        <w:t>我单位2024年决算报表</w:t>
      </w:r>
      <w:r>
        <w:rPr>
          <w:rFonts w:hint="default" w:ascii="方正仿宋_GBK" w:hAnsi="方正仿宋_GBK" w:eastAsia="方正仿宋_GBK" w:cs="方正仿宋_GBK"/>
          <w:sz w:val="32"/>
          <w:szCs w:val="32"/>
          <w:lang w:val="en-US" w:eastAsia="zh-CN"/>
        </w:rPr>
        <w:t>结转结余</w:t>
      </w:r>
      <w:r>
        <w:rPr>
          <w:rFonts w:hint="eastAsia" w:ascii="方正仿宋_GBK" w:hAnsi="方正仿宋_GBK" w:eastAsia="方正仿宋_GBK" w:cs="方正仿宋_GBK"/>
          <w:sz w:val="32"/>
          <w:szCs w:val="32"/>
          <w:lang w:val="en-US" w:eastAsia="zh-CN"/>
        </w:rPr>
        <w:t>0元</w:t>
      </w:r>
      <w:r>
        <w:rPr>
          <w:rFonts w:hint="default" w:ascii="方正仿宋_GBK" w:hAnsi="方正仿宋_GBK" w:eastAsia="方正仿宋_GBK" w:cs="方正仿宋_GBK"/>
          <w:sz w:val="32"/>
          <w:szCs w:val="32"/>
          <w:lang w:val="en-US" w:eastAsia="zh-CN"/>
        </w:rPr>
        <w:t>。</w:t>
      </w:r>
    </w:p>
    <w:p w14:paraId="10772D73">
      <w:pPr>
        <w:keepNext w:val="0"/>
        <w:keepLines w:val="0"/>
        <w:pageBreakBefore w:val="0"/>
        <w:widowControl/>
        <w:numPr>
          <w:ilvl w:val="0"/>
          <w:numId w:val="0"/>
        </w:numPr>
        <w:kinsoku/>
        <w:wordWrap/>
        <w:overflowPunct/>
        <w:topLinePunct w:val="0"/>
        <w:autoSpaceDE/>
        <w:autoSpaceDN/>
        <w:bidi w:val="0"/>
        <w:adjustRightInd w:val="0"/>
        <w:snapToGrid w:val="0"/>
        <w:spacing w:line="570" w:lineRule="exact"/>
        <w:ind w:left="0" w:leftChars="0"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rPr>
        <w:t>三、部门</w:t>
      </w:r>
      <w:r>
        <w:rPr>
          <w:rFonts w:hint="default" w:eastAsia="黑体" w:cs="Times New Roman"/>
          <w:color w:val="000000"/>
          <w:kern w:val="0"/>
          <w:sz w:val="32"/>
          <w:szCs w:val="32"/>
          <w:highlight w:val="none"/>
          <w:shd w:val="clear" w:color="auto" w:fill="FFFFFF"/>
          <w:lang w:val="zh-CN" w:eastAsia="zh-CN"/>
        </w:rPr>
        <w:t>预算</w:t>
      </w:r>
      <w:r>
        <w:rPr>
          <w:rFonts w:hint="default" w:eastAsia="黑体" w:cs="Times New Roman"/>
          <w:color w:val="000000"/>
          <w:kern w:val="0"/>
          <w:sz w:val="32"/>
          <w:szCs w:val="32"/>
          <w:highlight w:val="none"/>
          <w:shd w:val="clear" w:color="auto" w:fill="FFFFFF"/>
          <w:lang w:val="zh-CN"/>
        </w:rPr>
        <w:t>绩效</w:t>
      </w:r>
      <w:r>
        <w:rPr>
          <w:rFonts w:hint="default" w:eastAsia="黑体" w:cs="Times New Roman"/>
          <w:color w:val="000000"/>
          <w:kern w:val="0"/>
          <w:sz w:val="32"/>
          <w:szCs w:val="32"/>
          <w:highlight w:val="none"/>
          <w:shd w:val="clear" w:color="auto" w:fill="FFFFFF"/>
          <w:lang w:val="zh-CN" w:eastAsia="zh-CN"/>
        </w:rPr>
        <w:t>分析</w:t>
      </w:r>
    </w:p>
    <w:p w14:paraId="5353A64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default" w:ascii="方正仿宋_GBK" w:hAnsi="方正仿宋_GBK" w:eastAsia="方正仿宋_GBK" w:cs="方正仿宋_GBK"/>
          <w:sz w:val="32"/>
          <w:szCs w:val="32"/>
          <w:lang w:val="zh-CN" w:eastAsia="zh-CN"/>
        </w:rPr>
      </w:pPr>
      <w:r>
        <w:rPr>
          <w:rFonts w:hint="default"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部门预算</w:t>
      </w:r>
      <w:r>
        <w:rPr>
          <w:rFonts w:hint="default" w:eastAsia="楷体_GB2312" w:cs="Times New Roman"/>
          <w:b/>
          <w:bCs/>
          <w:color w:val="000000"/>
          <w:kern w:val="0"/>
          <w:sz w:val="32"/>
          <w:szCs w:val="32"/>
          <w:highlight w:val="none"/>
          <w:shd w:val="clear" w:color="auto" w:fill="FFFFFF"/>
          <w:lang w:val="zh-CN"/>
        </w:rPr>
        <w:t>总体绩效分析。</w:t>
      </w:r>
      <w:r>
        <w:rPr>
          <w:rFonts w:hint="default" w:ascii="方正仿宋_GBK" w:hAnsi="方正仿宋_GBK" w:eastAsia="方正仿宋_GBK" w:cs="方正仿宋_GBK"/>
          <w:sz w:val="32"/>
          <w:szCs w:val="32"/>
          <w:lang w:val="zh-CN" w:eastAsia="zh-CN"/>
        </w:rPr>
        <w:t>根据部门预算绩效评价指标体系“总体绩效”涉及</w:t>
      </w:r>
      <w:r>
        <w:rPr>
          <w:rFonts w:hint="eastAsia" w:ascii="方正仿宋_GBK" w:hAnsi="方正仿宋_GBK" w:eastAsia="方正仿宋_GBK" w:cs="方正仿宋_GBK"/>
          <w:sz w:val="32"/>
          <w:szCs w:val="32"/>
          <w:lang w:val="zh-CN" w:eastAsia="zh-CN"/>
        </w:rPr>
        <w:t>二、三级</w:t>
      </w:r>
      <w:r>
        <w:rPr>
          <w:rFonts w:hint="default" w:ascii="方正仿宋_GBK" w:hAnsi="方正仿宋_GBK" w:eastAsia="方正仿宋_GBK" w:cs="方正仿宋_GBK"/>
          <w:sz w:val="32"/>
          <w:szCs w:val="32"/>
          <w:lang w:val="zh-CN" w:eastAsia="zh-CN"/>
        </w:rPr>
        <w:t>指标进行</w:t>
      </w:r>
      <w:r>
        <w:rPr>
          <w:rFonts w:hint="eastAsia" w:ascii="方正仿宋_GBK" w:hAnsi="方正仿宋_GBK" w:eastAsia="方正仿宋_GBK" w:cs="方正仿宋_GBK"/>
          <w:sz w:val="32"/>
          <w:szCs w:val="32"/>
          <w:lang w:val="zh-CN" w:eastAsia="zh-CN"/>
        </w:rPr>
        <w:t>逐项</w:t>
      </w:r>
      <w:r>
        <w:rPr>
          <w:rFonts w:hint="default" w:ascii="方正仿宋_GBK" w:hAnsi="方正仿宋_GBK" w:eastAsia="方正仿宋_GBK" w:cs="方正仿宋_GBK"/>
          <w:sz w:val="32"/>
          <w:szCs w:val="32"/>
          <w:lang w:val="zh-CN" w:eastAsia="zh-CN"/>
        </w:rPr>
        <w:t>绩效分析</w:t>
      </w:r>
      <w:r>
        <w:rPr>
          <w:rFonts w:hint="eastAsia" w:ascii="方正仿宋_GBK" w:hAnsi="方正仿宋_GBK" w:eastAsia="方正仿宋_GBK" w:cs="方正仿宋_GBK"/>
          <w:sz w:val="32"/>
          <w:szCs w:val="32"/>
          <w:lang w:val="zh-CN" w:eastAsia="zh-CN"/>
        </w:rPr>
        <w:t>并评分</w:t>
      </w:r>
      <w:r>
        <w:rPr>
          <w:rFonts w:hint="default" w:ascii="方正仿宋_GBK" w:hAnsi="方正仿宋_GBK" w:eastAsia="方正仿宋_GBK" w:cs="方正仿宋_GBK"/>
          <w:sz w:val="32"/>
          <w:szCs w:val="32"/>
          <w:lang w:val="zh-CN" w:eastAsia="zh-CN"/>
        </w:rPr>
        <w:t>，依次包括履职效能、预算管理、财务管理、资产管理、采购管理等情况。</w:t>
      </w:r>
    </w:p>
    <w:p w14:paraId="7F8C363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en-US" w:eastAsia="zh-CN"/>
        </w:rPr>
        <w:t>1.</w:t>
      </w:r>
      <w:r>
        <w:rPr>
          <w:rFonts w:hint="eastAsia" w:eastAsia="楷体_GB2312" w:cs="Times New Roman"/>
          <w:b/>
          <w:bCs/>
          <w:color w:val="000000"/>
          <w:kern w:val="0"/>
          <w:sz w:val="32"/>
          <w:szCs w:val="32"/>
          <w:highlight w:val="none"/>
          <w:shd w:val="clear" w:color="auto" w:fill="FFFFFF"/>
          <w:lang w:val="zh-CN"/>
        </w:rPr>
        <w:t>履职效能。</w:t>
      </w:r>
      <w:r>
        <w:rPr>
          <w:rFonts w:hint="eastAsia" w:ascii="方正仿宋_GBK" w:hAnsi="方正仿宋_GBK" w:eastAsia="方正仿宋_GBK" w:cs="方正仿宋_GBK"/>
          <w:sz w:val="32"/>
          <w:szCs w:val="32"/>
          <w:lang w:val="zh-CN" w:eastAsia="zh-CN"/>
        </w:rPr>
        <w:t>部门整体绩效目标中特定项目有老干部活动费项目自评得分97分*15分=14.4分，维修维护项目自评得分94分*15分=14.1分，取特定项目平均分为（14.4+14.1）/2=14.25分，履职效能自评分为14.25分。</w:t>
      </w:r>
    </w:p>
    <w:p w14:paraId="4AE83E1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en-US" w:eastAsia="zh-CN"/>
        </w:rPr>
        <w:t>2.</w:t>
      </w:r>
      <w:r>
        <w:rPr>
          <w:rFonts w:hint="default" w:eastAsia="楷体_GB2312" w:cs="Times New Roman"/>
          <w:b/>
          <w:bCs/>
          <w:color w:val="000000"/>
          <w:kern w:val="0"/>
          <w:sz w:val="32"/>
          <w:szCs w:val="32"/>
          <w:highlight w:val="none"/>
          <w:shd w:val="clear" w:color="auto" w:fill="FFFFFF"/>
          <w:lang w:val="zh-CN"/>
        </w:rPr>
        <w:t>预算管理</w:t>
      </w:r>
      <w:r>
        <w:rPr>
          <w:rFonts w:hint="eastAsia" w:eastAsia="楷体_GB2312" w:cs="Times New Roman"/>
          <w:b/>
          <w:bCs/>
          <w:color w:val="000000"/>
          <w:kern w:val="0"/>
          <w:sz w:val="32"/>
          <w:szCs w:val="32"/>
          <w:highlight w:val="none"/>
          <w:shd w:val="clear" w:color="auto" w:fill="FFFFFF"/>
          <w:lang w:val="en-US" w:eastAsia="zh-CN"/>
        </w:rPr>
        <w:t>10分</w:t>
      </w:r>
      <w:r>
        <w:rPr>
          <w:rFonts w:hint="eastAsia" w:eastAsia="楷体_GB2312" w:cs="Times New Roman"/>
          <w:b/>
          <w:bCs/>
          <w:color w:val="000000"/>
          <w:kern w:val="0"/>
          <w:sz w:val="32"/>
          <w:szCs w:val="32"/>
          <w:highlight w:val="none"/>
          <w:shd w:val="clear" w:color="auto" w:fill="FFFFFF"/>
          <w:lang w:val="zh-CN"/>
        </w:rPr>
        <w:t>。</w:t>
      </w:r>
      <w:r>
        <w:rPr>
          <w:rFonts w:hint="default" w:ascii="方正仿宋_GBK" w:hAnsi="方正仿宋_GBK" w:eastAsia="方正仿宋_GBK" w:cs="方正仿宋_GBK"/>
          <w:sz w:val="32"/>
          <w:szCs w:val="32"/>
          <w:lang w:val="zh-CN" w:eastAsia="zh-CN"/>
        </w:rPr>
        <w:t>预算管理</w:t>
      </w:r>
      <w:r>
        <w:rPr>
          <w:rFonts w:hint="eastAsia" w:ascii="方正仿宋_GBK" w:hAnsi="方正仿宋_GBK" w:eastAsia="方正仿宋_GBK" w:cs="方正仿宋_GBK"/>
          <w:sz w:val="32"/>
          <w:szCs w:val="32"/>
          <w:lang w:val="zh-CN" w:eastAsia="zh-CN"/>
        </w:rPr>
        <w:t>得分为</w:t>
      </w:r>
      <w:r>
        <w:rPr>
          <w:rFonts w:hint="eastAsia" w:ascii="方正仿宋_GBK" w:hAnsi="方正仿宋_GBK" w:eastAsia="方正仿宋_GBK" w:cs="方正仿宋_GBK"/>
          <w:sz w:val="32"/>
          <w:szCs w:val="32"/>
          <w:lang w:val="en-US" w:eastAsia="zh-CN"/>
        </w:rPr>
        <w:t>21.84分，</w:t>
      </w:r>
      <w:r>
        <w:rPr>
          <w:rFonts w:hint="eastAsia" w:ascii="方正仿宋_GBK" w:hAnsi="方正仿宋_GBK" w:eastAsia="方正仿宋_GBK" w:cs="方正仿宋_GBK"/>
          <w:sz w:val="32"/>
          <w:szCs w:val="32"/>
          <w:lang w:val="zh-CN" w:eastAsia="zh-CN"/>
        </w:rPr>
        <w:t>我单位严格按要求编制年初预算，保证年初预算编制的科学性、严格按照时间节点完成资金的支付，预算年终结余数为</w:t>
      </w:r>
      <w:r>
        <w:rPr>
          <w:rFonts w:hint="eastAsia" w:ascii="方正仿宋_GBK" w:hAnsi="方正仿宋_GBK" w:eastAsia="方正仿宋_GBK" w:cs="方正仿宋_GBK"/>
          <w:sz w:val="32"/>
          <w:szCs w:val="32"/>
          <w:lang w:val="en-US" w:eastAsia="zh-CN"/>
        </w:rPr>
        <w:t>0万元</w:t>
      </w:r>
      <w:r>
        <w:rPr>
          <w:rFonts w:hint="eastAsia" w:ascii="方正仿宋_GBK" w:hAnsi="方正仿宋_GBK" w:eastAsia="方正仿宋_GBK" w:cs="方正仿宋_GBK"/>
          <w:sz w:val="32"/>
          <w:szCs w:val="32"/>
          <w:lang w:val="zh-CN" w:eastAsia="zh-CN"/>
        </w:rPr>
        <w:t>、年末决算数是</w:t>
      </w:r>
      <w:r>
        <w:rPr>
          <w:rFonts w:hint="eastAsia" w:ascii="方正仿宋_GBK" w:hAnsi="方正仿宋_GBK" w:eastAsia="方正仿宋_GBK" w:cs="方正仿宋_GBK"/>
          <w:sz w:val="32"/>
          <w:szCs w:val="32"/>
          <w:lang w:val="en-US" w:eastAsia="zh-CN"/>
        </w:rPr>
        <w:t>278.5万元，</w:t>
      </w:r>
      <w:r>
        <w:rPr>
          <w:rFonts w:hint="eastAsia" w:ascii="方正仿宋_GBK" w:hAnsi="方正仿宋_GBK" w:eastAsia="方正仿宋_GBK" w:cs="方正仿宋_GBK"/>
          <w:sz w:val="32"/>
          <w:szCs w:val="32"/>
          <w:lang w:val="zh-CN" w:eastAsia="zh-CN"/>
        </w:rPr>
        <w:t>严控一般性支出。</w:t>
      </w:r>
    </w:p>
    <w:p w14:paraId="5280FEC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楷体_GB2312" w:hAnsi="楷体_GB2312" w:eastAsia="楷体_GB2312" w:cs="楷体_GB2312"/>
          <w:color w:val="000000"/>
          <w:kern w:val="0"/>
          <w:szCs w:val="32"/>
          <w:highlight w:val="none"/>
          <w:shd w:val="clear" w:color="auto" w:fill="FFFFFF"/>
          <w:lang w:val="zh-CN"/>
        </w:rPr>
      </w:pPr>
      <w:r>
        <w:rPr>
          <w:rFonts w:hint="eastAsia" w:eastAsia="楷体_GB2312" w:cs="Times New Roman"/>
          <w:b/>
          <w:bCs/>
          <w:color w:val="000000"/>
          <w:kern w:val="0"/>
          <w:sz w:val="32"/>
          <w:szCs w:val="32"/>
          <w:highlight w:val="none"/>
          <w:shd w:val="clear" w:color="auto" w:fill="FFFFFF"/>
          <w:lang w:val="en-US" w:eastAsia="zh-CN"/>
        </w:rPr>
        <w:t>3.</w:t>
      </w:r>
      <w:r>
        <w:rPr>
          <w:rFonts w:hint="default" w:eastAsia="楷体_GB2312" w:cs="Times New Roman"/>
          <w:b/>
          <w:bCs/>
          <w:color w:val="000000"/>
          <w:kern w:val="0"/>
          <w:sz w:val="32"/>
          <w:szCs w:val="32"/>
          <w:highlight w:val="none"/>
          <w:shd w:val="clear" w:color="auto" w:fill="FFFFFF"/>
          <w:lang w:val="zh-CN"/>
        </w:rPr>
        <w:t>财务管理</w:t>
      </w:r>
      <w:r>
        <w:rPr>
          <w:rFonts w:hint="eastAsia" w:eastAsia="楷体_GB2312" w:cs="Times New Roman"/>
          <w:b/>
          <w:bCs/>
          <w:color w:val="000000"/>
          <w:kern w:val="0"/>
          <w:sz w:val="32"/>
          <w:szCs w:val="32"/>
          <w:highlight w:val="none"/>
          <w:shd w:val="clear" w:color="auto" w:fill="FFFFFF"/>
          <w:lang w:val="en-US" w:eastAsia="zh-CN"/>
        </w:rPr>
        <w:t>9分</w:t>
      </w:r>
      <w:r>
        <w:rPr>
          <w:rFonts w:hint="eastAsia"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zh-CN" w:eastAsia="zh-CN"/>
        </w:rPr>
        <w:t>围绕财务管理制度、财务岗位设置、资金使用规范</w:t>
      </w:r>
      <w:r>
        <w:rPr>
          <w:rFonts w:hint="default" w:ascii="方正仿宋_GBK" w:hAnsi="方正仿宋_GBK" w:eastAsia="方正仿宋_GBK" w:cs="方正仿宋_GBK"/>
          <w:sz w:val="32"/>
          <w:szCs w:val="32"/>
          <w:lang w:val="zh-CN" w:eastAsia="zh-CN"/>
        </w:rPr>
        <w:t>进行绩效分析</w:t>
      </w:r>
      <w:r>
        <w:rPr>
          <w:rFonts w:hint="eastAsia" w:ascii="方正仿宋_GBK" w:hAnsi="方正仿宋_GBK" w:eastAsia="方正仿宋_GBK" w:cs="方正仿宋_GBK"/>
          <w:sz w:val="32"/>
          <w:szCs w:val="32"/>
          <w:lang w:val="zh-CN" w:eastAsia="zh-CN"/>
        </w:rPr>
        <w:t>。</w:t>
      </w:r>
    </w:p>
    <w:p w14:paraId="0E058C6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en-US" w:eastAsia="zh-CN"/>
        </w:rPr>
        <w:t>4.</w:t>
      </w:r>
      <w:r>
        <w:rPr>
          <w:rFonts w:hint="default" w:eastAsia="楷体_GB2312" w:cs="Times New Roman"/>
          <w:b/>
          <w:bCs/>
          <w:color w:val="000000"/>
          <w:kern w:val="0"/>
          <w:sz w:val="32"/>
          <w:szCs w:val="32"/>
          <w:highlight w:val="none"/>
          <w:shd w:val="clear" w:color="auto" w:fill="FFFFFF"/>
          <w:lang w:val="zh-CN"/>
        </w:rPr>
        <w:t>资产管理</w:t>
      </w:r>
      <w:r>
        <w:rPr>
          <w:rFonts w:hint="eastAsia" w:eastAsia="楷体_GB2312" w:cs="Times New Roman"/>
          <w:b/>
          <w:bCs/>
          <w:color w:val="000000"/>
          <w:kern w:val="0"/>
          <w:sz w:val="32"/>
          <w:szCs w:val="32"/>
          <w:highlight w:val="none"/>
          <w:shd w:val="clear" w:color="auto" w:fill="FFFFFF"/>
          <w:lang w:val="en-US" w:eastAsia="zh-CN"/>
        </w:rPr>
        <w:t>9分</w:t>
      </w:r>
      <w:r>
        <w:rPr>
          <w:rFonts w:hint="eastAsia"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zh-CN" w:eastAsia="zh-CN"/>
        </w:rPr>
        <w:t>我单位固定资产总额为</w:t>
      </w:r>
      <w:r>
        <w:rPr>
          <w:rFonts w:hint="eastAsia" w:ascii="方正仿宋_GBK" w:hAnsi="方正仿宋_GBK" w:eastAsia="方正仿宋_GBK" w:cs="方正仿宋_GBK"/>
          <w:sz w:val="32"/>
          <w:szCs w:val="32"/>
          <w:lang w:val="en-US" w:eastAsia="zh-CN"/>
        </w:rPr>
        <w:t>58.31万元，其中：公务用车一辆39.86万元。</w:t>
      </w:r>
    </w:p>
    <w:p w14:paraId="1BC83484">
      <w:pPr>
        <w:pageBreakBefore w:val="0"/>
        <w:kinsoku/>
        <w:wordWrap/>
        <w:overflowPunct/>
        <w:topLinePunct w:val="0"/>
        <w:autoSpaceDE/>
        <w:autoSpaceDN/>
        <w:bidi w:val="0"/>
        <w:spacing w:line="570" w:lineRule="exact"/>
        <w:ind w:left="0" w:leftChars="0" w:firstLine="643" w:firstLineChars="200"/>
        <w:textAlignment w:val="auto"/>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en-US" w:eastAsia="zh-CN"/>
        </w:rPr>
        <w:t>5.</w:t>
      </w:r>
      <w:r>
        <w:rPr>
          <w:rFonts w:hint="default" w:eastAsia="楷体_GB2312" w:cs="Times New Roman"/>
          <w:b/>
          <w:bCs/>
          <w:color w:val="000000"/>
          <w:kern w:val="0"/>
          <w:sz w:val="32"/>
          <w:szCs w:val="32"/>
          <w:highlight w:val="none"/>
          <w:shd w:val="clear" w:color="auto" w:fill="FFFFFF"/>
          <w:lang w:val="zh-CN"/>
        </w:rPr>
        <w:t>采购管理</w:t>
      </w:r>
      <w:r>
        <w:rPr>
          <w:rFonts w:hint="eastAsia" w:eastAsia="楷体_GB2312" w:cs="Times New Roman"/>
          <w:b/>
          <w:bCs/>
          <w:color w:val="000000"/>
          <w:kern w:val="0"/>
          <w:sz w:val="32"/>
          <w:szCs w:val="32"/>
          <w:highlight w:val="none"/>
          <w:shd w:val="clear" w:color="auto" w:fill="FFFFFF"/>
          <w:lang w:val="en-US" w:eastAsia="zh-CN"/>
        </w:rPr>
        <w:t>6分</w:t>
      </w:r>
      <w:r>
        <w:rPr>
          <w:rFonts w:hint="eastAsia"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zh-CN" w:eastAsia="zh-CN"/>
        </w:rPr>
        <w:t>我单位严格按照严格执行政府采购促进中小企业发展相关管理办法，2024年</w:t>
      </w:r>
      <w:r>
        <w:rPr>
          <w:rFonts w:hint="eastAsia" w:ascii="方正仿宋_GBK" w:hAnsi="方正仿宋_GBK" w:eastAsia="方正仿宋_GBK" w:cs="方正仿宋_GBK"/>
          <w:sz w:val="32"/>
          <w:szCs w:val="32"/>
          <w:lang w:val="en-US" w:eastAsia="zh-CN"/>
        </w:rPr>
        <w:t>新增固定资产7.24万元</w:t>
      </w:r>
      <w:r>
        <w:rPr>
          <w:rFonts w:hint="eastAsia" w:ascii="方正仿宋_GBK" w:hAnsi="方正仿宋_GBK" w:eastAsia="方正仿宋_GBK" w:cs="方正仿宋_GBK"/>
          <w:sz w:val="32"/>
          <w:szCs w:val="32"/>
          <w:lang w:val="zh-CN" w:eastAsia="zh-CN"/>
        </w:rPr>
        <w:t>。</w:t>
      </w:r>
    </w:p>
    <w:p w14:paraId="19900DBB">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default" w:eastAsia="楷体_GB2312" w:cs="Times New Roman"/>
          <w:b/>
          <w:bCs/>
          <w:color w:val="000000"/>
          <w:kern w:val="0"/>
          <w:sz w:val="32"/>
          <w:szCs w:val="32"/>
          <w:highlight w:val="none"/>
          <w:shd w:val="clear" w:color="auto" w:fill="FFFFFF"/>
          <w:lang w:val="en-US" w:eastAsia="zh-CN"/>
        </w:rPr>
      </w:pPr>
      <w:r>
        <w:rPr>
          <w:rFonts w:hint="default" w:eastAsia="楷体_GB2312" w:cs="Times New Roman"/>
          <w:b/>
          <w:bCs/>
          <w:color w:val="000000"/>
          <w:kern w:val="0"/>
          <w:sz w:val="32"/>
          <w:szCs w:val="32"/>
          <w:highlight w:val="none"/>
          <w:shd w:val="clear" w:color="auto" w:fill="FFFFFF"/>
          <w:lang w:val="zh-CN"/>
        </w:rPr>
        <w:t>（二）部门预算项目绩效分析。</w:t>
      </w:r>
    </w:p>
    <w:p w14:paraId="13BB8361">
      <w:pPr>
        <w:pageBreakBefore w:val="0"/>
        <w:kinsoku/>
        <w:wordWrap/>
        <w:overflowPunct/>
        <w:topLinePunct w:val="0"/>
        <w:autoSpaceDE/>
        <w:autoSpaceDN/>
        <w:bidi w:val="0"/>
        <w:spacing w:line="570" w:lineRule="exact"/>
        <w:ind w:left="0" w:leftChars="0" w:firstLine="640" w:firstLineChars="200"/>
        <w:textAlignment w:val="auto"/>
        <w:rPr>
          <w:rFonts w:hint="default" w:ascii="方正仿宋_GBK" w:hAnsi="方正仿宋_GBK" w:eastAsia="方正仿宋_GBK" w:cs="方正仿宋_GBK"/>
          <w:sz w:val="32"/>
          <w:szCs w:val="32"/>
          <w:lang w:val="zh-CN" w:eastAsia="zh-CN"/>
        </w:rPr>
      </w:pPr>
      <w:r>
        <w:rPr>
          <w:rFonts w:hint="default" w:ascii="方正仿宋_GBK" w:hAnsi="方正仿宋_GBK" w:eastAsia="方正仿宋_GBK" w:cs="方正仿宋_GBK"/>
          <w:sz w:val="32"/>
          <w:szCs w:val="32"/>
          <w:lang w:val="en-US" w:eastAsia="zh-CN"/>
        </w:rPr>
        <w:t>常年项目绩效分析</w:t>
      </w:r>
      <w:r>
        <w:rPr>
          <w:rFonts w:hint="eastAsia" w:ascii="方正仿宋_GBK" w:hAnsi="方正仿宋_GBK" w:eastAsia="方正仿宋_GBK" w:cs="方正仿宋_GBK"/>
          <w:sz w:val="32"/>
          <w:szCs w:val="32"/>
          <w:lang w:val="en-US" w:eastAsia="zh-CN"/>
        </w:rPr>
        <w:t>为35分</w:t>
      </w:r>
      <w:r>
        <w:rPr>
          <w:rFonts w:hint="default"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zh-CN" w:eastAsia="zh-CN"/>
        </w:rPr>
        <w:t>该类项目总数</w:t>
      </w: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zh-CN" w:eastAsia="zh-CN"/>
        </w:rPr>
        <w:t>个，涉及预算总金额</w:t>
      </w:r>
      <w:r>
        <w:rPr>
          <w:rFonts w:hint="eastAsia" w:ascii="方正仿宋_GBK" w:hAnsi="方正仿宋_GBK" w:eastAsia="方正仿宋_GBK" w:cs="方正仿宋_GBK"/>
          <w:sz w:val="32"/>
          <w:szCs w:val="32"/>
          <w:lang w:val="en-US" w:eastAsia="zh-CN"/>
        </w:rPr>
        <w:t>39.33</w:t>
      </w:r>
      <w:r>
        <w:rPr>
          <w:rFonts w:hint="default" w:ascii="方正仿宋_GBK" w:hAnsi="方正仿宋_GBK" w:eastAsia="方正仿宋_GBK" w:cs="方正仿宋_GBK"/>
          <w:sz w:val="32"/>
          <w:szCs w:val="32"/>
          <w:lang w:val="zh-CN" w:eastAsia="zh-CN"/>
        </w:rPr>
        <w:t>万元，1</w:t>
      </w:r>
      <w:r>
        <w:rPr>
          <w:rFonts w:hint="eastAsia" w:ascii="方正仿宋_GBK" w:hAnsi="方正仿宋_GBK" w:eastAsia="方正仿宋_GBK" w:cs="方正仿宋_GBK"/>
          <w:sz w:val="32"/>
          <w:szCs w:val="32"/>
          <w:lang w:val="zh-CN" w:eastAsia="zh-CN"/>
        </w:rPr>
        <w:t>—</w:t>
      </w:r>
      <w:r>
        <w:rPr>
          <w:rFonts w:hint="default" w:ascii="方正仿宋_GBK" w:hAnsi="方正仿宋_GBK" w:eastAsia="方正仿宋_GBK" w:cs="方正仿宋_GBK"/>
          <w:sz w:val="32"/>
          <w:szCs w:val="32"/>
          <w:lang w:val="zh-CN" w:eastAsia="zh-CN"/>
        </w:rPr>
        <w:t>1</w:t>
      </w:r>
      <w:r>
        <w:rPr>
          <w:rFonts w:hint="default"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zh-CN" w:eastAsia="zh-CN"/>
        </w:rPr>
        <w:t>月预算执行总体进度为</w:t>
      </w:r>
      <w:r>
        <w:rPr>
          <w:rFonts w:hint="eastAsia" w:ascii="方正仿宋_GBK" w:hAnsi="方正仿宋_GBK" w:eastAsia="方正仿宋_GBK" w:cs="方正仿宋_GBK"/>
          <w:sz w:val="32"/>
          <w:szCs w:val="32"/>
          <w:lang w:val="en-US" w:eastAsia="zh-CN"/>
        </w:rPr>
        <w:t>100</w:t>
      </w:r>
      <w:r>
        <w:rPr>
          <w:rFonts w:hint="default" w:ascii="方正仿宋_GBK" w:hAnsi="方正仿宋_GBK" w:eastAsia="方正仿宋_GBK" w:cs="方正仿宋_GBK"/>
          <w:sz w:val="32"/>
          <w:szCs w:val="32"/>
          <w:lang w:val="zh-CN" w:eastAsia="zh-CN"/>
        </w:rPr>
        <w:t>%，其中：预算结余率大于</w:t>
      </w:r>
      <w:r>
        <w:rPr>
          <w:rFonts w:hint="default" w:ascii="方正仿宋_GBK" w:hAnsi="方正仿宋_GBK" w:eastAsia="方正仿宋_GBK" w:cs="方正仿宋_GBK"/>
          <w:sz w:val="32"/>
          <w:szCs w:val="32"/>
          <w:lang w:val="en-US" w:eastAsia="zh-CN"/>
        </w:rPr>
        <w:t>10%</w:t>
      </w:r>
      <w:r>
        <w:rPr>
          <w:rFonts w:hint="default" w:ascii="方正仿宋_GBK" w:hAnsi="方正仿宋_GBK" w:eastAsia="方正仿宋_GBK" w:cs="方正仿宋_GBK"/>
          <w:sz w:val="32"/>
          <w:szCs w:val="32"/>
          <w:lang w:val="zh-CN" w:eastAsia="zh-CN"/>
        </w:rPr>
        <w:t>的项目共计</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zh-CN" w:eastAsia="zh-CN"/>
        </w:rPr>
        <w:t>个。</w:t>
      </w:r>
    </w:p>
    <w:p w14:paraId="5C544FAF">
      <w:pPr>
        <w:pageBreakBefore w:val="0"/>
        <w:kinsoku/>
        <w:wordWrap/>
        <w:overflowPunct/>
        <w:topLinePunct w:val="0"/>
        <w:autoSpaceDE/>
        <w:autoSpaceDN/>
        <w:bidi w:val="0"/>
        <w:spacing w:line="570" w:lineRule="exact"/>
        <w:ind w:left="0" w:leftChars="0" w:firstLine="640" w:firstLineChars="200"/>
        <w:textAlignment w:val="auto"/>
        <w:rPr>
          <w:rFonts w:hint="default" w:ascii="方正仿宋_GBK" w:hAnsi="方正仿宋_GBK" w:eastAsia="方正仿宋_GBK" w:cs="方正仿宋_GBK"/>
          <w:sz w:val="32"/>
          <w:szCs w:val="32"/>
          <w:lang w:val="zh-CN" w:eastAsia="zh-CN"/>
        </w:rPr>
      </w:pPr>
      <w:r>
        <w:rPr>
          <w:rFonts w:hint="default" w:ascii="方正仿宋_GBK" w:hAnsi="方正仿宋_GBK" w:eastAsia="方正仿宋_GBK" w:cs="方正仿宋_GBK"/>
          <w:sz w:val="32"/>
          <w:szCs w:val="32"/>
          <w:lang w:val="en-US" w:eastAsia="zh-CN"/>
        </w:rPr>
        <w:t>阶段</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一次性</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项目绩效分析。</w:t>
      </w:r>
      <w:r>
        <w:rPr>
          <w:rFonts w:hint="default" w:ascii="方正仿宋_GBK" w:hAnsi="方正仿宋_GBK" w:eastAsia="方正仿宋_GBK" w:cs="方正仿宋_GBK"/>
          <w:sz w:val="32"/>
          <w:szCs w:val="32"/>
          <w:lang w:val="zh-CN" w:eastAsia="zh-CN"/>
        </w:rPr>
        <w:t>该类项目总数</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zh-CN" w:eastAsia="zh-CN"/>
        </w:rPr>
        <w:t>个，涉及预算总金额</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zh-CN" w:eastAsia="zh-CN"/>
        </w:rPr>
        <w:t>万元，1</w:t>
      </w:r>
      <w:r>
        <w:rPr>
          <w:rFonts w:hint="eastAsia" w:ascii="方正仿宋_GBK" w:hAnsi="方正仿宋_GBK" w:eastAsia="方正仿宋_GBK" w:cs="方正仿宋_GBK"/>
          <w:sz w:val="32"/>
          <w:szCs w:val="32"/>
          <w:lang w:val="zh-CN" w:eastAsia="zh-CN"/>
        </w:rPr>
        <w:t>—</w:t>
      </w:r>
      <w:r>
        <w:rPr>
          <w:rFonts w:hint="default" w:ascii="方正仿宋_GBK" w:hAnsi="方正仿宋_GBK" w:eastAsia="方正仿宋_GBK" w:cs="方正仿宋_GBK"/>
          <w:sz w:val="32"/>
          <w:szCs w:val="32"/>
          <w:lang w:val="zh-CN" w:eastAsia="zh-CN"/>
        </w:rPr>
        <w:t>1</w:t>
      </w:r>
      <w:r>
        <w:rPr>
          <w:rFonts w:hint="default"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zh-CN" w:eastAsia="zh-CN"/>
        </w:rPr>
        <w:t>月预算执行总体进度为</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zh-CN" w:eastAsia="zh-CN"/>
        </w:rPr>
        <w:t>%，其中：预算结余率大于</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zh-CN" w:eastAsia="zh-CN"/>
        </w:rPr>
        <w:t>的项目共计</w:t>
      </w: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zh-CN" w:eastAsia="zh-CN"/>
        </w:rPr>
        <w:t>个。</w:t>
      </w:r>
    </w:p>
    <w:p w14:paraId="5CB50EF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en-US" w:eastAsia="zh-CN"/>
        </w:rPr>
        <w:t>1.</w:t>
      </w:r>
      <w:r>
        <w:rPr>
          <w:rFonts w:hint="eastAsia" w:eastAsia="楷体_GB2312" w:cs="Times New Roman"/>
          <w:b/>
          <w:bCs/>
          <w:color w:val="000000"/>
          <w:kern w:val="0"/>
          <w:sz w:val="32"/>
          <w:szCs w:val="32"/>
          <w:highlight w:val="none"/>
          <w:shd w:val="clear" w:color="auto" w:fill="FFFFFF"/>
          <w:lang w:val="zh-CN"/>
        </w:rPr>
        <w:t>项目决策。</w:t>
      </w:r>
      <w:r>
        <w:rPr>
          <w:rFonts w:hint="eastAsia" w:ascii="方正仿宋_GBK" w:hAnsi="方正仿宋_GBK" w:eastAsia="方正仿宋_GBK" w:cs="方正仿宋_GBK"/>
          <w:sz w:val="32"/>
          <w:szCs w:val="32"/>
          <w:lang w:val="zh-CN" w:eastAsia="zh-CN"/>
        </w:rPr>
        <w:t>围绕决策程序、目标设置、项目入库</w:t>
      </w:r>
      <w:r>
        <w:rPr>
          <w:rFonts w:hint="default" w:ascii="方正仿宋_GBK" w:hAnsi="方正仿宋_GBK" w:eastAsia="方正仿宋_GBK" w:cs="方正仿宋_GBK"/>
          <w:sz w:val="32"/>
          <w:szCs w:val="32"/>
          <w:lang w:val="zh-CN" w:eastAsia="zh-CN"/>
        </w:rPr>
        <w:t>进行绩效分析</w:t>
      </w:r>
      <w:r>
        <w:rPr>
          <w:rFonts w:hint="eastAsia" w:ascii="方正仿宋_GBK" w:hAnsi="方正仿宋_GBK" w:eastAsia="方正仿宋_GBK" w:cs="方正仿宋_GBK"/>
          <w:sz w:val="32"/>
          <w:szCs w:val="32"/>
          <w:lang w:val="zh-CN" w:eastAsia="zh-CN"/>
        </w:rPr>
        <w:t>。</w:t>
      </w:r>
    </w:p>
    <w:p w14:paraId="7565200D">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en-US" w:eastAsia="zh-CN"/>
        </w:rPr>
        <w:t>2.项目执行</w:t>
      </w:r>
      <w:r>
        <w:rPr>
          <w:rFonts w:hint="eastAsia"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zh-CN" w:eastAsia="zh-CN"/>
        </w:rPr>
        <w:t>围绕资金执行同向、项目调整、执行结果</w:t>
      </w:r>
      <w:r>
        <w:rPr>
          <w:rFonts w:hint="default" w:ascii="方正仿宋_GBK" w:hAnsi="方正仿宋_GBK" w:eastAsia="方正仿宋_GBK" w:cs="方正仿宋_GBK"/>
          <w:sz w:val="32"/>
          <w:szCs w:val="32"/>
          <w:lang w:val="zh-CN" w:eastAsia="zh-CN"/>
        </w:rPr>
        <w:t>进行绩效分析</w:t>
      </w:r>
      <w:r>
        <w:rPr>
          <w:rFonts w:hint="eastAsia" w:ascii="方正仿宋_GBK" w:hAnsi="方正仿宋_GBK" w:eastAsia="方正仿宋_GBK" w:cs="方正仿宋_GBK"/>
          <w:sz w:val="32"/>
          <w:szCs w:val="32"/>
          <w:lang w:val="zh-CN" w:eastAsia="zh-CN"/>
        </w:rPr>
        <w:t>。</w:t>
      </w:r>
    </w:p>
    <w:p w14:paraId="1771524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zh-CN" w:eastAsia="zh-CN"/>
        </w:rPr>
      </w:pPr>
      <w:r>
        <w:rPr>
          <w:rFonts w:hint="eastAsia" w:eastAsia="楷体_GB2312" w:cs="Times New Roman"/>
          <w:b/>
          <w:bCs/>
          <w:color w:val="000000"/>
          <w:kern w:val="0"/>
          <w:sz w:val="32"/>
          <w:szCs w:val="32"/>
          <w:highlight w:val="none"/>
          <w:shd w:val="clear" w:color="auto" w:fill="FFFFFF"/>
          <w:lang w:val="en-US" w:eastAsia="zh-CN"/>
        </w:rPr>
        <w:t>3.</w:t>
      </w:r>
      <w:r>
        <w:rPr>
          <w:rFonts w:hint="eastAsia" w:eastAsia="楷体_GB2312" w:cs="Times New Roman"/>
          <w:b/>
          <w:bCs/>
          <w:color w:val="000000"/>
          <w:kern w:val="0"/>
          <w:sz w:val="32"/>
          <w:szCs w:val="32"/>
          <w:highlight w:val="none"/>
          <w:shd w:val="clear" w:color="auto" w:fill="FFFFFF"/>
          <w:lang w:val="zh-CN"/>
        </w:rPr>
        <w:t>目标实现。</w:t>
      </w:r>
      <w:r>
        <w:rPr>
          <w:rFonts w:hint="eastAsia" w:ascii="方正仿宋_GBK" w:hAnsi="方正仿宋_GBK" w:eastAsia="方正仿宋_GBK" w:cs="方正仿宋_GBK"/>
          <w:sz w:val="32"/>
          <w:szCs w:val="32"/>
          <w:lang w:val="zh-CN" w:eastAsia="zh-CN"/>
        </w:rPr>
        <w:t>围绕目标完成、目标偏离、实现效果</w:t>
      </w:r>
      <w:r>
        <w:rPr>
          <w:rFonts w:hint="default" w:ascii="方正仿宋_GBK" w:hAnsi="方正仿宋_GBK" w:eastAsia="方正仿宋_GBK" w:cs="方正仿宋_GBK"/>
          <w:sz w:val="32"/>
          <w:szCs w:val="32"/>
          <w:lang w:val="zh-CN" w:eastAsia="zh-CN"/>
        </w:rPr>
        <w:t>进行绩效分析</w:t>
      </w:r>
      <w:r>
        <w:rPr>
          <w:rFonts w:hint="eastAsia" w:ascii="方正仿宋_GBK" w:hAnsi="方正仿宋_GBK" w:eastAsia="方正仿宋_GBK" w:cs="方正仿宋_GBK"/>
          <w:sz w:val="32"/>
          <w:szCs w:val="32"/>
          <w:lang w:val="zh-CN" w:eastAsia="zh-CN"/>
        </w:rPr>
        <w:t>。</w:t>
      </w:r>
    </w:p>
    <w:p w14:paraId="224D12FD">
      <w:pPr>
        <w:keepNext w:val="0"/>
        <w:keepLines w:val="0"/>
        <w:pageBreakBefore w:val="0"/>
        <w:kinsoku/>
        <w:wordWrap/>
        <w:overflowPunct/>
        <w:topLinePunct w:val="0"/>
        <w:autoSpaceDE/>
        <w:autoSpaceDN/>
        <w:bidi w:val="0"/>
        <w:adjustRightInd/>
        <w:snapToGrid w:val="0"/>
        <w:spacing w:beforeAutospacing="0" w:afterAutospacing="0" w:line="570" w:lineRule="exact"/>
        <w:ind w:left="0" w:leftChars="0" w:right="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我单位2024年度不</w:t>
      </w:r>
      <w:r>
        <w:rPr>
          <w:rFonts w:hint="default" w:ascii="方正仿宋_GBK" w:hAnsi="方正仿宋_GBK" w:eastAsia="方正仿宋_GBK" w:cs="方正仿宋_GBK"/>
          <w:sz w:val="32"/>
          <w:szCs w:val="32"/>
          <w:lang w:val="en-US" w:eastAsia="zh-CN"/>
        </w:rPr>
        <w:t>涉及国有资本经营预算、社会保险基金预算的。</w:t>
      </w:r>
    </w:p>
    <w:p w14:paraId="466CBAE6">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default" w:ascii="方正仿宋_GBK" w:hAnsi="方正仿宋_GBK" w:eastAsia="方正仿宋_GBK" w:cs="方正仿宋_GBK"/>
          <w:sz w:val="32"/>
          <w:szCs w:val="32"/>
          <w:lang w:val="en-US" w:eastAsia="zh-CN"/>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三</w:t>
      </w:r>
      <w:r>
        <w:rPr>
          <w:rFonts w:hint="default" w:eastAsia="楷体_GB2312" w:cs="Times New Roman"/>
          <w:b/>
          <w:bCs/>
          <w:color w:val="000000"/>
          <w:kern w:val="0"/>
          <w:sz w:val="32"/>
          <w:szCs w:val="32"/>
          <w:highlight w:val="none"/>
          <w:shd w:val="clear" w:color="auto" w:fill="FFFFFF"/>
          <w:lang w:val="zh-CN"/>
        </w:rPr>
        <w:t>）</w:t>
      </w:r>
      <w:r>
        <w:rPr>
          <w:rFonts w:hint="default" w:eastAsia="楷体_GB2312" w:cs="Times New Roman"/>
          <w:b/>
          <w:bCs/>
          <w:color w:val="000000"/>
          <w:kern w:val="0"/>
          <w:sz w:val="32"/>
          <w:szCs w:val="32"/>
          <w:highlight w:val="none"/>
          <w:shd w:val="clear" w:color="auto" w:fill="FFFFFF"/>
          <w:lang w:val="zh-CN" w:eastAsia="zh-CN"/>
        </w:rPr>
        <w:t>重点领域</w:t>
      </w:r>
      <w:r>
        <w:rPr>
          <w:rFonts w:hint="default" w:eastAsia="楷体_GB2312" w:cs="Times New Roman"/>
          <w:b/>
          <w:bCs/>
          <w:color w:val="000000"/>
          <w:kern w:val="0"/>
          <w:sz w:val="32"/>
          <w:szCs w:val="32"/>
          <w:highlight w:val="none"/>
          <w:shd w:val="clear" w:color="auto" w:fill="FFFFFF"/>
          <w:lang w:val="zh-CN"/>
        </w:rPr>
        <w:t>绩效分析</w:t>
      </w:r>
      <w:r>
        <w:rPr>
          <w:rFonts w:hint="default" w:eastAsia="楷体_GB2312" w:cs="Times New Roman"/>
          <w:b/>
          <w:bCs/>
          <w:color w:val="000000"/>
          <w:kern w:val="0"/>
          <w:sz w:val="32"/>
          <w:szCs w:val="32"/>
          <w:highlight w:val="none"/>
          <w:shd w:val="clear" w:color="auto" w:fill="FFFFFF"/>
          <w:lang w:val="zh-CN" w:eastAsia="zh-CN"/>
        </w:rPr>
        <w:t>。</w:t>
      </w:r>
      <w:r>
        <w:rPr>
          <w:rFonts w:hint="eastAsia" w:ascii="方正仿宋_GBK" w:hAnsi="方正仿宋_GBK" w:eastAsia="方正仿宋_GBK" w:cs="方正仿宋_GBK"/>
          <w:sz w:val="32"/>
          <w:szCs w:val="32"/>
          <w:lang w:val="en-US" w:eastAsia="zh-CN"/>
        </w:rPr>
        <w:t>我单位2024年度不</w:t>
      </w:r>
      <w:r>
        <w:rPr>
          <w:rFonts w:hint="default" w:ascii="方正仿宋_GBK" w:hAnsi="方正仿宋_GBK" w:eastAsia="方正仿宋_GBK" w:cs="方正仿宋_GBK"/>
          <w:sz w:val="32"/>
          <w:szCs w:val="32"/>
          <w:lang w:val="en-US" w:eastAsia="zh-CN"/>
        </w:rPr>
        <w:t>涉及国有资本、行政事业性国有资产、债券资金、政府采购和政府购买服务等重点领域的</w:t>
      </w:r>
      <w:r>
        <w:rPr>
          <w:rFonts w:hint="eastAsia" w:ascii="方正仿宋_GBK" w:hAnsi="方正仿宋_GBK" w:eastAsia="方正仿宋_GBK" w:cs="方正仿宋_GBK"/>
          <w:sz w:val="32"/>
          <w:szCs w:val="32"/>
          <w:lang w:val="en-US" w:eastAsia="zh-CN"/>
        </w:rPr>
        <w:t>。</w:t>
      </w:r>
    </w:p>
    <w:p w14:paraId="4C1937C1">
      <w:pPr>
        <w:keepNext w:val="0"/>
        <w:keepLines w:val="0"/>
        <w:pageBreakBefore w:val="0"/>
        <w:widowControl w:val="0"/>
        <w:kinsoku/>
        <w:wordWrap/>
        <w:overflowPunct/>
        <w:topLinePunct w:val="0"/>
        <w:autoSpaceDE/>
        <w:autoSpaceDN/>
        <w:bidi w:val="0"/>
        <w:snapToGrid w:val="0"/>
        <w:spacing w:line="570" w:lineRule="exact"/>
        <w:ind w:left="0" w:leftChars="0" w:firstLine="643" w:firstLineChars="200"/>
        <w:textAlignment w:val="auto"/>
        <w:rPr>
          <w:rFonts w:hint="default" w:ascii="方正仿宋_GBK" w:hAnsi="方正仿宋_GBK" w:eastAsia="方正仿宋_GBK" w:cs="方正仿宋_GBK"/>
          <w:sz w:val="32"/>
          <w:szCs w:val="32"/>
          <w:lang w:val="en-US" w:eastAsia="zh-CN"/>
        </w:rPr>
      </w:pPr>
      <w:r>
        <w:rPr>
          <w:rFonts w:hint="default" w:eastAsia="楷体_GB2312" w:cs="Times New Roman"/>
          <w:b/>
          <w:bCs/>
          <w:color w:val="000000"/>
          <w:kern w:val="0"/>
          <w:sz w:val="32"/>
          <w:szCs w:val="32"/>
          <w:highlight w:val="none"/>
          <w:shd w:val="clear" w:color="auto" w:fill="FFFFFF"/>
          <w:lang w:val="zh-CN"/>
        </w:rPr>
        <w:t>（四）绩效结果应用情况</w:t>
      </w:r>
      <w:r>
        <w:rPr>
          <w:rFonts w:hint="eastAsia" w:eastAsia="楷体_GB2312" w:cs="Times New Roman"/>
          <w:b/>
          <w:bCs/>
          <w:color w:val="000000"/>
          <w:kern w:val="0"/>
          <w:sz w:val="32"/>
          <w:szCs w:val="32"/>
          <w:highlight w:val="none"/>
          <w:shd w:val="clear" w:color="auto" w:fill="FFFFFF"/>
          <w:lang w:val="zh-CN"/>
        </w:rPr>
        <w:t>。</w:t>
      </w:r>
      <w:r>
        <w:rPr>
          <w:rFonts w:hint="eastAsia" w:ascii="方正仿宋_GBK" w:hAnsi="方正仿宋_GBK" w:eastAsia="方正仿宋_GBK" w:cs="方正仿宋_GBK"/>
          <w:sz w:val="32"/>
          <w:szCs w:val="32"/>
          <w:lang w:val="zh-CN" w:eastAsia="zh-CN"/>
        </w:rPr>
        <w:t>我单位的预决算工作在政务网站按时按质的完成公开。</w:t>
      </w:r>
    </w:p>
    <w:p w14:paraId="1D728E08">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default" w:ascii="方正仿宋_GBK" w:hAnsi="方正仿宋_GBK" w:eastAsia="方正仿宋_GBK" w:cs="方正仿宋_GBK"/>
          <w:sz w:val="32"/>
          <w:szCs w:val="32"/>
          <w:lang w:val="en-US" w:eastAsia="zh-CN"/>
        </w:rPr>
      </w:pPr>
      <w:r>
        <w:rPr>
          <w:rFonts w:hint="default" w:eastAsia="楷体_GB2312" w:cs="Times New Roman"/>
          <w:b/>
          <w:bCs/>
          <w:color w:val="000000"/>
          <w:kern w:val="0"/>
          <w:sz w:val="32"/>
          <w:szCs w:val="32"/>
          <w:highlight w:val="none"/>
          <w:shd w:val="clear" w:color="auto" w:fill="FFFFFF"/>
          <w:lang w:val="zh-CN"/>
        </w:rPr>
        <w:t>（一）评价结论。</w:t>
      </w:r>
      <w:r>
        <w:rPr>
          <w:rFonts w:hint="eastAsia" w:ascii="方正仿宋_GBK" w:hAnsi="方正仿宋_GBK" w:eastAsia="方正仿宋_GBK" w:cs="方正仿宋_GBK"/>
          <w:sz w:val="32"/>
          <w:szCs w:val="32"/>
          <w:lang w:val="en-US" w:eastAsia="zh-CN"/>
        </w:rPr>
        <w:t>2024年度我单位部门预算绩效自评总体分为96.09分。</w:t>
      </w:r>
    </w:p>
    <w:p w14:paraId="0B2157CB">
      <w:pPr>
        <w:keepNext w:val="0"/>
        <w:keepLines w:val="0"/>
        <w:pageBreakBefore w:val="0"/>
        <w:widowControl/>
        <w:kinsoku/>
        <w:wordWrap/>
        <w:overflowPunct/>
        <w:topLinePunct w:val="0"/>
        <w:autoSpaceDE/>
        <w:autoSpaceDN/>
        <w:bidi w:val="0"/>
        <w:adjustRightInd w:val="0"/>
        <w:snapToGrid w:val="0"/>
        <w:spacing w:line="570" w:lineRule="exact"/>
        <w:ind w:left="0" w:leftChars="0" w:firstLine="643" w:firstLineChars="200"/>
        <w:contextualSpacing/>
        <w:jc w:val="left"/>
        <w:textAlignment w:val="auto"/>
        <w:outlineLvl w:val="9"/>
        <w:rPr>
          <w:rFonts w:hint="eastAsia" w:ascii="方正仿宋_GBK" w:hAnsi="方正仿宋_GBK" w:eastAsia="方正仿宋_GBK" w:cs="方正仿宋_GBK"/>
          <w:sz w:val="32"/>
          <w:szCs w:val="32"/>
          <w:lang w:val="en-US" w:eastAsia="zh-CN"/>
        </w:rPr>
      </w:pPr>
      <w:r>
        <w:rPr>
          <w:rFonts w:hint="default" w:eastAsia="楷体_GB2312" w:cs="Times New Roman"/>
          <w:b/>
          <w:bCs/>
          <w:color w:val="000000"/>
          <w:kern w:val="0"/>
          <w:sz w:val="32"/>
          <w:szCs w:val="32"/>
          <w:highlight w:val="none"/>
          <w:shd w:val="clear" w:color="auto" w:fill="FFFFFF"/>
          <w:lang w:val="zh-CN"/>
        </w:rPr>
        <w:t>（二）存在问题。</w:t>
      </w:r>
      <w:r>
        <w:rPr>
          <w:rFonts w:hint="eastAsia" w:ascii="方正仿宋_GBK" w:hAnsi="方正仿宋_GBK" w:eastAsia="方正仿宋_GBK" w:cs="方正仿宋_GBK"/>
          <w:sz w:val="32"/>
          <w:szCs w:val="32"/>
          <w:lang w:val="en-US" w:eastAsia="zh-CN"/>
        </w:rPr>
        <w:t>2024年度我单位部门预算绩效自评发现的主要问题是项目执行进度较为缓慢。</w:t>
      </w:r>
    </w:p>
    <w:p w14:paraId="100A9795">
      <w:pPr>
        <w:pageBreakBefore w:val="0"/>
        <w:widowControl/>
        <w:kinsoku/>
        <w:wordWrap/>
        <w:overflowPunct/>
        <w:topLinePunct w:val="0"/>
        <w:autoSpaceDE/>
        <w:autoSpaceDN/>
        <w:bidi w:val="0"/>
        <w:spacing w:line="570" w:lineRule="exact"/>
        <w:ind w:left="0" w:leftChars="0" w:firstLine="422" w:firstLineChars="200"/>
        <w:jc w:val="left"/>
        <w:textAlignment w:val="auto"/>
        <w:rPr>
          <w:rFonts w:hint="eastAsia" w:ascii="方正仿宋_GBK" w:hAnsi="方正仿宋_GBK" w:eastAsia="方正仿宋_GBK" w:cs="方正仿宋_GBK"/>
          <w:sz w:val="32"/>
          <w:szCs w:val="32"/>
          <w:lang w:val="en-US" w:eastAsia="zh-CN"/>
        </w:rPr>
      </w:pPr>
      <w:r>
        <w:rPr>
          <w:rFonts w:hint="eastAsia" w:eastAsia="楷体_GB2312" w:cs="Times New Roman"/>
          <w:b/>
          <w:bCs/>
          <w:color w:val="000000"/>
          <w:kern w:val="0"/>
          <w:szCs w:val="32"/>
          <w:highlight w:val="none"/>
          <w:shd w:val="clear" w:color="auto" w:fill="FFFFFF"/>
          <w:lang w:val="en-US" w:eastAsia="zh-CN"/>
        </w:rPr>
        <w:t xml:space="preserve">  </w:t>
      </w:r>
      <w:r>
        <w:rPr>
          <w:rFonts w:hint="eastAsia" w:eastAsia="楷体_GB2312" w:cs="Times New Roman"/>
          <w:b/>
          <w:bCs/>
          <w:color w:val="000000"/>
          <w:kern w:val="0"/>
          <w:sz w:val="32"/>
          <w:szCs w:val="32"/>
          <w:highlight w:val="none"/>
          <w:shd w:val="clear" w:color="auto" w:fill="FFFFFF"/>
          <w:lang w:val="en-US" w:eastAsia="zh-CN"/>
        </w:rPr>
        <w:t xml:space="preserve"> </w:t>
      </w:r>
      <w:r>
        <w:rPr>
          <w:rFonts w:hint="default" w:eastAsia="楷体_GB2312" w:cs="Times New Roman"/>
          <w:b/>
          <w:bCs/>
          <w:color w:val="000000"/>
          <w:kern w:val="0"/>
          <w:sz w:val="32"/>
          <w:szCs w:val="32"/>
          <w:highlight w:val="none"/>
          <w:shd w:val="clear" w:color="auto" w:fill="FFFFFF"/>
          <w:lang w:val="zh-CN" w:eastAsia="zh-CN"/>
        </w:rPr>
        <w:t>（三）改进建议。</w:t>
      </w:r>
      <w:bookmarkStart w:id="98" w:name="_Hlk110546638"/>
      <w:r>
        <w:rPr>
          <w:rFonts w:hint="eastAsia" w:ascii="方正仿宋_GBK" w:hAnsi="方正仿宋_GBK" w:eastAsia="方正仿宋_GBK" w:cs="方正仿宋_GBK"/>
          <w:sz w:val="32"/>
          <w:szCs w:val="32"/>
          <w:lang w:val="zh-CN" w:eastAsia="zh-CN"/>
        </w:rPr>
        <w:t>我单位将在</w:t>
      </w:r>
      <w:r>
        <w:rPr>
          <w:rFonts w:hint="eastAsia" w:ascii="方正仿宋_GBK" w:hAnsi="方正仿宋_GBK" w:eastAsia="方正仿宋_GBK" w:cs="方正仿宋_GBK"/>
          <w:sz w:val="32"/>
          <w:szCs w:val="32"/>
          <w:lang w:val="en-US" w:eastAsia="zh-CN"/>
        </w:rPr>
        <w:t>2024年度</w:t>
      </w:r>
      <w:r>
        <w:rPr>
          <w:rFonts w:hint="eastAsia" w:ascii="方正仿宋_GBK" w:hAnsi="方正仿宋_GBK" w:eastAsia="方正仿宋_GBK" w:cs="方正仿宋_GBK"/>
          <w:sz w:val="32"/>
          <w:szCs w:val="32"/>
          <w:lang w:val="en" w:eastAsia="zh-CN"/>
        </w:rPr>
        <w:t>预算安排、完善政策、改进管理等方面的</w:t>
      </w:r>
      <w:r>
        <w:rPr>
          <w:rFonts w:hint="eastAsia" w:ascii="方正仿宋_GBK" w:hAnsi="方正仿宋_GBK" w:eastAsia="方正仿宋_GBK" w:cs="方正仿宋_GBK"/>
          <w:sz w:val="32"/>
          <w:szCs w:val="32"/>
          <w:lang w:val="en-US" w:eastAsia="zh-CN"/>
        </w:rPr>
        <w:t>加大力度</w:t>
      </w:r>
      <w:r>
        <w:rPr>
          <w:rFonts w:hint="eastAsia" w:ascii="方正仿宋_GBK" w:hAnsi="方正仿宋_GBK" w:eastAsia="方正仿宋_GBK" w:cs="方正仿宋_GBK"/>
          <w:sz w:val="32"/>
          <w:szCs w:val="32"/>
          <w:lang w:val="en" w:eastAsia="zh-CN"/>
        </w:rPr>
        <w:t>，使</w:t>
      </w:r>
      <w:r>
        <w:rPr>
          <w:rFonts w:hint="eastAsia" w:ascii="方正仿宋_GBK" w:hAnsi="方正仿宋_GBK" w:eastAsia="方正仿宋_GBK" w:cs="方正仿宋_GBK"/>
          <w:sz w:val="32"/>
          <w:szCs w:val="32"/>
          <w:lang w:val="en-US" w:eastAsia="zh-CN"/>
        </w:rPr>
        <w:t>2024年度工作有序开展。</w:t>
      </w:r>
      <w:bookmarkEnd w:id="98"/>
    </w:p>
    <w:p w14:paraId="376EA236">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0C75891">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25AF382">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E366478">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7A2A278">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54EB833">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169053A">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2F3756C">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D4CCDC0">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F13FE49">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175ACC8">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45F27CB">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F3331A4">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549A424">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D7A6A65">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9BC2EF2">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81938F2">
      <w:pPr>
        <w:pStyle w:val="20"/>
        <w:pageBreakBefore w:val="0"/>
        <w:kinsoku/>
        <w:wordWrap/>
        <w:overflowPunct/>
        <w:topLinePunct w:val="0"/>
        <w:autoSpaceDE/>
        <w:autoSpaceDN/>
        <w:bidi w:val="0"/>
        <w:spacing w:line="57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BE27C7C">
      <w:pPr>
        <w:pageBreakBefore w:val="0"/>
        <w:widowControl/>
        <w:kinsoku/>
        <w:wordWrap/>
        <w:overflowPunct/>
        <w:topLinePunct w:val="0"/>
        <w:autoSpaceDE/>
        <w:autoSpaceDN/>
        <w:bidi w:val="0"/>
        <w:spacing w:line="570" w:lineRule="exact"/>
        <w:ind w:left="0" w:leftChars="0" w:firstLine="880" w:firstLineChars="200"/>
        <w:jc w:val="center"/>
        <w:textAlignment w:val="auto"/>
        <w:rPr>
          <w:rFonts w:eastAsia="仿宋"/>
        </w:rPr>
      </w:pPr>
      <w:r>
        <w:rPr>
          <w:rFonts w:hint="eastAsia" w:eastAsia="黑体"/>
          <w:sz w:val="44"/>
          <w:szCs w:val="44"/>
        </w:rPr>
        <w:t>第</w:t>
      </w:r>
      <w:r>
        <w:rPr>
          <w:rStyle w:val="30"/>
          <w:rFonts w:hint="eastAsia" w:eastAsia="黑体"/>
          <w:b w:val="0"/>
        </w:rPr>
        <w:t>五部分 附表</w:t>
      </w:r>
      <w:bookmarkEnd w:id="96"/>
      <w:bookmarkEnd w:id="97"/>
      <w:bookmarkStart w:id="99" w:name="_Toc15396619"/>
    </w:p>
    <w:p w14:paraId="227BAD2B">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p>
    <w:p w14:paraId="09ED9CFC">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一、收入支出决算总表</w:t>
      </w:r>
      <w:bookmarkEnd w:id="99"/>
    </w:p>
    <w:p w14:paraId="5254CF88">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0" w:name="_Toc15396620"/>
      <w:r>
        <w:rPr>
          <w:rFonts w:hint="eastAsia" w:eastAsia="仿宋_GB2312" w:cs="仿宋_GB2312"/>
          <w:sz w:val="32"/>
          <w:szCs w:val="32"/>
        </w:rPr>
        <w:t>二、收入决算表</w:t>
      </w:r>
      <w:bookmarkEnd w:id="100"/>
    </w:p>
    <w:p w14:paraId="2F5F2926">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1" w:name="_Toc15396621"/>
      <w:r>
        <w:rPr>
          <w:rFonts w:hint="eastAsia" w:eastAsia="仿宋_GB2312" w:cs="仿宋_GB2312"/>
          <w:sz w:val="32"/>
          <w:szCs w:val="32"/>
        </w:rPr>
        <w:t>三、支出决算表</w:t>
      </w:r>
      <w:bookmarkEnd w:id="101"/>
    </w:p>
    <w:p w14:paraId="6246EB0A">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2" w:name="_Toc15396622"/>
      <w:r>
        <w:rPr>
          <w:rFonts w:hint="eastAsia" w:eastAsia="仿宋_GB2312" w:cs="仿宋_GB2312"/>
          <w:sz w:val="32"/>
          <w:szCs w:val="32"/>
        </w:rPr>
        <w:t>四、财政拨款收入支出决算总表</w:t>
      </w:r>
      <w:bookmarkEnd w:id="102"/>
    </w:p>
    <w:p w14:paraId="6BAEB6DE">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3" w:name="_Toc15396623"/>
      <w:r>
        <w:rPr>
          <w:rFonts w:hint="eastAsia" w:eastAsia="仿宋_GB2312" w:cs="仿宋_GB2312"/>
          <w:sz w:val="32"/>
          <w:szCs w:val="32"/>
        </w:rPr>
        <w:t>五、财政拨款支出决算明细表</w:t>
      </w:r>
      <w:bookmarkEnd w:id="103"/>
      <w:bookmarkStart w:id="104" w:name="_Toc15396624"/>
    </w:p>
    <w:p w14:paraId="3D2920E5">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六、一般公共预算财政拨款支出决算表</w:t>
      </w:r>
      <w:bookmarkEnd w:id="104"/>
    </w:p>
    <w:p w14:paraId="240F08B6">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5" w:name="_Toc15396625"/>
      <w:r>
        <w:rPr>
          <w:rFonts w:hint="eastAsia" w:eastAsia="仿宋_GB2312" w:cs="仿宋_GB2312"/>
          <w:sz w:val="32"/>
          <w:szCs w:val="32"/>
        </w:rPr>
        <w:t>七、一般公共预算财政拨款支出决算明细表</w:t>
      </w:r>
      <w:bookmarkEnd w:id="105"/>
    </w:p>
    <w:p w14:paraId="2CA8AE20">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6" w:name="_Toc15396626"/>
      <w:r>
        <w:rPr>
          <w:rFonts w:hint="eastAsia" w:eastAsia="仿宋_GB2312" w:cs="仿宋_GB2312"/>
          <w:sz w:val="32"/>
          <w:szCs w:val="32"/>
        </w:rPr>
        <w:t>八、一般公共预算财政拨款基本支出决算表</w:t>
      </w:r>
      <w:bookmarkEnd w:id="106"/>
    </w:p>
    <w:p w14:paraId="1021E5EC">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7" w:name="_Toc15396627"/>
      <w:r>
        <w:rPr>
          <w:rFonts w:hint="eastAsia" w:eastAsia="仿宋_GB2312" w:cs="仿宋_GB2312"/>
          <w:sz w:val="32"/>
          <w:szCs w:val="32"/>
        </w:rPr>
        <w:t>九、一般公共预算财政拨款项目支出决算表</w:t>
      </w:r>
      <w:bookmarkEnd w:id="107"/>
    </w:p>
    <w:p w14:paraId="07043E00">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8" w:name="_Toc15396628"/>
      <w:r>
        <w:rPr>
          <w:rFonts w:hint="eastAsia" w:eastAsia="仿宋_GB2312" w:cs="仿宋_GB2312"/>
          <w:sz w:val="32"/>
          <w:szCs w:val="32"/>
        </w:rPr>
        <w:t>十、</w:t>
      </w:r>
      <w:bookmarkEnd w:id="108"/>
      <w:r>
        <w:rPr>
          <w:rFonts w:hint="eastAsia" w:eastAsia="仿宋_GB2312" w:cs="仿宋_GB2312"/>
          <w:sz w:val="32"/>
          <w:szCs w:val="32"/>
        </w:rPr>
        <w:t>政府性基金预算财政拨款收入支出决算表</w:t>
      </w:r>
    </w:p>
    <w:p w14:paraId="7B15E922">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09" w:name="_Toc15396629"/>
      <w:r>
        <w:rPr>
          <w:rFonts w:hint="eastAsia" w:eastAsia="仿宋_GB2312" w:cs="仿宋_GB2312"/>
          <w:sz w:val="32"/>
          <w:szCs w:val="32"/>
        </w:rPr>
        <w:t>十一、</w:t>
      </w:r>
      <w:bookmarkEnd w:id="109"/>
      <w:r>
        <w:rPr>
          <w:rFonts w:hint="eastAsia" w:eastAsia="仿宋_GB2312" w:cs="仿宋_GB2312"/>
          <w:sz w:val="32"/>
          <w:szCs w:val="32"/>
        </w:rPr>
        <w:t>国有资本经营预算财政拨款收入支出决算表</w:t>
      </w:r>
    </w:p>
    <w:p w14:paraId="0F22F1B4">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10" w:name="_Toc15396630"/>
      <w:r>
        <w:rPr>
          <w:rFonts w:hint="eastAsia" w:eastAsia="仿宋_GB2312" w:cs="仿宋_GB2312"/>
          <w:sz w:val="32"/>
          <w:szCs w:val="32"/>
        </w:rPr>
        <w:t>十二、</w:t>
      </w:r>
      <w:bookmarkEnd w:id="110"/>
      <w:r>
        <w:rPr>
          <w:rFonts w:hint="eastAsia" w:eastAsia="仿宋_GB2312" w:cs="仿宋_GB2312"/>
          <w:sz w:val="32"/>
          <w:szCs w:val="32"/>
        </w:rPr>
        <w:t>国有资本经营预算财政拨款支出决算表</w:t>
      </w:r>
    </w:p>
    <w:p w14:paraId="3D830803">
      <w:pPr>
        <w:pStyle w:val="14"/>
        <w:pageBreakBefore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eastAsia="仿宋_GB2312" w:cs="仿宋_GB2312"/>
          <w:sz w:val="32"/>
          <w:szCs w:val="32"/>
        </w:rPr>
      </w:pPr>
      <w:bookmarkStart w:id="111" w:name="_Toc15396631"/>
      <w:r>
        <w:rPr>
          <w:rFonts w:hint="eastAsia" w:eastAsia="仿宋_GB2312" w:cs="仿宋_GB2312"/>
          <w:sz w:val="32"/>
          <w:szCs w:val="32"/>
        </w:rPr>
        <w:t>十三、</w:t>
      </w:r>
      <w:bookmarkEnd w:id="111"/>
      <w:r>
        <w:rPr>
          <w:rFonts w:hint="eastAsia" w:eastAsia="仿宋_GB2312" w:cs="仿宋_GB2312"/>
          <w:sz w:val="32"/>
          <w:szCs w:val="32"/>
        </w:rPr>
        <w:t>财政拨款“三公”经费支出决算表</w:t>
      </w:r>
    </w:p>
    <w:p w14:paraId="46D5F740">
      <w:pPr>
        <w:pageBreakBefore w:val="0"/>
        <w:kinsoku/>
        <w:wordWrap/>
        <w:overflowPunct/>
        <w:topLinePunct w:val="0"/>
        <w:autoSpaceDE/>
        <w:autoSpaceDN/>
        <w:bidi w:val="0"/>
        <w:spacing w:line="570" w:lineRule="exact"/>
        <w:ind w:left="0" w:leftChars="0" w:firstLine="420" w:firstLineChars="200"/>
        <w:textAlignment w:val="auto"/>
      </w:pPr>
    </w:p>
    <w:sectPr>
      <w:footerReference r:id="rId6" w:type="first"/>
      <w:footerReference r:id="rId5" w:type="default"/>
      <w:pgSz w:w="11906" w:h="16838"/>
      <w:pgMar w:top="1871" w:right="1531" w:bottom="187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4825">
    <w:pPr>
      <w:pStyle w:val="10"/>
      <w:jc w:val="center"/>
    </w:pPr>
  </w:p>
  <w:p w14:paraId="1C1DB24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E30C8">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F32BF">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9F32BF">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1714248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AA65">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E6C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21E6CA">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44D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613B4"/>
    <w:multiLevelType w:val="singleLevel"/>
    <w:tmpl w:val="EA9613B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9B791C"/>
    <w:rsid w:val="04916F1E"/>
    <w:rsid w:val="061E35DE"/>
    <w:rsid w:val="06435850"/>
    <w:rsid w:val="066E0107"/>
    <w:rsid w:val="07996F6E"/>
    <w:rsid w:val="07DFD8BA"/>
    <w:rsid w:val="07F37592"/>
    <w:rsid w:val="089A2898"/>
    <w:rsid w:val="09867E8F"/>
    <w:rsid w:val="0A2032A3"/>
    <w:rsid w:val="0CA8290A"/>
    <w:rsid w:val="0D240053"/>
    <w:rsid w:val="0D35B1ED"/>
    <w:rsid w:val="0E254B6B"/>
    <w:rsid w:val="0F98263C"/>
    <w:rsid w:val="0F984A31"/>
    <w:rsid w:val="101860EC"/>
    <w:rsid w:val="101F47CC"/>
    <w:rsid w:val="10C055FF"/>
    <w:rsid w:val="10E80C88"/>
    <w:rsid w:val="11694EBD"/>
    <w:rsid w:val="11772AA4"/>
    <w:rsid w:val="118107EC"/>
    <w:rsid w:val="12E24EE2"/>
    <w:rsid w:val="13D50BC4"/>
    <w:rsid w:val="14B17F78"/>
    <w:rsid w:val="15400323"/>
    <w:rsid w:val="16414353"/>
    <w:rsid w:val="165E0673"/>
    <w:rsid w:val="16B831D5"/>
    <w:rsid w:val="16BB723D"/>
    <w:rsid w:val="17797AE1"/>
    <w:rsid w:val="17C63AE6"/>
    <w:rsid w:val="17E50567"/>
    <w:rsid w:val="186504BB"/>
    <w:rsid w:val="19A445FC"/>
    <w:rsid w:val="1BE8440E"/>
    <w:rsid w:val="1CC6347C"/>
    <w:rsid w:val="1CC70824"/>
    <w:rsid w:val="1D155CEE"/>
    <w:rsid w:val="1D1638FE"/>
    <w:rsid w:val="1E312DEB"/>
    <w:rsid w:val="1E740ACF"/>
    <w:rsid w:val="1FF35744"/>
    <w:rsid w:val="1FF6BC77"/>
    <w:rsid w:val="2186353C"/>
    <w:rsid w:val="22456F79"/>
    <w:rsid w:val="23860B96"/>
    <w:rsid w:val="240371BF"/>
    <w:rsid w:val="244F3473"/>
    <w:rsid w:val="24C97D99"/>
    <w:rsid w:val="25A718F0"/>
    <w:rsid w:val="25BB59F6"/>
    <w:rsid w:val="25D85038"/>
    <w:rsid w:val="260F557C"/>
    <w:rsid w:val="26970054"/>
    <w:rsid w:val="271C3C51"/>
    <w:rsid w:val="281408E2"/>
    <w:rsid w:val="292C2C40"/>
    <w:rsid w:val="29FD04D3"/>
    <w:rsid w:val="2A93421F"/>
    <w:rsid w:val="2BFF7BC6"/>
    <w:rsid w:val="2C680433"/>
    <w:rsid w:val="2C8A61B5"/>
    <w:rsid w:val="2DF04E50"/>
    <w:rsid w:val="2E25250C"/>
    <w:rsid w:val="2E586DFA"/>
    <w:rsid w:val="2F040D46"/>
    <w:rsid w:val="2F6B035B"/>
    <w:rsid w:val="2FAE5751"/>
    <w:rsid w:val="2FB1A395"/>
    <w:rsid w:val="2FD9A7D8"/>
    <w:rsid w:val="2FDBF714"/>
    <w:rsid w:val="303625F7"/>
    <w:rsid w:val="30AB6865"/>
    <w:rsid w:val="319F7F4E"/>
    <w:rsid w:val="32BD1EF1"/>
    <w:rsid w:val="32CE6B16"/>
    <w:rsid w:val="3304709D"/>
    <w:rsid w:val="33A773CB"/>
    <w:rsid w:val="349D6851"/>
    <w:rsid w:val="35E6413B"/>
    <w:rsid w:val="36AA5135"/>
    <w:rsid w:val="36BE0DA7"/>
    <w:rsid w:val="376B6AA6"/>
    <w:rsid w:val="376D39B2"/>
    <w:rsid w:val="379245B6"/>
    <w:rsid w:val="37E16F03"/>
    <w:rsid w:val="37F53A3B"/>
    <w:rsid w:val="389B6C89"/>
    <w:rsid w:val="38D469F0"/>
    <w:rsid w:val="392241AB"/>
    <w:rsid w:val="39627CCD"/>
    <w:rsid w:val="397BAF1F"/>
    <w:rsid w:val="3AB79AF3"/>
    <w:rsid w:val="3AE834C0"/>
    <w:rsid w:val="3B7EF35A"/>
    <w:rsid w:val="3B9FDB6C"/>
    <w:rsid w:val="3BF5BC2F"/>
    <w:rsid w:val="3CEBA265"/>
    <w:rsid w:val="3D74475E"/>
    <w:rsid w:val="3D98207C"/>
    <w:rsid w:val="3DEE7CF3"/>
    <w:rsid w:val="3E740A63"/>
    <w:rsid w:val="3E78745D"/>
    <w:rsid w:val="3EBB0897"/>
    <w:rsid w:val="3EE17838"/>
    <w:rsid w:val="3F55381A"/>
    <w:rsid w:val="3F7F7599"/>
    <w:rsid w:val="3FF4CAE0"/>
    <w:rsid w:val="3FF7B227"/>
    <w:rsid w:val="401069C0"/>
    <w:rsid w:val="427B1755"/>
    <w:rsid w:val="435766B4"/>
    <w:rsid w:val="445450A5"/>
    <w:rsid w:val="44E268DA"/>
    <w:rsid w:val="450D13D7"/>
    <w:rsid w:val="45506656"/>
    <w:rsid w:val="48536FA1"/>
    <w:rsid w:val="486A6C7A"/>
    <w:rsid w:val="49BA1CA4"/>
    <w:rsid w:val="4A5C5D28"/>
    <w:rsid w:val="4A627F82"/>
    <w:rsid w:val="4AAD225E"/>
    <w:rsid w:val="4B0E749A"/>
    <w:rsid w:val="4B2477C4"/>
    <w:rsid w:val="4B4F25DA"/>
    <w:rsid w:val="4B5E0F27"/>
    <w:rsid w:val="4BE068DB"/>
    <w:rsid w:val="4D577224"/>
    <w:rsid w:val="4DBF1CEB"/>
    <w:rsid w:val="4DF0007C"/>
    <w:rsid w:val="4E952138"/>
    <w:rsid w:val="4EAB630A"/>
    <w:rsid w:val="4ECE2238"/>
    <w:rsid w:val="4F833267"/>
    <w:rsid w:val="4FE9BD67"/>
    <w:rsid w:val="4FFB052F"/>
    <w:rsid w:val="5130022F"/>
    <w:rsid w:val="537E6D0A"/>
    <w:rsid w:val="53F74C96"/>
    <w:rsid w:val="54814EDA"/>
    <w:rsid w:val="55170BA8"/>
    <w:rsid w:val="553218C9"/>
    <w:rsid w:val="567E1AA5"/>
    <w:rsid w:val="56E47B74"/>
    <w:rsid w:val="57175D52"/>
    <w:rsid w:val="576C4AB4"/>
    <w:rsid w:val="57BD3DD4"/>
    <w:rsid w:val="58201313"/>
    <w:rsid w:val="587B479B"/>
    <w:rsid w:val="592A069B"/>
    <w:rsid w:val="5AC063A5"/>
    <w:rsid w:val="5AF92295"/>
    <w:rsid w:val="5B250254"/>
    <w:rsid w:val="5BDD79E6"/>
    <w:rsid w:val="5BF561CA"/>
    <w:rsid w:val="5BFF5DFC"/>
    <w:rsid w:val="5C571591"/>
    <w:rsid w:val="5CD71FC4"/>
    <w:rsid w:val="5D1F11B5"/>
    <w:rsid w:val="5D695134"/>
    <w:rsid w:val="5DAE1B18"/>
    <w:rsid w:val="5DE7D9E5"/>
    <w:rsid w:val="5ECEC941"/>
    <w:rsid w:val="5FBF9FF3"/>
    <w:rsid w:val="5FCD4E2C"/>
    <w:rsid w:val="5FEF394A"/>
    <w:rsid w:val="5FF67715"/>
    <w:rsid w:val="62BF3928"/>
    <w:rsid w:val="63B3701E"/>
    <w:rsid w:val="63DB65E4"/>
    <w:rsid w:val="647F5392"/>
    <w:rsid w:val="65D97C5F"/>
    <w:rsid w:val="65E66580"/>
    <w:rsid w:val="664B1D71"/>
    <w:rsid w:val="664B4E8E"/>
    <w:rsid w:val="66E32044"/>
    <w:rsid w:val="67277B67"/>
    <w:rsid w:val="67AA3209"/>
    <w:rsid w:val="683103E5"/>
    <w:rsid w:val="698D0931"/>
    <w:rsid w:val="6A23329D"/>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955B31"/>
    <w:rsid w:val="712A28F1"/>
    <w:rsid w:val="715C0E4B"/>
    <w:rsid w:val="71992E7C"/>
    <w:rsid w:val="72233669"/>
    <w:rsid w:val="7240058B"/>
    <w:rsid w:val="72734D90"/>
    <w:rsid w:val="72A570FC"/>
    <w:rsid w:val="73160E6D"/>
    <w:rsid w:val="7332FE48"/>
    <w:rsid w:val="73AB61DA"/>
    <w:rsid w:val="73AD73D5"/>
    <w:rsid w:val="73B6EB34"/>
    <w:rsid w:val="73FA497D"/>
    <w:rsid w:val="744731E5"/>
    <w:rsid w:val="74BBD01D"/>
    <w:rsid w:val="74ED5379"/>
    <w:rsid w:val="75DEEEC2"/>
    <w:rsid w:val="75E32345"/>
    <w:rsid w:val="76A74C81"/>
    <w:rsid w:val="76E3355F"/>
    <w:rsid w:val="76FF5125"/>
    <w:rsid w:val="776F6FFA"/>
    <w:rsid w:val="7782124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EE1156"/>
    <w:rsid w:val="7C1F3737"/>
    <w:rsid w:val="7CBFC87B"/>
    <w:rsid w:val="7CFE0F48"/>
    <w:rsid w:val="7D272ABC"/>
    <w:rsid w:val="7D7EC23E"/>
    <w:rsid w:val="7DC4224D"/>
    <w:rsid w:val="7E8ADEBF"/>
    <w:rsid w:val="7EEF11D3"/>
    <w:rsid w:val="7EFA44D8"/>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200" w:leftChars="200"/>
    </w:pPr>
    <w:rPr>
      <w:rFonts w:ascii="仿宋_GB2312"/>
      <w:szCs w:val="32"/>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常用样式（方正仿宋简）"/>
    <w:basedOn w:val="1"/>
    <w:qFormat/>
    <w:uiPriority w:val="0"/>
    <w:pPr>
      <w:spacing w:line="560" w:lineRule="exact"/>
      <w:ind w:firstLine="200" w:firstLineChars="200"/>
    </w:pPr>
    <w:rPr>
      <w:rFonts w:eastAsia="方正仿宋简体"/>
      <w:sz w:val="32"/>
      <w:szCs w:val="24"/>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4"/>
    <w:qFormat/>
    <w:uiPriority w:val="9"/>
    <w:rPr>
      <w:rFonts w:ascii="Times New Roman" w:hAnsi="Times New Roman"/>
      <w:b/>
      <w:bCs/>
      <w:kern w:val="44"/>
      <w:sz w:val="44"/>
      <w:szCs w:val="44"/>
    </w:rPr>
  </w:style>
  <w:style w:type="character" w:customStyle="1" w:styleId="31">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9"/>
    <w:semiHidden/>
    <w:qFormat/>
    <w:uiPriority w:val="99"/>
    <w:rPr>
      <w:rFonts w:ascii="Times New Roman" w:hAnsi="Times New Roman"/>
      <w:kern w:val="2"/>
      <w:sz w:val="18"/>
      <w:szCs w:val="18"/>
    </w:rPr>
  </w:style>
  <w:style w:type="character" w:customStyle="1" w:styleId="34">
    <w:name w:val="标题 3 字符"/>
    <w:basedOn w:val="17"/>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收入支出决算总表</a:t>
            </a:r>
          </a:p>
        </c:rich>
      </c:tx>
      <c:layout>
        <c:manualLayout>
          <c:xMode val="edge"/>
          <c:yMode val="edge"/>
          <c:x val="0.315856679319038"/>
          <c:y val="0.0295090320413727"/>
        </c:manualLayout>
      </c:layout>
      <c:overlay val="0"/>
      <c:spPr>
        <a:noFill/>
        <a:ln>
          <a:noFill/>
        </a:ln>
        <a:effectLst/>
      </c:spPr>
    </c:title>
    <c:autoTitleDeleted val="0"/>
    <c:plotArea>
      <c:layout>
        <c:manualLayout>
          <c:layoutTarget val="inner"/>
          <c:xMode val="edge"/>
          <c:yMode val="edge"/>
          <c:x val="0.0709350879412881"/>
          <c:y val="0.213814986575543"/>
          <c:w val="0.846058458813109"/>
          <c:h val="0.587112521357091"/>
        </c:manualLayout>
      </c:layout>
      <c:barChart>
        <c:barDir val="col"/>
        <c:grouping val="clustered"/>
        <c:varyColors val="0"/>
        <c:ser>
          <c:idx val="0"/>
          <c:order val="0"/>
          <c:tx>
            <c:strRef>
              <c:f>Sheet1!$B$1</c:f>
              <c:strCache>
                <c:ptCount val="1"/>
                <c:pt idx="0">
                  <c:v>2023年预算（万元）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264.58</c:v>
                </c:pt>
                <c:pt idx="1">
                  <c:v>264.58</c:v>
                </c:pt>
              </c:numCache>
            </c:numRef>
          </c:val>
        </c:ser>
        <c:ser>
          <c:idx val="1"/>
          <c:order val="1"/>
          <c:tx>
            <c:strRef>
              <c:f>Sheet1!$C$1</c:f>
              <c:strCache>
                <c:ptCount val="1"/>
                <c:pt idx="0">
                  <c:v>2024年预算（万元）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278.5</c:v>
                </c:pt>
                <c:pt idx="1">
                  <c:v>278.5</c:v>
                </c:pt>
              </c:numCache>
            </c:numRef>
          </c:val>
        </c:ser>
        <c:ser>
          <c:idx val="2"/>
          <c:order val="2"/>
          <c:tx>
            <c:strRef>
              <c:f>Sheet1!$D$1</c:f>
              <c:strCache>
                <c:ptCount val="1"/>
                <c:pt idx="0">
                  <c:v>增加额（万元）</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Sheet1!$D$2:$D$5</c:f>
              <c:numCache>
                <c:formatCode>General</c:formatCode>
                <c:ptCount val="4"/>
                <c:pt idx="0">
                  <c:v>13.92</c:v>
                </c:pt>
                <c:pt idx="1">
                  <c:v>13.92</c:v>
                </c:pt>
              </c:numCache>
            </c:numRef>
          </c:val>
        </c:ser>
        <c:dLbls>
          <c:showLegendKey val="0"/>
          <c:showVal val="1"/>
          <c:showCatName val="0"/>
          <c:showSerName val="0"/>
          <c:showPercent val="0"/>
          <c:showBubbleSize val="0"/>
        </c:dLbls>
        <c:gapWidth val="246"/>
        <c:overlap val="-28"/>
        <c:axId val="820875026"/>
        <c:axId val="391135927"/>
      </c:barChart>
      <c:catAx>
        <c:axId val="8208750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135927"/>
        <c:crosses val="autoZero"/>
        <c:auto val="1"/>
        <c:lblAlgn val="ctr"/>
        <c:lblOffset val="100"/>
        <c:noMultiLvlLbl val="0"/>
      </c:catAx>
      <c:valAx>
        <c:axId val="39113592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08750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ffabdf-7702-48b0-9b64-082ca7e6dd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1" i="0" u="none" strike="noStrike" kern="1200" baseline="0">
                <a:solidFill>
                  <a:schemeClr val="tx1">
                    <a:lumMod val="75000"/>
                    <a:lumOff val="25000"/>
                  </a:schemeClr>
                </a:solidFill>
                <a:latin typeface="+mn-lt"/>
                <a:ea typeface="+mn-ea"/>
                <a:cs typeface="+mn-cs"/>
              </a:defRPr>
            </a:pPr>
            <a:r>
              <a:rPr sz="900"/>
              <a:t>支出决算情况</a:t>
            </a:r>
            <a:endParaRPr sz="9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项目支出</c:v>
                </c:pt>
                <c:pt idx="1">
                  <c:v>基本支出</c:v>
                </c:pt>
              </c:strCache>
            </c:strRef>
          </c:cat>
          <c:val>
            <c:numRef>
              <c:f>Sheet1!$B$2:$B$3</c:f>
              <c:numCache>
                <c:formatCode>General</c:formatCode>
                <c:ptCount val="2"/>
                <c:pt idx="0">
                  <c:v>39.33</c:v>
                </c:pt>
                <c:pt idx="1">
                  <c:v>239.17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6163f4-320a-4cf6-828e-c4404eee7d7c}"/>
      </c:ext>
    </c:extLst>
  </c:chart>
  <c:spPr>
    <a:solidFill>
      <a:schemeClr val="bg1"/>
    </a:solidFill>
    <a:ln w="9525" cap="flat" cmpd="sng" algn="ctr">
      <a:solidFill>
        <a:schemeClr val="tx1">
          <a:lumMod val="15000"/>
          <a:lumOff val="85000"/>
        </a:schemeClr>
      </a:solidFill>
      <a:round/>
    </a:ln>
    <a:effectLst/>
  </c:spPr>
  <c:txPr>
    <a:bodyPr/>
    <a:lstStyle/>
    <a:p>
      <a:pPr>
        <a:defRPr lang="zh-CN" sz="75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一般公共预算财政拨款支出决算总表</a:t>
            </a:r>
          </a:p>
        </c:rich>
      </c:tx>
      <c:layout>
        <c:manualLayout>
          <c:xMode val="edge"/>
          <c:yMode val="edge"/>
          <c:x val="0.25383440371301"/>
          <c:y val="0.0263182215755144"/>
        </c:manualLayout>
      </c:layout>
      <c:overlay val="0"/>
      <c:spPr>
        <a:noFill/>
        <a:ln>
          <a:noFill/>
        </a:ln>
        <a:effectLst/>
      </c:spPr>
    </c:title>
    <c:autoTitleDeleted val="0"/>
    <c:plotArea>
      <c:layout>
        <c:manualLayout>
          <c:layoutTarget val="inner"/>
          <c:xMode val="edge"/>
          <c:yMode val="edge"/>
          <c:x val="0.0709350879412881"/>
          <c:y val="0.213814986575543"/>
          <c:w val="0.846058458813109"/>
          <c:h val="0.587112521357091"/>
        </c:manualLayout>
      </c:layout>
      <c:barChart>
        <c:barDir val="col"/>
        <c:grouping val="clustered"/>
        <c:varyColors val="0"/>
        <c:ser>
          <c:idx val="0"/>
          <c:order val="0"/>
          <c:tx>
            <c:strRef>
              <c:f>Sheet1!$B$1</c:f>
              <c:strCache>
                <c:ptCount val="1"/>
                <c:pt idx="0">
                  <c:v>2023年预算（万元）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264.58</c:v>
                </c:pt>
                <c:pt idx="1">
                  <c:v>264.58</c:v>
                </c:pt>
              </c:numCache>
            </c:numRef>
          </c:val>
        </c:ser>
        <c:ser>
          <c:idx val="1"/>
          <c:order val="1"/>
          <c:tx>
            <c:strRef>
              <c:f>Sheet1!$C$1</c:f>
              <c:strCache>
                <c:ptCount val="1"/>
                <c:pt idx="0">
                  <c:v>2024年预算（万元）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278.5</c:v>
                </c:pt>
                <c:pt idx="1">
                  <c:v>278.5</c:v>
                </c:pt>
              </c:numCache>
            </c:numRef>
          </c:val>
        </c:ser>
        <c:ser>
          <c:idx val="2"/>
          <c:order val="2"/>
          <c:tx>
            <c:strRef>
              <c:f>Sheet1!$D$1</c:f>
              <c:strCache>
                <c:ptCount val="1"/>
                <c:pt idx="0">
                  <c:v>增加额（万元）</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Sheet1!$D$2:$D$5</c:f>
              <c:numCache>
                <c:formatCode>General</c:formatCode>
                <c:ptCount val="4"/>
                <c:pt idx="0">
                  <c:v>13.92</c:v>
                </c:pt>
                <c:pt idx="1">
                  <c:v>13.92</c:v>
                </c:pt>
              </c:numCache>
            </c:numRef>
          </c:val>
        </c:ser>
        <c:dLbls>
          <c:showLegendKey val="0"/>
          <c:showVal val="1"/>
          <c:showCatName val="0"/>
          <c:showSerName val="0"/>
          <c:showPercent val="0"/>
          <c:showBubbleSize val="0"/>
        </c:dLbls>
        <c:gapWidth val="246"/>
        <c:overlap val="-28"/>
        <c:axId val="820875026"/>
        <c:axId val="391135927"/>
      </c:barChart>
      <c:catAx>
        <c:axId val="8208750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135927"/>
        <c:crosses val="autoZero"/>
        <c:auto val="1"/>
        <c:lblAlgn val="ctr"/>
        <c:lblOffset val="100"/>
        <c:noMultiLvlLbl val="0"/>
      </c:catAx>
      <c:valAx>
        <c:axId val="39113592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08750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ffabdf-7702-48b0-9b64-082ca7e6dd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一般公共预算财政拨款支出决算对标表</a:t>
            </a:r>
            <a:endParaRPr sz="108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2023年预算（万元）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264.58</c:v>
                </c:pt>
                <c:pt idx="1">
                  <c:v>264.58</c:v>
                </c:pt>
              </c:numCache>
            </c:numRef>
          </c:val>
        </c:ser>
        <c:ser>
          <c:idx val="1"/>
          <c:order val="1"/>
          <c:tx>
            <c:strRef>
              <c:f>Sheet1!$C$1</c:f>
              <c:strCache>
                <c:ptCount val="1"/>
                <c:pt idx="0">
                  <c:v>2024年预算（万元）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278.5</c:v>
                </c:pt>
                <c:pt idx="1">
                  <c:v>278.5</c:v>
                </c:pt>
              </c:numCache>
            </c:numRef>
          </c:val>
        </c:ser>
        <c:ser>
          <c:idx val="2"/>
          <c:order val="2"/>
          <c:tx>
            <c:strRef>
              <c:f>Sheet1!$D$1</c:f>
              <c:strCache>
                <c:ptCount val="1"/>
                <c:pt idx="0">
                  <c:v>增加额（万元）</c:v>
                </c:pt>
              </c:strCache>
            </c:strRef>
          </c:tx>
          <c:spPr>
            <a:solidFill>
              <a:schemeClr val="accent3"/>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Sheet1!$D$2:$D$3</c:f>
              <c:numCache>
                <c:formatCode>General</c:formatCode>
                <c:ptCount val="2"/>
                <c:pt idx="0">
                  <c:v>13.92</c:v>
                </c:pt>
                <c:pt idx="1">
                  <c:v>13.92</c:v>
                </c:pt>
              </c:numCache>
            </c:numRef>
          </c:val>
        </c:ser>
        <c:ser>
          <c:idx val="3"/>
          <c:order val="3"/>
          <c:tx>
            <c:strRef>
              <c:f>Sheet1!$E$1</c:f>
              <c:strCache>
                <c:ptCount val="1"/>
                <c:pt idx="0">
                  <c:v>增长率</c:v>
                </c:pt>
              </c:strCache>
            </c:strRef>
          </c:tx>
          <c:spPr>
            <a:solidFill>
              <a:schemeClr val="accent4"/>
            </a:solidFill>
            <a:ln>
              <a:noFill/>
            </a:ln>
            <a:effectLst/>
          </c:spPr>
          <c:invertIfNegative val="0"/>
          <c:dLbls>
            <c:delete val="1"/>
          </c:dLbls>
          <c:cat>
            <c:strRef>
              <c:f>Sheet1!$A$2:$A$3</c:f>
              <c:strCache>
                <c:ptCount val="2"/>
                <c:pt idx="0">
                  <c:v>收入</c:v>
                </c:pt>
                <c:pt idx="1">
                  <c:v>支出</c:v>
                </c:pt>
              </c:strCache>
            </c:strRef>
          </c:cat>
          <c:val>
            <c:numRef>
              <c:f>Sheet1!$E$2:$E$3</c:f>
              <c:numCache>
                <c:formatCode>0.00%</c:formatCode>
                <c:ptCount val="2"/>
                <c:pt idx="0">
                  <c:v>0.0526</c:v>
                </c:pt>
                <c:pt idx="1">
                  <c:v>0.0526</c:v>
                </c:pt>
              </c:numCache>
            </c:numRef>
          </c:val>
        </c:ser>
        <c:dLbls>
          <c:showLegendKey val="0"/>
          <c:showVal val="0"/>
          <c:showCatName val="0"/>
          <c:showSerName val="0"/>
          <c:showPercent val="0"/>
          <c:showBubbleSize val="0"/>
        </c:dLbls>
        <c:gapWidth val="246"/>
        <c:overlap val="-28"/>
        <c:axId val="57858210"/>
        <c:axId val="606717115"/>
      </c:barChart>
      <c:catAx>
        <c:axId val="578582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6717115"/>
        <c:crosses val="autoZero"/>
        <c:auto val="1"/>
        <c:lblAlgn val="ctr"/>
        <c:lblOffset val="100"/>
        <c:noMultiLvlLbl val="0"/>
      </c:catAx>
      <c:valAx>
        <c:axId val="60671711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85821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ef565f-65e3-48a0-ad82-b9e9ad244ff1}"/>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27</Words>
  <Characters>30</Characters>
  <Lines>60</Lines>
  <Paragraphs>17</Paragraphs>
  <TotalTime>1</TotalTime>
  <ScaleCrop>false</ScaleCrop>
  <LinksUpToDate>false</LinksUpToDate>
  <CharactersWithSpaces>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Dell</cp:lastModifiedBy>
  <cp:lastPrinted>2025-08-06T17:34:00Z</cp:lastPrinted>
  <dcterms:modified xsi:type="dcterms:W3CDTF">2025-09-23T02:24:33Z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59D79EA50CF74BB79C2FD5FAEA5DC314_13</vt:lpwstr>
  </property>
  <property fmtid="{D5CDD505-2E9C-101B-9397-08002B2CF9AE}" pid="4" name="KSOTemplateDocerSaveRecord">
    <vt:lpwstr>eyJoZGlkIjoiOGEyYWE2MzEzYzdjNDFkN2M3NzViMDE2ZTA0NzNmMmEifQ==</vt:lpwstr>
  </property>
</Properties>
</file>