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93"/>
        <w:rPr>
          <w:rFonts w:ascii="Times New Roman" w:eastAsia="方正小标宋简体"/>
          <w:kern w:val="2"/>
          <w:sz w:val="72"/>
          <w:szCs w:val="72"/>
        </w:rPr>
      </w:pPr>
      <w:bookmarkStart w:id="0" w:name="_Toc15396597"/>
      <w:bookmarkStart w:id="1" w:name="_Toc15377193"/>
      <w:bookmarkStart w:id="2" w:name="_Toc15306267"/>
      <w:bookmarkStart w:id="3" w:name="_Toc15378441"/>
      <w:bookmarkStart w:id="4" w:name="_Toc15377425"/>
      <w:bookmarkStart w:id="5" w:name="_Toc15396475"/>
    </w:p>
    <w:p>
      <w:pPr>
        <w:pStyle w:val="6"/>
        <w:spacing w:before="93"/>
        <w:rPr>
          <w:rFonts w:ascii="Times New Roman" w:eastAsia="方正小标宋简体"/>
          <w:kern w:val="2"/>
          <w:sz w:val="72"/>
          <w:szCs w:val="72"/>
        </w:rPr>
      </w:pPr>
    </w:p>
    <w:p>
      <w:pPr>
        <w:pStyle w:val="6"/>
        <w:spacing w:before="93"/>
        <w:rPr>
          <w:rFonts w:ascii="Times New Roman" w:eastAsia="方正小标宋简体"/>
          <w:kern w:val="2"/>
          <w:sz w:val="72"/>
          <w:szCs w:val="72"/>
        </w:rPr>
      </w:pPr>
    </w:p>
    <w:p>
      <w:pPr>
        <w:pStyle w:val="6"/>
        <w:spacing w:before="93"/>
        <w:rPr>
          <w:rFonts w:ascii="Times New Roman" w:eastAsia="方正小标宋简体"/>
          <w:kern w:val="2"/>
          <w:sz w:val="72"/>
          <w:szCs w:val="72"/>
        </w:rPr>
      </w:pPr>
    </w:p>
    <w:p>
      <w:pPr>
        <w:pStyle w:val="6"/>
        <w:spacing w:before="93"/>
        <w:jc w:val="center"/>
        <w:rPr>
          <w:rFonts w:ascii="Times New Roman" w:eastAsia="方正小标宋简体"/>
          <w:kern w:val="2"/>
          <w:sz w:val="44"/>
          <w:szCs w:val="44"/>
        </w:rPr>
      </w:pPr>
    </w:p>
    <w:p>
      <w:pPr>
        <w:adjustRightInd w:val="0"/>
        <w:snapToGrid w:val="0"/>
        <w:spacing w:line="360" w:lineRule="auto"/>
        <w:jc w:val="center"/>
        <w:outlineLvl w:val="0"/>
        <w:rPr>
          <w:sz w:val="44"/>
          <w:szCs w:val="44"/>
        </w:rPr>
      </w:pPr>
      <w:r>
        <w:rPr>
          <w:rFonts w:hint="eastAsia" w:ascii="黑体" w:hAnsi="黑体" w:eastAsia="黑体" w:cs="黑体"/>
          <w:kern w:val="2"/>
          <w:sz w:val="44"/>
          <w:szCs w:val="44"/>
        </w:rPr>
        <w:t>2024年度</w:t>
      </w:r>
      <w:r>
        <w:rPr>
          <w:rFonts w:hint="eastAsia" w:ascii="黑体" w:hAnsi="黑体" w:eastAsia="黑体" w:cs="黑体"/>
          <w:sz w:val="44"/>
          <w:szCs w:val="44"/>
          <w:lang w:val="en-US" w:eastAsia="zh-CN"/>
        </w:rPr>
        <w:t>阿坝州都江堰老干部休养所</w:t>
      </w:r>
      <w:r>
        <w:rPr>
          <w:rFonts w:hint="eastAsia" w:ascii="黑体" w:hAnsi="黑体" w:eastAsia="黑体" w:cs="黑体"/>
          <w:sz w:val="44"/>
          <w:szCs w:val="44"/>
        </w:rPr>
        <w:t>决算</w:t>
      </w:r>
    </w:p>
    <w:p>
      <w:pPr>
        <w:pStyle w:val="6"/>
        <w:spacing w:before="93"/>
        <w:jc w:val="center"/>
        <w:rPr>
          <w:rFonts w:ascii="Times New Roman" w:eastAsia="方正小标宋简体"/>
          <w:kern w:val="2"/>
          <w:sz w:val="44"/>
          <w:szCs w:val="44"/>
        </w:rPr>
      </w:pPr>
    </w:p>
    <w:p>
      <w:pPr>
        <w:pStyle w:val="6"/>
        <w:spacing w:before="93"/>
        <w:jc w:val="center"/>
        <w:rPr>
          <w:rFonts w:ascii="Times New Roman" w:eastAsia="方正小标宋简体"/>
          <w:kern w:val="2"/>
          <w:sz w:val="44"/>
          <w:szCs w:val="44"/>
        </w:rPr>
      </w:pPr>
    </w:p>
    <w:p>
      <w:pPr>
        <w:pStyle w:val="6"/>
        <w:spacing w:before="93"/>
        <w:jc w:val="center"/>
        <w:rPr>
          <w:rFonts w:ascii="Times New Roman" w:eastAsia="方正小标宋简体"/>
          <w:kern w:val="2"/>
          <w:sz w:val="44"/>
          <w:szCs w:val="44"/>
        </w:rPr>
      </w:pPr>
    </w:p>
    <w:p>
      <w:pPr>
        <w:pStyle w:val="6"/>
        <w:spacing w:before="93"/>
        <w:jc w:val="center"/>
        <w:rPr>
          <w:rFonts w:ascii="Times New Roman" w:eastAsia="方正小标宋简体"/>
          <w:kern w:val="2"/>
          <w:sz w:val="44"/>
          <w:szCs w:val="44"/>
        </w:rPr>
      </w:pPr>
    </w:p>
    <w:bookmarkEnd w:id="0"/>
    <w:bookmarkEnd w:id="1"/>
    <w:bookmarkEnd w:id="2"/>
    <w:bookmarkEnd w:id="3"/>
    <w:bookmarkEnd w:id="4"/>
    <w:bookmarkEnd w:id="5"/>
    <w:p>
      <w:pPr>
        <w:widowControl/>
        <w:jc w:val="center"/>
        <w:rPr>
          <w:rFonts w:hint="eastAsia" w:eastAsia="黑体"/>
          <w:sz w:val="48"/>
          <w:szCs w:val="48"/>
        </w:rPr>
      </w:pPr>
    </w:p>
    <w:p>
      <w:pPr>
        <w:widowControl/>
        <w:jc w:val="center"/>
        <w:rPr>
          <w:rFonts w:hint="eastAsia" w:eastAsia="黑体"/>
          <w:sz w:val="48"/>
          <w:szCs w:val="48"/>
        </w:rPr>
      </w:pPr>
    </w:p>
    <w:p>
      <w:pPr>
        <w:widowControl/>
        <w:jc w:val="center"/>
        <w:rPr>
          <w:rFonts w:hint="eastAsia" w:eastAsia="黑体"/>
          <w:sz w:val="48"/>
          <w:szCs w:val="48"/>
        </w:rPr>
      </w:pPr>
    </w:p>
    <w:p>
      <w:pPr>
        <w:widowControl/>
        <w:jc w:val="center"/>
        <w:rPr>
          <w:rFonts w:hint="eastAsia" w:eastAsia="黑体"/>
          <w:sz w:val="48"/>
          <w:szCs w:val="48"/>
        </w:rPr>
      </w:pPr>
    </w:p>
    <w:p>
      <w:pPr>
        <w:widowControl/>
        <w:jc w:val="center"/>
        <w:rPr>
          <w:rFonts w:hint="eastAsia" w:eastAsia="黑体"/>
          <w:sz w:val="48"/>
          <w:szCs w:val="48"/>
        </w:rPr>
      </w:pPr>
    </w:p>
    <w:p>
      <w:pPr>
        <w:widowControl/>
        <w:jc w:val="center"/>
        <w:rPr>
          <w:rFonts w:hint="eastAsia" w:eastAsia="黑体"/>
          <w:sz w:val="48"/>
          <w:szCs w:val="48"/>
        </w:rPr>
      </w:pPr>
    </w:p>
    <w:p>
      <w:pPr>
        <w:widowControl/>
        <w:jc w:val="center"/>
        <w:rPr>
          <w:rFonts w:hint="eastAsia" w:eastAsia="黑体"/>
          <w:sz w:val="48"/>
          <w:szCs w:val="48"/>
        </w:rPr>
      </w:pPr>
    </w:p>
    <w:p>
      <w:pPr>
        <w:widowControl/>
        <w:jc w:val="both"/>
        <w:rPr>
          <w:rFonts w:hint="eastAsia" w:eastAsia="黑体"/>
          <w:sz w:val="48"/>
          <w:szCs w:val="48"/>
        </w:rPr>
      </w:pPr>
    </w:p>
    <w:p>
      <w:pPr>
        <w:widowControl/>
        <w:jc w:val="center"/>
        <w:rPr>
          <w:rFonts w:eastAsia="黑体"/>
          <w:sz w:val="48"/>
          <w:szCs w:val="48"/>
        </w:rPr>
      </w:pPr>
      <w:r>
        <w:rPr>
          <w:rFonts w:hint="eastAsia" w:eastAsia="黑体"/>
          <w:sz w:val="48"/>
          <w:szCs w:val="48"/>
        </w:rPr>
        <w:t>目录</w:t>
      </w:r>
    </w:p>
    <w:p>
      <w:pPr>
        <w:widowControl/>
        <w:jc w:val="center"/>
        <w:rPr>
          <w:rFonts w:eastAsia="黑体" w:cstheme="minorBidi"/>
          <w:sz w:val="28"/>
          <w:szCs w:val="28"/>
        </w:rPr>
      </w:pPr>
    </w:p>
    <w:p>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公开时间：2024年 </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 xml:space="preserve"> 月 </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 xml:space="preserve"> 日</w:t>
      </w:r>
    </w:p>
    <w:p/>
    <w:p>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 xml:space="preserve">第一部分 </w:t>
      </w:r>
      <w:r>
        <w:rPr>
          <w:rFonts w:hint="eastAsia" w:ascii="Times New Roman" w:hAnsi="Times New Roman" w:eastAsia="黑体" w:cs="黑体"/>
          <w:sz w:val="32"/>
          <w:szCs w:val="32"/>
          <w:lang w:val="en-US" w:eastAsia="zh-CN"/>
        </w:rPr>
        <w:t>单位</w:t>
      </w:r>
      <w:r>
        <w:rPr>
          <w:rFonts w:hint="eastAsia" w:ascii="Times New Roman" w:hAnsi="Times New Roman" w:eastAsia="黑体" w:cs="黑体"/>
          <w:sz w:val="32"/>
          <w:szCs w:val="32"/>
        </w:rPr>
        <w:t>概况</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w:t>
      </w:r>
      <w:r>
        <w:rPr>
          <w:rFonts w:hint="eastAsia" w:eastAsia="仿宋_GB2312" w:cs="仿宋_GB2312"/>
          <w:sz w:val="32"/>
          <w:szCs w:val="32"/>
          <w:lang w:val="en-US" w:eastAsia="zh-CN"/>
        </w:rPr>
        <w:t>主要</w:t>
      </w:r>
      <w:r>
        <w:rPr>
          <w:rFonts w:hint="eastAsia" w:eastAsia="仿宋_GB2312" w:cs="仿宋_GB2312"/>
          <w:sz w:val="32"/>
          <w:szCs w:val="32"/>
        </w:rPr>
        <w:t>职责</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二、机构设置</w:t>
      </w:r>
    </w:p>
    <w:p>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第二部分 2024年度部门决算情况说明</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二、收入决算情况说明</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三、支出决算情况说明</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四、财政拨款收入支出决算总体情况说明</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七、财政拨款“三公”经费支出决算情况说明</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十、其他重要事项的情况说明</w:t>
      </w:r>
    </w:p>
    <w:p>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第三部分 名词解释</w:t>
      </w:r>
    </w:p>
    <w:p>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第四部分 附件</w:t>
      </w:r>
    </w:p>
    <w:p>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第五部分 附表</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p>
    <w:p>
      <w:pPr>
        <w:pStyle w:val="3"/>
        <w:jc w:val="center"/>
        <w:rPr>
          <w:rFonts w:hint="eastAsia" w:eastAsia="方正小标宋简体" w:cs="方正小标宋简体"/>
          <w:b w:val="0"/>
        </w:rPr>
      </w:pPr>
      <w:bookmarkStart w:id="6" w:name="_Toc15396599"/>
      <w:bookmarkStart w:id="7" w:name="_Toc15377196"/>
    </w:p>
    <w:p>
      <w:pPr>
        <w:pStyle w:val="3"/>
        <w:jc w:val="both"/>
        <w:rPr>
          <w:rFonts w:hint="eastAsia" w:eastAsia="方正小标宋简体" w:cs="方正小标宋简体"/>
          <w:b w:val="0"/>
        </w:rPr>
      </w:pPr>
    </w:p>
    <w:p>
      <w:pPr>
        <w:rPr>
          <w:rFonts w:hint="eastAsia" w:eastAsia="方正小标宋简体" w:cs="方正小标宋简体"/>
          <w:b w:val="0"/>
        </w:rPr>
      </w:pPr>
    </w:p>
    <w:p>
      <w:pPr>
        <w:pStyle w:val="14"/>
        <w:rPr>
          <w:rFonts w:hint="eastAsia" w:eastAsia="方正小标宋简体" w:cs="方正小标宋简体"/>
          <w:b w:val="0"/>
        </w:rPr>
      </w:pPr>
    </w:p>
    <w:p>
      <w:pPr>
        <w:pStyle w:val="8"/>
        <w:rPr>
          <w:rFonts w:hint="eastAsia" w:eastAsia="方正小标宋简体" w:cs="方正小标宋简体"/>
          <w:b w:val="0"/>
        </w:rPr>
      </w:pPr>
    </w:p>
    <w:p>
      <w:pPr>
        <w:pStyle w:val="8"/>
        <w:rPr>
          <w:rFonts w:hint="eastAsia" w:eastAsia="方正小标宋简体" w:cs="方正小标宋简体"/>
          <w:b w:val="0"/>
        </w:rPr>
      </w:pPr>
    </w:p>
    <w:p>
      <w:pPr>
        <w:pStyle w:val="8"/>
        <w:rPr>
          <w:rFonts w:hint="eastAsia" w:eastAsia="方正小标宋简体" w:cs="方正小标宋简体"/>
          <w:b w:val="0"/>
        </w:rPr>
      </w:pPr>
    </w:p>
    <w:p>
      <w:pPr>
        <w:pStyle w:val="8"/>
        <w:rPr>
          <w:rFonts w:hint="eastAsia" w:eastAsia="方正小标宋简体" w:cs="方正小标宋简体"/>
          <w:b w:val="0"/>
        </w:rPr>
      </w:pPr>
    </w:p>
    <w:p>
      <w:pPr>
        <w:pStyle w:val="3"/>
        <w:jc w:val="both"/>
        <w:rPr>
          <w:rFonts w:hint="eastAsia" w:eastAsia="方正小标宋简体" w:cs="方正小标宋简体"/>
          <w:b w:val="0"/>
        </w:rPr>
      </w:pPr>
    </w:p>
    <w:p>
      <w:pPr>
        <w:rPr>
          <w:rFonts w:hint="eastAsia" w:eastAsia="方正小标宋简体" w:cs="方正小标宋简体"/>
          <w:b w:val="0"/>
        </w:rPr>
      </w:pPr>
    </w:p>
    <w:p>
      <w:pPr>
        <w:pStyle w:val="14"/>
        <w:rPr>
          <w:rFonts w:hint="eastAsia"/>
        </w:rPr>
      </w:pPr>
    </w:p>
    <w:p>
      <w:pPr>
        <w:pStyle w:val="3"/>
        <w:jc w:val="center"/>
        <w:rPr>
          <w:rStyle w:val="31"/>
          <w:rFonts w:eastAsia="方正小标宋简体" w:cs="方正小标宋简体"/>
          <w:b/>
          <w:bCs w:val="0"/>
        </w:rPr>
      </w:pPr>
      <w:r>
        <w:rPr>
          <w:rFonts w:hint="eastAsia" w:eastAsia="方正小标宋简体" w:cs="方正小标宋简体"/>
          <w:b w:val="0"/>
        </w:rPr>
        <w:t xml:space="preserve">第一部分  </w:t>
      </w:r>
      <w:r>
        <w:rPr>
          <w:rStyle w:val="31"/>
          <w:rFonts w:hint="eastAsia" w:eastAsia="方正小标宋简体" w:cs="方正小标宋简体"/>
          <w:b w:val="0"/>
          <w:bCs w:val="0"/>
        </w:rPr>
        <w:t>部门概况</w:t>
      </w:r>
      <w:bookmarkEnd w:id="6"/>
      <w:bookmarkEnd w:id="7"/>
    </w:p>
    <w:p>
      <w:pPr>
        <w:widowControl/>
        <w:jc w:val="left"/>
        <w:rPr>
          <w:rFonts w:eastAsia="黑体"/>
          <w:sz w:val="32"/>
          <w:szCs w:val="32"/>
        </w:rPr>
      </w:pPr>
    </w:p>
    <w:p>
      <w:pPr>
        <w:pStyle w:val="4"/>
        <w:numPr>
          <w:ilvl w:val="0"/>
          <w:numId w:val="0"/>
        </w:numPr>
        <w:ind w:firstLine="640" w:firstLineChars="200"/>
        <w:rPr>
          <w:rFonts w:hint="eastAsia" w:ascii="Times New Roman" w:hAnsi="Times New Roman" w:eastAsia="黑体"/>
          <w:b w:val="0"/>
        </w:rPr>
      </w:pPr>
      <w:r>
        <w:rPr>
          <w:rFonts w:hint="eastAsia" w:ascii="Times New Roman" w:hAnsi="Times New Roman" w:eastAsia="黑体"/>
          <w:b w:val="0"/>
          <w:lang w:val="en-US" w:eastAsia="zh-CN"/>
        </w:rPr>
        <w:t>一、</w:t>
      </w:r>
      <w:r>
        <w:rPr>
          <w:rFonts w:hint="eastAsia" w:ascii="Times New Roman" w:hAnsi="Times New Roman" w:eastAsia="黑体"/>
          <w:b w:val="0"/>
        </w:rPr>
        <w:t>部门职责</w:t>
      </w:r>
    </w:p>
    <w:p>
      <w:pPr>
        <w:pStyle w:val="38"/>
        <w:keepNext w:val="0"/>
        <w:keepLines w:val="0"/>
        <w:widowControl/>
        <w:suppressLineNumbers w:val="0"/>
        <w:shd w:val="clear" w:color="auto" w:fill="FFFFFF"/>
        <w:ind w:left="0" w:firstLine="640" w:firstLineChars="200"/>
        <w:rPr>
          <w:rFonts w:hint="eastAsia" w:ascii="仿宋_GB2312" w:hAnsi="仿宋" w:eastAsia="仿宋_GB2312"/>
          <w:sz w:val="32"/>
          <w:szCs w:val="32"/>
        </w:rPr>
      </w:pPr>
      <w:r>
        <w:rPr>
          <w:rFonts w:hint="eastAsia" w:ascii="仿宋" w:hAnsi="仿宋" w:eastAsia="仿宋" w:cs="仿宋"/>
          <w:kern w:val="0"/>
          <w:sz w:val="32"/>
          <w:szCs w:val="32"/>
          <w:shd w:val="clear" w:color="auto" w:fill="FFFFFF"/>
        </w:rPr>
        <w:t>组织离退休职工学习时事、政治并通报有关情况，及时了解党的路线、方针、政策和国内外大事；组织他们开展有益的活动，丰富晚年生活；协助、配合有关单位解决他们的有关问题；使他们老有所为，积极为各项社会、经济事业发挥余热；负责休养所的日常管理，为退休职工提供管理服务工作。</w:t>
      </w:r>
    </w:p>
    <w:p>
      <w:pPr>
        <w:pStyle w:val="4"/>
        <w:ind w:firstLine="640" w:firstLineChars="200"/>
        <w:rPr>
          <w:rStyle w:val="32"/>
          <w:rFonts w:ascii="Times New Roman" w:hAnsi="Times New Roman"/>
          <w:b w:val="0"/>
          <w:bCs w:val="0"/>
        </w:rPr>
      </w:pPr>
      <w:bookmarkStart w:id="8" w:name="_Toc15377200"/>
      <w:bookmarkStart w:id="9" w:name="_Toc15396601"/>
      <w:r>
        <w:rPr>
          <w:rFonts w:hint="eastAsia" w:ascii="Times New Roman" w:hAnsi="Times New Roman" w:eastAsia="黑体"/>
          <w:b w:val="0"/>
          <w:lang w:val="en-US" w:eastAsia="zh-CN"/>
        </w:rPr>
        <w:t>二、</w:t>
      </w:r>
      <w:r>
        <w:rPr>
          <w:rFonts w:hint="eastAsia" w:ascii="Times New Roman" w:hAnsi="Times New Roman" w:eastAsia="黑体"/>
          <w:b w:val="0"/>
        </w:rPr>
        <w:t>机</w:t>
      </w:r>
      <w:r>
        <w:rPr>
          <w:rStyle w:val="32"/>
          <w:rFonts w:hint="eastAsia" w:ascii="Times New Roman" w:hAnsi="Times New Roman" w:eastAsia="黑体"/>
          <w:b w:val="0"/>
          <w:bCs w:val="0"/>
        </w:rPr>
        <w:t>构设置</w:t>
      </w:r>
      <w:bookmarkEnd w:id="8"/>
      <w:bookmarkEnd w:id="9"/>
    </w:p>
    <w:p>
      <w:pPr>
        <w:numPr>
          <w:ilvl w:val="0"/>
          <w:numId w:val="0"/>
        </w:numPr>
        <w:snapToGrid w:val="0"/>
        <w:spacing w:line="520" w:lineRule="exact"/>
        <w:ind w:firstLine="640" w:firstLineChars="200"/>
        <w:rPr>
          <w:rFonts w:hint="default" w:ascii="仿宋_GB2312" w:hAnsi="仿宋" w:eastAsia="仿宋_GB2312"/>
          <w:sz w:val="32"/>
          <w:szCs w:val="32"/>
          <w:lang w:val="en-US" w:eastAsia="zh-CN"/>
        </w:rPr>
      </w:pPr>
      <w:bookmarkStart w:id="10" w:name="_Toc15396602"/>
      <w:bookmarkStart w:id="11" w:name="_Toc15377204"/>
      <w:r>
        <w:rPr>
          <w:rFonts w:hint="eastAsia" w:ascii="仿宋" w:hAnsi="仿宋" w:eastAsia="仿宋" w:cs="仿宋"/>
          <w:kern w:val="0"/>
          <w:sz w:val="32"/>
          <w:szCs w:val="32"/>
          <w:shd w:val="clear" w:color="auto" w:fill="FFFFFF"/>
        </w:rPr>
        <w:t xml:space="preserve">本单位本年度纳入本套决算编制范围的独立编制机构数共1个，比上年增加0个，独立核算机构数共1个，比上年增加0个。 </w:t>
      </w:r>
    </w:p>
    <w:p>
      <w:pPr>
        <w:snapToGrid w:val="0"/>
        <w:spacing w:line="520" w:lineRule="exact"/>
        <w:ind w:firstLine="640" w:firstLineChars="200"/>
        <w:rPr>
          <w:rFonts w:hint="eastAsia" w:ascii="楷体_GB2312" w:hAnsi="仿宋" w:eastAsia="楷体_GB2312"/>
          <w:b/>
          <w:sz w:val="32"/>
          <w:szCs w:val="32"/>
        </w:rPr>
      </w:pPr>
      <w:r>
        <w:rPr>
          <w:rFonts w:hint="eastAsia" w:ascii="仿宋" w:hAnsi="仿宋" w:eastAsia="仿宋" w:cs="仿宋"/>
          <w:kern w:val="0"/>
          <w:sz w:val="32"/>
          <w:szCs w:val="32"/>
          <w:shd w:val="clear" w:color="auto" w:fill="FFFFFF"/>
        </w:rPr>
        <w:t>本单位本年度年末实有人数为21人，比上年增加0人；年末实有离退休人数为0人，比上年增加0人；年末实有其他人数为0人，比上年增加0人</w:t>
      </w:r>
    </w:p>
    <w:p>
      <w:pPr>
        <w:pStyle w:val="3"/>
        <w:keepNext/>
        <w:keepLines/>
        <w:pageBreakBefore w:val="0"/>
        <w:widowControl w:val="0"/>
        <w:kinsoku/>
        <w:wordWrap/>
        <w:overflowPunct/>
        <w:topLinePunct w:val="0"/>
        <w:autoSpaceDE/>
        <w:autoSpaceDN/>
        <w:bidi w:val="0"/>
        <w:adjustRightInd/>
        <w:snapToGrid/>
        <w:spacing w:line="579" w:lineRule="auto"/>
        <w:jc w:val="both"/>
        <w:textAlignment w:val="auto"/>
        <w:rPr>
          <w:rFonts w:hint="eastAsia" w:eastAsia="方正小标宋简体" w:cs="方正小标宋简体"/>
          <w:b w:val="0"/>
        </w:rPr>
      </w:pPr>
    </w:p>
    <w:p>
      <w:pPr>
        <w:rPr>
          <w:rFonts w:hint="eastAsia"/>
        </w:rPr>
      </w:pPr>
    </w:p>
    <w:p>
      <w:pPr>
        <w:pStyle w:val="3"/>
        <w:jc w:val="both"/>
        <w:rPr>
          <w:rFonts w:eastAsia="方正小标宋简体" w:cs="方正小标宋简体"/>
          <w:b w:val="0"/>
        </w:rPr>
      </w:pPr>
      <w:r>
        <w:rPr>
          <w:rFonts w:hint="eastAsia" w:eastAsia="方正小标宋简体" w:cs="方正小标宋简体"/>
          <w:b w:val="0"/>
        </w:rPr>
        <w:t xml:space="preserve"> </w:t>
      </w:r>
      <w:r>
        <w:rPr>
          <w:rFonts w:hint="eastAsia" w:eastAsia="方正小标宋简体" w:cs="方正小标宋简体"/>
          <w:b w:val="0"/>
          <w:lang w:val="en-US" w:eastAsia="zh-CN"/>
        </w:rPr>
        <w:t xml:space="preserve"> 第二部分  </w:t>
      </w:r>
      <w:r>
        <w:rPr>
          <w:rFonts w:hint="eastAsia" w:eastAsia="方正小标宋简体" w:cs="方正小标宋简体"/>
          <w:b w:val="0"/>
        </w:rPr>
        <w:t>2024年度部门决算情况说明</w:t>
      </w:r>
      <w:bookmarkEnd w:id="10"/>
      <w:bookmarkEnd w:id="11"/>
    </w:p>
    <w:p/>
    <w:p>
      <w:pPr>
        <w:pStyle w:val="30"/>
        <w:spacing w:line="600" w:lineRule="exact"/>
        <w:ind w:firstLine="640"/>
        <w:outlineLvl w:val="1"/>
        <w:rPr>
          <w:rStyle w:val="32"/>
          <w:rFonts w:ascii="Times New Roman" w:hAnsi="Times New Roman" w:eastAsia="黑体"/>
          <w:b w:val="0"/>
        </w:rPr>
      </w:pPr>
      <w:bookmarkStart w:id="12" w:name="_Toc15377205"/>
      <w:bookmarkStart w:id="13" w:name="_Toc15396603"/>
      <w:r>
        <w:rPr>
          <w:rFonts w:hint="eastAsia" w:eastAsia="黑体"/>
          <w:sz w:val="32"/>
          <w:szCs w:val="32"/>
        </w:rPr>
        <w:t>一、收</w:t>
      </w:r>
      <w:r>
        <w:rPr>
          <w:rStyle w:val="32"/>
          <w:rFonts w:hint="eastAsia" w:ascii="Times New Roman" w:hAnsi="Times New Roman" w:eastAsia="黑体"/>
          <w:b w:val="0"/>
        </w:rPr>
        <w:t>入支出决算总体情况说明</w:t>
      </w:r>
      <w:bookmarkEnd w:id="12"/>
      <w:bookmarkEnd w:id="13"/>
    </w:p>
    <w:p>
      <w:pPr>
        <w:numPr>
          <w:ilvl w:val="0"/>
          <w:numId w:val="0"/>
        </w:numPr>
        <w:ind w:firstLine="640" w:firstLineChars="200"/>
        <w:rPr>
          <w:rFonts w:hint="eastAsia" w:ascii="仿宋" w:hAnsi="仿宋" w:eastAsia="仿宋"/>
          <w:sz w:val="32"/>
          <w:szCs w:val="32"/>
          <w:lang w:val="en-US" w:eastAsia="zh-CN"/>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lang w:val="en-US" w:eastAsia="zh-CN"/>
        </w:rPr>
        <w:t>706.88</w:t>
      </w:r>
      <w:r>
        <w:rPr>
          <w:rFonts w:hint="eastAsia" w:eastAsia="仿宋_GB2312" w:cs="仿宋_GB2312"/>
          <w:sz w:val="32"/>
          <w:szCs w:val="32"/>
        </w:rPr>
        <w:t>万元。与2023年度相比，收入、支出总计各增加</w:t>
      </w:r>
      <w:r>
        <w:rPr>
          <w:rFonts w:hint="eastAsia" w:eastAsia="仿宋_GB2312" w:cs="仿宋_GB2312"/>
          <w:sz w:val="32"/>
          <w:szCs w:val="32"/>
          <w:lang w:val="en-US" w:eastAsia="zh-CN"/>
        </w:rPr>
        <w:t>36.42</w:t>
      </w:r>
      <w:r>
        <w:rPr>
          <w:rFonts w:hint="eastAsia" w:eastAsia="仿宋_GB2312" w:cs="仿宋_GB2312"/>
          <w:sz w:val="32"/>
          <w:szCs w:val="32"/>
        </w:rPr>
        <w:t>万元，增长</w:t>
      </w:r>
      <w:r>
        <w:rPr>
          <w:rFonts w:hint="eastAsia" w:eastAsia="仿宋_GB2312" w:cs="仿宋_GB2312"/>
          <w:sz w:val="32"/>
          <w:szCs w:val="32"/>
          <w:lang w:val="en-US" w:eastAsia="zh-CN"/>
        </w:rPr>
        <w:t>5.15</w:t>
      </w:r>
      <w:r>
        <w:rPr>
          <w:rFonts w:hint="eastAsia" w:eastAsia="仿宋_GB2312" w:cs="仿宋_GB2312"/>
          <w:sz w:val="32"/>
          <w:szCs w:val="32"/>
        </w:rPr>
        <w:t>%。主要变动原因是</w:t>
      </w:r>
      <w:r>
        <w:rPr>
          <w:rFonts w:hint="eastAsia" w:ascii="仿宋" w:hAnsi="仿宋" w:eastAsia="仿宋"/>
          <w:sz w:val="32"/>
          <w:szCs w:val="32"/>
          <w:lang w:val="en-US" w:eastAsia="zh-CN"/>
        </w:rPr>
        <w:t>人员工资、目标绩效及五险缴费增加。</w:t>
      </w:r>
    </w:p>
    <w:p>
      <w:pPr>
        <w:pStyle w:val="30"/>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1"/>
        <w:rPr>
          <w:rFonts w:hint="eastAsia" w:eastAsia="仿宋_GB2312" w:cs="仿宋_GB2312"/>
          <w:sz w:val="32"/>
          <w:szCs w:val="32"/>
          <w:lang w:eastAsia="zh-CN"/>
        </w:rPr>
      </w:pPr>
      <w:r>
        <w:drawing>
          <wp:inline distT="0" distB="0" distL="114300" distR="114300">
            <wp:extent cx="4572000" cy="2743200"/>
            <wp:effectExtent l="4445" t="4445" r="10795" b="1079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rPr>
          <w:rFonts w:eastAsia="仿宋_GB2312" w:cs="仿宋_GB2312"/>
          <w:sz w:val="32"/>
          <w:szCs w:val="32"/>
        </w:rPr>
      </w:pPr>
      <w:r>
        <w:rPr>
          <w:rFonts w:hint="eastAsia" w:eastAsia="仿宋_GB2312" w:cs="仿宋_GB2312"/>
          <w:sz w:val="32"/>
          <w:szCs w:val="32"/>
        </w:rPr>
        <w:t>（图1：收入、支出决算总计变动情况图）（柱状图）</w:t>
      </w:r>
    </w:p>
    <w:p>
      <w:pPr>
        <w:pStyle w:val="30"/>
        <w:spacing w:line="600" w:lineRule="exact"/>
        <w:ind w:left="0" w:leftChars="0" w:firstLine="640" w:firstLineChars="200"/>
        <w:outlineLvl w:val="1"/>
        <w:rPr>
          <w:rFonts w:eastAsia="黑体"/>
          <w:sz w:val="32"/>
          <w:szCs w:val="32"/>
        </w:rPr>
      </w:pPr>
      <w:bookmarkStart w:id="14" w:name="_Toc15377206"/>
      <w:bookmarkStart w:id="15" w:name="_Toc15396604"/>
      <w:r>
        <w:rPr>
          <w:rFonts w:hint="eastAsia" w:eastAsia="黑体"/>
          <w:sz w:val="32"/>
          <w:szCs w:val="32"/>
        </w:rPr>
        <w:t>二、收入决算情况说明</w:t>
      </w:r>
      <w:bookmarkEnd w:id="14"/>
      <w:bookmarkEnd w:id="15"/>
    </w:p>
    <w:p>
      <w:pPr>
        <w:pStyle w:val="30"/>
        <w:spacing w:line="600" w:lineRule="exact"/>
        <w:ind w:firstLine="640"/>
        <w:jc w:val="left"/>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w:t>
      </w:r>
      <w:r>
        <w:rPr>
          <w:rFonts w:hint="eastAsia" w:ascii="仿宋_GB2312" w:hAnsi="仿宋_GB2312" w:eastAsia="仿宋_GB2312" w:cs="仿宋_GB2312"/>
          <w:sz w:val="32"/>
          <w:szCs w:val="32"/>
          <w:lang w:val="en-US" w:eastAsia="zh-CN"/>
        </w:rPr>
        <w:t>704.55</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694.25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98.54</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10.3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1.46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eastAsia="仿宋_GB2312" w:cs="仿宋_GB2312"/>
          <w:b/>
          <w:bCs/>
          <w:sz w:val="32"/>
          <w:szCs w:val="32"/>
        </w:rPr>
        <w:t>（注：仅罗列本部门涉及的收入）</w:t>
      </w:r>
    </w:p>
    <w:p>
      <w:pPr>
        <w:keepNext w:val="0"/>
        <w:keepLines w:val="0"/>
        <w:pageBreakBefore w:val="0"/>
        <w:widowControl w:val="0"/>
        <w:kinsoku/>
        <w:wordWrap/>
        <w:overflowPunct/>
        <w:topLinePunct w:val="0"/>
        <w:autoSpaceDE/>
        <w:autoSpaceDN/>
        <w:bidi w:val="0"/>
        <w:adjustRightInd/>
        <w:snapToGrid/>
        <w:ind w:firstLine="525" w:firstLineChars="250"/>
        <w:textAlignment w:val="auto"/>
        <w:rPr>
          <w:rFonts w:hint="eastAsia" w:eastAsia="仿宋_GB2312" w:cs="仿宋_GB2312"/>
          <w:sz w:val="32"/>
          <w:szCs w:val="32"/>
        </w:rPr>
      </w:pPr>
      <w:r>
        <w:drawing>
          <wp:inline distT="0" distB="0" distL="114300" distR="114300">
            <wp:extent cx="4572000" cy="2743200"/>
            <wp:effectExtent l="4445" t="4445" r="10795" b="1079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800" w:firstLineChars="250"/>
        <w:rPr>
          <w:rFonts w:eastAsia="仿宋_GB2312" w:cs="仿宋_GB2312"/>
          <w:sz w:val="32"/>
          <w:szCs w:val="32"/>
        </w:rPr>
      </w:pPr>
      <w:r>
        <w:rPr>
          <w:rFonts w:hint="eastAsia" w:eastAsia="仿宋_GB2312" w:cs="仿宋_GB2312"/>
          <w:sz w:val="32"/>
          <w:szCs w:val="32"/>
        </w:rPr>
        <w:t>（图2：收入决算结构图）（饼状图）</w:t>
      </w:r>
    </w:p>
    <w:p>
      <w:pPr>
        <w:ind w:firstLine="800" w:firstLineChars="250"/>
        <w:rPr>
          <w:rFonts w:eastAsia="仿宋_GB2312" w:cs="仿宋_GB2312"/>
          <w:sz w:val="32"/>
          <w:szCs w:val="32"/>
        </w:rPr>
      </w:pPr>
    </w:p>
    <w:p>
      <w:pPr>
        <w:pStyle w:val="30"/>
        <w:spacing w:line="600" w:lineRule="exact"/>
        <w:ind w:firstLine="640"/>
        <w:outlineLvl w:val="1"/>
        <w:rPr>
          <w:rStyle w:val="32"/>
          <w:rFonts w:ascii="Times New Roman" w:hAnsi="Times New Roman" w:eastAsia="黑体"/>
          <w:b w:val="0"/>
        </w:rPr>
      </w:pPr>
      <w:bookmarkStart w:id="16" w:name="_Toc15377207"/>
      <w:bookmarkStart w:id="17" w:name="_Toc15396605"/>
      <w:r>
        <w:rPr>
          <w:rFonts w:hint="eastAsia" w:eastAsia="黑体"/>
          <w:sz w:val="32"/>
          <w:szCs w:val="32"/>
        </w:rPr>
        <w:t>三、支</w:t>
      </w:r>
      <w:r>
        <w:rPr>
          <w:rStyle w:val="32"/>
          <w:rFonts w:hint="eastAsia" w:ascii="Times New Roman" w:hAnsi="Times New Roman" w:eastAsia="黑体"/>
          <w:b w:val="0"/>
        </w:rPr>
        <w:t>出决算情况说明</w:t>
      </w:r>
      <w:bookmarkEnd w:id="16"/>
      <w:bookmarkEnd w:id="17"/>
    </w:p>
    <w:p>
      <w:pPr>
        <w:pStyle w:val="30"/>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w:t>
      </w:r>
      <w:r>
        <w:rPr>
          <w:rFonts w:hint="eastAsia" w:ascii="仿宋_GB2312" w:hAnsi="仿宋_GB2312" w:eastAsia="仿宋_GB2312" w:cs="仿宋_GB2312"/>
          <w:sz w:val="32"/>
          <w:szCs w:val="32"/>
          <w:lang w:val="en-US" w:eastAsia="zh-CN"/>
        </w:rPr>
        <w:t>697.58</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537.98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77.12</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159.6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22.88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hint="eastAsia" w:eastAsia="仿宋_GB2312" w:cs="仿宋_GB2312"/>
          <w:b/>
          <w:bCs/>
          <w:sz w:val="32"/>
          <w:szCs w:val="32"/>
        </w:rPr>
        <w:t>（注：仅罗列本部门涉及的支出）</w:t>
      </w:r>
    </w:p>
    <w:p>
      <w:pPr>
        <w:keepNext w:val="0"/>
        <w:keepLines w:val="0"/>
        <w:pageBreakBefore w:val="0"/>
        <w:widowControl w:val="0"/>
        <w:kinsoku/>
        <w:wordWrap/>
        <w:overflowPunct/>
        <w:topLinePunct w:val="0"/>
        <w:autoSpaceDE/>
        <w:autoSpaceDN/>
        <w:bidi w:val="0"/>
        <w:adjustRightInd/>
        <w:snapToGrid/>
        <w:ind w:firstLine="525" w:firstLineChars="250"/>
        <w:textAlignment w:val="auto"/>
        <w:rPr>
          <w:rFonts w:hint="eastAsia" w:eastAsia="仿宋_GB2312" w:cs="仿宋_GB2312"/>
          <w:sz w:val="32"/>
          <w:szCs w:val="32"/>
        </w:rPr>
      </w:pPr>
      <w:r>
        <w:drawing>
          <wp:inline distT="0" distB="0" distL="114300" distR="114300">
            <wp:extent cx="4572000" cy="2743200"/>
            <wp:effectExtent l="4445" t="4445" r="10795" b="1079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800" w:firstLineChars="250"/>
        <w:rPr>
          <w:rFonts w:eastAsia="仿宋_GB2312" w:cs="仿宋_GB2312"/>
          <w:sz w:val="32"/>
          <w:szCs w:val="32"/>
        </w:rPr>
      </w:pPr>
      <w:r>
        <w:rPr>
          <w:rFonts w:hint="eastAsia" w:eastAsia="仿宋_GB2312" w:cs="仿宋_GB2312"/>
          <w:sz w:val="32"/>
          <w:szCs w:val="32"/>
        </w:rPr>
        <w:t>（图3：支出决算结构图）（饼状图）</w:t>
      </w:r>
    </w:p>
    <w:p>
      <w:pPr>
        <w:ind w:firstLine="800" w:firstLineChars="250"/>
        <w:rPr>
          <w:rFonts w:eastAsia="仿宋_GB2312" w:cs="仿宋_GB2312"/>
          <w:sz w:val="32"/>
          <w:szCs w:val="32"/>
        </w:rPr>
      </w:pPr>
    </w:p>
    <w:p>
      <w:pPr>
        <w:spacing w:line="600" w:lineRule="exact"/>
        <w:ind w:firstLine="640" w:firstLineChars="200"/>
        <w:outlineLvl w:val="1"/>
        <w:rPr>
          <w:rStyle w:val="32"/>
          <w:rFonts w:ascii="Times New Roman" w:hAnsi="Times New Roman" w:eastAsia="黑体"/>
          <w:b w:val="0"/>
        </w:rPr>
      </w:pPr>
      <w:bookmarkStart w:id="18" w:name="_Toc15396606"/>
      <w:bookmarkStart w:id="19" w:name="_Toc15377208"/>
      <w:r>
        <w:rPr>
          <w:rFonts w:hint="eastAsia" w:eastAsia="黑体"/>
          <w:sz w:val="32"/>
          <w:szCs w:val="32"/>
        </w:rPr>
        <w:t>四、财</w:t>
      </w:r>
      <w:r>
        <w:rPr>
          <w:rStyle w:val="32"/>
          <w:rFonts w:hint="eastAsia" w:ascii="Times New Roman" w:hAnsi="Times New Roman" w:eastAsia="黑体"/>
          <w:b w:val="0"/>
        </w:rPr>
        <w:t>政拨款收入支出决算总体情况说明</w:t>
      </w:r>
      <w:bookmarkEnd w:id="18"/>
      <w:bookmarkEnd w:id="19"/>
    </w:p>
    <w:p>
      <w:pPr>
        <w:spacing w:line="600" w:lineRule="exact"/>
        <w:ind w:firstLine="640" w:firstLineChars="200"/>
        <w:rPr>
          <w:rFonts w:hint="eastAsia" w:ascii="仿宋" w:hAnsi="仿宋" w:eastAsia="仿宋"/>
          <w:sz w:val="32"/>
          <w:szCs w:val="32"/>
          <w:lang w:val="en-US" w:eastAsia="zh-CN"/>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lang w:val="en-US" w:eastAsia="zh-CN"/>
        </w:rPr>
        <w:t>694.25</w:t>
      </w:r>
      <w:r>
        <w:rPr>
          <w:rFonts w:hint="eastAsia" w:eastAsia="仿宋_GB2312" w:cs="仿宋_GB2312"/>
          <w:sz w:val="32"/>
          <w:szCs w:val="32"/>
        </w:rPr>
        <w:t>万元。与2023年度相比，财政拨款收入总计、支出总计各增加</w:t>
      </w:r>
      <w:r>
        <w:rPr>
          <w:rFonts w:hint="eastAsia" w:eastAsia="仿宋_GB2312" w:cs="仿宋_GB2312"/>
          <w:sz w:val="32"/>
          <w:szCs w:val="32"/>
          <w:lang w:val="en-US" w:eastAsia="zh-CN"/>
        </w:rPr>
        <w:t>27.79</w:t>
      </w:r>
      <w:r>
        <w:rPr>
          <w:rFonts w:hint="eastAsia" w:eastAsia="仿宋_GB2312" w:cs="仿宋_GB2312"/>
          <w:sz w:val="32"/>
          <w:szCs w:val="32"/>
        </w:rPr>
        <w:t>万元，增长</w:t>
      </w:r>
      <w:r>
        <w:rPr>
          <w:rFonts w:hint="eastAsia" w:eastAsia="仿宋_GB2312" w:cs="仿宋_GB2312"/>
          <w:sz w:val="32"/>
          <w:szCs w:val="32"/>
          <w:lang w:val="en-US" w:eastAsia="zh-CN"/>
        </w:rPr>
        <w:t>4</w:t>
      </w:r>
      <w:r>
        <w:rPr>
          <w:rFonts w:hint="eastAsia" w:eastAsia="仿宋_GB2312" w:cs="仿宋_GB2312"/>
          <w:sz w:val="32"/>
          <w:szCs w:val="32"/>
        </w:rPr>
        <w:t>%。主要变动原因是</w:t>
      </w:r>
      <w:r>
        <w:rPr>
          <w:rFonts w:hint="eastAsia" w:ascii="仿宋" w:hAnsi="仿宋" w:eastAsia="仿宋"/>
          <w:color w:val="000000"/>
          <w:sz w:val="32"/>
          <w:szCs w:val="32"/>
          <w:lang w:val="en-US" w:eastAsia="zh-CN"/>
        </w:rPr>
        <w:t>老干部活动增加</w:t>
      </w:r>
      <w:r>
        <w:rPr>
          <w:rFonts w:hint="eastAsia" w:ascii="仿宋" w:hAnsi="仿宋" w:eastAsia="仿宋"/>
          <w:color w:val="000000"/>
          <w:sz w:val="32"/>
          <w:szCs w:val="32"/>
        </w:rPr>
        <w:t>，运行成本及人员、五险增加</w:t>
      </w:r>
      <w:r>
        <w:rPr>
          <w:rFonts w:hint="eastAsia" w:ascii="仿宋" w:hAnsi="仿宋" w:eastAsia="仿宋"/>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仿宋_GB2312" w:cs="仿宋_GB2312"/>
          <w:sz w:val="32"/>
          <w:szCs w:val="32"/>
        </w:rPr>
      </w:pPr>
      <w:r>
        <w:drawing>
          <wp:inline distT="0" distB="0" distL="114300" distR="114300">
            <wp:extent cx="4572000" cy="2743200"/>
            <wp:effectExtent l="4445" t="4445" r="10795" b="107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p>
    <w:p>
      <w:pPr>
        <w:spacing w:line="600" w:lineRule="exact"/>
        <w:ind w:firstLine="640"/>
        <w:rPr>
          <w:rFonts w:eastAsia="仿宋_GB2312" w:cs="仿宋_GB2312"/>
          <w:sz w:val="32"/>
          <w:szCs w:val="32"/>
        </w:rPr>
      </w:pPr>
    </w:p>
    <w:p>
      <w:pPr>
        <w:spacing w:line="600" w:lineRule="exact"/>
        <w:ind w:firstLine="640" w:firstLineChars="200"/>
        <w:outlineLvl w:val="1"/>
        <w:rPr>
          <w:rStyle w:val="32"/>
          <w:rFonts w:ascii="Times New Roman" w:hAnsi="Times New Roman" w:eastAsia="黑体"/>
          <w:b w:val="0"/>
        </w:rPr>
      </w:pPr>
      <w:bookmarkStart w:id="20" w:name="_Toc15396607"/>
      <w:bookmarkStart w:id="21" w:name="_Toc15377209"/>
      <w:r>
        <w:rPr>
          <w:rFonts w:hint="eastAsia" w:eastAsia="黑体"/>
          <w:sz w:val="32"/>
          <w:szCs w:val="32"/>
        </w:rPr>
        <w:t>五、</w:t>
      </w:r>
      <w:r>
        <w:rPr>
          <w:rFonts w:hint="eastAsia" w:eastAsia="黑体"/>
          <w:b/>
          <w:sz w:val="32"/>
          <w:szCs w:val="32"/>
        </w:rPr>
        <w:t>一</w:t>
      </w:r>
      <w:r>
        <w:rPr>
          <w:rStyle w:val="32"/>
          <w:rFonts w:hint="eastAsia" w:ascii="Times New Roman" w:hAnsi="Times New Roman" w:eastAsia="黑体"/>
          <w:b w:val="0"/>
        </w:rPr>
        <w:t>般公共预算财政拨款支出决算情况说明</w:t>
      </w:r>
      <w:bookmarkEnd w:id="20"/>
      <w:bookmarkEnd w:id="21"/>
    </w:p>
    <w:p>
      <w:pPr>
        <w:spacing w:line="600" w:lineRule="exact"/>
        <w:ind w:firstLine="643" w:firstLineChars="200"/>
        <w:outlineLvl w:val="2"/>
        <w:rPr>
          <w:rFonts w:eastAsia="楷体_GB2312" w:cs="楷体_GB2312"/>
          <w:b/>
          <w:sz w:val="32"/>
          <w:szCs w:val="32"/>
        </w:rPr>
      </w:pPr>
      <w:bookmarkStart w:id="22" w:name="_Toc15377210"/>
      <w:r>
        <w:rPr>
          <w:rFonts w:hint="eastAsia" w:eastAsia="楷体_GB2312" w:cs="楷体_GB2312"/>
          <w:b/>
          <w:sz w:val="32"/>
          <w:szCs w:val="32"/>
        </w:rPr>
        <w:t>（一）一般公共预算财政拨款支出决算总体情况</w:t>
      </w:r>
      <w:bookmarkEnd w:id="22"/>
    </w:p>
    <w:p>
      <w:pPr>
        <w:spacing w:line="600" w:lineRule="exact"/>
        <w:ind w:firstLine="640" w:firstLineChars="200"/>
        <w:rPr>
          <w:rFonts w:hint="eastAsia" w:ascii="仿宋" w:hAnsi="仿宋" w:eastAsia="仿宋"/>
          <w:sz w:val="32"/>
          <w:szCs w:val="32"/>
          <w:lang w:val="en-US" w:eastAsia="zh-CN"/>
        </w:rPr>
      </w:pPr>
      <w:r>
        <w:rPr>
          <w:rFonts w:hint="eastAsia" w:ascii="仿宋_GB2312" w:hAnsi="仿宋_GB2312"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694.25</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99.52</w:t>
      </w:r>
      <w:r>
        <w:rPr>
          <w:rFonts w:hint="eastAsia" w:ascii="仿宋_GB2312" w:hAnsi="仿宋_GB2312" w:eastAsia="仿宋_GB2312" w:cs="仿宋_GB2312"/>
          <w:sz w:val="32"/>
          <w:szCs w:val="32"/>
        </w:rPr>
        <w:t>%。与2023年度相比，一般公共预算财政拨款支出增加</w:t>
      </w:r>
      <w:r>
        <w:rPr>
          <w:rFonts w:hint="eastAsia" w:ascii="仿宋_GB2312" w:hAnsi="仿宋_GB2312" w:eastAsia="仿宋_GB2312" w:cs="仿宋_GB2312"/>
          <w:sz w:val="32"/>
          <w:szCs w:val="32"/>
          <w:lang w:val="en-US" w:eastAsia="zh-CN"/>
        </w:rPr>
        <w:t>27.79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%。主要变动原因是</w:t>
      </w:r>
      <w:r>
        <w:rPr>
          <w:rFonts w:hint="eastAsia" w:ascii="仿宋" w:hAnsi="仿宋" w:eastAsia="仿宋"/>
          <w:color w:val="000000"/>
          <w:sz w:val="32"/>
          <w:szCs w:val="32"/>
          <w:lang w:val="en-US" w:eastAsia="zh-CN"/>
        </w:rPr>
        <w:t>老干部活动增加</w:t>
      </w:r>
      <w:r>
        <w:rPr>
          <w:rFonts w:hint="eastAsia" w:ascii="仿宋" w:hAnsi="仿宋" w:eastAsia="仿宋"/>
          <w:color w:val="000000"/>
          <w:sz w:val="32"/>
          <w:szCs w:val="32"/>
        </w:rPr>
        <w:t>，运行成本及人员、五险增加</w:t>
      </w:r>
      <w:r>
        <w:rPr>
          <w:rFonts w:hint="eastAsia" w:ascii="仿宋" w:hAnsi="仿宋" w:eastAsia="仿宋"/>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eastAsia="仿宋_GB2312" w:cs="仿宋_GB2312"/>
          <w:sz w:val="32"/>
          <w:szCs w:val="32"/>
        </w:rPr>
      </w:pPr>
      <w:r>
        <w:drawing>
          <wp:inline distT="0" distB="0" distL="114300" distR="114300">
            <wp:extent cx="4572000" cy="2743200"/>
            <wp:effectExtent l="4445" t="4445" r="10795" b="107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（图5：一般公共预算财政拨款支出决算变动情况）（柱状图）</w:t>
      </w:r>
    </w:p>
    <w:p>
      <w:pPr>
        <w:spacing w:line="600" w:lineRule="exact"/>
        <w:ind w:firstLine="640"/>
        <w:rPr>
          <w:rFonts w:eastAsia="仿宋_GB2312" w:cs="仿宋_GB2312"/>
          <w:sz w:val="32"/>
          <w:szCs w:val="32"/>
        </w:rPr>
      </w:pPr>
    </w:p>
    <w:p>
      <w:pPr>
        <w:spacing w:line="600" w:lineRule="exact"/>
        <w:ind w:firstLine="643" w:firstLineChars="200"/>
        <w:outlineLvl w:val="2"/>
        <w:rPr>
          <w:rFonts w:eastAsia="楷体_GB2312" w:cs="楷体_GB2312"/>
          <w:b/>
          <w:sz w:val="32"/>
          <w:szCs w:val="32"/>
        </w:rPr>
      </w:pPr>
      <w:bookmarkStart w:id="23" w:name="_Toc15377211"/>
      <w:r>
        <w:rPr>
          <w:rFonts w:hint="eastAsia" w:eastAsia="楷体_GB2312" w:cs="楷体_GB2312"/>
          <w:b/>
          <w:sz w:val="32"/>
          <w:szCs w:val="32"/>
        </w:rPr>
        <w:t>（二）一般公共预算财政拨款支出决算结构情况</w:t>
      </w:r>
      <w:bookmarkEnd w:id="23"/>
    </w:p>
    <w:p>
      <w:pPr>
        <w:spacing w:line="600" w:lineRule="exact"/>
        <w:ind w:firstLine="640"/>
        <w:rPr>
          <w:rFonts w:hint="eastAsia" w:eastAsia="仿宋_GB2312" w:cs="仿宋_GB2312"/>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694.25</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，主要用于以下方面：一般公共服务支出</w:t>
      </w:r>
      <w:r>
        <w:rPr>
          <w:rFonts w:hint="eastAsia" w:eastAsia="仿宋_GB2312" w:cs="仿宋_GB2312"/>
          <w:sz w:val="32"/>
          <w:szCs w:val="32"/>
          <w:lang w:val="en-US" w:eastAsia="zh-CN"/>
        </w:rPr>
        <w:t>567.08</w:t>
      </w:r>
      <w:r>
        <w:rPr>
          <w:rFonts w:hint="eastAsia" w:eastAsia="仿宋_GB2312" w:cs="仿宋_GB2312"/>
          <w:sz w:val="32"/>
          <w:szCs w:val="32"/>
        </w:rPr>
        <w:t>万元，占</w:t>
      </w:r>
      <w:r>
        <w:rPr>
          <w:rFonts w:hint="eastAsia" w:eastAsia="仿宋_GB2312" w:cs="仿宋_GB2312"/>
          <w:sz w:val="32"/>
          <w:szCs w:val="32"/>
          <w:lang w:val="en-US" w:eastAsia="zh-CN"/>
        </w:rPr>
        <w:t>81.68</w:t>
      </w:r>
      <w:r>
        <w:rPr>
          <w:rFonts w:hint="eastAsia" w:eastAsia="仿宋_GB2312" w:cs="仿宋_GB2312"/>
          <w:sz w:val="32"/>
          <w:szCs w:val="32"/>
        </w:rPr>
        <w:t>%；社会保障和就业支出</w:t>
      </w:r>
      <w:r>
        <w:rPr>
          <w:rFonts w:hint="eastAsia" w:eastAsia="仿宋_GB2312" w:cs="仿宋_GB2312"/>
          <w:sz w:val="32"/>
          <w:szCs w:val="32"/>
          <w:lang w:val="en-US" w:eastAsia="zh-CN"/>
        </w:rPr>
        <w:t>61.25</w:t>
      </w:r>
      <w:r>
        <w:rPr>
          <w:rFonts w:hint="eastAsia" w:eastAsia="仿宋_GB2312" w:cs="仿宋_GB2312"/>
          <w:sz w:val="32"/>
          <w:szCs w:val="32"/>
        </w:rPr>
        <w:t>万元，占</w:t>
      </w:r>
      <w:r>
        <w:rPr>
          <w:rFonts w:hint="eastAsia" w:eastAsia="仿宋_GB2312" w:cs="仿宋_GB2312"/>
          <w:sz w:val="32"/>
          <w:szCs w:val="32"/>
          <w:lang w:val="en-US" w:eastAsia="zh-CN"/>
        </w:rPr>
        <w:t>8.83</w:t>
      </w:r>
      <w:r>
        <w:rPr>
          <w:rFonts w:hint="eastAsia" w:eastAsia="仿宋_GB2312" w:cs="仿宋_GB2312"/>
          <w:sz w:val="32"/>
          <w:szCs w:val="32"/>
        </w:rPr>
        <w:t>%；卫生健康支出</w:t>
      </w:r>
      <w:r>
        <w:rPr>
          <w:rFonts w:hint="eastAsia" w:eastAsia="仿宋_GB2312" w:cs="仿宋_GB2312"/>
          <w:sz w:val="32"/>
          <w:szCs w:val="32"/>
          <w:lang w:val="en-US" w:eastAsia="zh-CN"/>
        </w:rPr>
        <w:t>29.30</w:t>
      </w:r>
      <w:r>
        <w:rPr>
          <w:rFonts w:hint="eastAsia" w:eastAsia="仿宋_GB2312" w:cs="仿宋_GB2312"/>
          <w:sz w:val="32"/>
          <w:szCs w:val="32"/>
        </w:rPr>
        <w:t>万元，占</w:t>
      </w:r>
      <w:r>
        <w:rPr>
          <w:rFonts w:hint="eastAsia" w:eastAsia="仿宋_GB2312" w:cs="仿宋_GB2312"/>
          <w:sz w:val="32"/>
          <w:szCs w:val="32"/>
          <w:lang w:val="en-US" w:eastAsia="zh-CN"/>
        </w:rPr>
        <w:t>4.22</w:t>
      </w:r>
      <w:r>
        <w:rPr>
          <w:rFonts w:hint="eastAsia" w:eastAsia="仿宋_GB2312" w:cs="仿宋_GB2312"/>
          <w:sz w:val="32"/>
          <w:szCs w:val="32"/>
        </w:rPr>
        <w:t>%；住房保障支出</w:t>
      </w:r>
      <w:r>
        <w:rPr>
          <w:rFonts w:hint="eastAsia" w:eastAsia="仿宋_GB2312" w:cs="仿宋_GB2312"/>
          <w:sz w:val="32"/>
          <w:szCs w:val="32"/>
          <w:lang w:val="en-US" w:eastAsia="zh-CN"/>
        </w:rPr>
        <w:t>36.62</w:t>
      </w:r>
      <w:r>
        <w:rPr>
          <w:rFonts w:hint="eastAsia" w:eastAsia="仿宋_GB2312" w:cs="仿宋_GB2312"/>
          <w:sz w:val="32"/>
          <w:szCs w:val="32"/>
        </w:rPr>
        <w:t>万元，占</w:t>
      </w:r>
      <w:r>
        <w:rPr>
          <w:rFonts w:hint="eastAsia" w:eastAsia="仿宋_GB2312" w:cs="仿宋_GB2312"/>
          <w:sz w:val="32"/>
          <w:szCs w:val="32"/>
          <w:lang w:val="en-US" w:eastAsia="zh-CN"/>
        </w:rPr>
        <w:t>5.27</w:t>
      </w:r>
      <w:r>
        <w:rPr>
          <w:rFonts w:hint="eastAsia"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eastAsia="仿宋_GB2312" w:cs="仿宋_GB2312"/>
          <w:sz w:val="32"/>
          <w:szCs w:val="32"/>
        </w:rPr>
      </w:pPr>
      <w:r>
        <w:drawing>
          <wp:inline distT="0" distB="0" distL="114300" distR="114300">
            <wp:extent cx="4572000" cy="2743200"/>
            <wp:effectExtent l="4445" t="4445" r="10795" b="1079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pPr>
        <w:spacing w:line="600" w:lineRule="exact"/>
        <w:ind w:firstLine="640"/>
        <w:rPr>
          <w:rFonts w:eastAsia="仿宋_GB2312" w:cs="仿宋_GB2312"/>
          <w:sz w:val="32"/>
          <w:szCs w:val="32"/>
        </w:rPr>
      </w:pPr>
    </w:p>
    <w:p>
      <w:pPr>
        <w:spacing w:line="600" w:lineRule="exact"/>
        <w:ind w:firstLine="643" w:firstLineChars="200"/>
        <w:outlineLvl w:val="2"/>
        <w:rPr>
          <w:rFonts w:eastAsia="楷体_GB2312" w:cs="楷体_GB2312"/>
          <w:b/>
          <w:sz w:val="32"/>
          <w:szCs w:val="32"/>
        </w:rPr>
      </w:pPr>
      <w:bookmarkStart w:id="24" w:name="_Toc15377212"/>
      <w:r>
        <w:rPr>
          <w:rFonts w:hint="eastAsia" w:eastAsia="楷体_GB2312" w:cs="楷体_GB2312"/>
          <w:b/>
          <w:sz w:val="32"/>
          <w:szCs w:val="32"/>
        </w:rPr>
        <w:t>（三）一般公共预算财政拨款支出决算具体情况</w:t>
      </w:r>
      <w:bookmarkEnd w:id="24"/>
    </w:p>
    <w:p>
      <w:pPr>
        <w:spacing w:line="600" w:lineRule="exact"/>
        <w:ind w:firstLine="640"/>
        <w:rPr>
          <w:rFonts w:eastAsia="仿宋_GB2312" w:cs="仿宋_GB2312"/>
          <w:sz w:val="32"/>
          <w:szCs w:val="32"/>
        </w:rPr>
      </w:pPr>
      <w:bookmarkStart w:id="25" w:name="_Toc15378460"/>
      <w:bookmarkStart w:id="26" w:name="_Toc15377444"/>
      <w:bookmarkStart w:id="27" w:name="_Toc15377213"/>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lang w:val="en-US" w:eastAsia="zh-CN"/>
        </w:rPr>
        <w:t>694.25万元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25"/>
      <w:bookmarkEnd w:id="26"/>
      <w:bookmarkEnd w:id="27"/>
    </w:p>
    <w:p>
      <w:pPr>
        <w:numPr>
          <w:ilvl w:val="0"/>
          <w:numId w:val="1"/>
        </w:numPr>
        <w:spacing w:line="600" w:lineRule="exact"/>
        <w:ind w:firstLine="640" w:firstLineChars="200"/>
        <w:rPr>
          <w:rFonts w:ascii="仿宋" w:hAnsi="仿宋" w:eastAsia="仿宋"/>
          <w:b w:val="0"/>
          <w:bCs/>
          <w:color w:val="000000"/>
          <w:sz w:val="32"/>
          <w:szCs w:val="32"/>
        </w:rPr>
      </w:pPr>
      <w:r>
        <w:rPr>
          <w:rStyle w:val="19"/>
          <w:rFonts w:ascii="仿宋" w:hAnsi="仿宋" w:eastAsia="仿宋"/>
          <w:b w:val="0"/>
          <w:bCs/>
          <w:color w:val="000000"/>
          <w:sz w:val="32"/>
          <w:szCs w:val="32"/>
        </w:rPr>
        <w:t>一般公共服务（201类）其他共产党事务（36款）行政运行（01项）</w:t>
      </w:r>
      <w:r>
        <w:rPr>
          <w:rStyle w:val="19"/>
          <w:rFonts w:hint="eastAsia" w:ascii="仿宋" w:hAnsi="仿宋" w:eastAsia="仿宋"/>
          <w:b w:val="0"/>
          <w:bCs/>
          <w:color w:val="000000"/>
          <w:sz w:val="32"/>
          <w:szCs w:val="32"/>
          <w:lang w:val="en-US" w:eastAsia="zh-CN"/>
        </w:rPr>
        <w:t>与</w:t>
      </w:r>
      <w:r>
        <w:rPr>
          <w:rStyle w:val="19"/>
          <w:rFonts w:hint="eastAsia" w:ascii="仿宋" w:hAnsi="仿宋" w:eastAsia="仿宋"/>
          <w:b w:val="0"/>
          <w:bCs/>
          <w:color w:val="000000"/>
          <w:sz w:val="32"/>
          <w:szCs w:val="32"/>
        </w:rPr>
        <w:t>一般行政管理事务(201类36款02项)</w:t>
      </w:r>
      <w:r>
        <w:rPr>
          <w:rStyle w:val="19"/>
          <w:rFonts w:ascii="仿宋" w:hAnsi="仿宋" w:eastAsia="仿宋"/>
          <w:b w:val="0"/>
          <w:bCs/>
          <w:color w:val="000000"/>
          <w:sz w:val="32"/>
          <w:szCs w:val="32"/>
        </w:rPr>
        <w:t>支出决算合计</w:t>
      </w:r>
      <w:r>
        <w:rPr>
          <w:rStyle w:val="19"/>
          <w:rFonts w:hint="eastAsia" w:ascii="仿宋" w:hAnsi="仿宋" w:eastAsia="仿宋"/>
          <w:b w:val="0"/>
          <w:bCs/>
          <w:color w:val="000000"/>
          <w:sz w:val="32"/>
          <w:szCs w:val="32"/>
          <w:lang w:val="en-US" w:eastAsia="zh-CN"/>
        </w:rPr>
        <w:t>567.08万元，完成预算数527.33万元的107.54%，大</w:t>
      </w:r>
      <w:r>
        <w:rPr>
          <w:rStyle w:val="19"/>
          <w:rFonts w:ascii="仿宋" w:hAnsi="仿宋" w:eastAsia="仿宋"/>
          <w:b w:val="0"/>
          <w:bCs/>
          <w:color w:val="000000"/>
          <w:sz w:val="32"/>
          <w:szCs w:val="32"/>
        </w:rPr>
        <w:t>于预算数的原因是</w:t>
      </w:r>
      <w:r>
        <w:rPr>
          <w:rStyle w:val="19"/>
          <w:rFonts w:hint="eastAsia" w:ascii="仿宋" w:hAnsi="仿宋" w:eastAsia="仿宋"/>
          <w:b w:val="0"/>
          <w:bCs/>
          <w:color w:val="000000"/>
          <w:sz w:val="32"/>
          <w:szCs w:val="32"/>
          <w:lang w:val="en-US" w:eastAsia="zh-CN"/>
        </w:rPr>
        <w:t>2024年压减预算，业务费用不足追加预算。</w:t>
      </w:r>
    </w:p>
    <w:p>
      <w:pPr>
        <w:numPr>
          <w:ilvl w:val="0"/>
          <w:numId w:val="1"/>
        </w:numPr>
        <w:spacing w:line="600" w:lineRule="exact"/>
        <w:ind w:left="0" w:leftChars="0" w:firstLine="640" w:firstLineChars="200"/>
        <w:rPr>
          <w:rStyle w:val="19"/>
          <w:rFonts w:hint="eastAsia" w:ascii="仿宋" w:hAnsi="仿宋" w:eastAsia="仿宋"/>
          <w:b w:val="0"/>
          <w:bCs/>
          <w:sz w:val="32"/>
          <w:szCs w:val="32"/>
          <w:lang w:val="en-US" w:eastAsia="zh-CN"/>
        </w:rPr>
      </w:pPr>
      <w:r>
        <w:rPr>
          <w:rStyle w:val="19"/>
          <w:rFonts w:hint="eastAsia" w:ascii="仿宋" w:hAnsi="仿宋" w:eastAsia="仿宋"/>
          <w:b w:val="0"/>
          <w:bCs/>
          <w:sz w:val="32"/>
          <w:szCs w:val="32"/>
          <w:lang w:val="en-US" w:eastAsia="zh-CN"/>
        </w:rPr>
        <w:t>本单位无</w:t>
      </w:r>
      <w:r>
        <w:rPr>
          <w:rStyle w:val="19"/>
          <w:rFonts w:hint="eastAsia" w:ascii="仿宋" w:hAnsi="仿宋" w:eastAsia="仿宋"/>
          <w:b w:val="0"/>
          <w:bCs/>
          <w:sz w:val="32"/>
          <w:szCs w:val="32"/>
        </w:rPr>
        <w:t>教育</w:t>
      </w:r>
      <w:r>
        <w:rPr>
          <w:rStyle w:val="19"/>
          <w:rFonts w:hint="eastAsia" w:ascii="仿宋" w:hAnsi="仿宋" w:eastAsia="仿宋"/>
          <w:b w:val="0"/>
          <w:bCs/>
          <w:sz w:val="32"/>
          <w:szCs w:val="32"/>
          <w:lang w:val="en-US" w:eastAsia="zh-CN"/>
        </w:rPr>
        <w:t>支出。</w:t>
      </w:r>
    </w:p>
    <w:p>
      <w:pPr>
        <w:numPr>
          <w:ilvl w:val="0"/>
          <w:numId w:val="1"/>
        </w:numPr>
        <w:spacing w:line="600" w:lineRule="exact"/>
        <w:ind w:left="0" w:leftChars="0" w:firstLine="640" w:firstLineChars="200"/>
        <w:rPr>
          <w:rFonts w:hint="default" w:ascii="仿宋" w:hAnsi="仿宋" w:eastAsia="仿宋"/>
          <w:b w:val="0"/>
          <w:bCs/>
          <w:sz w:val="32"/>
          <w:szCs w:val="32"/>
          <w:lang w:val="en-US"/>
        </w:rPr>
      </w:pPr>
      <w:r>
        <w:rPr>
          <w:rStyle w:val="19"/>
          <w:rFonts w:hint="eastAsia" w:ascii="仿宋" w:hAnsi="仿宋" w:eastAsia="仿宋"/>
          <w:b w:val="0"/>
          <w:bCs/>
          <w:sz w:val="32"/>
          <w:szCs w:val="32"/>
          <w:lang w:val="en-US" w:eastAsia="zh-CN"/>
        </w:rPr>
        <w:t>本单位无</w:t>
      </w:r>
      <w:r>
        <w:rPr>
          <w:rStyle w:val="19"/>
          <w:rFonts w:hint="eastAsia" w:ascii="仿宋" w:hAnsi="仿宋" w:eastAsia="仿宋"/>
          <w:b w:val="0"/>
          <w:bCs/>
          <w:sz w:val="32"/>
          <w:szCs w:val="32"/>
        </w:rPr>
        <w:t>科学技术</w:t>
      </w:r>
      <w:r>
        <w:rPr>
          <w:rStyle w:val="19"/>
          <w:rFonts w:hint="eastAsia" w:ascii="仿宋" w:hAnsi="仿宋" w:eastAsia="仿宋"/>
          <w:b w:val="0"/>
          <w:bCs/>
          <w:sz w:val="32"/>
          <w:szCs w:val="32"/>
          <w:lang w:val="en-US" w:eastAsia="zh-CN"/>
        </w:rPr>
        <w:t>支出。</w:t>
      </w:r>
    </w:p>
    <w:p>
      <w:pPr>
        <w:numPr>
          <w:ilvl w:val="0"/>
          <w:numId w:val="1"/>
        </w:numPr>
        <w:spacing w:line="600" w:lineRule="exact"/>
        <w:ind w:left="0" w:leftChars="0" w:firstLine="640" w:firstLineChars="200"/>
        <w:rPr>
          <w:rStyle w:val="19"/>
          <w:rFonts w:hint="eastAsia" w:ascii="仿宋" w:hAnsi="仿宋" w:eastAsia="仿宋"/>
          <w:b w:val="0"/>
          <w:bCs/>
          <w:sz w:val="32"/>
          <w:szCs w:val="32"/>
        </w:rPr>
      </w:pPr>
      <w:r>
        <w:rPr>
          <w:rStyle w:val="19"/>
          <w:rFonts w:hint="eastAsia" w:ascii="仿宋" w:hAnsi="仿宋" w:eastAsia="仿宋"/>
          <w:b w:val="0"/>
          <w:bCs/>
          <w:sz w:val="32"/>
          <w:szCs w:val="32"/>
          <w:lang w:val="en-US" w:eastAsia="zh-CN"/>
        </w:rPr>
        <w:t>本单位无</w:t>
      </w:r>
      <w:r>
        <w:rPr>
          <w:rStyle w:val="19"/>
          <w:rFonts w:hint="eastAsia" w:ascii="仿宋" w:hAnsi="仿宋" w:eastAsia="仿宋"/>
          <w:b w:val="0"/>
          <w:bCs/>
          <w:sz w:val="32"/>
          <w:szCs w:val="32"/>
        </w:rPr>
        <w:t>文化旅游体育与传媒支出</w:t>
      </w:r>
      <w:r>
        <w:rPr>
          <w:rStyle w:val="19"/>
          <w:rFonts w:hint="eastAsia" w:ascii="仿宋" w:hAnsi="仿宋" w:eastAsia="仿宋"/>
          <w:b w:val="0"/>
          <w:bCs/>
          <w:sz w:val="32"/>
          <w:szCs w:val="32"/>
          <w:lang w:eastAsia="zh-CN"/>
        </w:rPr>
        <w:t>。</w:t>
      </w:r>
    </w:p>
    <w:p>
      <w:pPr>
        <w:numPr>
          <w:ilvl w:val="0"/>
          <w:numId w:val="1"/>
        </w:numPr>
        <w:spacing w:line="600" w:lineRule="exact"/>
        <w:ind w:left="0" w:leftChars="0" w:firstLine="640" w:firstLineChars="200"/>
        <w:rPr>
          <w:rStyle w:val="19"/>
          <w:rFonts w:hint="default" w:ascii="仿宋" w:hAnsi="仿宋" w:eastAsia="仿宋"/>
          <w:b w:val="0"/>
          <w:bCs/>
          <w:color w:val="000000"/>
          <w:sz w:val="32"/>
          <w:szCs w:val="32"/>
          <w:lang w:val="en-US" w:eastAsia="zh-CN"/>
        </w:rPr>
      </w:pPr>
      <w:r>
        <w:rPr>
          <w:rStyle w:val="19"/>
          <w:rFonts w:ascii="仿宋" w:hAnsi="仿宋" w:eastAsia="仿宋"/>
          <w:b w:val="0"/>
          <w:bCs/>
          <w:color w:val="000000"/>
          <w:sz w:val="32"/>
          <w:szCs w:val="32"/>
        </w:rPr>
        <w:t>社会保障和就业（208类）行政事业单位离退休（05款）机关事业单位基本养老保险缴费支出（05项）</w:t>
      </w:r>
      <w:r>
        <w:rPr>
          <w:rStyle w:val="19"/>
          <w:rFonts w:hint="eastAsia" w:ascii="仿宋" w:hAnsi="仿宋" w:eastAsia="仿宋"/>
          <w:b w:val="0"/>
          <w:bCs/>
          <w:color w:val="000000"/>
          <w:sz w:val="32"/>
          <w:szCs w:val="32"/>
          <w:lang w:val="en-US" w:eastAsia="zh-CN"/>
        </w:rPr>
        <w:t>与</w:t>
      </w:r>
      <w:r>
        <w:rPr>
          <w:rStyle w:val="19"/>
          <w:rFonts w:ascii="仿宋" w:hAnsi="仿宋" w:eastAsia="仿宋"/>
          <w:b w:val="0"/>
          <w:bCs/>
          <w:color w:val="000000"/>
          <w:sz w:val="32"/>
          <w:szCs w:val="32"/>
        </w:rPr>
        <w:t>社会保障和就业（208类）行政事业单位离退休（05款）机关事业单位职业年金缴费支出（06项）支出决算</w:t>
      </w:r>
      <w:r>
        <w:rPr>
          <w:rStyle w:val="19"/>
          <w:rFonts w:hint="eastAsia" w:ascii="仿宋" w:hAnsi="仿宋" w:eastAsia="仿宋"/>
          <w:b w:val="0"/>
          <w:bCs/>
          <w:color w:val="000000"/>
          <w:sz w:val="32"/>
          <w:szCs w:val="32"/>
          <w:lang w:val="en-US" w:eastAsia="zh-CN"/>
        </w:rPr>
        <w:t>合计</w:t>
      </w:r>
      <w:r>
        <w:rPr>
          <w:rStyle w:val="19"/>
          <w:rFonts w:ascii="仿宋" w:hAnsi="仿宋" w:eastAsia="仿宋"/>
          <w:b w:val="0"/>
          <w:bCs/>
          <w:color w:val="000000"/>
          <w:sz w:val="32"/>
          <w:szCs w:val="32"/>
        </w:rPr>
        <w:t>为</w:t>
      </w:r>
      <w:r>
        <w:rPr>
          <w:rStyle w:val="19"/>
          <w:rFonts w:hint="eastAsia" w:ascii="仿宋" w:hAnsi="仿宋" w:eastAsia="仿宋"/>
          <w:b w:val="0"/>
          <w:bCs/>
          <w:color w:val="000000"/>
          <w:sz w:val="32"/>
          <w:szCs w:val="32"/>
          <w:lang w:val="en-US" w:eastAsia="zh-CN"/>
        </w:rPr>
        <w:t>61.25</w:t>
      </w:r>
      <w:r>
        <w:rPr>
          <w:rStyle w:val="19"/>
          <w:rFonts w:ascii="仿宋" w:hAnsi="仿宋" w:eastAsia="仿宋"/>
          <w:b w:val="0"/>
          <w:bCs/>
          <w:color w:val="000000"/>
          <w:sz w:val="32"/>
          <w:szCs w:val="32"/>
        </w:rPr>
        <w:t>万元，完成预算数</w:t>
      </w:r>
      <w:r>
        <w:rPr>
          <w:rStyle w:val="19"/>
          <w:rFonts w:hint="eastAsia" w:ascii="仿宋" w:hAnsi="仿宋" w:eastAsia="仿宋"/>
          <w:b w:val="0"/>
          <w:bCs/>
          <w:color w:val="000000"/>
          <w:sz w:val="32"/>
          <w:szCs w:val="32"/>
          <w:lang w:val="en-US" w:eastAsia="zh-CN"/>
        </w:rPr>
        <w:t xml:space="preserve"> 61.67</w:t>
      </w:r>
      <w:r>
        <w:rPr>
          <w:rStyle w:val="19"/>
          <w:rFonts w:hint="eastAsia" w:ascii="仿宋" w:hAnsi="仿宋" w:eastAsia="仿宋"/>
          <w:b w:val="0"/>
          <w:bCs/>
          <w:color w:val="000000"/>
          <w:sz w:val="32"/>
          <w:szCs w:val="32"/>
        </w:rPr>
        <w:t>万元的</w:t>
      </w:r>
      <w:r>
        <w:rPr>
          <w:rStyle w:val="19"/>
          <w:rFonts w:hint="eastAsia" w:ascii="仿宋" w:hAnsi="仿宋" w:eastAsia="仿宋"/>
          <w:b w:val="0"/>
          <w:bCs/>
          <w:color w:val="000000"/>
          <w:sz w:val="32"/>
          <w:szCs w:val="32"/>
          <w:lang w:val="en-US" w:eastAsia="zh-CN"/>
        </w:rPr>
        <w:t>99.32</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lang w:eastAsia="zh-CN"/>
        </w:rPr>
        <w:t>，</w:t>
      </w:r>
      <w:r>
        <w:rPr>
          <w:rStyle w:val="19"/>
          <w:rFonts w:hint="eastAsia" w:ascii="仿宋" w:hAnsi="仿宋" w:eastAsia="仿宋"/>
          <w:b w:val="0"/>
          <w:bCs/>
          <w:color w:val="000000"/>
          <w:sz w:val="32"/>
          <w:szCs w:val="32"/>
          <w:lang w:val="en-US" w:eastAsia="zh-CN"/>
        </w:rPr>
        <w:t>小于预算数是因为预算指标大于社会保障缴费。</w:t>
      </w:r>
    </w:p>
    <w:p>
      <w:pPr>
        <w:spacing w:line="600" w:lineRule="exact"/>
        <w:ind w:firstLine="640" w:firstLineChars="200"/>
        <w:rPr>
          <w:rStyle w:val="19"/>
          <w:rFonts w:hint="default" w:ascii="仿宋" w:hAnsi="仿宋" w:eastAsia="仿宋"/>
          <w:b w:val="0"/>
          <w:bCs/>
          <w:color w:val="000000"/>
          <w:sz w:val="32"/>
          <w:szCs w:val="32"/>
          <w:lang w:val="en-US" w:eastAsia="zh-CN"/>
        </w:rPr>
      </w:pPr>
      <w:r>
        <w:rPr>
          <w:rStyle w:val="19"/>
          <w:rFonts w:hint="eastAsia" w:ascii="仿宋" w:hAnsi="仿宋" w:eastAsia="仿宋"/>
          <w:b w:val="0"/>
          <w:bCs/>
          <w:color w:val="000000"/>
          <w:sz w:val="32"/>
          <w:szCs w:val="32"/>
          <w:lang w:val="en-US" w:eastAsia="zh-CN"/>
        </w:rPr>
        <w:t>6.</w:t>
      </w:r>
      <w:r>
        <w:rPr>
          <w:rStyle w:val="19"/>
          <w:rFonts w:ascii="仿宋" w:hAnsi="仿宋" w:eastAsia="仿宋"/>
          <w:b w:val="0"/>
          <w:bCs/>
          <w:color w:val="000000"/>
          <w:sz w:val="32"/>
          <w:szCs w:val="32"/>
        </w:rPr>
        <w:t>医疗卫生与计划生育（210类）医疗保障（11款）行政单位医疗（01项）</w:t>
      </w:r>
      <w:r>
        <w:rPr>
          <w:rStyle w:val="19"/>
          <w:rFonts w:hint="eastAsia" w:ascii="仿宋" w:hAnsi="仿宋" w:eastAsia="仿宋"/>
          <w:b w:val="0"/>
          <w:bCs/>
          <w:color w:val="000000"/>
          <w:sz w:val="32"/>
          <w:szCs w:val="32"/>
          <w:lang w:val="en-US" w:eastAsia="zh-CN"/>
        </w:rPr>
        <w:t>与</w:t>
      </w:r>
      <w:r>
        <w:rPr>
          <w:rStyle w:val="19"/>
          <w:rFonts w:ascii="仿宋" w:hAnsi="仿宋" w:eastAsia="仿宋"/>
          <w:b w:val="0"/>
          <w:bCs/>
          <w:color w:val="000000"/>
          <w:sz w:val="32"/>
          <w:szCs w:val="32"/>
        </w:rPr>
        <w:t>医疗卫生与计划生育（210类）医疗保障（11款）公务员医疗（03项）支出决算</w:t>
      </w:r>
      <w:r>
        <w:rPr>
          <w:rStyle w:val="19"/>
          <w:rFonts w:hint="eastAsia" w:ascii="仿宋" w:hAnsi="仿宋" w:eastAsia="仿宋"/>
          <w:b w:val="0"/>
          <w:bCs/>
          <w:color w:val="000000"/>
          <w:sz w:val="32"/>
          <w:szCs w:val="32"/>
          <w:lang w:val="en-US" w:eastAsia="zh-CN"/>
        </w:rPr>
        <w:t>合计</w:t>
      </w:r>
      <w:r>
        <w:rPr>
          <w:rStyle w:val="19"/>
          <w:rFonts w:ascii="仿宋" w:hAnsi="仿宋" w:eastAsia="仿宋"/>
          <w:b w:val="0"/>
          <w:bCs/>
          <w:color w:val="000000"/>
          <w:sz w:val="32"/>
          <w:szCs w:val="32"/>
        </w:rPr>
        <w:t>为</w:t>
      </w:r>
      <w:r>
        <w:rPr>
          <w:rStyle w:val="19"/>
          <w:rFonts w:hint="eastAsia" w:ascii="仿宋" w:hAnsi="仿宋" w:eastAsia="仿宋"/>
          <w:b w:val="0"/>
          <w:bCs/>
          <w:color w:val="000000"/>
          <w:sz w:val="32"/>
          <w:szCs w:val="32"/>
          <w:lang w:val="en-US" w:eastAsia="zh-CN"/>
        </w:rPr>
        <w:t>29.30</w:t>
      </w:r>
      <w:r>
        <w:rPr>
          <w:rStyle w:val="19"/>
          <w:rFonts w:ascii="仿宋" w:hAnsi="仿宋" w:eastAsia="仿宋"/>
          <w:b w:val="0"/>
          <w:bCs/>
          <w:color w:val="000000"/>
          <w:sz w:val="32"/>
          <w:szCs w:val="32"/>
        </w:rPr>
        <w:t>万元，完成预算数</w:t>
      </w:r>
      <w:r>
        <w:rPr>
          <w:rStyle w:val="19"/>
          <w:rFonts w:hint="eastAsia" w:ascii="仿宋" w:hAnsi="仿宋" w:eastAsia="仿宋"/>
          <w:b w:val="0"/>
          <w:bCs/>
          <w:color w:val="000000"/>
          <w:sz w:val="32"/>
          <w:szCs w:val="32"/>
          <w:lang w:val="en-US" w:eastAsia="zh-CN"/>
        </w:rPr>
        <w:t>26</w:t>
      </w:r>
      <w:r>
        <w:rPr>
          <w:rStyle w:val="19"/>
          <w:rFonts w:hint="eastAsia" w:ascii="仿宋" w:hAnsi="仿宋" w:eastAsia="仿宋"/>
          <w:b w:val="0"/>
          <w:bCs/>
          <w:color w:val="000000"/>
          <w:sz w:val="32"/>
          <w:szCs w:val="32"/>
        </w:rPr>
        <w:t>万元的</w:t>
      </w:r>
      <w:r>
        <w:rPr>
          <w:rStyle w:val="19"/>
          <w:rFonts w:hint="eastAsia" w:ascii="仿宋" w:hAnsi="仿宋" w:eastAsia="仿宋"/>
          <w:b w:val="0"/>
          <w:bCs/>
          <w:color w:val="000000"/>
          <w:sz w:val="32"/>
          <w:szCs w:val="32"/>
          <w:lang w:val="en-US" w:eastAsia="zh-CN"/>
        </w:rPr>
        <w:t>112.7</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lang w:val="en-US" w:eastAsia="zh-CN"/>
        </w:rPr>
        <w:t>大于预算数是因为职工医疗缴费增加。</w:t>
      </w:r>
    </w:p>
    <w:p>
      <w:pPr>
        <w:tabs>
          <w:tab w:val="right" w:pos="8306"/>
        </w:tabs>
        <w:spacing w:line="600" w:lineRule="exact"/>
        <w:ind w:firstLine="640"/>
        <w:outlineLvl w:val="1"/>
        <w:rPr>
          <w:rFonts w:hint="eastAsia" w:ascii="仿宋" w:hAnsi="仿宋" w:eastAsia="仿宋"/>
          <w:b w:val="0"/>
          <w:bCs/>
          <w:color w:val="000000"/>
          <w:sz w:val="32"/>
          <w:szCs w:val="32"/>
          <w:lang w:val="en-US" w:eastAsia="zh-CN"/>
        </w:rPr>
      </w:pPr>
      <w:r>
        <w:rPr>
          <w:rStyle w:val="19"/>
          <w:rFonts w:hint="eastAsia" w:ascii="仿宋" w:hAnsi="仿宋" w:eastAsia="仿宋"/>
          <w:b w:val="0"/>
          <w:bCs/>
          <w:color w:val="000000"/>
          <w:sz w:val="32"/>
          <w:szCs w:val="32"/>
          <w:lang w:val="en-US" w:eastAsia="zh-CN"/>
        </w:rPr>
        <w:t>7.</w:t>
      </w:r>
      <w:r>
        <w:rPr>
          <w:rStyle w:val="19"/>
          <w:rFonts w:ascii="仿宋" w:hAnsi="仿宋" w:eastAsia="仿宋"/>
          <w:b w:val="0"/>
          <w:bCs/>
          <w:color w:val="000000"/>
          <w:sz w:val="32"/>
          <w:szCs w:val="32"/>
        </w:rPr>
        <w:t>住房公积（</w:t>
      </w:r>
      <w:r>
        <w:rPr>
          <w:rFonts w:ascii="仿宋" w:hAnsi="仿宋" w:eastAsia="仿宋"/>
          <w:b w:val="0"/>
          <w:bCs/>
          <w:color w:val="000000"/>
          <w:sz w:val="32"/>
          <w:szCs w:val="32"/>
        </w:rPr>
        <w:t>221类</w:t>
      </w:r>
      <w:r>
        <w:rPr>
          <w:rStyle w:val="19"/>
          <w:rFonts w:ascii="仿宋" w:hAnsi="仿宋" w:eastAsia="仿宋"/>
          <w:b w:val="0"/>
          <w:bCs/>
          <w:color w:val="000000"/>
          <w:sz w:val="32"/>
          <w:szCs w:val="32"/>
        </w:rPr>
        <w:t>）住房改革支出（02款）住房公积金（01项）</w:t>
      </w:r>
      <w:r>
        <w:rPr>
          <w:rStyle w:val="19"/>
          <w:rFonts w:hint="eastAsia" w:ascii="仿宋" w:hAnsi="仿宋" w:eastAsia="仿宋"/>
          <w:b w:val="0"/>
          <w:bCs/>
          <w:color w:val="000000"/>
          <w:sz w:val="32"/>
          <w:szCs w:val="32"/>
          <w:lang w:val="en-US" w:eastAsia="zh-CN"/>
        </w:rPr>
        <w:t>决算支出36.62万元，</w:t>
      </w:r>
      <w:r>
        <w:rPr>
          <w:rFonts w:ascii="仿宋" w:hAnsi="仿宋" w:eastAsia="仿宋"/>
          <w:b w:val="0"/>
          <w:bCs/>
          <w:color w:val="000000"/>
          <w:sz w:val="32"/>
          <w:szCs w:val="32"/>
        </w:rPr>
        <w:t>完成预算数</w:t>
      </w:r>
      <w:r>
        <w:rPr>
          <w:rFonts w:hint="eastAsia" w:ascii="仿宋" w:hAnsi="仿宋" w:eastAsia="仿宋"/>
          <w:b w:val="0"/>
          <w:bCs/>
          <w:color w:val="000000"/>
          <w:sz w:val="32"/>
          <w:szCs w:val="32"/>
          <w:lang w:val="en-US" w:eastAsia="zh-CN"/>
        </w:rPr>
        <w:t>30.04</w:t>
      </w:r>
      <w:r>
        <w:rPr>
          <w:rFonts w:hint="eastAsia" w:ascii="仿宋" w:hAnsi="仿宋" w:eastAsia="仿宋"/>
          <w:b w:val="0"/>
          <w:bCs/>
          <w:color w:val="000000"/>
          <w:sz w:val="32"/>
          <w:szCs w:val="32"/>
        </w:rPr>
        <w:t>万元的</w:t>
      </w:r>
      <w:r>
        <w:rPr>
          <w:rFonts w:hint="eastAsia" w:ascii="仿宋" w:hAnsi="仿宋" w:eastAsia="仿宋"/>
          <w:b w:val="0"/>
          <w:bCs/>
          <w:color w:val="000000"/>
          <w:sz w:val="32"/>
          <w:szCs w:val="32"/>
          <w:lang w:val="en-US" w:eastAsia="zh-CN"/>
        </w:rPr>
        <w:t>121.9</w:t>
      </w:r>
      <w:r>
        <w:rPr>
          <w:rFonts w:ascii="仿宋" w:hAnsi="仿宋" w:eastAsia="仿宋"/>
          <w:b w:val="0"/>
          <w:bCs/>
          <w:color w:val="000000"/>
          <w:sz w:val="32"/>
          <w:szCs w:val="32"/>
        </w:rPr>
        <w:t>%。</w:t>
      </w:r>
      <w:r>
        <w:rPr>
          <w:rFonts w:hint="eastAsia" w:ascii="仿宋" w:hAnsi="仿宋" w:eastAsia="仿宋"/>
          <w:b w:val="0"/>
          <w:bCs/>
          <w:color w:val="000000"/>
          <w:sz w:val="32"/>
          <w:szCs w:val="32"/>
          <w:lang w:val="en-US" w:eastAsia="zh-CN"/>
        </w:rPr>
        <w:t>大于决算数是因为职工公积金缴费增加。</w:t>
      </w:r>
      <w:bookmarkStart w:id="28" w:name="_Toc15396608"/>
      <w:bookmarkStart w:id="29" w:name="_Toc15377214"/>
    </w:p>
    <w:p>
      <w:pPr>
        <w:tabs>
          <w:tab w:val="right" w:pos="8306"/>
        </w:tabs>
        <w:spacing w:line="600" w:lineRule="exact"/>
        <w:ind w:firstLine="640"/>
        <w:outlineLvl w:val="1"/>
        <w:rPr>
          <w:rStyle w:val="32"/>
          <w:rFonts w:ascii="Times New Roman" w:hAnsi="Times New Roman"/>
        </w:rPr>
      </w:pPr>
      <w:r>
        <w:rPr>
          <w:rFonts w:hint="eastAsia" w:eastAsia="黑体"/>
          <w:sz w:val="32"/>
          <w:szCs w:val="32"/>
        </w:rPr>
        <w:t>六</w:t>
      </w:r>
      <w:r>
        <w:rPr>
          <w:rFonts w:hint="eastAsia" w:eastAsia="黑体"/>
          <w:b/>
          <w:sz w:val="32"/>
          <w:szCs w:val="32"/>
        </w:rPr>
        <w:t>、一</w:t>
      </w:r>
      <w:r>
        <w:rPr>
          <w:rStyle w:val="32"/>
          <w:rFonts w:hint="eastAsia" w:ascii="Times New Roman" w:hAnsi="Times New Roman" w:eastAsia="黑体"/>
          <w:b w:val="0"/>
        </w:rPr>
        <w:t>般公共预算财政拨款基本支出决算情况说明</w:t>
      </w:r>
      <w:bookmarkEnd w:id="28"/>
      <w:bookmarkEnd w:id="29"/>
      <w:r>
        <w:rPr>
          <w:rStyle w:val="32"/>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eastAsia="仿宋_GB2312" w:cs="仿宋_GB2312"/>
          <w:sz w:val="32"/>
          <w:szCs w:val="32"/>
          <w:lang w:val="en-US" w:eastAsia="zh-CN"/>
        </w:rPr>
        <w:t>535.65</w:t>
      </w:r>
      <w:r>
        <w:rPr>
          <w:rFonts w:hint="eastAsia" w:ascii="仿宋_GB2312" w:hAnsi="仿宋_GB2312" w:eastAsia="仿宋_GB2312" w:cs="仿宋_GB2312"/>
          <w:sz w:val="32"/>
          <w:szCs w:val="32"/>
        </w:rPr>
        <w:t>万</w:t>
      </w:r>
      <w:r>
        <w:rPr>
          <w:rFonts w:hint="eastAsia" w:eastAsia="仿宋_GB2312" w:cs="仿宋_GB2312"/>
          <w:sz w:val="32"/>
          <w:szCs w:val="32"/>
        </w:rPr>
        <w:t>元，其中：</w:t>
      </w:r>
    </w:p>
    <w:p>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eastAsia="仿宋_GB2312" w:cs="仿宋_GB2312"/>
          <w:sz w:val="32"/>
          <w:szCs w:val="32"/>
          <w:lang w:val="en-US" w:eastAsia="zh-CN"/>
        </w:rPr>
        <w:t>786.49</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eastAsia="仿宋_GB2312" w:cs="仿宋_GB2312"/>
          <w:sz w:val="32"/>
          <w:szCs w:val="32"/>
          <w:lang w:val="en-US" w:eastAsia="zh-CN"/>
        </w:rPr>
        <w:t>49.16</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w:t>
      </w:r>
      <w:r>
        <w:rPr>
          <w:rFonts w:hint="eastAsia" w:eastAsia="仿宋_GB2312" w:cs="仿宋_GB2312"/>
          <w:sz w:val="32"/>
          <w:szCs w:val="32"/>
          <w:lang w:val="en-US" w:eastAsia="zh-CN"/>
        </w:rPr>
        <w:t>.</w:t>
      </w:r>
    </w:p>
    <w:p>
      <w:pPr>
        <w:spacing w:line="600" w:lineRule="exact"/>
        <w:ind w:firstLine="640"/>
        <w:outlineLvl w:val="1"/>
        <w:rPr>
          <w:rStyle w:val="32"/>
          <w:rFonts w:ascii="Times New Roman" w:hAnsi="Times New Roman" w:eastAsia="黑体"/>
          <w:b w:val="0"/>
        </w:rPr>
      </w:pPr>
      <w:bookmarkStart w:id="30" w:name="_Toc15396609"/>
      <w:bookmarkStart w:id="31" w:name="_Toc15377215"/>
      <w:r>
        <w:rPr>
          <w:rFonts w:hint="eastAsia" w:eastAsia="黑体"/>
          <w:sz w:val="32"/>
          <w:szCs w:val="32"/>
        </w:rPr>
        <w:t>七、</w:t>
      </w:r>
      <w:r>
        <w:rPr>
          <w:rStyle w:val="32"/>
          <w:rFonts w:hint="eastAsia" w:ascii="Times New Roman" w:hAnsi="Times New Roman" w:eastAsia="黑体"/>
          <w:b w:val="0"/>
        </w:rPr>
        <w:t>财政拨款</w:t>
      </w:r>
      <w:r>
        <w:rPr>
          <w:rStyle w:val="32"/>
          <w:rFonts w:hint="eastAsia" w:ascii="Times New Roman" w:hAnsi="Times New Roman" w:eastAsia="黑体"/>
        </w:rPr>
        <w:t>“</w:t>
      </w:r>
      <w:r>
        <w:rPr>
          <w:rStyle w:val="32"/>
          <w:rFonts w:hint="eastAsia" w:ascii="Times New Roman" w:hAnsi="Times New Roman" w:eastAsia="黑体"/>
          <w:b w:val="0"/>
        </w:rPr>
        <w:t>三公”经费支出决算情况说明</w:t>
      </w:r>
      <w:bookmarkEnd w:id="30"/>
      <w:bookmarkEnd w:id="31"/>
    </w:p>
    <w:p>
      <w:pPr>
        <w:spacing w:line="600" w:lineRule="exact"/>
        <w:ind w:firstLine="643" w:firstLineChars="200"/>
        <w:outlineLvl w:val="2"/>
        <w:rPr>
          <w:rFonts w:eastAsia="楷体_GB2312" w:cs="楷体_GB2312"/>
          <w:b/>
          <w:sz w:val="32"/>
          <w:szCs w:val="32"/>
        </w:rPr>
      </w:pPr>
      <w:bookmarkStart w:id="32" w:name="_Toc15377216"/>
      <w:r>
        <w:rPr>
          <w:rFonts w:hint="eastAsia" w:eastAsia="楷体_GB2312" w:cs="楷体_GB2312"/>
          <w:b/>
          <w:sz w:val="32"/>
          <w:szCs w:val="32"/>
        </w:rPr>
        <w:t>（一）“三公”经费财政拨款支出决算总体情况说明</w:t>
      </w:r>
      <w:bookmarkEnd w:id="32"/>
    </w:p>
    <w:p>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rPr>
        <w:t>2024年度“三公”经费财政拨款支出决算为</w:t>
      </w:r>
      <w:r>
        <w:rPr>
          <w:rFonts w:hint="eastAsia" w:eastAsia="仿宋_GB2312" w:cs="仿宋_GB2312"/>
          <w:sz w:val="32"/>
          <w:szCs w:val="32"/>
          <w:lang w:val="en-US" w:eastAsia="zh-CN"/>
        </w:rPr>
        <w:t>7.02</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69.64</w:t>
      </w:r>
      <w:r>
        <w:rPr>
          <w:rFonts w:hint="eastAsia" w:ascii="仿宋_GB2312" w:hAnsi="仿宋_GB2312" w:eastAsia="仿宋_GB2312" w:cs="仿宋_GB2312"/>
          <w:sz w:val="32"/>
          <w:szCs w:val="32"/>
        </w:rPr>
        <w:t>%，</w:t>
      </w:r>
      <w:r>
        <w:rPr>
          <w:rFonts w:hint="eastAsia" w:eastAsia="仿宋_GB2312" w:cs="仿宋_GB2312"/>
          <w:sz w:val="32"/>
          <w:szCs w:val="32"/>
        </w:rPr>
        <w:t>较上年度增加</w:t>
      </w:r>
      <w:r>
        <w:rPr>
          <w:rFonts w:hint="eastAsia" w:eastAsia="仿宋_GB2312" w:cs="仿宋_GB2312"/>
          <w:sz w:val="32"/>
          <w:szCs w:val="32"/>
          <w:lang w:val="en-US" w:eastAsia="zh-CN"/>
        </w:rPr>
        <w:t>0.68</w:t>
      </w:r>
      <w:r>
        <w:rPr>
          <w:rFonts w:hint="eastAsia" w:eastAsia="仿宋_GB2312" w:cs="仿宋_GB2312"/>
          <w:sz w:val="32"/>
          <w:szCs w:val="32"/>
        </w:rPr>
        <w:t>万元，增长</w:t>
      </w:r>
      <w:r>
        <w:rPr>
          <w:rFonts w:hint="eastAsia" w:eastAsia="仿宋_GB2312" w:cs="仿宋_GB2312"/>
          <w:sz w:val="32"/>
          <w:szCs w:val="32"/>
          <w:lang w:val="en-US" w:eastAsia="zh-CN"/>
        </w:rPr>
        <w:t>9.69</w:t>
      </w:r>
      <w:r>
        <w:rPr>
          <w:rFonts w:hint="eastAsia" w:eastAsia="仿宋_GB2312" w:cs="仿宋_GB2312"/>
          <w:sz w:val="32"/>
          <w:szCs w:val="32"/>
        </w:rPr>
        <w:t>%。决算数小于预算数的主要原因</w:t>
      </w:r>
      <w:r>
        <w:rPr>
          <w:rFonts w:hint="eastAsia" w:eastAsia="仿宋_GB2312" w:cs="仿宋_GB2312"/>
          <w:sz w:val="32"/>
          <w:szCs w:val="32"/>
          <w:lang w:val="en-US" w:eastAsia="zh-CN"/>
        </w:rPr>
        <w:t>是厉行节约。</w:t>
      </w:r>
    </w:p>
    <w:p>
      <w:pPr>
        <w:spacing w:line="600" w:lineRule="exact"/>
        <w:ind w:firstLine="640"/>
        <w:rPr>
          <w:rFonts w:eastAsia="仿宋_GB2312" w:cs="仿宋_GB2312"/>
          <w:b/>
          <w:bCs/>
          <w:sz w:val="32"/>
          <w:szCs w:val="32"/>
        </w:rPr>
      </w:pPr>
      <w:r>
        <w:rPr>
          <w:rFonts w:hint="eastAsia" w:eastAsia="仿宋_GB2312" w:cs="仿宋_GB2312"/>
          <w:b/>
          <w:bCs/>
          <w:sz w:val="32"/>
          <w:szCs w:val="32"/>
        </w:rPr>
        <w:t>（注：上述“预算”口径为全年预算数，包括一般公共预算和政府性基金预算财政拨款支出决算情况）</w:t>
      </w:r>
    </w:p>
    <w:p>
      <w:pPr>
        <w:spacing w:line="600" w:lineRule="exact"/>
        <w:ind w:firstLine="643" w:firstLineChars="200"/>
        <w:outlineLvl w:val="2"/>
        <w:rPr>
          <w:rFonts w:eastAsia="楷体_GB2312" w:cs="楷体_GB2312"/>
          <w:b/>
          <w:sz w:val="32"/>
          <w:szCs w:val="32"/>
        </w:rPr>
      </w:pPr>
      <w:bookmarkStart w:id="33" w:name="_Toc15377217"/>
      <w:r>
        <w:rPr>
          <w:rFonts w:hint="eastAsia" w:eastAsia="楷体_GB2312" w:cs="楷体_GB2312"/>
          <w:b/>
          <w:sz w:val="32"/>
          <w:szCs w:val="32"/>
        </w:rPr>
        <w:t>（二）“三公”经费财政拨款支出决算具体情况说明</w:t>
      </w:r>
      <w:bookmarkEnd w:id="33"/>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7.02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%。具体情况如下：</w:t>
      </w:r>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eastAsia="仿宋_GB2312" w:cs="仿宋_GB2312"/>
          <w:sz w:val="32"/>
          <w:szCs w:val="32"/>
        </w:rPr>
      </w:pPr>
      <w:r>
        <w:drawing>
          <wp:inline distT="0" distB="0" distL="114300" distR="114300">
            <wp:extent cx="4572000" cy="2743200"/>
            <wp:effectExtent l="4445" t="4445" r="10795" b="1079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（图7：“三公”经费财政拨款支出结构）（饼状图）</w:t>
      </w:r>
    </w:p>
    <w:p>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1.因公出国（境）经费支出**万元，完成预算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次，出国（境）</w:t>
      </w:r>
      <w:r>
        <w:rPr>
          <w:rFonts w:hint="eastAsia"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eastAsia="仿宋_GB2312" w:cs="仿宋_GB2312"/>
          <w:sz w:val="32"/>
          <w:szCs w:val="32"/>
        </w:rPr>
        <w:t>。因公出国（境）支出决算比2023年增加/减少</w:t>
      </w:r>
      <w:r>
        <w:rPr>
          <w:rFonts w:hint="eastAsia" w:eastAsia="仿宋_GB2312" w:cs="仿宋_GB2312"/>
          <w:sz w:val="32"/>
          <w:szCs w:val="32"/>
          <w:lang w:val="en-US" w:eastAsia="zh-CN"/>
        </w:rPr>
        <w:t>0</w:t>
      </w:r>
      <w:r>
        <w:rPr>
          <w:rFonts w:hint="eastAsia" w:eastAsia="仿宋_GB2312" w:cs="仿宋_GB2312"/>
          <w:sz w:val="32"/>
          <w:szCs w:val="32"/>
        </w:rPr>
        <w:t>万元，增长/下降</w:t>
      </w:r>
      <w:r>
        <w:rPr>
          <w:rFonts w:hint="eastAsia" w:eastAsia="仿宋_GB2312" w:cs="仿宋_GB2312"/>
          <w:sz w:val="32"/>
          <w:szCs w:val="32"/>
          <w:lang w:val="en-US" w:eastAsia="zh-CN"/>
        </w:rPr>
        <w:t>0</w:t>
      </w:r>
      <w:r>
        <w:rPr>
          <w:rFonts w:hint="eastAsia" w:eastAsia="仿宋_GB2312" w:cs="仿宋_GB2312"/>
          <w:sz w:val="32"/>
          <w:szCs w:val="32"/>
        </w:rPr>
        <w:t>%。</w:t>
      </w:r>
    </w:p>
    <w:p>
      <w:pPr>
        <w:spacing w:line="600" w:lineRule="exact"/>
        <w:ind w:firstLine="640"/>
        <w:rPr>
          <w:rFonts w:hint="default" w:eastAsia="仿宋_GB2312" w:cs="仿宋_GB2312"/>
          <w:sz w:val="32"/>
          <w:szCs w:val="32"/>
          <w:lang w:val="en-US" w:eastAsia="zh-CN"/>
        </w:rPr>
      </w:pPr>
      <w:r>
        <w:rPr>
          <w:rFonts w:hint="eastAsia" w:eastAsia="仿宋_GB2312" w:cs="仿宋_GB2312"/>
          <w:b/>
          <w:bCs/>
          <w:sz w:val="32"/>
          <w:szCs w:val="32"/>
        </w:rPr>
        <w:t>2.公务用车购置及运行维护费支出</w:t>
      </w:r>
      <w:r>
        <w:rPr>
          <w:rFonts w:hint="eastAsia" w:eastAsia="仿宋_GB2312" w:cs="仿宋_GB2312"/>
          <w:b/>
          <w:bCs/>
          <w:sz w:val="32"/>
          <w:szCs w:val="32"/>
          <w:lang w:val="en-US" w:eastAsia="zh-CN"/>
        </w:rPr>
        <w:t>7.02</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69.64</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公务用车购置及运行维护费支出决算比2023年度减少</w:t>
      </w:r>
      <w:r>
        <w:rPr>
          <w:rFonts w:hint="eastAsia" w:eastAsia="仿宋_GB2312" w:cs="仿宋_GB2312"/>
          <w:sz w:val="32"/>
          <w:szCs w:val="32"/>
          <w:lang w:val="en-US" w:eastAsia="zh-CN"/>
        </w:rPr>
        <w:t>0.68</w:t>
      </w:r>
      <w:r>
        <w:rPr>
          <w:rFonts w:hint="eastAsia" w:eastAsia="仿宋_GB2312" w:cs="仿宋_GB2312"/>
          <w:sz w:val="32"/>
          <w:szCs w:val="32"/>
        </w:rPr>
        <w:t>万元，下降</w:t>
      </w:r>
      <w:r>
        <w:rPr>
          <w:rFonts w:hint="eastAsia" w:eastAsia="仿宋_GB2312" w:cs="仿宋_GB2312"/>
          <w:sz w:val="32"/>
          <w:szCs w:val="32"/>
          <w:lang w:val="en-US" w:eastAsia="zh-CN"/>
        </w:rPr>
        <w:t>9.69</w:t>
      </w:r>
      <w:r>
        <w:rPr>
          <w:rFonts w:hint="eastAsia" w:eastAsia="仿宋_GB2312" w:cs="仿宋_GB2312"/>
          <w:sz w:val="32"/>
          <w:szCs w:val="32"/>
        </w:rPr>
        <w:t>%。主要原因</w:t>
      </w:r>
      <w:r>
        <w:rPr>
          <w:rFonts w:hint="eastAsia" w:eastAsia="仿宋_GB2312" w:cs="仿宋_GB2312"/>
          <w:sz w:val="32"/>
          <w:szCs w:val="32"/>
          <w:lang w:val="en-US" w:eastAsia="zh-CN"/>
        </w:rPr>
        <w:t>是厉行节约。</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辆，截至2024年12月31日，单位共有公务用车</w:t>
      </w:r>
      <w:r>
        <w:rPr>
          <w:rFonts w:hint="eastAsia" w:eastAsia="仿宋_GB2312" w:cs="仿宋_GB2312"/>
          <w:sz w:val="32"/>
          <w:szCs w:val="32"/>
          <w:lang w:val="en-US" w:eastAsia="zh-CN"/>
        </w:rPr>
        <w:t>2</w:t>
      </w:r>
      <w:r>
        <w:rPr>
          <w:rFonts w:hint="eastAsia" w:eastAsia="仿宋_GB2312" w:cs="仿宋_GB2312"/>
          <w:sz w:val="32"/>
          <w:szCs w:val="32"/>
        </w:rPr>
        <w:t>辆，其中：轿车</w:t>
      </w:r>
      <w:r>
        <w:rPr>
          <w:rFonts w:hint="eastAsia" w:eastAsia="仿宋_GB2312" w:cs="仿宋_GB2312"/>
          <w:sz w:val="32"/>
          <w:szCs w:val="32"/>
          <w:lang w:val="en-US" w:eastAsia="zh-CN"/>
        </w:rPr>
        <w:t>1</w:t>
      </w:r>
      <w:r>
        <w:rPr>
          <w:rFonts w:hint="eastAsia" w:eastAsia="仿宋_GB2312" w:cs="仿宋_GB2312"/>
          <w:sz w:val="32"/>
          <w:szCs w:val="32"/>
        </w:rPr>
        <w:t>辆、</w:t>
      </w:r>
      <w:r>
        <w:rPr>
          <w:rFonts w:hint="eastAsia" w:eastAsia="仿宋_GB2312" w:cs="仿宋_GB2312"/>
          <w:sz w:val="32"/>
          <w:szCs w:val="32"/>
          <w:lang w:val="en-US" w:eastAsia="zh-CN"/>
        </w:rPr>
        <w:t>商务车1</w:t>
      </w:r>
      <w:r>
        <w:rPr>
          <w:rFonts w:hint="eastAsia" w:eastAsia="仿宋_GB2312" w:cs="仿宋_GB2312"/>
          <w:sz w:val="32"/>
          <w:szCs w:val="32"/>
        </w:rPr>
        <w:t>辆</w:t>
      </w:r>
      <w:r>
        <w:rPr>
          <w:rFonts w:hint="eastAsia" w:eastAsia="仿宋_GB2312" w:cs="仿宋_GB2312"/>
          <w:sz w:val="32"/>
          <w:szCs w:val="32"/>
          <w:lang w:eastAsia="zh-CN"/>
        </w:rPr>
        <w:t>。</w:t>
      </w:r>
    </w:p>
    <w:p>
      <w:pPr>
        <w:pStyle w:val="16"/>
        <w:widowControl/>
        <w:spacing w:before="100" w:after="100"/>
        <w:ind w:right="75" w:firstLine="960" w:firstLineChars="300"/>
        <w:rPr>
          <w:rFonts w:hint="eastAsia" w:ascii="仿宋" w:hAnsi="仿宋" w:eastAsia="仿宋" w:cs="仿宋"/>
          <w:color w:val="000000"/>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7.02</w:t>
      </w:r>
      <w:r>
        <w:rPr>
          <w:rFonts w:hint="eastAsia" w:eastAsia="仿宋_GB2312" w:cs="仿宋_GB2312"/>
          <w:sz w:val="32"/>
          <w:szCs w:val="32"/>
        </w:rPr>
        <w:t>万元。主要用于</w:t>
      </w:r>
      <w:r>
        <w:rPr>
          <w:rFonts w:hint="eastAsia" w:ascii="仿宋" w:hAnsi="仿宋" w:eastAsia="仿宋"/>
          <w:color w:val="000000"/>
          <w:sz w:val="32"/>
          <w:szCs w:val="32"/>
        </w:rPr>
        <w:t>主要用于</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val="en-US" w:eastAsia="zh-CN"/>
        </w:rPr>
        <w:t>开</w:t>
      </w:r>
      <w:r>
        <w:rPr>
          <w:rFonts w:hint="eastAsia" w:ascii="仿宋" w:hAnsi="仿宋" w:eastAsia="仿宋" w:cs="仿宋"/>
          <w:color w:val="000000"/>
          <w:sz w:val="32"/>
          <w:szCs w:val="32"/>
        </w:rPr>
        <w:t>展离退休老干部集中学习﹑离退休干部慰问生病住院接</w:t>
      </w:r>
      <w:r>
        <w:rPr>
          <w:rFonts w:hint="eastAsia" w:ascii="仿宋" w:hAnsi="仿宋" w:eastAsia="仿宋" w:cs="仿宋"/>
          <w:color w:val="000000"/>
          <w:sz w:val="32"/>
          <w:szCs w:val="32"/>
          <w:lang w:val="en-US" w:eastAsia="zh-CN"/>
        </w:rPr>
        <w:t>送</w:t>
      </w:r>
      <w:r>
        <w:rPr>
          <w:rFonts w:hint="eastAsia" w:ascii="仿宋" w:hAnsi="仿宋" w:eastAsia="仿宋" w:cs="仿宋"/>
          <w:color w:val="000000"/>
          <w:sz w:val="32"/>
          <w:szCs w:val="32"/>
        </w:rPr>
        <w:t>以及单位日常开展工作等所需的公务用车燃料费 、维修费、过路过桥费 、保险费等支出。</w:t>
      </w:r>
    </w:p>
    <w:p>
      <w:pPr>
        <w:pStyle w:val="16"/>
        <w:widowControl/>
        <w:spacing w:before="100" w:after="100"/>
        <w:ind w:right="75" w:firstLine="643" w:firstLineChars="200"/>
        <w:rPr>
          <w:rFonts w:eastAsia="仿宋_GB2312" w:cs="仿宋_GB2312"/>
          <w:sz w:val="32"/>
          <w:szCs w:val="32"/>
        </w:rPr>
      </w:pPr>
      <w:r>
        <w:rPr>
          <w:rFonts w:hint="eastAsia" w:eastAsia="仿宋_GB2312" w:cs="仿宋_GB2312"/>
          <w:b/>
          <w:bCs/>
          <w:sz w:val="32"/>
          <w:szCs w:val="32"/>
        </w:rPr>
        <w:t>3.公务接待费支出</w:t>
      </w:r>
      <w:r>
        <w:rPr>
          <w:rFonts w:hint="eastAsia"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ascii="仿宋_GB2312" w:eastAsia="仿宋_GB2312"/>
          <w:sz w:val="32"/>
          <w:szCs w:val="32"/>
        </w:rPr>
        <w:t>公务接待费支出决算</w:t>
      </w:r>
      <w:r>
        <w:rPr>
          <w:rFonts w:hint="eastAsia" w:ascii="仿宋_GB2312" w:eastAsia="仿宋_GB2312"/>
          <w:sz w:val="32"/>
          <w:szCs w:val="32"/>
          <w:lang w:val="en-US" w:eastAsia="zh-CN"/>
        </w:rPr>
        <w:t>与</w:t>
      </w:r>
      <w:r>
        <w:rPr>
          <w:rFonts w:hint="eastAsia" w:ascii="仿宋_GB2312" w:eastAsia="仿宋_GB2312"/>
          <w:sz w:val="32"/>
          <w:szCs w:val="32"/>
        </w:rPr>
        <w:t>2022年度</w:t>
      </w:r>
      <w:r>
        <w:rPr>
          <w:rFonts w:hint="eastAsia" w:ascii="仿宋_GB2312" w:eastAsia="仿宋_GB2312"/>
          <w:sz w:val="32"/>
          <w:szCs w:val="32"/>
          <w:lang w:val="en-US" w:eastAsia="zh-CN"/>
        </w:rPr>
        <w:t>持平，无公务接待费产生。</w:t>
      </w:r>
      <w:bookmarkStart w:id="34" w:name="_Toc15396610"/>
      <w:bookmarkStart w:id="35" w:name="_Toc15377218"/>
    </w:p>
    <w:p>
      <w:pPr>
        <w:spacing w:line="600" w:lineRule="exact"/>
        <w:ind w:firstLine="640"/>
        <w:outlineLvl w:val="1"/>
        <w:rPr>
          <w:rStyle w:val="32"/>
          <w:rFonts w:ascii="Times New Roman" w:hAnsi="Times New Roman" w:eastAsia="黑体"/>
        </w:rPr>
      </w:pPr>
      <w:r>
        <w:rPr>
          <w:rFonts w:hint="eastAsia" w:eastAsia="黑体"/>
          <w:sz w:val="32"/>
          <w:szCs w:val="32"/>
        </w:rPr>
        <w:t>八、</w:t>
      </w:r>
      <w:r>
        <w:rPr>
          <w:rStyle w:val="32"/>
          <w:rFonts w:hint="eastAsia" w:ascii="Times New Roman" w:hAnsi="Times New Roman" w:eastAsia="黑体"/>
          <w:b w:val="0"/>
        </w:rPr>
        <w:t>政府性基金预算支出决算情况说明</w:t>
      </w:r>
      <w:bookmarkEnd w:id="34"/>
      <w:bookmarkEnd w:id="35"/>
    </w:p>
    <w:p>
      <w:pPr>
        <w:spacing w:line="600" w:lineRule="exact"/>
        <w:ind w:firstLine="640"/>
        <w:rPr>
          <w:rFonts w:hint="eastAsia" w:eastAsia="仿宋_GB2312" w:cs="仿宋_GB2312"/>
          <w:sz w:val="32"/>
          <w:szCs w:val="32"/>
          <w:lang w:val="en-US" w:eastAsia="zh-CN"/>
        </w:rPr>
      </w:pPr>
      <w:r>
        <w:rPr>
          <w:rFonts w:hint="eastAsia" w:ascii="仿宋_GB2312" w:hAnsi="仿宋_GB2312" w:eastAsia="仿宋_GB2312" w:cs="仿宋_GB2312"/>
          <w:sz w:val="32"/>
          <w:szCs w:val="32"/>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spacing w:line="600" w:lineRule="exact"/>
        <w:ind w:left="630"/>
        <w:outlineLvl w:val="1"/>
        <w:rPr>
          <w:rStyle w:val="32"/>
          <w:rFonts w:ascii="Times New Roman" w:hAnsi="Times New Roman" w:eastAsia="黑体"/>
          <w:b w:val="0"/>
        </w:rPr>
      </w:pPr>
      <w:bookmarkStart w:id="36" w:name="_Toc15377219"/>
      <w:bookmarkStart w:id="37" w:name="_Toc15396611"/>
      <w:r>
        <w:rPr>
          <w:rStyle w:val="32"/>
          <w:rFonts w:hint="eastAsia" w:ascii="Times New Roman" w:hAnsi="Times New Roman" w:eastAsia="黑体"/>
          <w:b w:val="0"/>
        </w:rPr>
        <w:t>九、国有资本经营预算支出决算情况说明</w:t>
      </w:r>
      <w:bookmarkEnd w:id="36"/>
      <w:bookmarkEnd w:id="37"/>
    </w:p>
    <w:p>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spacing w:line="600" w:lineRule="exact"/>
        <w:ind w:left="630"/>
        <w:outlineLvl w:val="1"/>
        <w:rPr>
          <w:rStyle w:val="32"/>
          <w:rFonts w:ascii="Times New Roman" w:hAnsi="Times New Roman" w:eastAsia="黑体"/>
          <w:b w:val="0"/>
        </w:rPr>
      </w:pPr>
      <w:bookmarkStart w:id="38" w:name="_Toc15377221"/>
      <w:bookmarkStart w:id="39" w:name="_Toc15396612"/>
      <w:r>
        <w:rPr>
          <w:rStyle w:val="32"/>
          <w:rFonts w:hint="eastAsia" w:ascii="Times New Roman" w:hAnsi="Times New Roman" w:eastAsia="黑体"/>
          <w:b w:val="0"/>
        </w:rPr>
        <w:t>十、其他重要事项的情况说明</w:t>
      </w:r>
      <w:bookmarkEnd w:id="38"/>
      <w:bookmarkEnd w:id="39"/>
    </w:p>
    <w:p>
      <w:pPr>
        <w:spacing w:line="600" w:lineRule="exact"/>
        <w:ind w:firstLine="643" w:firstLineChars="200"/>
        <w:outlineLvl w:val="2"/>
        <w:rPr>
          <w:rFonts w:eastAsia="楷体_GB2312" w:cs="楷体_GB2312"/>
          <w:b/>
          <w:sz w:val="32"/>
          <w:szCs w:val="32"/>
        </w:rPr>
      </w:pPr>
      <w:bookmarkStart w:id="40" w:name="_Toc15377222"/>
      <w:r>
        <w:rPr>
          <w:rFonts w:hint="eastAsia" w:eastAsia="楷体_GB2312" w:cs="楷体_GB2312"/>
          <w:b/>
          <w:sz w:val="32"/>
          <w:szCs w:val="32"/>
        </w:rPr>
        <w:t>（一）机关运行经费支出情况</w:t>
      </w:r>
      <w:bookmarkEnd w:id="40"/>
    </w:p>
    <w:p>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rPr>
        <w:t>2024年度</w:t>
      </w:r>
      <w:r>
        <w:rPr>
          <w:rFonts w:hint="eastAsia" w:ascii="仿宋_GB2312" w:hAnsi="仿宋_GB2312" w:eastAsia="仿宋_GB2312" w:cs="仿宋_GB2312"/>
          <w:b w:val="0"/>
          <w:bCs w:val="0"/>
          <w:sz w:val="32"/>
          <w:szCs w:val="32"/>
        </w:rPr>
        <w:t>，</w:t>
      </w:r>
      <w:r>
        <w:rPr>
          <w:rFonts w:ascii="仿宋_GB2312" w:eastAsia="仿宋_GB2312"/>
          <w:b w:val="0"/>
          <w:bCs w:val="0"/>
          <w:sz w:val="32"/>
          <w:szCs w:val="32"/>
        </w:rPr>
        <w:t>阿坝州都江堰老干部休养所</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val="en-US" w:eastAsia="zh-CN"/>
        </w:rPr>
        <w:t>49.16</w:t>
      </w:r>
      <w:r>
        <w:rPr>
          <w:rFonts w:hint="eastAsia" w:ascii="仿宋_GB2312" w:hAnsi="仿宋_GB2312" w:eastAsia="仿宋_GB2312" w:cs="仿宋_GB2312"/>
          <w:sz w:val="32"/>
          <w:szCs w:val="32"/>
        </w:rPr>
        <w:t>万</w:t>
      </w:r>
      <w:r>
        <w:rPr>
          <w:rFonts w:hint="eastAsia" w:eastAsia="仿宋_GB2312" w:cs="仿宋_GB2312"/>
          <w:sz w:val="32"/>
          <w:szCs w:val="32"/>
        </w:rPr>
        <w:t>元，比2023年度减少</w:t>
      </w:r>
      <w:r>
        <w:rPr>
          <w:rFonts w:hint="eastAsia" w:eastAsia="仿宋_GB2312" w:cs="仿宋_GB2312"/>
          <w:sz w:val="32"/>
          <w:szCs w:val="32"/>
          <w:lang w:val="en-US" w:eastAsia="zh-CN"/>
        </w:rPr>
        <w:t>16.61</w:t>
      </w:r>
      <w:r>
        <w:rPr>
          <w:rFonts w:hint="eastAsia" w:eastAsia="仿宋_GB2312" w:cs="仿宋_GB2312"/>
          <w:sz w:val="32"/>
          <w:szCs w:val="32"/>
        </w:rPr>
        <w:t>万元，下降</w:t>
      </w:r>
      <w:r>
        <w:rPr>
          <w:rFonts w:hint="eastAsia" w:eastAsia="仿宋_GB2312" w:cs="仿宋_GB2312"/>
          <w:sz w:val="32"/>
          <w:szCs w:val="32"/>
          <w:lang w:val="en-US" w:eastAsia="zh-CN"/>
        </w:rPr>
        <w:t>25.25</w:t>
      </w:r>
      <w:r>
        <w:rPr>
          <w:rFonts w:hint="eastAsia" w:eastAsia="仿宋_GB2312" w:cs="仿宋_GB2312"/>
          <w:sz w:val="32"/>
          <w:szCs w:val="32"/>
        </w:rPr>
        <w:t>%主要原因是</w:t>
      </w:r>
      <w:r>
        <w:rPr>
          <w:rFonts w:hint="eastAsia" w:eastAsia="仿宋_GB2312" w:cs="仿宋_GB2312"/>
          <w:sz w:val="32"/>
          <w:szCs w:val="32"/>
          <w:lang w:val="en-US" w:eastAsia="zh-CN"/>
        </w:rPr>
        <w:t>厉行节约。</w:t>
      </w:r>
    </w:p>
    <w:p>
      <w:pPr>
        <w:spacing w:line="600" w:lineRule="exact"/>
        <w:ind w:firstLine="643" w:firstLineChars="200"/>
        <w:outlineLvl w:val="2"/>
        <w:rPr>
          <w:rFonts w:eastAsia="楷体_GB2312" w:cs="楷体_GB2312"/>
          <w:b/>
          <w:sz w:val="32"/>
          <w:szCs w:val="32"/>
        </w:rPr>
      </w:pPr>
      <w:bookmarkStart w:id="41" w:name="_Toc15377223"/>
      <w:r>
        <w:rPr>
          <w:rFonts w:hint="eastAsia" w:eastAsia="楷体_GB2312" w:cs="楷体_GB2312"/>
          <w:b/>
          <w:sz w:val="32"/>
          <w:szCs w:val="32"/>
        </w:rPr>
        <w:t>（二）政府采购支出情况</w:t>
      </w:r>
      <w:bookmarkEnd w:id="41"/>
    </w:p>
    <w:p>
      <w:pPr>
        <w:spacing w:line="600" w:lineRule="exact"/>
        <w:ind w:firstLine="640"/>
        <w:rPr>
          <w:rFonts w:hint="eastAsia" w:eastAsia="仿宋_GB2312" w:cs="仿宋_GB2312"/>
          <w:sz w:val="32"/>
          <w:szCs w:val="32"/>
          <w:lang w:val="en-US" w:eastAsia="zh-CN"/>
        </w:rPr>
      </w:pPr>
      <w:r>
        <w:rPr>
          <w:rFonts w:hint="eastAsia" w:ascii="仿宋_GB2312" w:hAnsi="仿宋_GB2312" w:eastAsia="仿宋_GB2312" w:cs="仿宋_GB2312"/>
          <w:sz w:val="32"/>
          <w:szCs w:val="32"/>
        </w:rPr>
        <w:t>2024年度，</w:t>
      </w:r>
      <w:r>
        <w:rPr>
          <w:rFonts w:ascii="仿宋_GB2312" w:eastAsia="仿宋_GB2312"/>
          <w:b w:val="0"/>
          <w:bCs w:val="0"/>
          <w:sz w:val="32"/>
          <w:szCs w:val="32"/>
        </w:rPr>
        <w:t>阿坝州都江堰老干部休养所</w:t>
      </w:r>
      <w:r>
        <w:rPr>
          <w:rFonts w:hint="eastAsia" w:ascii="仿宋_GB2312" w:hAnsi="仿宋_GB2312" w:eastAsia="仿宋_GB2312" w:cs="仿宋_GB2312"/>
          <w:sz w:val="32"/>
          <w:szCs w:val="32"/>
        </w:rPr>
        <w:t>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spacing w:line="600" w:lineRule="exact"/>
        <w:ind w:firstLine="643" w:firstLineChars="200"/>
        <w:outlineLvl w:val="2"/>
        <w:rPr>
          <w:rFonts w:eastAsia="楷体_GB2312" w:cs="楷体_GB2312"/>
          <w:b/>
          <w:sz w:val="32"/>
          <w:szCs w:val="32"/>
        </w:rPr>
      </w:pPr>
      <w:bookmarkStart w:id="42" w:name="_Toc15377224"/>
      <w:r>
        <w:rPr>
          <w:rFonts w:hint="eastAsia" w:eastAsia="楷体_GB2312" w:cs="楷体_GB2312"/>
          <w:b/>
          <w:sz w:val="32"/>
          <w:szCs w:val="32"/>
        </w:rPr>
        <w:t>（三）国有资产占有使用情况</w:t>
      </w:r>
      <w:bookmarkEnd w:id="42"/>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w:t>
      </w:r>
      <w:r>
        <w:rPr>
          <w:rFonts w:hint="eastAsia" w:ascii="仿宋_GB2312" w:hAnsi="仿宋_GB2312" w:eastAsia="仿宋_GB2312" w:cs="仿宋_GB2312"/>
          <w:b w:val="0"/>
          <w:bCs w:val="0"/>
          <w:sz w:val="32"/>
          <w:szCs w:val="32"/>
        </w:rPr>
        <w:t>，</w:t>
      </w:r>
      <w:r>
        <w:rPr>
          <w:rFonts w:ascii="仿宋_GB2312" w:eastAsia="仿宋_GB2312"/>
          <w:b w:val="0"/>
          <w:bCs w:val="0"/>
          <w:sz w:val="32"/>
          <w:szCs w:val="32"/>
        </w:rPr>
        <w:t>阿坝州都江堰老干部休养所</w:t>
      </w:r>
      <w:r>
        <w:rPr>
          <w:rFonts w:hint="eastAsia" w:ascii="仿宋_GB2312" w:hAnsi="仿宋_GB2312" w:eastAsia="仿宋_GB2312" w:cs="仿宋_GB2312"/>
          <w:b w:val="0"/>
          <w:bCs w:val="0"/>
          <w:sz w:val="32"/>
          <w:szCs w:val="32"/>
        </w:rPr>
        <w:t>共有车辆</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辆，其中：主要负责人用车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辆、机要</w:t>
      </w:r>
      <w:r>
        <w:rPr>
          <w:rFonts w:hint="eastAsia" w:ascii="仿宋_GB2312" w:hAnsi="仿宋_GB2312" w:eastAsia="仿宋_GB2312" w:cs="仿宋_GB2312"/>
          <w:sz w:val="32"/>
          <w:szCs w:val="32"/>
        </w:rPr>
        <w:t>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eastAsia="仿宋_GB2312"/>
          <w:sz w:val="32"/>
          <w:szCs w:val="32"/>
          <w:lang w:val="en-US" w:eastAsia="zh-CN"/>
        </w:rPr>
        <w:t>离退休干部用车2</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hAnsi="仿宋_GB2312" w:eastAsia="仿宋_GB2312" w:cs="仿宋_GB2312"/>
          <w:sz w:val="32"/>
          <w:szCs w:val="32"/>
        </w:rPr>
        <w:t>单价100万元（含）以上设备（不含车辆）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r>
        <w:rPr>
          <w:rFonts w:hint="eastAsia" w:eastAsia="仿宋_GB2312" w:cs="仿宋_GB2312"/>
          <w:sz w:val="32"/>
          <w:szCs w:val="32"/>
        </w:rPr>
        <w:t>。</w:t>
      </w:r>
    </w:p>
    <w:p>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ascii="仿宋_GB2312" w:eastAsia="仿宋_GB2312"/>
          <w:b w:val="0"/>
          <w:bCs w:val="0"/>
          <w:sz w:val="32"/>
          <w:szCs w:val="32"/>
        </w:rPr>
        <w:t>阿坝州都江堰老干部休养所</w:t>
      </w:r>
      <w:r>
        <w:rPr>
          <w:rFonts w:hint="eastAsia" w:eastAsia="仿宋_GB2312" w:cs="仿宋_GB2312"/>
          <w:sz w:val="32"/>
          <w:szCs w:val="32"/>
        </w:rPr>
        <w:t>在2024年度预算编制阶段，组织对</w:t>
      </w:r>
      <w:r>
        <w:rPr>
          <w:rFonts w:hint="eastAsia" w:eastAsia="仿宋_GB2312" w:cs="仿宋_GB2312"/>
          <w:sz w:val="32"/>
          <w:szCs w:val="32"/>
          <w:lang w:val="en-US" w:eastAsia="zh-CN"/>
        </w:rPr>
        <w:t>活动中心运行费</w:t>
      </w:r>
      <w:r>
        <w:rPr>
          <w:rFonts w:hint="eastAsia" w:eastAsia="仿宋_GB2312" w:cs="仿宋_GB2312"/>
          <w:sz w:val="32"/>
          <w:szCs w:val="32"/>
        </w:rPr>
        <w:t>（项目名称）等</w:t>
      </w:r>
      <w:r>
        <w:rPr>
          <w:rFonts w:hint="eastAsia" w:eastAsia="仿宋_GB2312" w:cs="仿宋_GB2312"/>
          <w:sz w:val="32"/>
          <w:szCs w:val="32"/>
          <w:lang w:val="en-US" w:eastAsia="zh-CN"/>
        </w:rPr>
        <w:t>10</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10</w:t>
      </w:r>
      <w:r>
        <w:rPr>
          <w:rFonts w:hint="eastAsia" w:eastAsia="仿宋_GB2312" w:cs="仿宋_GB2312"/>
          <w:sz w:val="32"/>
          <w:szCs w:val="32"/>
        </w:rPr>
        <w:t>个项目开展绩效监控。</w:t>
      </w:r>
    </w:p>
    <w:p>
      <w:pPr>
        <w:spacing w:line="600" w:lineRule="exact"/>
        <w:ind w:firstLine="640"/>
        <w:rPr>
          <w:rFonts w:eastAsia="仿宋_GB2312" w:cs="仿宋_GB2312"/>
          <w:sz w:val="32"/>
          <w:szCs w:val="32"/>
        </w:rPr>
      </w:pPr>
    </w:p>
    <w:p>
      <w:pPr>
        <w:pStyle w:val="21"/>
        <w:rPr>
          <w:rFonts w:eastAsia="仿宋_GB2312" w:cs="仿宋_GB2312"/>
          <w:sz w:val="32"/>
          <w:szCs w:val="32"/>
        </w:rPr>
      </w:pPr>
    </w:p>
    <w:p>
      <w:pPr>
        <w:pStyle w:val="21"/>
        <w:rPr>
          <w:rFonts w:eastAsia="仿宋_GB2312" w:cs="仿宋_GB2312"/>
          <w:sz w:val="32"/>
          <w:szCs w:val="32"/>
        </w:rPr>
      </w:pPr>
    </w:p>
    <w:p>
      <w:pPr>
        <w:pStyle w:val="21"/>
        <w:rPr>
          <w:rFonts w:eastAsia="仿宋_GB2312" w:cs="仿宋_GB2312"/>
          <w:sz w:val="32"/>
          <w:szCs w:val="32"/>
        </w:rPr>
      </w:pPr>
    </w:p>
    <w:p>
      <w:pPr>
        <w:pStyle w:val="21"/>
        <w:rPr>
          <w:rFonts w:eastAsia="仿宋_GB2312" w:cs="仿宋_GB2312"/>
          <w:sz w:val="32"/>
          <w:szCs w:val="32"/>
        </w:rPr>
      </w:pPr>
    </w:p>
    <w:p>
      <w:pPr>
        <w:pStyle w:val="21"/>
        <w:rPr>
          <w:rFonts w:eastAsia="仿宋_GB2312" w:cs="仿宋_GB2312"/>
          <w:sz w:val="32"/>
          <w:szCs w:val="32"/>
        </w:rPr>
      </w:pPr>
    </w:p>
    <w:p>
      <w:pPr>
        <w:pStyle w:val="21"/>
        <w:rPr>
          <w:rFonts w:eastAsia="仿宋_GB2312" w:cs="仿宋_GB2312"/>
          <w:sz w:val="32"/>
          <w:szCs w:val="32"/>
        </w:rPr>
      </w:pPr>
    </w:p>
    <w:p>
      <w:pPr>
        <w:pStyle w:val="21"/>
        <w:rPr>
          <w:rFonts w:eastAsia="仿宋_GB2312" w:cs="仿宋_GB2312"/>
          <w:sz w:val="32"/>
          <w:szCs w:val="32"/>
        </w:rPr>
      </w:pPr>
    </w:p>
    <w:p>
      <w:pPr>
        <w:pStyle w:val="21"/>
        <w:rPr>
          <w:rFonts w:eastAsia="仿宋_GB2312" w:cs="仿宋_GB2312"/>
          <w:sz w:val="32"/>
          <w:szCs w:val="32"/>
        </w:rPr>
      </w:pPr>
    </w:p>
    <w:p>
      <w:pPr>
        <w:spacing w:line="600" w:lineRule="exact"/>
        <w:ind w:firstLine="640"/>
        <w:rPr>
          <w:rFonts w:eastAsia="仿宋_GB2312" w:cs="仿宋_GB2312"/>
          <w:sz w:val="32"/>
          <w:szCs w:val="32"/>
        </w:rPr>
      </w:pPr>
    </w:p>
    <w:p>
      <w:pPr>
        <w:pStyle w:val="21"/>
        <w:rPr>
          <w:rFonts w:eastAsia="仿宋_GB2312" w:cs="仿宋_GB2312"/>
          <w:sz w:val="32"/>
          <w:szCs w:val="32"/>
        </w:rPr>
      </w:pPr>
    </w:p>
    <w:p>
      <w:pPr>
        <w:pStyle w:val="21"/>
        <w:rPr>
          <w:rFonts w:eastAsia="仿宋_GB2312" w:cs="仿宋_GB2312"/>
          <w:sz w:val="32"/>
          <w:szCs w:val="32"/>
        </w:rPr>
      </w:pPr>
    </w:p>
    <w:p>
      <w:pPr>
        <w:pStyle w:val="21"/>
        <w:rPr>
          <w:rFonts w:eastAsia="仿宋_GB2312" w:cs="仿宋_GB2312"/>
          <w:sz w:val="32"/>
          <w:szCs w:val="32"/>
        </w:rPr>
      </w:pPr>
    </w:p>
    <w:p>
      <w:pPr>
        <w:spacing w:line="600" w:lineRule="exact"/>
        <w:jc w:val="center"/>
        <w:outlineLvl w:val="0"/>
        <w:rPr>
          <w:rFonts w:eastAsia="黑体"/>
          <w:sz w:val="44"/>
          <w:szCs w:val="44"/>
        </w:rPr>
      </w:pPr>
      <w:bookmarkStart w:id="43" w:name="_Toc15377225"/>
      <w:bookmarkStart w:id="44" w:name="_Toc15396613"/>
      <w:r>
        <w:rPr>
          <w:rFonts w:hint="eastAsia" w:eastAsia="黑体"/>
          <w:sz w:val="44"/>
          <w:szCs w:val="44"/>
        </w:rPr>
        <w:t>第三部分  名词解释</w:t>
      </w:r>
      <w:bookmarkEnd w:id="43"/>
      <w:bookmarkEnd w:id="44"/>
    </w:p>
    <w:p>
      <w:pPr>
        <w:spacing w:line="600" w:lineRule="exact"/>
        <w:jc w:val="left"/>
        <w:rPr>
          <w:b/>
          <w:sz w:val="44"/>
          <w:szCs w:val="44"/>
        </w:rPr>
      </w:pPr>
    </w:p>
    <w:p>
      <w:pPr>
        <w:pStyle w:val="29"/>
        <w:spacing w:line="560" w:lineRule="exact"/>
        <w:ind w:firstLine="640" w:firstLineChars="200"/>
        <w:rPr>
          <w:rFonts w:hAnsi="仿宋"/>
          <w:sz w:val="32"/>
          <w:szCs w:val="32"/>
        </w:rPr>
      </w:pPr>
      <w:r>
        <w:rPr>
          <w:rFonts w:hAnsi="仿宋"/>
          <w:sz w:val="32"/>
          <w:szCs w:val="32"/>
        </w:rPr>
        <w:t>1.财政拨款收入：指单位从同级财政部门取得的财政预算资金。</w:t>
      </w:r>
    </w:p>
    <w:p>
      <w:pPr>
        <w:pStyle w:val="29"/>
        <w:spacing w:line="560" w:lineRule="exact"/>
        <w:ind w:firstLine="640" w:firstLineChars="200"/>
        <w:rPr>
          <w:rFonts w:hAnsi="仿宋"/>
          <w:sz w:val="32"/>
          <w:szCs w:val="32"/>
        </w:rPr>
      </w:pPr>
      <w:r>
        <w:rPr>
          <w:rFonts w:hAnsi="仿宋"/>
          <w:sz w:val="32"/>
          <w:szCs w:val="32"/>
        </w:rPr>
        <w:t xml:space="preserve">2.其他收入：指单位取得的除上述收入以外的各项收入。主要是银行利息收入、上级部门补助专项工作经费收入、收取管理费收入等。 </w:t>
      </w:r>
    </w:p>
    <w:p>
      <w:pPr>
        <w:pStyle w:val="29"/>
        <w:spacing w:line="560" w:lineRule="exact"/>
        <w:ind w:firstLine="640" w:firstLineChars="200"/>
        <w:rPr>
          <w:rFonts w:hAnsi="仿宋"/>
          <w:sz w:val="32"/>
          <w:szCs w:val="32"/>
        </w:rPr>
      </w:pPr>
      <w:r>
        <w:rPr>
          <w:rFonts w:hAnsi="仿宋"/>
          <w:sz w:val="32"/>
          <w:szCs w:val="32"/>
        </w:rPr>
        <w:t xml:space="preserve">3.年初结转和结余：指以前年度尚未完成、结转到本年按有关规定继续使用的资金。 </w:t>
      </w:r>
    </w:p>
    <w:p>
      <w:pPr>
        <w:pStyle w:val="29"/>
        <w:spacing w:line="560" w:lineRule="exact"/>
        <w:ind w:firstLine="640" w:firstLineChars="200"/>
        <w:rPr>
          <w:rFonts w:hAnsi="仿宋"/>
          <w:sz w:val="32"/>
          <w:szCs w:val="32"/>
        </w:rPr>
      </w:pPr>
      <w:r>
        <w:rPr>
          <w:rFonts w:hAnsi="仿宋"/>
          <w:sz w:val="32"/>
          <w:szCs w:val="32"/>
        </w:rPr>
        <w:t>4.年末结转和结余：指单位按有关规定结转到下年或以后年度继续使用的资金。</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5.一般公共服务（类）其他共产党事务（款）行政运行（项）：指反映行政单位（包括实行公务员管理的事业单位）的基本支出。</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6.社会保障和就业（类）行政事业单位离退休（款）机关事业单位基本养老保险缴费支出（项）：指反映机关事业单位实施养老保险制度由单位缴纳的基本养老保险费支出。</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7.社会保障和就业（类）行政事业单位离退休（款）机关事业单位职业年金缴费支出（项）：指反映机关事业单位实施养老保险制度由单位实际缴纳的职业年金支出。</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8.</w:t>
      </w:r>
      <w:r>
        <w:rPr>
          <w:rStyle w:val="19"/>
          <w:rFonts w:hint="eastAsia" w:ascii="仿宋" w:hAnsi="仿宋" w:eastAsia="仿宋" w:cs="宋体"/>
          <w:color w:val="000000"/>
          <w:sz w:val="32"/>
          <w:szCs w:val="32"/>
        </w:rPr>
        <w:t>卫</w:t>
      </w:r>
      <w:r>
        <w:rPr>
          <w:rStyle w:val="19"/>
          <w:rFonts w:ascii="仿宋" w:hAnsi="仿宋" w:eastAsia="仿宋" w:cs="??_GB2312"/>
          <w:color w:val="000000"/>
          <w:sz w:val="32"/>
          <w:szCs w:val="32"/>
        </w:rPr>
        <w:t>生健康支出</w:t>
      </w:r>
      <w:r>
        <w:rPr>
          <w:rFonts w:ascii="仿宋" w:hAnsi="仿宋" w:eastAsia="仿宋"/>
          <w:color w:val="000000"/>
          <w:sz w:val="32"/>
          <w:szCs w:val="32"/>
        </w:rPr>
        <w:t>（类）行政事业单位医疗（款）行政单位医疗（项）：指反映财政部门集中安排的行政单位基本医疗保险缴费经费，未参加医疗保险的行政单位的公费医疗经费，按国家规定享受离休人员、红军老战士待遇人员的医疗经费。</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9.</w:t>
      </w:r>
      <w:r>
        <w:rPr>
          <w:rStyle w:val="19"/>
          <w:rFonts w:hint="eastAsia" w:ascii="仿宋" w:hAnsi="仿宋" w:eastAsia="仿宋" w:cs="宋体"/>
          <w:color w:val="000000"/>
          <w:sz w:val="32"/>
          <w:szCs w:val="32"/>
        </w:rPr>
        <w:t>卫</w:t>
      </w:r>
      <w:r>
        <w:rPr>
          <w:rStyle w:val="19"/>
          <w:rFonts w:ascii="仿宋" w:hAnsi="仿宋" w:eastAsia="仿宋" w:cs="??_GB2312"/>
          <w:color w:val="000000"/>
          <w:sz w:val="32"/>
          <w:szCs w:val="32"/>
        </w:rPr>
        <w:t>生健康支出</w:t>
      </w:r>
      <w:r>
        <w:rPr>
          <w:rFonts w:ascii="仿宋" w:hAnsi="仿宋" w:eastAsia="仿宋"/>
          <w:color w:val="000000"/>
          <w:sz w:val="32"/>
          <w:szCs w:val="32"/>
        </w:rPr>
        <w:t>（类）行政事业单位医疗（款）公务员医疗补助（项）：指反映财政部门集中安排的公务员医疗补助经费。</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10.住房保障支出（类）住房改革支出（款）住房公积金（项）：指反映行政事业单位按人力资源和社会保障部、财政部规定的基本工资和津贴补贴以及规定比例为职工缴纳的住房公积金。</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11.基本支出：指为保障机构正常运转、完成日常工作任务而发生的人员支出和公用支出。</w:t>
      </w:r>
    </w:p>
    <w:p>
      <w:pPr>
        <w:pStyle w:val="29"/>
        <w:spacing w:line="560" w:lineRule="exact"/>
        <w:ind w:firstLine="640" w:firstLineChars="200"/>
        <w:rPr>
          <w:rFonts w:hAnsi="仿宋"/>
          <w:sz w:val="32"/>
          <w:szCs w:val="32"/>
        </w:rPr>
      </w:pPr>
      <w:r>
        <w:rPr>
          <w:rFonts w:hAnsi="仿宋"/>
          <w:sz w:val="32"/>
          <w:szCs w:val="32"/>
        </w:rPr>
        <w:t>12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spacing w:line="560" w:lineRule="exact"/>
        <w:ind w:firstLine="640" w:firstLineChars="200"/>
        <w:rPr>
          <w:rFonts w:hAnsi="Calibri" w:cs="仿宋"/>
          <w:sz w:val="32"/>
          <w:szCs w:val="32"/>
        </w:rPr>
      </w:pPr>
      <w:r>
        <w:rPr>
          <w:rFonts w:hAnsi="仿宋"/>
          <w:sz w:val="32"/>
          <w:szCs w:val="32"/>
        </w:rPr>
        <w:t>13.机关运行经费：为保障</w:t>
      </w:r>
      <w:bookmarkStart w:id="61" w:name="_GoBack"/>
      <w:bookmarkEnd w:id="61"/>
      <w:r>
        <w:rPr>
          <w:rFonts w:hAnsi="仿宋"/>
          <w:sz w:val="32"/>
          <w:szCs w:val="32"/>
        </w:rPr>
        <w:t>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31"/>
          <w:rFonts w:eastAsia="黑体"/>
          <w:b w:val="0"/>
        </w:rPr>
      </w:pPr>
      <w:bookmarkStart w:id="45" w:name="_Toc15396614"/>
      <w:bookmarkStart w:id="46" w:name="_Toc15377226"/>
      <w:r>
        <w:rPr>
          <w:rFonts w:hint="eastAsia" w:eastAsia="黑体"/>
          <w:sz w:val="44"/>
          <w:szCs w:val="44"/>
        </w:rPr>
        <w:t>第四部分  附件</w:t>
      </w:r>
      <w:bookmarkEnd w:id="45"/>
    </w:p>
    <w:p>
      <w:pPr>
        <w:spacing w:line="572" w:lineRule="exact"/>
        <w:jc w:val="left"/>
        <w:outlineLvl w:val="0"/>
        <w:rPr>
          <w:rFonts w:eastAsia="黑体" w:cs="黑体"/>
          <w:color w:val="FF0000"/>
          <w:sz w:val="32"/>
          <w:szCs w:val="32"/>
        </w:rPr>
      </w:pPr>
    </w:p>
    <w:p>
      <w:pPr>
        <w:spacing w:line="572" w:lineRule="exact"/>
        <w:jc w:val="left"/>
        <w:outlineLvl w:val="0"/>
        <w:rPr>
          <w:rFonts w:hint="eastAsia" w:eastAsia="黑体" w:cs="黑体"/>
          <w:sz w:val="32"/>
          <w:szCs w:val="32"/>
        </w:rPr>
      </w:pPr>
      <w:r>
        <w:rPr>
          <w:rFonts w:hint="eastAsia" w:eastAsia="黑体" w:cs="黑体"/>
          <w:sz w:val="32"/>
          <w:szCs w:val="32"/>
        </w:rPr>
        <w:t>附件1</w:t>
      </w:r>
    </w:p>
    <w:p>
      <w:pPr>
        <w:widowControl/>
        <w:spacing w:line="580" w:lineRule="exact"/>
        <w:contextualSpacing/>
        <w:jc w:val="center"/>
        <w:rPr>
          <w:rFonts w:hint="eastAsia" w:ascii="宋体" w:eastAsia="宋体"/>
          <w:b/>
          <w:sz w:val="44"/>
          <w:szCs w:val="44"/>
          <w:shd w:val="clear" w:color="auto" w:fill="FFFFFF"/>
          <w:lang w:val="en-US" w:eastAsia="zh-CN"/>
        </w:rPr>
      </w:pPr>
      <w:r>
        <w:rPr>
          <w:rFonts w:hint="eastAsia" w:ascii="宋体" w:eastAsia="宋体"/>
          <w:b/>
          <w:sz w:val="44"/>
          <w:szCs w:val="44"/>
          <w:shd w:val="clear" w:color="auto" w:fill="FFFFFF"/>
          <w:lang w:val="en-US" w:eastAsia="zh-CN"/>
        </w:rPr>
        <w:t>阿坝州都江堰老干部休养所</w:t>
      </w:r>
    </w:p>
    <w:p>
      <w:pPr>
        <w:widowControl/>
        <w:spacing w:line="580" w:lineRule="exact"/>
        <w:contextualSpacing/>
        <w:jc w:val="center"/>
        <w:rPr>
          <w:rFonts w:ascii="宋体" w:eastAsia="宋体"/>
          <w:b/>
          <w:sz w:val="44"/>
          <w:szCs w:val="44"/>
          <w:shd w:val="clear" w:color="auto" w:fill="FFFFFF"/>
        </w:rPr>
      </w:pPr>
      <w:r>
        <w:rPr>
          <w:rFonts w:hint="eastAsia" w:ascii="宋体"/>
          <w:b/>
          <w:sz w:val="44"/>
          <w:szCs w:val="44"/>
          <w:shd w:val="clear" w:color="auto" w:fill="FFFFFF"/>
          <w:lang w:val="en-US" w:eastAsia="zh-CN"/>
        </w:rPr>
        <w:t>2024年度</w:t>
      </w:r>
      <w:r>
        <w:rPr>
          <w:rFonts w:hint="eastAsia" w:ascii="宋体" w:eastAsia="宋体"/>
          <w:b/>
          <w:sz w:val="44"/>
          <w:szCs w:val="44"/>
          <w:shd w:val="clear" w:color="auto" w:fill="FFFFFF"/>
        </w:rPr>
        <w:t>整体支出绩效评价报告</w:t>
      </w:r>
    </w:p>
    <w:p>
      <w:pPr>
        <w:widowControl/>
        <w:spacing w:line="578" w:lineRule="exact"/>
        <w:contextualSpacing/>
        <w:jc w:val="both"/>
        <w:rPr>
          <w:rFonts w:eastAsia="方正小标宋简体"/>
          <w:bCs/>
          <w:sz w:val="44"/>
          <w:szCs w:val="44"/>
          <w:shd w:val="clear" w:color="auto" w:fill="FFFFFF"/>
        </w:rPr>
      </w:pPr>
    </w:p>
    <w:p>
      <w:pPr>
        <w:pStyle w:val="30"/>
        <w:spacing w:line="576" w:lineRule="exact"/>
        <w:rPr>
          <w:rFonts w:hint="default" w:ascii="方正黑体简体" w:eastAsia="方正黑体简体"/>
          <w:sz w:val="32"/>
          <w:szCs w:val="32"/>
          <w:lang w:val="en-US" w:eastAsia="zh-CN"/>
        </w:rPr>
      </w:pPr>
      <w:r>
        <w:rPr>
          <w:rFonts w:hint="eastAsia" w:ascii="方正黑体简体" w:eastAsia="方正黑体简体"/>
          <w:sz w:val="32"/>
          <w:szCs w:val="32"/>
          <w:lang w:val="en-US" w:eastAsia="zh-CN"/>
        </w:rPr>
        <w:t>一、</w:t>
      </w:r>
      <w:r>
        <w:rPr>
          <w:rFonts w:hint="eastAsia" w:ascii="方正黑体简体" w:eastAsia="方正黑体简体"/>
          <w:sz w:val="32"/>
          <w:szCs w:val="32"/>
        </w:rPr>
        <w:t>单位</w:t>
      </w:r>
      <w:r>
        <w:rPr>
          <w:rFonts w:hint="eastAsia" w:ascii="方正黑体简体" w:eastAsia="方正黑体简体"/>
          <w:sz w:val="32"/>
          <w:szCs w:val="32"/>
          <w:lang w:val="en-US" w:eastAsia="zh-CN"/>
        </w:rPr>
        <w:t>基本情况</w:t>
      </w:r>
    </w:p>
    <w:p>
      <w:pPr>
        <w:pStyle w:val="30"/>
        <w:spacing w:line="576" w:lineRule="exact"/>
        <w:ind w:left="0" w:leftChars="0" w:firstLine="321" w:firstLineChars="100"/>
        <w:rPr>
          <w:rFonts w:hint="eastAsia" w:ascii="楷体" w:hAnsi="楷体" w:eastAsia="楷体" w:cs="楷体"/>
          <w:b/>
          <w:sz w:val="32"/>
          <w:szCs w:val="32"/>
        </w:rPr>
      </w:pPr>
      <w:r>
        <w:rPr>
          <w:rFonts w:hint="eastAsia" w:ascii="楷体" w:hAnsi="楷体" w:eastAsia="楷体" w:cs="楷体"/>
          <w:b/>
          <w:sz w:val="32"/>
          <w:szCs w:val="32"/>
        </w:rPr>
        <w:t>（一）机构组成</w:t>
      </w:r>
    </w:p>
    <w:p>
      <w:pPr>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 xml:space="preserve">阿坝州都江堰老干部休养所是阿坝州委老干部局的下级单位，是参照公务员法管理的独立核算事业机构，无下级预算单位。 </w:t>
      </w:r>
    </w:p>
    <w:p>
      <w:pPr>
        <w:pStyle w:val="30"/>
        <w:spacing w:line="576" w:lineRule="exact"/>
        <w:ind w:left="420" w:firstLine="321" w:firstLineChars="100"/>
        <w:rPr>
          <w:rFonts w:hint="eastAsia" w:ascii="楷体" w:hAnsi="楷体" w:eastAsia="楷体" w:cs="楷体"/>
          <w:b/>
          <w:sz w:val="32"/>
          <w:szCs w:val="32"/>
        </w:rPr>
      </w:pPr>
      <w:r>
        <w:rPr>
          <w:rFonts w:hint="eastAsia" w:ascii="楷体" w:hAnsi="楷体" w:eastAsia="楷体" w:cs="楷体"/>
          <w:b/>
          <w:sz w:val="32"/>
          <w:szCs w:val="32"/>
        </w:rPr>
        <w:t>（二）机构职能</w:t>
      </w:r>
    </w:p>
    <w:p>
      <w:pPr>
        <w:pStyle w:val="30"/>
        <w:spacing w:line="576" w:lineRule="exact"/>
        <w:ind w:firstLine="640"/>
        <w:rPr>
          <w:rFonts w:hint="eastAsia" w:ascii="仿宋" w:hAnsi="仿宋" w:eastAsia="仿宋"/>
          <w:sz w:val="32"/>
          <w:szCs w:val="32"/>
        </w:rPr>
      </w:pPr>
      <w:r>
        <w:rPr>
          <w:rFonts w:hint="eastAsia" w:ascii="仿宋" w:hAnsi="仿宋" w:eastAsia="仿宋"/>
          <w:sz w:val="32"/>
          <w:szCs w:val="32"/>
        </w:rPr>
        <w:t>主要职能：</w:t>
      </w:r>
      <w:r>
        <w:rPr>
          <w:rFonts w:ascii="仿宋" w:hAnsi="仿宋" w:eastAsia="仿宋"/>
          <w:b/>
          <w:bCs/>
          <w:sz w:val="32"/>
          <w:szCs w:val="32"/>
        </w:rPr>
        <w:t>一是</w:t>
      </w:r>
      <w:r>
        <w:rPr>
          <w:rFonts w:hint="eastAsia" w:ascii="仿宋" w:hAnsi="仿宋" w:eastAsia="仿宋"/>
          <w:sz w:val="32"/>
          <w:szCs w:val="32"/>
        </w:rPr>
        <w:t>为地方离休干部提供休养住所与相关服务</w:t>
      </w:r>
      <w:r>
        <w:rPr>
          <w:rFonts w:ascii="仿宋" w:hAnsi="仿宋" w:eastAsia="仿宋"/>
          <w:sz w:val="32"/>
          <w:szCs w:val="32"/>
        </w:rPr>
        <w:t>。</w:t>
      </w:r>
      <w:r>
        <w:rPr>
          <w:rFonts w:ascii="仿宋" w:hAnsi="仿宋" w:eastAsia="仿宋"/>
          <w:b/>
          <w:bCs/>
          <w:sz w:val="32"/>
          <w:szCs w:val="32"/>
        </w:rPr>
        <w:t>二是</w:t>
      </w:r>
      <w:r>
        <w:rPr>
          <w:rFonts w:hint="eastAsia" w:ascii="仿宋" w:hAnsi="仿宋" w:eastAsia="仿宋"/>
          <w:sz w:val="32"/>
          <w:szCs w:val="32"/>
        </w:rPr>
        <w:t>提供管理</w:t>
      </w:r>
      <w:r>
        <w:rPr>
          <w:rFonts w:hint="eastAsia" w:ascii="仿宋" w:hAnsi="仿宋" w:eastAsia="仿宋" w:cs="微软雅黑"/>
          <w:sz w:val="32"/>
          <w:szCs w:val="32"/>
        </w:rPr>
        <w:t>﹑</w:t>
      </w:r>
      <w:r>
        <w:rPr>
          <w:rFonts w:hint="eastAsia" w:ascii="仿宋" w:hAnsi="仿宋" w:eastAsia="仿宋" w:cs="仿宋"/>
          <w:sz w:val="32"/>
          <w:szCs w:val="32"/>
        </w:rPr>
        <w:t>扶</w:t>
      </w:r>
      <w:r>
        <w:rPr>
          <w:rFonts w:hint="eastAsia" w:ascii="仿宋" w:hAnsi="仿宋" w:eastAsia="仿宋"/>
          <w:sz w:val="32"/>
          <w:szCs w:val="32"/>
        </w:rPr>
        <w:t>助</w:t>
      </w:r>
      <w:r>
        <w:rPr>
          <w:rFonts w:hint="eastAsia" w:ascii="仿宋" w:hAnsi="仿宋" w:eastAsia="仿宋" w:cs="微软雅黑"/>
          <w:sz w:val="32"/>
          <w:szCs w:val="32"/>
        </w:rPr>
        <w:t>﹑</w:t>
      </w:r>
      <w:r>
        <w:rPr>
          <w:rFonts w:hint="eastAsia" w:ascii="仿宋" w:hAnsi="仿宋" w:eastAsia="仿宋"/>
          <w:sz w:val="32"/>
          <w:szCs w:val="32"/>
        </w:rPr>
        <w:t>医疗保健</w:t>
      </w:r>
      <w:r>
        <w:rPr>
          <w:rFonts w:hint="eastAsia" w:ascii="仿宋" w:hAnsi="仿宋" w:eastAsia="仿宋" w:cs="微软雅黑"/>
          <w:sz w:val="32"/>
          <w:szCs w:val="32"/>
        </w:rPr>
        <w:t>﹑</w:t>
      </w:r>
      <w:r>
        <w:rPr>
          <w:rFonts w:hint="eastAsia" w:ascii="仿宋" w:hAnsi="仿宋" w:eastAsia="仿宋"/>
          <w:sz w:val="32"/>
          <w:szCs w:val="32"/>
        </w:rPr>
        <w:t>生活待遇费的协调</w:t>
      </w:r>
      <w:r>
        <w:rPr>
          <w:rFonts w:ascii="仿宋" w:hAnsi="仿宋" w:eastAsia="仿宋"/>
          <w:sz w:val="32"/>
          <w:szCs w:val="32"/>
        </w:rPr>
        <w:t>。</w:t>
      </w:r>
      <w:r>
        <w:rPr>
          <w:rFonts w:ascii="仿宋" w:hAnsi="仿宋" w:eastAsia="仿宋"/>
          <w:b/>
          <w:bCs/>
          <w:sz w:val="32"/>
          <w:szCs w:val="32"/>
        </w:rPr>
        <w:t>三是</w:t>
      </w:r>
      <w:r>
        <w:rPr>
          <w:rFonts w:hint="eastAsia" w:ascii="仿宋" w:hAnsi="仿宋" w:eastAsia="仿宋"/>
          <w:sz w:val="32"/>
          <w:szCs w:val="32"/>
        </w:rPr>
        <w:t>组织阅读文件和各种活动</w:t>
      </w:r>
      <w:r>
        <w:rPr>
          <w:rFonts w:ascii="仿宋" w:hAnsi="仿宋" w:eastAsia="仿宋"/>
          <w:sz w:val="32"/>
          <w:szCs w:val="32"/>
        </w:rPr>
        <w:t>。</w:t>
      </w:r>
      <w:r>
        <w:rPr>
          <w:rFonts w:hint="eastAsia" w:ascii="仿宋" w:hAnsi="仿宋" w:eastAsia="仿宋"/>
          <w:sz w:val="32"/>
          <w:szCs w:val="32"/>
        </w:rPr>
        <w:t>四</w:t>
      </w:r>
      <w:r>
        <w:rPr>
          <w:rFonts w:ascii="仿宋" w:hAnsi="仿宋" w:eastAsia="仿宋"/>
          <w:b/>
          <w:bCs/>
          <w:sz w:val="32"/>
          <w:szCs w:val="32"/>
        </w:rPr>
        <w:t>是</w:t>
      </w:r>
      <w:r>
        <w:rPr>
          <w:rFonts w:ascii="仿宋" w:hAnsi="仿宋" w:eastAsia="仿宋"/>
          <w:sz w:val="32"/>
          <w:szCs w:val="32"/>
        </w:rPr>
        <w:t>负责完成州委</w:t>
      </w:r>
      <w:r>
        <w:rPr>
          <w:rFonts w:hint="eastAsia" w:ascii="仿宋" w:hAnsi="仿宋" w:eastAsia="仿宋"/>
          <w:sz w:val="32"/>
          <w:szCs w:val="32"/>
        </w:rPr>
        <w:t>老干部局</w:t>
      </w:r>
      <w:r>
        <w:rPr>
          <w:rFonts w:ascii="仿宋" w:hAnsi="仿宋" w:eastAsia="仿宋"/>
          <w:sz w:val="32"/>
          <w:szCs w:val="32"/>
        </w:rPr>
        <w:t>交办的其他工作任务。</w:t>
      </w:r>
    </w:p>
    <w:p>
      <w:pPr>
        <w:pStyle w:val="30"/>
        <w:spacing w:line="576" w:lineRule="exact"/>
        <w:ind w:firstLine="640"/>
        <w:rPr>
          <w:rFonts w:hint="eastAsia" w:ascii="仿宋" w:hAnsi="仿宋" w:eastAsia="仿宋"/>
          <w:sz w:val="32"/>
          <w:szCs w:val="32"/>
        </w:rPr>
      </w:pPr>
      <w:r>
        <w:rPr>
          <w:rFonts w:hint="eastAsia" w:ascii="仿宋" w:hAnsi="仿宋" w:eastAsia="仿宋"/>
          <w:sz w:val="32"/>
          <w:szCs w:val="32"/>
        </w:rPr>
        <w:t>（三）人员概况</w:t>
      </w:r>
    </w:p>
    <w:p>
      <w:pPr>
        <w:pStyle w:val="30"/>
        <w:spacing w:line="576" w:lineRule="exact"/>
        <w:ind w:firstLine="640"/>
        <w:rPr>
          <w:rFonts w:hint="eastAsia" w:ascii="仿宋" w:hAnsi="仿宋" w:eastAsia="仿宋"/>
          <w:sz w:val="32"/>
          <w:szCs w:val="32"/>
        </w:rPr>
      </w:pPr>
      <w:r>
        <w:rPr>
          <w:rFonts w:hint="eastAsia" w:ascii="仿宋" w:hAnsi="仿宋" w:eastAsia="仿宋"/>
          <w:sz w:val="32"/>
          <w:szCs w:val="32"/>
        </w:rPr>
        <w:t>阿坝州都江堰老干部休养所参公编制22个，参公工勤编制3个。202</w:t>
      </w:r>
      <w:r>
        <w:rPr>
          <w:rFonts w:hint="eastAsia" w:ascii="仿宋" w:hAnsi="仿宋" w:eastAsia="仿宋"/>
          <w:sz w:val="32"/>
          <w:szCs w:val="32"/>
          <w:lang w:val="en-US" w:eastAsia="zh-CN"/>
        </w:rPr>
        <w:t>4</w:t>
      </w:r>
      <w:r>
        <w:rPr>
          <w:rFonts w:hint="eastAsia" w:ascii="仿宋" w:hAnsi="仿宋" w:eastAsia="仿宋"/>
          <w:sz w:val="32"/>
          <w:szCs w:val="32"/>
        </w:rPr>
        <w:t>年在职人员21人，其中参公在职人员18人，工勤 3人。退休人员1</w:t>
      </w:r>
      <w:r>
        <w:rPr>
          <w:rFonts w:hint="eastAsia" w:ascii="仿宋" w:hAnsi="仿宋" w:eastAsia="仿宋"/>
          <w:sz w:val="32"/>
          <w:szCs w:val="32"/>
          <w:lang w:val="en-US" w:eastAsia="zh-CN"/>
        </w:rPr>
        <w:t>7</w:t>
      </w:r>
      <w:r>
        <w:rPr>
          <w:rFonts w:hint="eastAsia" w:ascii="仿宋" w:hAnsi="仿宋" w:eastAsia="仿宋"/>
          <w:sz w:val="32"/>
          <w:szCs w:val="32"/>
        </w:rPr>
        <w:t>人。</w:t>
      </w:r>
    </w:p>
    <w:p>
      <w:pPr>
        <w:widowControl/>
        <w:adjustRightInd w:val="0"/>
        <w:snapToGrid w:val="0"/>
        <w:spacing w:line="580" w:lineRule="exact"/>
        <w:ind w:firstLine="643" w:firstLineChars="200"/>
        <w:contextualSpacing/>
        <w:jc w:val="left"/>
        <w:rPr>
          <w:rFonts w:hint="eastAsia" w:ascii="仿宋" w:hAnsi="仿宋" w:eastAsia="仿宋" w:cs="仿宋"/>
          <w:b/>
          <w:bCs/>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rPr>
        <w:t>二、部门资金收支情况</w:t>
      </w:r>
    </w:p>
    <w:p>
      <w:pPr>
        <w:pStyle w:val="30"/>
        <w:spacing w:line="576" w:lineRule="exact"/>
        <w:ind w:left="420" w:firstLine="321" w:firstLineChars="100"/>
        <w:rPr>
          <w:rFonts w:hint="eastAsia" w:ascii="楷体" w:hAnsi="楷体" w:eastAsia="楷体" w:cs="楷体"/>
          <w:b/>
          <w:sz w:val="32"/>
          <w:szCs w:val="32"/>
        </w:rPr>
      </w:pPr>
      <w:r>
        <w:rPr>
          <w:rFonts w:hint="eastAsia" w:ascii="楷体" w:hAnsi="楷体" w:eastAsia="楷体" w:cs="楷体"/>
          <w:b/>
          <w:sz w:val="32"/>
          <w:szCs w:val="32"/>
        </w:rPr>
        <w:t>（一）收入情况</w:t>
      </w:r>
    </w:p>
    <w:p>
      <w:pPr>
        <w:pStyle w:val="30"/>
        <w:spacing w:line="576" w:lineRule="exact"/>
        <w:ind w:firstLine="0" w:firstLineChars="0"/>
        <w:rPr>
          <w:rFonts w:hint="eastAsia" w:ascii="仿宋_GB2312" w:hAnsi="微软雅黑" w:eastAsia="仿宋" w:cs="微软雅黑"/>
          <w:sz w:val="32"/>
          <w:szCs w:val="32"/>
          <w:lang w:eastAsia="zh-CN"/>
        </w:rPr>
      </w:pPr>
      <w:r>
        <w:rPr>
          <w:rFonts w:hint="eastAsia" w:ascii="仿宋" w:hAnsi="仿宋" w:eastAsia="仿宋"/>
          <w:b/>
          <w:sz w:val="32"/>
          <w:szCs w:val="32"/>
        </w:rPr>
        <w:t xml:space="preserve">    </w:t>
      </w:r>
      <w:r>
        <w:rPr>
          <w:rFonts w:hint="eastAsia" w:ascii="仿宋" w:hAnsi="仿宋" w:eastAsia="仿宋" w:cs="仿宋"/>
          <w:kern w:val="0"/>
          <w:sz w:val="32"/>
          <w:szCs w:val="32"/>
          <w:shd w:val="clear" w:color="auto" w:fill="FFFFFF"/>
        </w:rPr>
        <w:t xml:space="preserve"> 本单位</w:t>
      </w:r>
      <w:r>
        <w:rPr>
          <w:rFonts w:hint="eastAsia" w:ascii="仿宋" w:hAnsi="仿宋" w:eastAsia="仿宋" w:cs="仿宋"/>
          <w:kern w:val="0"/>
          <w:sz w:val="32"/>
          <w:szCs w:val="32"/>
          <w:shd w:val="clear" w:color="auto" w:fill="FFFFFF"/>
          <w:lang w:val="en-US" w:eastAsia="zh-CN"/>
        </w:rPr>
        <w:t>2024</w:t>
      </w:r>
      <w:r>
        <w:rPr>
          <w:rFonts w:hint="eastAsia" w:ascii="仿宋" w:hAnsi="仿宋" w:eastAsia="仿宋" w:cs="仿宋"/>
          <w:kern w:val="0"/>
          <w:sz w:val="32"/>
          <w:szCs w:val="32"/>
          <w:shd w:val="clear" w:color="auto" w:fill="FFFFFF"/>
        </w:rPr>
        <w:t>年</w:t>
      </w:r>
      <w:r>
        <w:rPr>
          <w:rFonts w:hint="eastAsia" w:ascii="仿宋" w:hAnsi="仿宋" w:eastAsia="仿宋" w:cs="仿宋"/>
          <w:kern w:val="0"/>
          <w:sz w:val="32"/>
          <w:szCs w:val="32"/>
          <w:shd w:val="clear" w:color="auto" w:fill="FFFFFF"/>
          <w:lang w:val="en-US" w:eastAsia="zh-CN"/>
        </w:rPr>
        <w:t>年初预算</w:t>
      </w:r>
      <w:r>
        <w:rPr>
          <w:rFonts w:hint="eastAsia" w:ascii="仿宋" w:hAnsi="仿宋" w:eastAsia="仿宋" w:cs="仿宋"/>
          <w:kern w:val="0"/>
          <w:sz w:val="32"/>
          <w:szCs w:val="32"/>
          <w:shd w:val="clear" w:color="auto" w:fill="FFFFFF"/>
        </w:rPr>
        <w:t>收入为</w:t>
      </w:r>
      <w:r>
        <w:rPr>
          <w:rFonts w:hint="eastAsia" w:ascii="仿宋" w:hAnsi="仿宋" w:eastAsia="仿宋" w:cs="仿宋"/>
          <w:kern w:val="0"/>
          <w:sz w:val="32"/>
          <w:szCs w:val="32"/>
          <w:shd w:val="clear" w:color="auto" w:fill="FFFFFF"/>
          <w:lang w:val="en-US" w:eastAsia="zh-CN"/>
        </w:rPr>
        <w:t>645.04</w:t>
      </w:r>
      <w:r>
        <w:rPr>
          <w:rFonts w:hint="eastAsia" w:ascii="仿宋" w:hAnsi="仿宋" w:eastAsia="仿宋" w:cs="仿宋"/>
          <w:kern w:val="0"/>
          <w:sz w:val="32"/>
          <w:szCs w:val="32"/>
          <w:shd w:val="clear" w:color="auto" w:fill="FFFFFF"/>
        </w:rPr>
        <w:t>万元。</w:t>
      </w:r>
      <w:r>
        <w:rPr>
          <w:rFonts w:hint="eastAsia" w:ascii="仿宋" w:hAnsi="仿宋" w:eastAsia="仿宋" w:cs="仿宋"/>
          <w:kern w:val="0"/>
          <w:sz w:val="32"/>
          <w:szCs w:val="32"/>
          <w:shd w:val="clear" w:color="auto" w:fill="FFFFFF"/>
          <w:lang w:val="en-US" w:eastAsia="zh-CN"/>
        </w:rPr>
        <w:t>决算报表</w:t>
      </w:r>
      <w:r>
        <w:rPr>
          <w:rFonts w:hint="eastAsia" w:ascii="仿宋" w:hAnsi="仿宋" w:eastAsia="仿宋" w:cs="仿宋"/>
          <w:kern w:val="0"/>
          <w:sz w:val="32"/>
          <w:szCs w:val="32"/>
          <w:shd w:val="clear" w:color="auto" w:fill="FFFFFF"/>
        </w:rPr>
        <w:t>收入为</w:t>
      </w:r>
      <w:r>
        <w:rPr>
          <w:rFonts w:hint="eastAsia" w:ascii="仿宋" w:hAnsi="仿宋" w:eastAsia="仿宋" w:cs="仿宋"/>
          <w:kern w:val="0"/>
          <w:sz w:val="32"/>
          <w:szCs w:val="32"/>
          <w:shd w:val="clear" w:color="auto" w:fill="FFFFFF"/>
          <w:lang w:val="en-US" w:eastAsia="zh-CN"/>
        </w:rPr>
        <w:t>694.25</w:t>
      </w:r>
      <w:r>
        <w:rPr>
          <w:rFonts w:hint="eastAsia" w:ascii="仿宋" w:hAnsi="仿宋" w:eastAsia="仿宋" w:cs="仿宋"/>
          <w:kern w:val="0"/>
          <w:sz w:val="32"/>
          <w:szCs w:val="32"/>
          <w:shd w:val="clear" w:color="auto" w:fill="FFFFFF"/>
        </w:rPr>
        <w:t>万元</w:t>
      </w:r>
      <w:r>
        <w:rPr>
          <w:rFonts w:hint="eastAsia" w:ascii="仿宋" w:hAnsi="仿宋" w:eastAsia="仿宋" w:cs="仿宋"/>
          <w:kern w:val="0"/>
          <w:sz w:val="32"/>
          <w:szCs w:val="32"/>
          <w:shd w:val="clear" w:color="auto" w:fill="FFFFFF"/>
          <w:lang w:eastAsia="zh-CN"/>
        </w:rPr>
        <w:t>。</w:t>
      </w:r>
    </w:p>
    <w:p>
      <w:pPr>
        <w:widowControl/>
        <w:numPr>
          <w:ilvl w:val="0"/>
          <w:numId w:val="0"/>
        </w:numPr>
        <w:adjustRightInd w:val="0"/>
        <w:snapToGrid w:val="0"/>
        <w:spacing w:line="580" w:lineRule="exact"/>
        <w:ind w:firstLine="643" w:firstLineChars="200"/>
        <w:contextualSpacing/>
        <w:jc w:val="lef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w:t>
      </w:r>
      <w:r>
        <w:rPr>
          <w:rFonts w:hint="eastAsia" w:ascii="仿宋" w:hAnsi="仿宋" w:eastAsia="仿宋" w:cs="仿宋"/>
          <w:b/>
          <w:bCs/>
          <w:color w:val="000000"/>
          <w:kern w:val="0"/>
          <w:sz w:val="32"/>
          <w:szCs w:val="32"/>
          <w:shd w:val="clear" w:color="auto" w:fill="FFFFFF"/>
          <w:lang w:val="en-US" w:eastAsia="zh-CN"/>
        </w:rPr>
        <w:t>二）</w:t>
      </w:r>
      <w:r>
        <w:rPr>
          <w:rFonts w:hint="eastAsia" w:ascii="仿宋" w:hAnsi="仿宋" w:eastAsia="仿宋" w:cs="仿宋"/>
          <w:b/>
          <w:bCs/>
          <w:color w:val="000000"/>
          <w:kern w:val="0"/>
          <w:sz w:val="32"/>
          <w:szCs w:val="32"/>
          <w:shd w:val="clear" w:color="auto" w:fill="FFFFFF"/>
          <w:lang w:val="zh-CN"/>
        </w:rPr>
        <w:t>支出情况。</w:t>
      </w:r>
    </w:p>
    <w:p>
      <w:pPr>
        <w:pStyle w:val="38"/>
        <w:keepNext w:val="0"/>
        <w:keepLines w:val="0"/>
        <w:pageBreakBefore w:val="0"/>
        <w:widowControl/>
        <w:suppressLineNumbers w:val="0"/>
        <w:kinsoku/>
        <w:wordWrap/>
        <w:overflowPunct/>
        <w:topLinePunct w:val="0"/>
        <w:autoSpaceDE/>
        <w:autoSpaceDN/>
        <w:bidi w:val="0"/>
        <w:adjustRightInd/>
        <w:snapToGrid/>
        <w:spacing w:before="0" w:beforeAutospacing="0" w:line="576" w:lineRule="exact"/>
        <w:ind w:left="0" w:firstLine="640" w:firstLineChars="200"/>
        <w:jc w:val="left"/>
        <w:textAlignment w:val="auto"/>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2024年年初预算支出</w:t>
      </w:r>
      <w:r>
        <w:rPr>
          <w:rFonts w:hint="eastAsia" w:ascii="仿宋" w:hAnsi="仿宋" w:eastAsia="仿宋" w:cs="仿宋"/>
          <w:kern w:val="0"/>
          <w:sz w:val="32"/>
          <w:szCs w:val="32"/>
          <w:shd w:val="clear" w:color="auto" w:fill="FFFFFF"/>
        </w:rPr>
        <w:t>支出为</w:t>
      </w:r>
      <w:r>
        <w:rPr>
          <w:rFonts w:hint="eastAsia" w:ascii="仿宋" w:hAnsi="仿宋" w:eastAsia="仿宋" w:cs="仿宋"/>
          <w:kern w:val="0"/>
          <w:sz w:val="32"/>
          <w:szCs w:val="32"/>
          <w:shd w:val="clear" w:color="auto" w:fill="FFFFFF"/>
          <w:lang w:val="en-US" w:eastAsia="zh-CN"/>
        </w:rPr>
        <w:t>645.04</w:t>
      </w:r>
      <w:r>
        <w:rPr>
          <w:rFonts w:hint="eastAsia" w:ascii="仿宋" w:hAnsi="仿宋" w:eastAsia="仿宋" w:cs="仿宋"/>
          <w:kern w:val="0"/>
          <w:sz w:val="32"/>
          <w:szCs w:val="32"/>
          <w:shd w:val="clear" w:color="auto" w:fill="FFFFFF"/>
        </w:rPr>
        <w:t>万元。</w:t>
      </w:r>
      <w:r>
        <w:rPr>
          <w:rFonts w:hint="eastAsia" w:ascii="仿宋" w:hAnsi="仿宋" w:eastAsia="仿宋" w:cs="仿宋"/>
          <w:kern w:val="0"/>
          <w:sz w:val="32"/>
          <w:szCs w:val="32"/>
          <w:shd w:val="clear" w:color="auto" w:fill="FFFFFF"/>
          <w:lang w:val="en-US" w:eastAsia="zh-CN"/>
        </w:rPr>
        <w:t>决算报表支出为694.25万元。</w:t>
      </w:r>
    </w:p>
    <w:p>
      <w:pPr>
        <w:pStyle w:val="3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firstLine="643" w:firstLineChars="200"/>
        <w:jc w:val="left"/>
        <w:textAlignment w:val="auto"/>
        <w:rPr>
          <w:rFonts w:hint="eastAsia" w:ascii="仿宋" w:hAnsi="仿宋" w:eastAsia="仿宋" w:cs="仿宋"/>
          <w:b/>
          <w:bCs/>
          <w:kern w:val="0"/>
          <w:sz w:val="32"/>
          <w:szCs w:val="32"/>
          <w:shd w:val="clear" w:color="auto" w:fill="FFFFFF"/>
          <w:lang w:val="en-US" w:eastAsia="zh-CN"/>
        </w:rPr>
      </w:pPr>
      <w:r>
        <w:rPr>
          <w:rFonts w:hint="eastAsia" w:ascii="仿宋" w:hAnsi="仿宋" w:eastAsia="仿宋" w:cs="仿宋"/>
          <w:b/>
          <w:bCs/>
          <w:kern w:val="0"/>
          <w:sz w:val="32"/>
          <w:szCs w:val="32"/>
          <w:shd w:val="clear" w:color="auto" w:fill="FFFFFF"/>
          <w:lang w:val="en-US" w:eastAsia="zh-CN"/>
        </w:rPr>
        <w:t>（三）结余分配和结转结余情况</w:t>
      </w:r>
    </w:p>
    <w:p>
      <w:pPr>
        <w:pStyle w:val="3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eastAsia" w:ascii="仿宋" w:hAnsi="仿宋" w:eastAsia="仿宋" w:cs="仿宋"/>
          <w:b w:val="0"/>
          <w:bCs w:val="0"/>
          <w:kern w:val="0"/>
          <w:sz w:val="32"/>
          <w:szCs w:val="32"/>
          <w:shd w:val="clear" w:color="auto" w:fill="FFFFFF"/>
          <w:lang w:val="en-US" w:eastAsia="zh-CN"/>
        </w:rPr>
      </w:pPr>
      <w:r>
        <w:rPr>
          <w:rFonts w:hint="eastAsia" w:ascii="仿宋" w:hAnsi="仿宋" w:eastAsia="仿宋" w:cs="仿宋"/>
          <w:b w:val="0"/>
          <w:bCs w:val="0"/>
          <w:kern w:val="0"/>
          <w:sz w:val="32"/>
          <w:szCs w:val="32"/>
          <w:shd w:val="clear" w:color="auto" w:fill="FFFFFF"/>
          <w:lang w:val="en-US" w:eastAsia="zh-CN"/>
        </w:rPr>
        <w:t>本单位2024年决算报表非财政拨款结转9.3万元。</w:t>
      </w:r>
    </w:p>
    <w:p>
      <w:pPr>
        <w:pStyle w:val="3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left"/>
        <w:textAlignment w:val="auto"/>
        <w:rPr>
          <w:rFonts w:hint="default" w:ascii="仿宋" w:hAnsi="仿宋" w:eastAsia="仿宋" w:cs="仿宋"/>
          <w:b/>
          <w:bCs/>
          <w:color w:val="000000"/>
          <w:kern w:val="0"/>
          <w:sz w:val="32"/>
          <w:szCs w:val="32"/>
          <w:shd w:val="clear" w:color="auto" w:fill="FFFFFF"/>
          <w:lang w:val="en-US" w:eastAsia="zh-CN"/>
        </w:rPr>
      </w:pPr>
      <w:r>
        <w:rPr>
          <w:rFonts w:hint="eastAsia" w:ascii="仿宋" w:hAnsi="仿宋" w:eastAsia="仿宋" w:cs="仿宋"/>
          <w:b w:val="0"/>
          <w:bCs w:val="0"/>
          <w:kern w:val="0"/>
          <w:sz w:val="32"/>
          <w:szCs w:val="32"/>
          <w:shd w:val="clear" w:color="auto" w:fill="FFFFFF"/>
          <w:lang w:val="en-US" w:eastAsia="zh-CN"/>
        </w:rPr>
        <w:t>三、</w:t>
      </w:r>
      <w:r>
        <w:rPr>
          <w:rFonts w:hint="eastAsia" w:ascii="仿宋" w:hAnsi="仿宋" w:eastAsia="仿宋" w:cs="仿宋"/>
          <w:b/>
          <w:bCs/>
          <w:color w:val="000000"/>
          <w:kern w:val="0"/>
          <w:sz w:val="32"/>
          <w:szCs w:val="32"/>
          <w:shd w:val="clear" w:color="auto" w:fill="FFFFFF"/>
        </w:rPr>
        <w:t>部门</w:t>
      </w:r>
      <w:r>
        <w:rPr>
          <w:rFonts w:hint="eastAsia" w:ascii="仿宋" w:hAnsi="仿宋" w:eastAsia="仿宋" w:cs="仿宋"/>
          <w:b/>
          <w:bCs/>
          <w:color w:val="000000"/>
          <w:kern w:val="0"/>
          <w:sz w:val="32"/>
          <w:szCs w:val="32"/>
          <w:shd w:val="clear" w:color="auto" w:fill="FFFFFF"/>
          <w:lang w:val="en-US" w:eastAsia="zh-CN"/>
        </w:rPr>
        <w:t>预算绩效分析</w:t>
      </w:r>
    </w:p>
    <w:p>
      <w:pPr>
        <w:widowControl/>
        <w:numPr>
          <w:ilvl w:val="0"/>
          <w:numId w:val="0"/>
        </w:numPr>
        <w:adjustRightInd w:val="0"/>
        <w:snapToGrid w:val="0"/>
        <w:spacing w:line="580" w:lineRule="exact"/>
        <w:ind w:firstLine="643" w:firstLineChars="200"/>
        <w:contextualSpacing/>
        <w:jc w:val="left"/>
        <w:rPr>
          <w:rFonts w:hint="eastAsia" w:ascii="仿宋" w:hAnsi="仿宋" w:eastAsia="仿宋" w:cs="仿宋"/>
          <w:b/>
          <w:bCs/>
          <w:color w:val="000000"/>
          <w:kern w:val="0"/>
          <w:sz w:val="32"/>
          <w:szCs w:val="32"/>
          <w:shd w:val="clear" w:color="auto" w:fill="FFFFFF"/>
          <w:lang w:val="en-US" w:eastAsia="zh-CN"/>
        </w:rPr>
      </w:pPr>
      <w:r>
        <w:rPr>
          <w:rFonts w:hint="eastAsia" w:ascii="仿宋" w:hAnsi="仿宋" w:eastAsia="仿宋" w:cs="仿宋"/>
          <w:b/>
          <w:bCs/>
          <w:color w:val="000000"/>
          <w:kern w:val="0"/>
          <w:sz w:val="32"/>
          <w:szCs w:val="32"/>
          <w:shd w:val="clear" w:color="auto" w:fill="FFFFFF"/>
          <w:lang w:val="en-US" w:eastAsia="zh-CN"/>
        </w:rPr>
        <w:t>1.履职效能</w:t>
      </w:r>
    </w:p>
    <w:p>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以“阿坝情·高原梦”品牌依托，以“古堰金秋·阿坝情”党建联建为抓手，扎实推进老干部中心工作任务，通过“三会一课”、健康休养、网上专题报告会、微党课、红色教育、主题教育等方式，先后开展党建联建主题活动21场（次），党建联建会议15场（次）、党建联建实地调研2次，党建联建廉洁教育1次。党建联建高埂课堂书法课堂6场（次）、摄影课堂6场（次）、羌绣课堂6场（次），覆盖625人次；学习教育活动15场（次），覆盖600余人（次）。</w:t>
      </w:r>
      <w:r>
        <w:rPr>
          <w:rFonts w:hint="eastAsia" w:ascii="仿宋_GB2312" w:hAnsi="仿宋_GB2312" w:eastAsia="仿宋_GB2312" w:cs="仿宋_GB2312"/>
          <w:sz w:val="32"/>
          <w:szCs w:val="32"/>
          <w:lang w:val="en-US" w:eastAsia="zh-CN"/>
        </w:rPr>
        <w:t>积极组织各协会参加省委老干部局、天府晚霞、州委宣传部、阿坝开放大学、阿坝文艺、阿坝晚霞、都江堰银杏街道天马镇、朝阳社区、高埂社区、建兴社区、金陵社区等开展的文艺活动、诗书画、摄影作品展，共计出版展出作品400余幅，其中省级展出14幅，州级展出200余幅，县级展出100余幅，获得稿费5000余元。参加各类文艺演出65场次，获得奖项8个，其中一等奖4个，二等奖2个，三等奖2个。作家协会合计发表3篇小说，29篇散文，9首诗歌，出版书籍6本。参加四川省教育厅“能者为师”特色课程及典型案例申报活动《国画梅兰竹菊》系列微课获得推介。州雪山草地老干部大学艺术团器乐队合奏作品《沂蒙颂》，在“赞辉煌成就</w:t>
      </w:r>
      <w:r>
        <w:rPr>
          <w:rFonts w:hint="default" w:ascii="Times New Roman" w:hAnsi="Times New Roman" w:eastAsia="仿宋_GB2312" w:cs="Times New Roman"/>
          <w:sz w:val="32"/>
          <w:szCs w:val="32"/>
          <w:lang w:val="en-US" w:eastAsia="zh-CN"/>
        </w:rPr>
        <w:t>·</w:t>
      </w:r>
      <w:r>
        <w:rPr>
          <w:rFonts w:hint="eastAsia" w:ascii="仿宋_GB2312" w:hAnsi="仿宋_GB2312" w:eastAsia="仿宋_GB2312" w:cs="仿宋_GB2312"/>
          <w:sz w:val="32"/>
          <w:szCs w:val="32"/>
          <w:lang w:val="en-US" w:eastAsia="zh-CN"/>
        </w:rPr>
        <w:t>聚银发力量”四川省离退休干部线上文艺汇演（九）入选，于2024年10月3日在“天府晚霞”播发。</w:t>
      </w:r>
    </w:p>
    <w:p>
      <w:pPr>
        <w:widowControl/>
        <w:numPr>
          <w:ilvl w:val="0"/>
          <w:numId w:val="0"/>
        </w:numPr>
        <w:adjustRightInd w:val="0"/>
        <w:snapToGrid w:val="0"/>
        <w:spacing w:line="580" w:lineRule="exact"/>
        <w:ind w:firstLine="643" w:firstLineChars="200"/>
        <w:contextualSpacing/>
        <w:jc w:val="lef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en-US" w:eastAsia="zh-CN"/>
        </w:rPr>
        <w:t>2.</w:t>
      </w:r>
      <w:r>
        <w:rPr>
          <w:rFonts w:hint="eastAsia" w:ascii="仿宋" w:hAnsi="仿宋" w:eastAsia="仿宋" w:cs="仿宋"/>
          <w:b/>
          <w:bCs/>
          <w:color w:val="000000"/>
          <w:kern w:val="0"/>
          <w:sz w:val="32"/>
          <w:szCs w:val="32"/>
          <w:shd w:val="clear" w:color="auto" w:fill="FFFFFF"/>
          <w:lang w:val="zh-CN"/>
        </w:rPr>
        <w:t>预算管理。</w:t>
      </w:r>
    </w:p>
    <w:p>
      <w:pPr>
        <w:pStyle w:val="39"/>
        <w:spacing w:line="576" w:lineRule="exact"/>
        <w:ind w:firstLine="640" w:firstLineChars="200"/>
        <w:rPr>
          <w:rFonts w:hint="eastAsia" w:ascii="仿宋" w:hAnsi="仿宋" w:eastAsia="仿宋" w:cs="宋体-18030"/>
          <w:sz w:val="32"/>
          <w:szCs w:val="32"/>
        </w:rPr>
      </w:pPr>
      <w:r>
        <w:rPr>
          <w:rFonts w:hint="eastAsia" w:ascii="仿宋" w:hAnsi="仿宋" w:eastAsia="仿宋" w:cs="宋体-18030"/>
          <w:sz w:val="32"/>
          <w:szCs w:val="32"/>
        </w:rPr>
        <w:t>严格按照预决算编制工作的相关要求，结合年度工作任务认真编制年度部门预算，按时报送了单位部门预算、决算，并顺利通过了财政局的审核，没有出现反复调整的情况。对绩效目标进行季度梳理和年度分析，及时上报相关报表；对专项预算进行细化，分科目上报，做到收支平衡。</w:t>
      </w:r>
    </w:p>
    <w:p>
      <w:pPr>
        <w:pStyle w:val="38"/>
        <w:keepNext w:val="0"/>
        <w:keepLines w:val="0"/>
        <w:pageBreakBefore w:val="0"/>
        <w:widowControl/>
        <w:numPr>
          <w:ilvl w:val="0"/>
          <w:numId w:val="2"/>
        </w:numPr>
        <w:suppressLineNumbers w:val="0"/>
        <w:tabs>
          <w:tab w:val="left" w:pos="499"/>
          <w:tab w:val="left" w:pos="1111"/>
          <w:tab w:val="clear" w:pos="312"/>
        </w:tabs>
        <w:kinsoku/>
        <w:wordWrap/>
        <w:overflowPunct/>
        <w:topLinePunct w:val="0"/>
        <w:autoSpaceDE/>
        <w:autoSpaceDN/>
        <w:bidi w:val="0"/>
        <w:adjustRightInd/>
        <w:snapToGrid/>
        <w:spacing w:before="0" w:beforeAutospacing="0" w:after="0" w:afterAutospacing="0" w:line="240" w:lineRule="auto"/>
        <w:ind w:left="200" w:leftChars="0" w:right="0" w:rightChars="0" w:firstLine="640" w:firstLineChars="0"/>
        <w:jc w:val="left"/>
        <w:textAlignment w:val="auto"/>
        <w:rPr>
          <w:rFonts w:hint="eastAsia" w:ascii="仿宋" w:hAnsi="仿宋" w:eastAsia="仿宋" w:cs="仿宋"/>
          <w:b/>
          <w:bCs/>
          <w:kern w:val="0"/>
          <w:sz w:val="32"/>
          <w:szCs w:val="32"/>
          <w:shd w:val="clear" w:color="auto" w:fill="FFFFFF"/>
          <w:lang w:val="en-US" w:eastAsia="zh-CN"/>
        </w:rPr>
      </w:pPr>
      <w:r>
        <w:rPr>
          <w:rFonts w:hint="eastAsia" w:ascii="仿宋" w:hAnsi="仿宋" w:eastAsia="仿宋" w:cs="仿宋"/>
          <w:b/>
          <w:bCs/>
          <w:kern w:val="0"/>
          <w:sz w:val="32"/>
          <w:szCs w:val="32"/>
          <w:shd w:val="clear" w:color="auto" w:fill="FFFFFF"/>
          <w:lang w:val="en-US" w:eastAsia="zh-CN"/>
        </w:rPr>
        <w:t>财务管理</w:t>
      </w:r>
    </w:p>
    <w:p>
      <w:pPr>
        <w:keepNext w:val="0"/>
        <w:keepLines w:val="0"/>
        <w:pageBreakBefore w:val="0"/>
        <w:kinsoku/>
        <w:wordWrap/>
        <w:overflowPunct/>
        <w:topLinePunct w:val="0"/>
        <w:autoSpaceDE/>
        <w:autoSpaceDN/>
        <w:bidi w:val="0"/>
        <w:adjustRightInd/>
        <w:snapToGrid/>
        <w:spacing w:afterAutospacing="0" w:line="240" w:lineRule="auto"/>
        <w:ind w:left="0" w:leftChars="0" w:firstLine="640" w:firstLineChars="200"/>
        <w:textAlignment w:val="auto"/>
        <w:rPr>
          <w:rFonts w:hint="default" w:ascii="仿宋" w:hAnsi="仿宋" w:eastAsia="仿宋"/>
          <w:sz w:val="32"/>
          <w:szCs w:val="32"/>
        </w:rPr>
      </w:pPr>
      <w:r>
        <w:rPr>
          <w:rFonts w:hint="default" w:ascii="仿宋" w:hAnsi="仿宋" w:eastAsia="仿宋"/>
          <w:sz w:val="32"/>
          <w:szCs w:val="32"/>
        </w:rPr>
        <w:t>我</w:t>
      </w:r>
      <w:r>
        <w:rPr>
          <w:rFonts w:hint="eastAsia" w:ascii="仿宋" w:hAnsi="仿宋" w:eastAsia="仿宋"/>
          <w:sz w:val="32"/>
          <w:szCs w:val="32"/>
        </w:rPr>
        <w:t>所</w:t>
      </w:r>
      <w:r>
        <w:rPr>
          <w:rFonts w:hint="default" w:ascii="仿宋" w:hAnsi="仿宋" w:eastAsia="仿宋"/>
          <w:sz w:val="32"/>
          <w:szCs w:val="32"/>
        </w:rPr>
        <w:t>认真贯彻执行《会计法》、《会计基础工作规范》、《行政单位会计制度》等各类财务会计制度，</w:t>
      </w:r>
      <w:r>
        <w:rPr>
          <w:rFonts w:hint="eastAsia" w:ascii="仿宋" w:hAnsi="仿宋" w:eastAsia="仿宋"/>
          <w:sz w:val="32"/>
          <w:szCs w:val="32"/>
        </w:rPr>
        <w:t>逐步完善了财务管理制度、“三重一大”决策制度、财务报账审核制度、车辆管理制度以及公用房屋及财产管理规定等。</w:t>
      </w:r>
      <w:r>
        <w:rPr>
          <w:rFonts w:hint="default" w:ascii="仿宋" w:hAnsi="仿宋" w:eastAsia="仿宋"/>
          <w:sz w:val="32"/>
          <w:szCs w:val="32"/>
        </w:rPr>
        <w:t>按规定进行会计账簿和科目的设置，按规定设立银行账户，不断健全财务审批制度，实行单位主管财务领导审批制度，按规定进行报账记账，坚决杜绝账外账、多头开户、违规开户和违规使用资金的现象，不断加强财务管理，建立完善会计档案，不断规范了单位财务工作，保证了各类资金的合理有效使用。</w:t>
      </w:r>
    </w:p>
    <w:p>
      <w:pPr>
        <w:pStyle w:val="38"/>
        <w:keepNext w:val="0"/>
        <w:keepLines w:val="0"/>
        <w:pageBreakBefore w:val="0"/>
        <w:widowControl/>
        <w:numPr>
          <w:ilvl w:val="0"/>
          <w:numId w:val="2"/>
        </w:numPr>
        <w:suppressLineNumbers w:val="0"/>
        <w:tabs>
          <w:tab w:val="left" w:pos="499"/>
          <w:tab w:val="left" w:pos="595"/>
          <w:tab w:val="left" w:pos="1111"/>
          <w:tab w:val="clear" w:pos="312"/>
        </w:tabs>
        <w:kinsoku/>
        <w:wordWrap/>
        <w:overflowPunct/>
        <w:topLinePunct w:val="0"/>
        <w:autoSpaceDE/>
        <w:autoSpaceDN/>
        <w:bidi w:val="0"/>
        <w:adjustRightInd/>
        <w:snapToGrid/>
        <w:spacing w:before="0" w:beforeAutospacing="0" w:after="0" w:afterAutospacing="0" w:line="240" w:lineRule="auto"/>
        <w:ind w:left="200" w:leftChars="0" w:right="0" w:rightChars="0" w:firstLine="640" w:firstLineChars="0"/>
        <w:jc w:val="left"/>
        <w:textAlignment w:val="auto"/>
        <w:rPr>
          <w:rFonts w:hint="eastAsia" w:ascii="仿宋" w:hAnsi="仿宋" w:eastAsia="仿宋" w:cs="仿宋"/>
          <w:b/>
          <w:bCs/>
          <w:kern w:val="0"/>
          <w:sz w:val="32"/>
          <w:szCs w:val="32"/>
          <w:shd w:val="clear" w:color="auto" w:fill="FFFFFF"/>
          <w:lang w:val="en-US" w:eastAsia="zh-CN"/>
        </w:rPr>
      </w:pPr>
      <w:r>
        <w:rPr>
          <w:rFonts w:hint="eastAsia" w:ascii="仿宋" w:hAnsi="仿宋" w:eastAsia="仿宋" w:cs="仿宋"/>
          <w:b/>
          <w:bCs/>
          <w:kern w:val="0"/>
          <w:sz w:val="32"/>
          <w:szCs w:val="32"/>
          <w:shd w:val="clear" w:color="auto" w:fill="FFFFFF"/>
          <w:lang w:val="en-US" w:eastAsia="zh-CN"/>
        </w:rPr>
        <w:t>资产管理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我所制定了资产管理制度，明确了资产使用、处置等程序。资产交付使用后及时准确入账，资产的折旧计提符合相关会计规定。定期清理盘点资产、确保账实相符，资产纳入四川省行政事业单位资产管理信息系统动态管理。</w:t>
      </w:r>
    </w:p>
    <w:p>
      <w:pPr>
        <w:spacing w:before="0" w:after="0" w:line="468" w:lineRule="exact"/>
        <w:ind w:firstLine="510"/>
        <w:jc w:val="both"/>
        <w:rPr>
          <w:rFonts w:hint="eastAsia" w:ascii="仿宋" w:hAnsi="仿宋" w:eastAsia="仿宋" w:cs="仿宋"/>
          <w:sz w:val="32"/>
          <w:szCs w:val="32"/>
        </w:rPr>
      </w:pPr>
      <w:r>
        <w:rPr>
          <w:rFonts w:hint="eastAsia" w:ascii="仿宋" w:hAnsi="仿宋" w:eastAsia="仿宋" w:cs="仿宋"/>
          <w:b w:val="0"/>
          <w:i w:val="0"/>
          <w:color w:val="000000"/>
          <w:sz w:val="32"/>
          <w:szCs w:val="32"/>
          <w:u w:val="none"/>
        </w:rPr>
        <w:t>2024年度，我单位配置固定资产30.95万元（账面原值，下同）。从资产类别分析</w:t>
      </w:r>
      <w:r>
        <w:rPr>
          <w:rFonts w:hint="eastAsia" w:ascii="仿宋" w:hAnsi="仿宋" w:eastAsia="仿宋" w:cs="仿宋"/>
          <w:b w:val="0"/>
          <w:i w:val="0"/>
          <w:color w:val="000000"/>
          <w:sz w:val="32"/>
          <w:szCs w:val="32"/>
          <w:u w:val="none"/>
          <w:lang w:eastAsia="zh-CN"/>
        </w:rPr>
        <w:t>：</w:t>
      </w:r>
      <w:r>
        <w:rPr>
          <w:rFonts w:hint="eastAsia" w:ascii="仿宋" w:hAnsi="仿宋" w:eastAsia="仿宋" w:cs="仿宋"/>
          <w:b w:val="0"/>
          <w:i w:val="0"/>
          <w:color w:val="000000"/>
          <w:sz w:val="32"/>
          <w:szCs w:val="32"/>
          <w:u w:val="none"/>
        </w:rPr>
        <w:t>配置设备7.52万元，占24.30%；配置家具和用具23.43万元，占75.70%；新购27.74万元，占89.63%；调拨0.00万元，占0.00%；其他方式新增3.21万元，占10.37%。</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仿宋" w:hAnsi="仿宋" w:eastAsia="仿宋" w:cs="仿宋"/>
          <w:kern w:val="0"/>
          <w:sz w:val="32"/>
          <w:szCs w:val="32"/>
          <w:shd w:val="clear" w:color="auto" w:fill="FFFFFF"/>
          <w:lang w:val="en-US" w:eastAsia="zh-CN"/>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 xml:space="preserve">年度，我单位处置资产 </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单位出租出借资产收益 0万元</w:t>
      </w:r>
      <w:r>
        <w:rPr>
          <w:rFonts w:hint="eastAsia" w:ascii="仿宋" w:hAnsi="仿宋" w:eastAsia="仿宋" w:cs="仿宋"/>
          <w:color w:val="000000"/>
          <w:sz w:val="32"/>
          <w:szCs w:val="32"/>
          <w:lang w:eastAsia="zh-CN"/>
        </w:rPr>
        <w:t>。</w:t>
      </w:r>
    </w:p>
    <w:p>
      <w:pPr>
        <w:pStyle w:val="38"/>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40" w:lineRule="auto"/>
        <w:ind w:left="0" w:leftChars="0" w:firstLine="643" w:firstLineChars="200"/>
        <w:jc w:val="both"/>
        <w:textAlignment w:val="auto"/>
        <w:rPr>
          <w:rFonts w:hint="default" w:ascii="仿宋" w:hAnsi="仿宋" w:eastAsia="仿宋" w:cs="仿宋"/>
          <w:kern w:val="0"/>
          <w:sz w:val="32"/>
          <w:szCs w:val="32"/>
          <w:shd w:val="clear" w:color="auto" w:fill="FFFFFF"/>
          <w:lang w:val="en-US" w:eastAsia="zh-CN"/>
        </w:rPr>
      </w:pPr>
      <w:r>
        <w:rPr>
          <w:rFonts w:hint="eastAsia" w:ascii="仿宋" w:hAnsi="仿宋" w:eastAsia="仿宋" w:cs="仿宋"/>
          <w:b/>
          <w:bCs/>
          <w:kern w:val="0"/>
          <w:sz w:val="32"/>
          <w:szCs w:val="32"/>
          <w:shd w:val="clear" w:color="auto" w:fill="FFFFFF"/>
          <w:lang w:val="en-US" w:eastAsia="zh-CN"/>
        </w:rPr>
        <w:t>采购管理</w:t>
      </w:r>
    </w:p>
    <w:p>
      <w:pPr>
        <w:pStyle w:val="3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default" w:ascii="仿宋" w:hAnsi="仿宋" w:eastAsia="仿宋" w:cs="仿宋"/>
          <w:kern w:val="0"/>
          <w:sz w:val="32"/>
          <w:szCs w:val="32"/>
          <w:shd w:val="clear" w:color="auto" w:fill="FFFFFF"/>
          <w:lang w:val="en-US" w:eastAsia="zh-CN"/>
        </w:rPr>
      </w:pPr>
      <w:r>
        <w:rPr>
          <w:rFonts w:hint="eastAsia" w:ascii="仿宋" w:hAnsi="仿宋" w:eastAsia="仿宋"/>
          <w:sz w:val="32"/>
          <w:szCs w:val="32"/>
        </w:rPr>
        <w:t>我所政府采购预算编制做到应编尽编，严格按照规定进行政府采购计划备案，及时支付资金，不存在无预算采购、超预算采购的情况。我所严格按照法定采购方式和程序实施采购，不存在拆分项目预算规避政府采购或公开招标的情况。</w:t>
      </w:r>
    </w:p>
    <w:p>
      <w:pPr>
        <w:pStyle w:val="3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rPr>
          <w:rFonts w:hint="eastAsia" w:ascii="仿宋" w:hAnsi="仿宋" w:eastAsia="仿宋" w:cs="仿宋"/>
          <w:b/>
          <w:bCs/>
          <w:kern w:val="0"/>
          <w:sz w:val="32"/>
          <w:szCs w:val="32"/>
          <w:shd w:val="clear" w:color="auto" w:fill="FFFFFF"/>
          <w:lang w:val="en-US" w:eastAsia="zh-CN"/>
        </w:rPr>
      </w:pPr>
      <w:r>
        <w:rPr>
          <w:rFonts w:hint="eastAsia" w:ascii="仿宋" w:hAnsi="仿宋" w:eastAsia="仿宋" w:cs="仿宋"/>
          <w:b/>
          <w:bCs/>
          <w:kern w:val="0"/>
          <w:sz w:val="32"/>
          <w:szCs w:val="32"/>
          <w:shd w:val="clear" w:color="auto" w:fill="FFFFFF"/>
          <w:lang w:val="en-US" w:eastAsia="zh-CN"/>
        </w:rPr>
        <w:t>（二）部门预算项目绩效分析</w:t>
      </w:r>
    </w:p>
    <w:p>
      <w:pPr>
        <w:pStyle w:val="38"/>
        <w:keepNext w:val="0"/>
        <w:keepLines w:val="0"/>
        <w:widowControl/>
        <w:suppressLineNumbers w:val="0"/>
        <w:shd w:val="clear" w:color="auto" w:fill="FFFFFF"/>
        <w:ind w:left="0" w:firstLine="480" w:firstLineChars="150"/>
        <w:rPr>
          <w:rFonts w:hint="eastAsia" w:ascii="仿宋" w:hAnsi="仿宋" w:eastAsia="仿宋" w:cs="仿宋"/>
          <w:kern w:val="0"/>
          <w:sz w:val="32"/>
          <w:szCs w:val="32"/>
        </w:rPr>
      </w:pPr>
      <w:r>
        <w:rPr>
          <w:rFonts w:hint="eastAsia" w:ascii="仿宋" w:hAnsi="仿宋" w:eastAsia="仿宋" w:cs="仿宋"/>
          <w:kern w:val="0"/>
          <w:sz w:val="32"/>
          <w:szCs w:val="32"/>
          <w:shd w:val="clear" w:color="auto" w:fill="FFFFFF"/>
          <w:lang w:val="en-US" w:eastAsia="zh-CN"/>
        </w:rPr>
        <w:t>本单位部门预算项目均为常规保运转项目，无专项项目。</w:t>
      </w:r>
      <w:r>
        <w:rPr>
          <w:rFonts w:hint="eastAsia" w:ascii="仿宋" w:hAnsi="仿宋" w:eastAsia="仿宋" w:cs="仿宋"/>
          <w:kern w:val="0"/>
          <w:sz w:val="32"/>
          <w:szCs w:val="32"/>
          <w:shd w:val="clear" w:color="auto" w:fill="FFFFFF"/>
        </w:rPr>
        <w:t>202</w:t>
      </w:r>
      <w:r>
        <w:rPr>
          <w:rFonts w:hint="eastAsia" w:ascii="仿宋" w:hAnsi="仿宋" w:eastAsia="仿宋" w:cs="仿宋"/>
          <w:kern w:val="0"/>
          <w:sz w:val="32"/>
          <w:szCs w:val="32"/>
          <w:shd w:val="clear" w:color="auto" w:fill="FFFFFF"/>
          <w:lang w:val="en-US" w:eastAsia="zh-CN"/>
        </w:rPr>
        <w:t>4</w:t>
      </w:r>
      <w:r>
        <w:rPr>
          <w:rFonts w:hint="eastAsia" w:ascii="仿宋" w:hAnsi="仿宋" w:eastAsia="仿宋" w:cs="仿宋"/>
          <w:kern w:val="0"/>
          <w:sz w:val="32"/>
          <w:szCs w:val="32"/>
          <w:shd w:val="clear" w:color="auto" w:fill="FFFFFF"/>
        </w:rPr>
        <w:t>年初项目经费预算为</w:t>
      </w:r>
      <w:r>
        <w:rPr>
          <w:rFonts w:hint="eastAsia" w:ascii="仿宋" w:hAnsi="仿宋" w:eastAsia="仿宋" w:cs="仿宋"/>
          <w:kern w:val="0"/>
          <w:sz w:val="32"/>
          <w:szCs w:val="32"/>
          <w:shd w:val="clear" w:color="auto" w:fill="FFFFFF"/>
          <w:lang w:val="en-US" w:eastAsia="zh-CN"/>
        </w:rPr>
        <w:t>160.1</w:t>
      </w:r>
      <w:r>
        <w:rPr>
          <w:rFonts w:hint="eastAsia" w:ascii="仿宋" w:hAnsi="仿宋" w:eastAsia="仿宋" w:cs="仿宋"/>
          <w:kern w:val="0"/>
          <w:sz w:val="32"/>
          <w:szCs w:val="32"/>
          <w:shd w:val="clear" w:color="auto" w:fill="FFFFFF"/>
        </w:rPr>
        <w:t>万元，主要为常规保运转工作经费。</w:t>
      </w:r>
      <w:r>
        <w:rPr>
          <w:rFonts w:hint="eastAsia" w:ascii="仿宋" w:hAnsi="仿宋" w:eastAsia="仿宋" w:cs="仿宋"/>
          <w:kern w:val="0"/>
          <w:sz w:val="32"/>
          <w:szCs w:val="32"/>
          <w:shd w:val="clear" w:color="auto" w:fill="FFFFFF"/>
          <w:lang w:val="en-US" w:eastAsia="zh-CN"/>
        </w:rPr>
        <w:t>各预算项目均按年初预算正常推进并完成，如金财网费用、中心运行费、摄影活动工作经费、诗书画工作经费和服务中心老干部活动费等保障了活动中心正常运转及各协会、老干部大学、离退休老干部活动的正常开展，让老干部感受到了党和国家的关心关爱，并积极建言献策，为党和国家的建设事业添砖加瓦、发挥余热。物业管理费、维修维护费和变压器维修费等都为活动中心安全及设施设备安全保驾护航，为老干部提供了安全、舒适整洁的活动环境。2024年决算</w:t>
      </w:r>
      <w:r>
        <w:rPr>
          <w:rFonts w:hint="eastAsia" w:ascii="仿宋" w:hAnsi="仿宋" w:eastAsia="仿宋" w:cs="仿宋"/>
          <w:kern w:val="0"/>
          <w:sz w:val="32"/>
          <w:szCs w:val="32"/>
          <w:shd w:val="clear" w:color="auto" w:fill="FFFFFF"/>
        </w:rPr>
        <w:t>财政拨款数</w:t>
      </w:r>
      <w:r>
        <w:rPr>
          <w:rFonts w:hint="eastAsia" w:ascii="仿宋" w:hAnsi="仿宋" w:eastAsia="仿宋" w:cs="仿宋"/>
          <w:kern w:val="0"/>
          <w:sz w:val="32"/>
          <w:szCs w:val="32"/>
          <w:shd w:val="clear" w:color="auto" w:fill="FFFFFF"/>
          <w:lang w:val="en-US" w:eastAsia="zh-CN"/>
        </w:rPr>
        <w:t>158.6</w:t>
      </w:r>
      <w:r>
        <w:rPr>
          <w:rFonts w:hint="eastAsia" w:ascii="仿宋" w:hAnsi="仿宋" w:eastAsia="仿宋" w:cs="仿宋"/>
          <w:kern w:val="0"/>
          <w:sz w:val="32"/>
          <w:szCs w:val="32"/>
          <w:shd w:val="clear" w:color="auto" w:fill="FFFFFF"/>
        </w:rPr>
        <w:t>万元，拨款数占年初预算的</w:t>
      </w:r>
      <w:r>
        <w:rPr>
          <w:rFonts w:hint="eastAsia" w:ascii="仿宋" w:hAnsi="仿宋" w:eastAsia="仿宋" w:cs="仿宋"/>
          <w:kern w:val="0"/>
          <w:sz w:val="32"/>
          <w:szCs w:val="32"/>
          <w:shd w:val="clear" w:color="auto" w:fill="FFFFFF"/>
          <w:lang w:val="en-US" w:eastAsia="zh-CN"/>
        </w:rPr>
        <w:t>99</w:t>
      </w:r>
      <w:r>
        <w:rPr>
          <w:rFonts w:hint="eastAsia" w:ascii="仿宋" w:hAnsi="仿宋" w:eastAsia="仿宋" w:cs="仿宋"/>
          <w:kern w:val="0"/>
          <w:sz w:val="32"/>
          <w:szCs w:val="32"/>
          <w:shd w:val="clear" w:color="auto" w:fill="FFFFFF"/>
        </w:rPr>
        <w:t>%。</w:t>
      </w:r>
      <w:r>
        <w:rPr>
          <w:rFonts w:hint="eastAsia" w:ascii="仿宋" w:hAnsi="仿宋" w:eastAsia="仿宋" w:cs="仿宋"/>
          <w:kern w:val="0"/>
          <w:sz w:val="32"/>
          <w:szCs w:val="32"/>
        </w:rPr>
        <w:t>本年预算指标的拨付能严格按照国库集中支付制度及本单位工作计划拨付资金。</w:t>
      </w:r>
    </w:p>
    <w:p>
      <w:pPr>
        <w:pStyle w:val="38"/>
        <w:keepNext w:val="0"/>
        <w:keepLines w:val="0"/>
        <w:widowControl/>
        <w:numPr>
          <w:ilvl w:val="0"/>
          <w:numId w:val="3"/>
        </w:numPr>
        <w:suppressLineNumbers w:val="0"/>
        <w:shd w:val="clear" w:color="auto" w:fill="FFFFFF"/>
        <w:ind w:left="0" w:firstLine="482" w:firstLineChars="150"/>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重点领域绩效分析</w:t>
      </w:r>
    </w:p>
    <w:p>
      <w:pPr>
        <w:pStyle w:val="38"/>
        <w:keepNext w:val="0"/>
        <w:keepLines w:val="0"/>
        <w:widowControl/>
        <w:numPr>
          <w:ilvl w:val="0"/>
          <w:numId w:val="3"/>
        </w:numPr>
        <w:suppressLineNumbers w:val="0"/>
        <w:shd w:val="clear" w:color="auto" w:fill="FFFFFF"/>
        <w:ind w:left="0" w:firstLine="480" w:firstLineChars="150"/>
        <w:rPr>
          <w:rFonts w:hint="default"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本单位不涉及国有资本、行政事业性国有资产、债劵资金、政府采购和政府购买服务等重点领域。</w:t>
      </w:r>
    </w:p>
    <w:p>
      <w:pPr>
        <w:widowControl/>
        <w:adjustRightInd w:val="0"/>
        <w:snapToGrid w:val="0"/>
        <w:spacing w:line="580" w:lineRule="exact"/>
        <w:ind w:firstLine="643" w:firstLineChars="200"/>
        <w:contextualSpacing/>
        <w:jc w:val="lef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w:t>
      </w:r>
      <w:r>
        <w:rPr>
          <w:rFonts w:hint="eastAsia" w:ascii="仿宋" w:hAnsi="仿宋" w:eastAsia="仿宋" w:cs="仿宋"/>
          <w:b/>
          <w:bCs/>
          <w:color w:val="000000"/>
          <w:kern w:val="0"/>
          <w:sz w:val="32"/>
          <w:szCs w:val="32"/>
          <w:shd w:val="clear" w:color="auto" w:fill="FFFFFF"/>
          <w:lang w:val="en-US" w:eastAsia="zh-CN"/>
        </w:rPr>
        <w:t>四</w:t>
      </w:r>
      <w:r>
        <w:rPr>
          <w:rFonts w:hint="eastAsia" w:ascii="仿宋" w:hAnsi="仿宋" w:eastAsia="仿宋" w:cs="仿宋"/>
          <w:b/>
          <w:bCs/>
          <w:color w:val="000000"/>
          <w:kern w:val="0"/>
          <w:sz w:val="32"/>
          <w:szCs w:val="32"/>
          <w:shd w:val="clear" w:color="auto" w:fill="FFFFFF"/>
          <w:lang w:val="zh-CN"/>
        </w:rPr>
        <w:t>）结果应用情况。</w:t>
      </w:r>
    </w:p>
    <w:p>
      <w:pPr>
        <w:pStyle w:val="16"/>
        <w:widowControl/>
        <w:shd w:val="clear" w:color="auto" w:fill="FFFFFF"/>
        <w:spacing w:line="576" w:lineRule="exact"/>
        <w:ind w:firstLine="720"/>
        <w:rPr>
          <w:rFonts w:hint="eastAsia" w:ascii="仿宋_GB2312" w:hAnsi="仿宋_GB2312" w:eastAsia="仿宋_GB2312" w:cs="仿宋_GB2312"/>
          <w:color w:val="000000"/>
          <w:sz w:val="32"/>
          <w:szCs w:val="32"/>
          <w:u w:val="none" w:color="000000"/>
        </w:rPr>
      </w:pPr>
      <w:r>
        <w:rPr>
          <w:rFonts w:hint="eastAsia" w:ascii="仿宋" w:hAnsi="仿宋" w:eastAsia="仿宋" w:cs="仿宋_GB2312"/>
          <w:color w:val="000000"/>
          <w:sz w:val="32"/>
          <w:szCs w:val="32"/>
          <w:u w:val="none" w:color="000000"/>
        </w:rPr>
        <w:t>绩效管理严格按照上级部门要求，开展自评工作，对评价结果及时总结上报，用于指导下一步工作的开展</w:t>
      </w:r>
      <w:r>
        <w:rPr>
          <w:rFonts w:hint="eastAsia" w:ascii="仿宋_GB2312" w:hAnsi="仿宋_GB2312" w:eastAsia="仿宋_GB2312" w:cs="仿宋_GB2312"/>
          <w:color w:val="000000"/>
          <w:sz w:val="32"/>
          <w:szCs w:val="32"/>
          <w:u w:val="none" w:color="000000"/>
        </w:rPr>
        <w:t>。</w:t>
      </w:r>
    </w:p>
    <w:p>
      <w:pPr>
        <w:widowControl/>
        <w:adjustRightInd w:val="0"/>
        <w:snapToGrid w:val="0"/>
        <w:spacing w:line="580" w:lineRule="exact"/>
        <w:ind w:firstLine="964" w:firstLineChars="300"/>
        <w:contextualSpacing/>
        <w:jc w:val="left"/>
        <w:rPr>
          <w:rFonts w:hint="eastAsia" w:ascii="仿宋" w:hAnsi="仿宋" w:eastAsia="仿宋" w:cs="仿宋"/>
          <w:b/>
          <w:bCs/>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rPr>
        <w:t>四、评价结论及建议</w:t>
      </w:r>
    </w:p>
    <w:p>
      <w:pPr>
        <w:pStyle w:val="16"/>
        <w:widowControl/>
        <w:shd w:val="clear" w:color="auto" w:fill="FFFFFF"/>
        <w:spacing w:line="576" w:lineRule="exact"/>
        <w:ind w:firstLine="720"/>
        <w:rPr>
          <w:rFonts w:hint="eastAsia" w:ascii="仿宋_GB2312" w:hAnsi="仿宋_GB2312" w:eastAsia="仿宋_GB2312" w:cs="仿宋_GB2312"/>
          <w:color w:val="000000"/>
          <w:sz w:val="32"/>
          <w:szCs w:val="32"/>
          <w:u w:val="none" w:color="000000"/>
        </w:rPr>
      </w:pPr>
      <w:r>
        <w:rPr>
          <w:rFonts w:hint="eastAsia" w:ascii="仿宋_GB2312" w:hAnsi="仿宋_GB2312" w:eastAsia="仿宋_GB2312" w:cs="仿宋_GB2312"/>
          <w:color w:val="000000"/>
          <w:sz w:val="32"/>
          <w:szCs w:val="32"/>
          <w:u w:val="none" w:color="000000"/>
        </w:rPr>
        <w:t>（一）评价结论</w:t>
      </w:r>
    </w:p>
    <w:p>
      <w:pPr>
        <w:pStyle w:val="16"/>
        <w:widowControl/>
        <w:shd w:val="clear" w:color="auto" w:fill="FFFFFF"/>
        <w:spacing w:line="576" w:lineRule="exact"/>
        <w:ind w:firstLine="720"/>
        <w:rPr>
          <w:rFonts w:hint="eastAsia" w:ascii="仿宋" w:hAnsi="仿宋" w:eastAsia="仿宋" w:cs="仿宋_GB2312"/>
          <w:color w:val="000000"/>
          <w:sz w:val="32"/>
          <w:szCs w:val="32"/>
          <w:u w:val="none" w:color="000000"/>
        </w:rPr>
      </w:pPr>
      <w:r>
        <w:rPr>
          <w:rFonts w:hint="eastAsia" w:ascii="仿宋" w:hAnsi="仿宋" w:eastAsia="仿宋" w:cs="仿宋_GB2312"/>
          <w:color w:val="000000"/>
          <w:sz w:val="32"/>
          <w:szCs w:val="32"/>
          <w:u w:val="none" w:color="000000"/>
        </w:rPr>
        <w:t>阿坝州都江堰老干部休养所预算执行情况良好，无不良记录及违规违纪行为，预算支出和决算支出情况相符。</w:t>
      </w:r>
    </w:p>
    <w:p>
      <w:pPr>
        <w:pStyle w:val="16"/>
        <w:widowControl/>
        <w:shd w:val="clear" w:color="auto" w:fill="FFFFFF"/>
        <w:spacing w:line="576" w:lineRule="exact"/>
        <w:ind w:firstLine="720"/>
        <w:rPr>
          <w:rFonts w:hint="eastAsia" w:ascii="仿宋_GB2312" w:hAnsi="仿宋_GB2312" w:eastAsia="仿宋_GB2312" w:cs="仿宋_GB2312"/>
          <w:color w:val="000000"/>
          <w:sz w:val="32"/>
          <w:szCs w:val="32"/>
          <w:u w:val="none" w:color="000000"/>
        </w:rPr>
      </w:pPr>
      <w:r>
        <w:rPr>
          <w:rFonts w:hint="eastAsia" w:ascii="仿宋_GB2312" w:hAnsi="仿宋_GB2312" w:eastAsia="仿宋_GB2312" w:cs="仿宋_GB2312"/>
          <w:color w:val="000000"/>
          <w:sz w:val="32"/>
          <w:szCs w:val="32"/>
          <w:u w:val="none" w:color="000000"/>
        </w:rPr>
        <w:t>（二）存在问题</w:t>
      </w:r>
    </w:p>
    <w:p>
      <w:pPr>
        <w:pStyle w:val="16"/>
        <w:widowControl/>
        <w:shd w:val="clear" w:color="auto" w:fill="FFFFFF"/>
        <w:spacing w:line="576" w:lineRule="exact"/>
        <w:ind w:firstLine="720"/>
        <w:rPr>
          <w:rFonts w:hint="eastAsia" w:ascii="仿宋_GB2312" w:hAnsi="仿宋_GB2312" w:eastAsia="仿宋_GB2312" w:cs="仿宋_GB2312"/>
          <w:color w:val="000000"/>
          <w:sz w:val="32"/>
          <w:szCs w:val="32"/>
          <w:u w:val="none" w:color="000000"/>
        </w:rPr>
      </w:pPr>
      <w:r>
        <w:rPr>
          <w:rFonts w:hint="eastAsia" w:ascii="仿宋" w:hAnsi="仿宋" w:eastAsia="仿宋" w:cs="仿宋_GB2312"/>
          <w:color w:val="000000"/>
          <w:sz w:val="32"/>
          <w:szCs w:val="32"/>
          <w:u w:val="none" w:color="000000"/>
        </w:rPr>
        <w:t>一是单位没有专业的财务人员，在账务处理及预决算编报上存在问题，导致大错不犯，小错不断；二是未严格按资金用途使用资金，年底办公费不够的情况下与其他行政运行经费打捆使用；三是部门决算上报处理效率还待提升。</w:t>
      </w:r>
    </w:p>
    <w:p>
      <w:pPr>
        <w:pStyle w:val="16"/>
        <w:widowControl/>
        <w:shd w:val="clear" w:color="auto" w:fill="FFFFFF"/>
        <w:spacing w:line="576" w:lineRule="exact"/>
        <w:ind w:firstLine="720"/>
        <w:rPr>
          <w:rFonts w:hint="eastAsia" w:ascii="仿宋_GB2312" w:hAnsi="仿宋_GB2312" w:eastAsia="仿宋_GB2312" w:cs="仿宋_GB2312"/>
          <w:color w:val="000000"/>
          <w:sz w:val="32"/>
          <w:szCs w:val="32"/>
          <w:u w:val="none" w:color="000000"/>
        </w:rPr>
      </w:pPr>
      <w:r>
        <w:rPr>
          <w:rFonts w:hint="eastAsia" w:ascii="仿宋_GB2312" w:hAnsi="仿宋_GB2312" w:eastAsia="仿宋_GB2312" w:cs="仿宋_GB2312"/>
          <w:color w:val="000000"/>
          <w:sz w:val="32"/>
          <w:szCs w:val="32"/>
          <w:u w:val="none" w:color="000000"/>
        </w:rPr>
        <w:t>（三）改进建议</w:t>
      </w:r>
    </w:p>
    <w:p>
      <w:pPr>
        <w:pStyle w:val="39"/>
        <w:spacing w:line="576"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无。</w:t>
      </w:r>
    </w:p>
    <w:p>
      <w:pPr>
        <w:pStyle w:val="39"/>
        <w:spacing w:line="576" w:lineRule="exact"/>
        <w:ind w:firstLine="640" w:firstLineChars="200"/>
        <w:rPr>
          <w:rFonts w:hint="eastAsia" w:ascii="仿宋" w:hAnsi="仿宋" w:eastAsia="仿宋"/>
          <w:sz w:val="32"/>
          <w:szCs w:val="32"/>
        </w:rPr>
      </w:pPr>
    </w:p>
    <w:p>
      <w:pPr>
        <w:pStyle w:val="39"/>
        <w:spacing w:line="576" w:lineRule="exact"/>
        <w:rPr>
          <w:rFonts w:hint="eastAsia" w:ascii="仿宋" w:hAnsi="仿宋" w:eastAsia="仿宋"/>
          <w:sz w:val="32"/>
          <w:szCs w:val="32"/>
        </w:rPr>
      </w:pPr>
    </w:p>
    <w:p>
      <w:pPr>
        <w:pStyle w:val="39"/>
        <w:spacing w:line="576" w:lineRule="exact"/>
        <w:ind w:firstLine="4800" w:firstLineChars="1500"/>
        <w:rPr>
          <w:rFonts w:hint="eastAsia" w:ascii="仿宋" w:hAnsi="仿宋" w:eastAsia="仿宋"/>
          <w:sz w:val="32"/>
          <w:szCs w:val="32"/>
        </w:rPr>
      </w:pPr>
    </w:p>
    <w:p>
      <w:pPr>
        <w:pStyle w:val="39"/>
        <w:spacing w:line="576" w:lineRule="exact"/>
        <w:ind w:firstLine="4800" w:firstLineChars="1500"/>
        <w:rPr>
          <w:rFonts w:hint="eastAsia" w:ascii="仿宋" w:hAnsi="仿宋" w:eastAsia="仿宋"/>
          <w:sz w:val="32"/>
          <w:szCs w:val="32"/>
        </w:rPr>
      </w:pPr>
    </w:p>
    <w:p>
      <w:pPr>
        <w:pStyle w:val="39"/>
        <w:spacing w:line="576" w:lineRule="exact"/>
        <w:ind w:firstLine="4800" w:firstLineChars="1500"/>
        <w:rPr>
          <w:rFonts w:hint="eastAsia" w:ascii="仿宋" w:hAnsi="仿宋" w:eastAsia="仿宋"/>
          <w:sz w:val="32"/>
          <w:szCs w:val="32"/>
        </w:rPr>
      </w:pPr>
    </w:p>
    <w:p>
      <w:pPr>
        <w:pStyle w:val="39"/>
        <w:spacing w:line="576" w:lineRule="exact"/>
        <w:ind w:firstLine="4800" w:firstLineChars="1500"/>
        <w:rPr>
          <w:rFonts w:hint="eastAsia" w:ascii="仿宋" w:hAnsi="仿宋" w:eastAsia="仿宋"/>
          <w:sz w:val="32"/>
          <w:szCs w:val="32"/>
        </w:rPr>
      </w:pPr>
    </w:p>
    <w:p>
      <w:pPr>
        <w:pStyle w:val="39"/>
        <w:spacing w:line="576" w:lineRule="exact"/>
        <w:ind w:firstLine="4800" w:firstLineChars="1500"/>
        <w:rPr>
          <w:rFonts w:hint="eastAsia" w:ascii="仿宋" w:hAnsi="仿宋" w:eastAsia="仿宋"/>
          <w:sz w:val="32"/>
          <w:szCs w:val="32"/>
        </w:rPr>
      </w:pPr>
    </w:p>
    <w:p>
      <w:pPr>
        <w:pStyle w:val="39"/>
        <w:spacing w:line="576" w:lineRule="exact"/>
        <w:ind w:firstLine="4800" w:firstLineChars="1500"/>
        <w:rPr>
          <w:rFonts w:hint="eastAsia" w:ascii="仿宋" w:hAnsi="仿宋" w:eastAsia="仿宋"/>
          <w:sz w:val="32"/>
          <w:szCs w:val="32"/>
        </w:rPr>
      </w:pPr>
    </w:p>
    <w:p>
      <w:pPr>
        <w:pStyle w:val="39"/>
        <w:spacing w:line="576" w:lineRule="exact"/>
        <w:ind w:firstLine="4800" w:firstLineChars="1500"/>
        <w:rPr>
          <w:rFonts w:hint="eastAsia" w:ascii="仿宋" w:hAnsi="仿宋" w:eastAsia="仿宋"/>
          <w:sz w:val="32"/>
          <w:szCs w:val="32"/>
        </w:rPr>
      </w:pPr>
    </w:p>
    <w:p>
      <w:pPr>
        <w:pStyle w:val="39"/>
        <w:spacing w:line="576" w:lineRule="exact"/>
        <w:ind w:firstLine="4800" w:firstLineChars="1500"/>
        <w:rPr>
          <w:rFonts w:hint="eastAsia" w:ascii="仿宋" w:hAnsi="仿宋" w:eastAsia="仿宋"/>
          <w:sz w:val="32"/>
          <w:szCs w:val="32"/>
        </w:rPr>
      </w:pPr>
    </w:p>
    <w:p>
      <w:pPr>
        <w:pStyle w:val="39"/>
        <w:spacing w:line="576" w:lineRule="exact"/>
        <w:ind w:firstLine="4800" w:firstLineChars="1500"/>
        <w:rPr>
          <w:rFonts w:hint="eastAsia" w:ascii="仿宋" w:hAnsi="仿宋" w:eastAsia="仿宋"/>
          <w:sz w:val="32"/>
          <w:szCs w:val="32"/>
        </w:rPr>
      </w:pPr>
    </w:p>
    <w:p>
      <w:pPr>
        <w:pStyle w:val="39"/>
        <w:spacing w:line="576" w:lineRule="exact"/>
        <w:ind w:firstLine="4800" w:firstLineChars="1500"/>
        <w:rPr>
          <w:rFonts w:hint="eastAsia" w:ascii="仿宋" w:hAnsi="仿宋" w:eastAsia="仿宋"/>
          <w:sz w:val="32"/>
          <w:szCs w:val="32"/>
        </w:rPr>
      </w:pPr>
    </w:p>
    <w:p>
      <w:pPr>
        <w:pStyle w:val="39"/>
        <w:spacing w:line="576" w:lineRule="exact"/>
        <w:ind w:firstLine="4800" w:firstLineChars="1500"/>
        <w:rPr>
          <w:rFonts w:hint="eastAsia" w:ascii="仿宋" w:hAnsi="仿宋" w:eastAsia="仿宋"/>
          <w:sz w:val="32"/>
          <w:szCs w:val="32"/>
        </w:rPr>
      </w:pPr>
    </w:p>
    <w:p>
      <w:pPr>
        <w:pStyle w:val="39"/>
        <w:spacing w:line="576" w:lineRule="exact"/>
        <w:ind w:firstLine="4800" w:firstLineChars="1500"/>
        <w:rPr>
          <w:rFonts w:hint="eastAsia" w:ascii="仿宋" w:hAnsi="仿宋" w:eastAsia="仿宋"/>
          <w:sz w:val="32"/>
          <w:szCs w:val="32"/>
        </w:rPr>
      </w:pPr>
    </w:p>
    <w:p>
      <w:pPr>
        <w:pStyle w:val="39"/>
        <w:spacing w:line="576" w:lineRule="exact"/>
        <w:rPr>
          <w:rFonts w:ascii="Times New Roman" w:eastAsia="仿宋_GB2312"/>
          <w:sz w:val="32"/>
          <w:lang w:val="zh-CN" w:bidi="ar"/>
        </w:rPr>
      </w:pPr>
      <w:r>
        <w:rPr>
          <w:rFonts w:hint="eastAsia" w:ascii="仿宋" w:hAnsi="仿宋" w:eastAsia="仿宋"/>
          <w:sz w:val="32"/>
          <w:szCs w:val="32"/>
        </w:rPr>
        <w:t xml:space="preserve">  </w:t>
      </w:r>
      <w:r>
        <w:rPr>
          <w:rFonts w:hint="eastAsia" w:ascii="Times New Roman" w:eastAsia="仿宋_GB2312"/>
          <w:sz w:val="32"/>
          <w:lang w:val="zh-CN" w:bidi="ar"/>
        </w:rPr>
        <w:t>附表：</w:t>
      </w:r>
      <w:r>
        <w:rPr>
          <w:rFonts w:hint="eastAsia" w:ascii="Times New Roman" w:eastAsia="仿宋_GB2312"/>
          <w:sz w:val="32"/>
          <w:lang w:bidi="ar"/>
        </w:rPr>
        <w:t>部门预算项目支出绩效自评表（2024年度）</w:t>
      </w:r>
    </w:p>
    <w:p>
      <w:pPr>
        <w:pStyle w:val="6"/>
        <w:spacing w:before="93"/>
        <w:rPr>
          <w:rFonts w:ascii="Times New Roman" w:cs="宋体"/>
          <w:color w:val="FF0000"/>
          <w:sz w:val="32"/>
          <w:szCs w:val="32"/>
          <w:highlight w:val="yellow"/>
          <w:shd w:val="clear" w:color="auto" w:fill="FFFFFF"/>
          <w:lang w:val="zh-CN"/>
        </w:rPr>
      </w:pPr>
    </w:p>
    <w:p>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pPr>
        <w:widowControl/>
        <w:jc w:val="center"/>
        <w:rPr>
          <w:rFonts w:eastAsia="仿宋"/>
        </w:rPr>
      </w:pPr>
      <w:bookmarkStart w:id="47" w:name="_Toc15396618"/>
      <w:r>
        <w:rPr>
          <w:rFonts w:hint="eastAsia" w:eastAsia="黑体"/>
          <w:sz w:val="44"/>
          <w:szCs w:val="44"/>
        </w:rPr>
        <w:t>第</w:t>
      </w:r>
      <w:r>
        <w:rPr>
          <w:rStyle w:val="31"/>
          <w:rFonts w:hint="eastAsia" w:eastAsia="黑体"/>
          <w:b w:val="0"/>
        </w:rPr>
        <w:t>五部分 附表</w:t>
      </w:r>
      <w:bookmarkEnd w:id="46"/>
      <w:bookmarkEnd w:id="47"/>
      <w:bookmarkStart w:id="48" w:name="_Toc15396619"/>
    </w:p>
    <w:p>
      <w:pPr>
        <w:pStyle w:val="15"/>
        <w:adjustRightInd w:val="0"/>
        <w:snapToGrid w:val="0"/>
        <w:spacing w:line="560" w:lineRule="exact"/>
        <w:jc w:val="left"/>
        <w:rPr>
          <w:rFonts w:eastAsia="仿宋_GB2312" w:cs="仿宋_GB2312"/>
          <w:sz w:val="32"/>
          <w:szCs w:val="32"/>
        </w:rPr>
      </w:pPr>
    </w:p>
    <w:p>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8"/>
    </w:p>
    <w:p>
      <w:pPr>
        <w:pStyle w:val="15"/>
        <w:adjustRightInd w:val="0"/>
        <w:snapToGrid w:val="0"/>
        <w:spacing w:line="560" w:lineRule="exact"/>
        <w:jc w:val="left"/>
        <w:rPr>
          <w:rFonts w:eastAsia="仿宋_GB2312" w:cs="仿宋_GB2312"/>
          <w:sz w:val="32"/>
          <w:szCs w:val="32"/>
        </w:rPr>
      </w:pPr>
      <w:bookmarkStart w:id="49" w:name="_Toc15396620"/>
      <w:r>
        <w:rPr>
          <w:rFonts w:hint="eastAsia" w:eastAsia="仿宋_GB2312" w:cs="仿宋_GB2312"/>
          <w:sz w:val="32"/>
          <w:szCs w:val="32"/>
        </w:rPr>
        <w:t>二、收入决算表</w:t>
      </w:r>
      <w:bookmarkEnd w:id="49"/>
    </w:p>
    <w:p>
      <w:pPr>
        <w:pStyle w:val="15"/>
        <w:adjustRightInd w:val="0"/>
        <w:snapToGrid w:val="0"/>
        <w:spacing w:line="560" w:lineRule="exact"/>
        <w:jc w:val="left"/>
        <w:rPr>
          <w:rFonts w:eastAsia="仿宋_GB2312" w:cs="仿宋_GB2312"/>
          <w:sz w:val="32"/>
          <w:szCs w:val="32"/>
        </w:rPr>
      </w:pPr>
      <w:bookmarkStart w:id="50" w:name="_Toc15396621"/>
      <w:r>
        <w:rPr>
          <w:rFonts w:hint="eastAsia" w:eastAsia="仿宋_GB2312" w:cs="仿宋_GB2312"/>
          <w:sz w:val="32"/>
          <w:szCs w:val="32"/>
        </w:rPr>
        <w:t>三、支出决算表</w:t>
      </w:r>
      <w:bookmarkEnd w:id="50"/>
    </w:p>
    <w:p>
      <w:pPr>
        <w:pStyle w:val="15"/>
        <w:adjustRightInd w:val="0"/>
        <w:snapToGrid w:val="0"/>
        <w:spacing w:line="560" w:lineRule="exact"/>
        <w:jc w:val="left"/>
        <w:rPr>
          <w:rFonts w:eastAsia="仿宋_GB2312" w:cs="仿宋_GB2312"/>
          <w:sz w:val="32"/>
          <w:szCs w:val="32"/>
        </w:rPr>
      </w:pPr>
      <w:bookmarkStart w:id="51" w:name="_Toc15396622"/>
      <w:r>
        <w:rPr>
          <w:rFonts w:hint="eastAsia" w:eastAsia="仿宋_GB2312" w:cs="仿宋_GB2312"/>
          <w:sz w:val="32"/>
          <w:szCs w:val="32"/>
        </w:rPr>
        <w:t>四、财政拨款收入支出决算总表</w:t>
      </w:r>
      <w:bookmarkEnd w:id="51"/>
    </w:p>
    <w:p>
      <w:pPr>
        <w:pStyle w:val="15"/>
        <w:adjustRightInd w:val="0"/>
        <w:snapToGrid w:val="0"/>
        <w:spacing w:line="560" w:lineRule="exact"/>
        <w:jc w:val="left"/>
        <w:rPr>
          <w:rFonts w:eastAsia="仿宋_GB2312" w:cs="仿宋_GB2312"/>
          <w:sz w:val="32"/>
          <w:szCs w:val="32"/>
        </w:rPr>
      </w:pPr>
      <w:bookmarkStart w:id="52" w:name="_Toc15396623"/>
      <w:r>
        <w:rPr>
          <w:rFonts w:hint="eastAsia" w:eastAsia="仿宋_GB2312" w:cs="仿宋_GB2312"/>
          <w:sz w:val="32"/>
          <w:szCs w:val="32"/>
        </w:rPr>
        <w:t>五、财政拨款支出决算明细表</w:t>
      </w:r>
      <w:bookmarkEnd w:id="52"/>
      <w:bookmarkStart w:id="53" w:name="_Toc15396624"/>
    </w:p>
    <w:p>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3"/>
    </w:p>
    <w:p>
      <w:pPr>
        <w:pStyle w:val="15"/>
        <w:adjustRightInd w:val="0"/>
        <w:snapToGrid w:val="0"/>
        <w:spacing w:line="560" w:lineRule="exact"/>
        <w:jc w:val="left"/>
        <w:rPr>
          <w:rFonts w:eastAsia="仿宋_GB2312" w:cs="仿宋_GB2312"/>
          <w:sz w:val="32"/>
          <w:szCs w:val="32"/>
        </w:rPr>
      </w:pPr>
      <w:bookmarkStart w:id="54" w:name="_Toc15396625"/>
      <w:r>
        <w:rPr>
          <w:rFonts w:hint="eastAsia" w:eastAsia="仿宋_GB2312" w:cs="仿宋_GB2312"/>
          <w:sz w:val="32"/>
          <w:szCs w:val="32"/>
        </w:rPr>
        <w:t>七、一般公共预算财政拨款支出决算明细表</w:t>
      </w:r>
      <w:bookmarkEnd w:id="54"/>
    </w:p>
    <w:p>
      <w:pPr>
        <w:pStyle w:val="15"/>
        <w:adjustRightInd w:val="0"/>
        <w:snapToGrid w:val="0"/>
        <w:spacing w:line="560" w:lineRule="exact"/>
        <w:jc w:val="left"/>
        <w:rPr>
          <w:rFonts w:eastAsia="仿宋_GB2312" w:cs="仿宋_GB2312"/>
          <w:sz w:val="32"/>
          <w:szCs w:val="32"/>
        </w:rPr>
      </w:pPr>
      <w:bookmarkStart w:id="55" w:name="_Toc15396626"/>
      <w:r>
        <w:rPr>
          <w:rFonts w:hint="eastAsia" w:eastAsia="仿宋_GB2312" w:cs="仿宋_GB2312"/>
          <w:sz w:val="32"/>
          <w:szCs w:val="32"/>
        </w:rPr>
        <w:t>八、一般公共预算财政拨款基本支出决算表</w:t>
      </w:r>
      <w:bookmarkEnd w:id="55"/>
    </w:p>
    <w:p>
      <w:pPr>
        <w:pStyle w:val="15"/>
        <w:adjustRightInd w:val="0"/>
        <w:snapToGrid w:val="0"/>
        <w:spacing w:line="560" w:lineRule="exact"/>
        <w:jc w:val="left"/>
        <w:rPr>
          <w:rFonts w:eastAsia="仿宋_GB2312" w:cs="仿宋_GB2312"/>
          <w:sz w:val="32"/>
          <w:szCs w:val="32"/>
        </w:rPr>
      </w:pPr>
      <w:bookmarkStart w:id="56" w:name="_Toc15396627"/>
      <w:r>
        <w:rPr>
          <w:rFonts w:hint="eastAsia" w:eastAsia="仿宋_GB2312" w:cs="仿宋_GB2312"/>
          <w:sz w:val="32"/>
          <w:szCs w:val="32"/>
        </w:rPr>
        <w:t>九、一般公共预算财政拨款项目支出决算表</w:t>
      </w:r>
      <w:bookmarkEnd w:id="56"/>
    </w:p>
    <w:p>
      <w:pPr>
        <w:pStyle w:val="15"/>
        <w:adjustRightInd w:val="0"/>
        <w:snapToGrid w:val="0"/>
        <w:spacing w:line="560" w:lineRule="exact"/>
        <w:jc w:val="left"/>
        <w:rPr>
          <w:rFonts w:eastAsia="仿宋_GB2312" w:cs="仿宋_GB2312"/>
          <w:sz w:val="32"/>
          <w:szCs w:val="32"/>
        </w:rPr>
      </w:pPr>
      <w:bookmarkStart w:id="57" w:name="_Toc15396628"/>
      <w:r>
        <w:rPr>
          <w:rFonts w:hint="eastAsia" w:eastAsia="仿宋_GB2312" w:cs="仿宋_GB2312"/>
          <w:sz w:val="32"/>
          <w:szCs w:val="32"/>
        </w:rPr>
        <w:t>十、</w:t>
      </w:r>
      <w:bookmarkEnd w:id="57"/>
      <w:r>
        <w:rPr>
          <w:rFonts w:hint="eastAsia" w:eastAsia="仿宋_GB2312" w:cs="仿宋_GB2312"/>
          <w:sz w:val="32"/>
          <w:szCs w:val="32"/>
        </w:rPr>
        <w:t>政府性基金预算财政拨款收入支出决算表</w:t>
      </w:r>
    </w:p>
    <w:p>
      <w:pPr>
        <w:pStyle w:val="15"/>
        <w:adjustRightInd w:val="0"/>
        <w:snapToGrid w:val="0"/>
        <w:spacing w:line="560" w:lineRule="exact"/>
        <w:jc w:val="left"/>
        <w:rPr>
          <w:rFonts w:eastAsia="仿宋_GB2312" w:cs="仿宋_GB2312"/>
          <w:sz w:val="32"/>
          <w:szCs w:val="32"/>
        </w:rPr>
      </w:pPr>
      <w:bookmarkStart w:id="58" w:name="_Toc15396629"/>
      <w:r>
        <w:rPr>
          <w:rFonts w:hint="eastAsia" w:eastAsia="仿宋_GB2312" w:cs="仿宋_GB2312"/>
          <w:sz w:val="32"/>
          <w:szCs w:val="32"/>
        </w:rPr>
        <w:t>十一、</w:t>
      </w:r>
      <w:bookmarkEnd w:id="58"/>
      <w:r>
        <w:rPr>
          <w:rFonts w:hint="eastAsia" w:eastAsia="仿宋_GB2312" w:cs="仿宋_GB2312"/>
          <w:sz w:val="32"/>
          <w:szCs w:val="32"/>
        </w:rPr>
        <w:t>国有资本经营预算财政拨款收入支出决算表</w:t>
      </w:r>
    </w:p>
    <w:p>
      <w:pPr>
        <w:pStyle w:val="15"/>
        <w:adjustRightInd w:val="0"/>
        <w:snapToGrid w:val="0"/>
        <w:spacing w:line="560" w:lineRule="exact"/>
        <w:jc w:val="left"/>
        <w:rPr>
          <w:rFonts w:eastAsia="仿宋_GB2312" w:cs="仿宋_GB2312"/>
          <w:sz w:val="32"/>
          <w:szCs w:val="32"/>
        </w:rPr>
      </w:pPr>
      <w:bookmarkStart w:id="59" w:name="_Toc15396630"/>
      <w:r>
        <w:rPr>
          <w:rFonts w:hint="eastAsia" w:eastAsia="仿宋_GB2312" w:cs="仿宋_GB2312"/>
          <w:sz w:val="32"/>
          <w:szCs w:val="32"/>
        </w:rPr>
        <w:t>十二、</w:t>
      </w:r>
      <w:bookmarkEnd w:id="59"/>
      <w:r>
        <w:rPr>
          <w:rFonts w:hint="eastAsia" w:eastAsia="仿宋_GB2312" w:cs="仿宋_GB2312"/>
          <w:sz w:val="32"/>
          <w:szCs w:val="32"/>
        </w:rPr>
        <w:t>国有资本经营预算财政拨款支出决算表</w:t>
      </w:r>
    </w:p>
    <w:p>
      <w:pPr>
        <w:pStyle w:val="15"/>
        <w:adjustRightInd w:val="0"/>
        <w:snapToGrid w:val="0"/>
        <w:spacing w:line="560" w:lineRule="exact"/>
        <w:jc w:val="left"/>
        <w:rPr>
          <w:rFonts w:eastAsia="仿宋_GB2312" w:cs="仿宋_GB2312"/>
          <w:sz w:val="32"/>
          <w:szCs w:val="32"/>
        </w:rPr>
      </w:pPr>
      <w:bookmarkStart w:id="60" w:name="_Toc15396631"/>
      <w:r>
        <w:rPr>
          <w:rFonts w:hint="eastAsia" w:eastAsia="仿宋_GB2312" w:cs="仿宋_GB2312"/>
          <w:sz w:val="32"/>
          <w:szCs w:val="32"/>
        </w:rPr>
        <w:t>十三、</w:t>
      </w:r>
      <w:bookmarkEnd w:id="60"/>
      <w:r>
        <w:rPr>
          <w:rFonts w:hint="eastAsia" w:eastAsia="仿宋_GB2312" w:cs="仿宋_GB2312"/>
          <w:sz w:val="32"/>
          <w:szCs w:val="32"/>
        </w:rPr>
        <w:t>财政拨款“三公”经费支出决算表</w:t>
      </w:r>
    </w:p>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3000509000000000000"/>
    <w:charset w:val="86"/>
    <w:family w:val="script"/>
    <w:pitch w:val="default"/>
    <w:sig w:usb0="00000000" w:usb1="00000000" w:usb2="0000001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方正黑体简体">
    <w:altName w:val="微软雅黑"/>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宋体-18030">
    <w:altName w:val="宋体"/>
    <w:panose1 w:val="02010609060101010101"/>
    <w:charset w:val="86"/>
    <w:family w:val="modern"/>
    <w:pitch w:val="default"/>
    <w:sig w:usb0="00000000" w:usb1="00000000" w:usb2="000A005E"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8A0F71"/>
    <w:multiLevelType w:val="singleLevel"/>
    <w:tmpl w:val="9C8A0F71"/>
    <w:lvl w:ilvl="0" w:tentative="0">
      <w:start w:val="1"/>
      <w:numFmt w:val="decimal"/>
      <w:lvlText w:val="%1."/>
      <w:lvlJc w:val="left"/>
      <w:pPr>
        <w:tabs>
          <w:tab w:val="left" w:pos="312"/>
        </w:tabs>
      </w:pPr>
    </w:lvl>
  </w:abstractNum>
  <w:abstractNum w:abstractNumId="1">
    <w:nsid w:val="C946287C"/>
    <w:multiLevelType w:val="singleLevel"/>
    <w:tmpl w:val="C946287C"/>
    <w:lvl w:ilvl="0" w:tentative="0">
      <w:start w:val="3"/>
      <w:numFmt w:val="chineseCounting"/>
      <w:suff w:val="nothing"/>
      <w:lvlText w:val="（%1）"/>
      <w:lvlJc w:val="left"/>
      <w:rPr>
        <w:rFonts w:hint="eastAsia"/>
      </w:rPr>
    </w:lvl>
  </w:abstractNum>
  <w:abstractNum w:abstractNumId="2">
    <w:nsid w:val="FDEAA404"/>
    <w:multiLevelType w:val="singleLevel"/>
    <w:tmpl w:val="FDEAA404"/>
    <w:lvl w:ilvl="0" w:tentative="0">
      <w:start w:val="3"/>
      <w:numFmt w:val="decimal"/>
      <w:lvlText w:val="%1."/>
      <w:lvlJc w:val="left"/>
      <w:pPr>
        <w:tabs>
          <w:tab w:val="left" w:pos="312"/>
        </w:tabs>
        <w:ind w:left="4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07004"/>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3795B"/>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22A3"/>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2FE1"/>
    <w:rsid w:val="00D114F0"/>
    <w:rsid w:val="00D20620"/>
    <w:rsid w:val="00D254F7"/>
    <w:rsid w:val="00D26091"/>
    <w:rsid w:val="00D2685C"/>
    <w:rsid w:val="00D34E7C"/>
    <w:rsid w:val="00D35489"/>
    <w:rsid w:val="00D36AFE"/>
    <w:rsid w:val="00D51276"/>
    <w:rsid w:val="00D5444D"/>
    <w:rsid w:val="00D7035F"/>
    <w:rsid w:val="00DA634F"/>
    <w:rsid w:val="00DA65AC"/>
    <w:rsid w:val="00DB1913"/>
    <w:rsid w:val="00DC2C99"/>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272BFA"/>
    <w:rsid w:val="04916F1E"/>
    <w:rsid w:val="05C77EF8"/>
    <w:rsid w:val="061E35DE"/>
    <w:rsid w:val="066E0107"/>
    <w:rsid w:val="07996F6E"/>
    <w:rsid w:val="07DFD8BA"/>
    <w:rsid w:val="09867E8F"/>
    <w:rsid w:val="0A2032A3"/>
    <w:rsid w:val="0CA8290A"/>
    <w:rsid w:val="0D35B1ED"/>
    <w:rsid w:val="0E254B6B"/>
    <w:rsid w:val="0F98263C"/>
    <w:rsid w:val="101860EC"/>
    <w:rsid w:val="101F47CC"/>
    <w:rsid w:val="10C055FF"/>
    <w:rsid w:val="10EC4745"/>
    <w:rsid w:val="11694EBD"/>
    <w:rsid w:val="11772AA4"/>
    <w:rsid w:val="118107EC"/>
    <w:rsid w:val="12E24EE2"/>
    <w:rsid w:val="13D50BC4"/>
    <w:rsid w:val="14B17F78"/>
    <w:rsid w:val="165E0673"/>
    <w:rsid w:val="16B831D5"/>
    <w:rsid w:val="16BB723D"/>
    <w:rsid w:val="17E50567"/>
    <w:rsid w:val="186504BB"/>
    <w:rsid w:val="19A445FC"/>
    <w:rsid w:val="1BE8440E"/>
    <w:rsid w:val="1CC6347C"/>
    <w:rsid w:val="1D155CEE"/>
    <w:rsid w:val="1D1638FE"/>
    <w:rsid w:val="1D950A76"/>
    <w:rsid w:val="1E312DEB"/>
    <w:rsid w:val="1E740ACF"/>
    <w:rsid w:val="1FF35744"/>
    <w:rsid w:val="1FF6BC77"/>
    <w:rsid w:val="2186353C"/>
    <w:rsid w:val="23860B96"/>
    <w:rsid w:val="240371BF"/>
    <w:rsid w:val="244F3473"/>
    <w:rsid w:val="24C97D99"/>
    <w:rsid w:val="25A718F0"/>
    <w:rsid w:val="25BB59F6"/>
    <w:rsid w:val="260F557C"/>
    <w:rsid w:val="26970054"/>
    <w:rsid w:val="281408E2"/>
    <w:rsid w:val="28D07A65"/>
    <w:rsid w:val="29FD04D3"/>
    <w:rsid w:val="2B13167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5E6413B"/>
    <w:rsid w:val="36AA5135"/>
    <w:rsid w:val="36BE0DA7"/>
    <w:rsid w:val="376B6AA6"/>
    <w:rsid w:val="376D39B2"/>
    <w:rsid w:val="37E16F03"/>
    <w:rsid w:val="37F53A3B"/>
    <w:rsid w:val="389B6C89"/>
    <w:rsid w:val="38D469F0"/>
    <w:rsid w:val="3923069E"/>
    <w:rsid w:val="39627CCD"/>
    <w:rsid w:val="397BAF1F"/>
    <w:rsid w:val="3AB79AF3"/>
    <w:rsid w:val="3AE834C0"/>
    <w:rsid w:val="3B7EF35A"/>
    <w:rsid w:val="3B9FDB6C"/>
    <w:rsid w:val="3BF5BC2F"/>
    <w:rsid w:val="3CEBA265"/>
    <w:rsid w:val="3D98207C"/>
    <w:rsid w:val="3DEE7CF3"/>
    <w:rsid w:val="3E740A63"/>
    <w:rsid w:val="3E78745D"/>
    <w:rsid w:val="3E932737"/>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01913B8"/>
    <w:rsid w:val="537E6D0A"/>
    <w:rsid w:val="53912822"/>
    <w:rsid w:val="53F74C96"/>
    <w:rsid w:val="55170BA8"/>
    <w:rsid w:val="553218C9"/>
    <w:rsid w:val="567E1AA5"/>
    <w:rsid w:val="56E47B74"/>
    <w:rsid w:val="57175D52"/>
    <w:rsid w:val="57AC0363"/>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26476"/>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96F86"/>
    <w:rsid w:val="783E271A"/>
    <w:rsid w:val="78616DE9"/>
    <w:rsid w:val="78E875D7"/>
    <w:rsid w:val="78F717A4"/>
    <w:rsid w:val="79086DAD"/>
    <w:rsid w:val="794152D2"/>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table of figures"/>
    <w:basedOn w:val="1"/>
    <w:next w:val="1"/>
    <w:qFormat/>
    <w:uiPriority w:val="0"/>
    <w:pPr>
      <w:spacing w:before="100" w:beforeAutospacing="1" w:after="100" w:afterAutospacing="1"/>
      <w:ind w:left="400" w:leftChars="200" w:hanging="200" w:hangingChars="200"/>
    </w:pPr>
    <w:rPr>
      <w:kern w:val="0"/>
      <w:sz w:val="20"/>
      <w:szCs w:val="21"/>
    </w:rPr>
  </w:style>
  <w:style w:type="paragraph" w:styleId="6">
    <w:name w:val="Body Text"/>
    <w:basedOn w:val="1"/>
    <w:link w:val="28"/>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99"/>
    <w:pPr>
      <w:spacing w:beforeAutospacing="1" w:afterAutospacing="1"/>
      <w:jc w:val="left"/>
    </w:pPr>
    <w:rPr>
      <w:kern w:val="0"/>
      <w:sz w:val="2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常用样式（方正仿宋简）"/>
    <w:basedOn w:val="1"/>
    <w:qFormat/>
    <w:uiPriority w:val="99"/>
    <w:pPr>
      <w:spacing w:line="560" w:lineRule="exact"/>
      <w:ind w:firstLine="640" w:firstLineChars="200"/>
    </w:pPr>
    <w:rPr>
      <w:rFonts w:ascii="Times New Roman" w:hAnsi="Times New Roman" w:eastAsia="方正仿宋简体"/>
      <w:sz w:val="32"/>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8"/>
    <w:semiHidden/>
    <w:qFormat/>
    <w:uiPriority w:val="99"/>
    <w:rPr>
      <w:rFonts w:ascii="Times New Roman" w:hAnsi="Times New Roman"/>
      <w:sz w:val="18"/>
      <w:szCs w:val="18"/>
    </w:rPr>
  </w:style>
  <w:style w:type="character" w:customStyle="1" w:styleId="24">
    <w:name w:val="页眉 字符"/>
    <w:link w:val="12"/>
    <w:semiHidden/>
    <w:qFormat/>
    <w:locked/>
    <w:uiPriority w:val="99"/>
    <w:rPr>
      <w:sz w:val="18"/>
    </w:rPr>
  </w:style>
  <w:style w:type="character" w:customStyle="1" w:styleId="25">
    <w:name w:val="Footer Char"/>
    <w:basedOn w:val="18"/>
    <w:semiHidden/>
    <w:qFormat/>
    <w:uiPriority w:val="99"/>
    <w:rPr>
      <w:rFonts w:ascii="Times New Roman" w:hAnsi="Times New Roman"/>
      <w:sz w:val="18"/>
      <w:szCs w:val="18"/>
    </w:rPr>
  </w:style>
  <w:style w:type="character" w:customStyle="1" w:styleId="26">
    <w:name w:val="页脚 字符"/>
    <w:link w:val="11"/>
    <w:qFormat/>
    <w:locked/>
    <w:uiPriority w:val="99"/>
    <w:rPr>
      <w:sz w:val="18"/>
    </w:rPr>
  </w:style>
  <w:style w:type="character" w:customStyle="1" w:styleId="27">
    <w:name w:val="Body Text Char"/>
    <w:basedOn w:val="18"/>
    <w:semiHidden/>
    <w:qFormat/>
    <w:uiPriority w:val="99"/>
    <w:rPr>
      <w:rFonts w:ascii="Times New Roman" w:hAnsi="Times New Roman"/>
      <w:szCs w:val="24"/>
    </w:rPr>
  </w:style>
  <w:style w:type="character" w:customStyle="1" w:styleId="28">
    <w:name w:val="正文文本 字符"/>
    <w:link w:val="6"/>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字符"/>
    <w:basedOn w:val="18"/>
    <w:link w:val="3"/>
    <w:qFormat/>
    <w:uiPriority w:val="9"/>
    <w:rPr>
      <w:rFonts w:ascii="Times New Roman" w:hAnsi="Times New Roman"/>
      <w:b/>
      <w:bCs/>
      <w:kern w:val="44"/>
      <w:sz w:val="44"/>
      <w:szCs w:val="44"/>
    </w:rPr>
  </w:style>
  <w:style w:type="character" w:customStyle="1" w:styleId="32">
    <w:name w:val="标题 2 字符"/>
    <w:basedOn w:val="18"/>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8"/>
    <w:link w:val="10"/>
    <w:semiHidden/>
    <w:qFormat/>
    <w:uiPriority w:val="99"/>
    <w:rPr>
      <w:rFonts w:ascii="Times New Roman" w:hAnsi="Times New Roman"/>
      <w:kern w:val="2"/>
      <w:sz w:val="18"/>
      <w:szCs w:val="18"/>
    </w:rPr>
  </w:style>
  <w:style w:type="character" w:customStyle="1" w:styleId="35">
    <w:name w:val="标题 3 字符"/>
    <w:basedOn w:val="18"/>
    <w:link w:val="5"/>
    <w:qFormat/>
    <w:uiPriority w:val="9"/>
    <w:rPr>
      <w:rFonts w:ascii="Times New Roman" w:hAnsi="Times New Roman"/>
      <w:b/>
      <w:bCs/>
      <w:kern w:val="2"/>
      <w:sz w:val="32"/>
      <w:szCs w:val="32"/>
    </w:rPr>
  </w:style>
  <w:style w:type="paragraph" w:customStyle="1" w:styleId="3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paragraph" w:customStyle="1" w:styleId="38">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styleId="39">
    <w:name w:val="No Spacing"/>
    <w:qFormat/>
    <w:uiPriority w:val="1"/>
    <w:pPr>
      <w:jc w:val="both"/>
      <w:textAlignment w:val="baseline"/>
    </w:pPr>
    <w:rPr>
      <w:rFonts w:ascii="Times New Roman" w:hAnsi="Times New Roman" w:eastAsia="宋体" w:cs="Times New Roman"/>
      <w:color w:val="000000"/>
      <w:sz w:val="21"/>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3"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5"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3"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[工作簿1]Sheet1!$A$5</c:f>
              <c:strCache>
                <c:ptCount val="1"/>
                <c:pt idx="0">
                  <c:v>收入、支出总计</c:v>
                </c:pt>
              </c:strCache>
            </c:strRef>
          </c:tx>
          <c:spPr>
            <a:solidFill>
              <a:schemeClr val="accent1"/>
            </a:solidFill>
            <a:ln>
              <a:noFill/>
            </a:ln>
            <a:effectLst/>
          </c:spPr>
          <c:invertIfNegative val="0"/>
          <c:dLbls>
            <c:delete val="1"/>
          </c:dLbls>
          <c:cat>
            <c:strRef>
              <c:f>[工作簿1]Sheet1!$B$4:$C$4</c:f>
              <c:strCache>
                <c:ptCount val="2"/>
                <c:pt idx="0">
                  <c:v>2024年度</c:v>
                </c:pt>
                <c:pt idx="1">
                  <c:v>2023年度</c:v>
                </c:pt>
              </c:strCache>
            </c:strRef>
          </c:cat>
          <c:val>
            <c:numRef>
              <c:f>[工作簿1]Sheet1!$B$5:$C$5</c:f>
              <c:numCache>
                <c:formatCode>General</c:formatCode>
                <c:ptCount val="2"/>
                <c:pt idx="0">
                  <c:v>706.88</c:v>
                </c:pt>
                <c:pt idx="1">
                  <c:v>670.46</c:v>
                </c:pt>
              </c:numCache>
            </c:numRef>
          </c:val>
        </c:ser>
        <c:dLbls>
          <c:showLegendKey val="0"/>
          <c:showVal val="0"/>
          <c:showCatName val="0"/>
          <c:showSerName val="0"/>
          <c:showPercent val="0"/>
          <c:showBubbleSize val="0"/>
        </c:dLbls>
        <c:gapWidth val="219"/>
        <c:overlap val="-27"/>
        <c:axId val="823538891"/>
        <c:axId val="463042892"/>
      </c:barChart>
      <c:catAx>
        <c:axId val="82353889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3042892"/>
        <c:crosses val="autoZero"/>
        <c:auto val="1"/>
        <c:lblAlgn val="ctr"/>
        <c:lblOffset val="100"/>
        <c:noMultiLvlLbl val="0"/>
      </c:catAx>
      <c:valAx>
        <c:axId val="4630428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35388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[工作簿1]Sheet1!$B$3:$B$4</c:f>
              <c:strCache>
                <c:ptCount val="1"/>
                <c:pt idx="0">
                  <c:v>2024年度收入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[工作簿1]Sheet1!$A$5:$A$6</c:f>
              <c:strCache>
                <c:ptCount val="2"/>
                <c:pt idx="0">
                  <c:v>一般公共预算财政拨款收入</c:v>
                </c:pt>
                <c:pt idx="1">
                  <c:v>其他收入</c:v>
                </c:pt>
              </c:strCache>
            </c:strRef>
          </c:cat>
          <c:val>
            <c:numRef>
              <c:f>[工作簿1]Sheet1!$B$5:$B$6</c:f>
              <c:numCache>
                <c:formatCode>General</c:formatCode>
                <c:ptCount val="2"/>
                <c:pt idx="0">
                  <c:v>694.25</c:v>
                </c:pt>
                <c:pt idx="1">
                  <c:v>10.3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[工作簿1]Sheet1!$B$4</c:f>
              <c:strCache>
                <c:ptCount val="1"/>
                <c:pt idx="0">
                  <c:v>2024年度支出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[工作簿1]Sheet1!$A$5:$A$6</c:f>
              <c:strCache>
                <c:ptCount val="2"/>
                <c:pt idx="0">
                  <c:v>基本支出</c:v>
                </c:pt>
                <c:pt idx="1">
                  <c:v>项目支出</c:v>
                </c:pt>
              </c:strCache>
            </c:strRef>
          </c:cat>
          <c:val>
            <c:numRef>
              <c:f>[工作簿1]Sheet1!$B$5:$B$6</c:f>
              <c:numCache>
                <c:formatCode>General</c:formatCode>
                <c:ptCount val="2"/>
                <c:pt idx="0">
                  <c:v>537.98</c:v>
                </c:pt>
                <c:pt idx="1">
                  <c:v>159.6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[工作簿1]Sheet1!$C$3</c:f>
              <c:strCache>
                <c:ptCount val="1"/>
                <c:pt idx="0">
                  <c:v>2024年</c:v>
                </c:pt>
              </c:strCache>
            </c:strRef>
          </c:tx>
          <c:spPr>
            <a:solidFill>
              <a:schemeClr val="accent1"/>
            </a:solidFill>
            <a:ln>
              <a:noFill/>
            </a:ln>
            <a:effectLst/>
          </c:spPr>
          <c:invertIfNegative val="0"/>
          <c:dLbls>
            <c:delete val="1"/>
          </c:dLbls>
          <c:cat>
            <c:strRef>
              <c:f>[工作簿1]Sheet1!$B$4:$B$6</c:f>
              <c:strCache>
                <c:ptCount val="3"/>
                <c:pt idx="0">
                  <c:v>财政拨款收入总计</c:v>
                </c:pt>
                <c:pt idx="1">
                  <c:v>财政拨款支出总计</c:v>
                </c:pt>
              </c:strCache>
            </c:strRef>
          </c:cat>
          <c:val>
            <c:numRef>
              <c:f>[工作簿1]Sheet1!$C$4:$C$6</c:f>
              <c:numCache>
                <c:formatCode>General</c:formatCode>
                <c:ptCount val="3"/>
                <c:pt idx="0">
                  <c:v>694.25</c:v>
                </c:pt>
                <c:pt idx="1">
                  <c:v>694.25</c:v>
                </c:pt>
              </c:numCache>
            </c:numRef>
          </c:val>
        </c:ser>
        <c:ser>
          <c:idx val="1"/>
          <c:order val="1"/>
          <c:tx>
            <c:strRef>
              <c:f>[工作簿1]Sheet1!$D$3</c:f>
              <c:strCache>
                <c:ptCount val="1"/>
                <c:pt idx="0">
                  <c:v>2023年</c:v>
                </c:pt>
              </c:strCache>
            </c:strRef>
          </c:tx>
          <c:spPr>
            <a:solidFill>
              <a:schemeClr val="accent2"/>
            </a:solidFill>
            <a:ln>
              <a:noFill/>
            </a:ln>
            <a:effectLst/>
          </c:spPr>
          <c:invertIfNegative val="0"/>
          <c:dLbls>
            <c:delete val="1"/>
          </c:dLbls>
          <c:cat>
            <c:strRef>
              <c:f>[工作簿1]Sheet1!$B$4:$B$6</c:f>
              <c:strCache>
                <c:ptCount val="3"/>
                <c:pt idx="0">
                  <c:v>财政拨款收入总计</c:v>
                </c:pt>
                <c:pt idx="1">
                  <c:v>财政拨款支出总计</c:v>
                </c:pt>
              </c:strCache>
            </c:strRef>
          </c:cat>
          <c:val>
            <c:numRef>
              <c:f>[工作簿1]Sheet1!$D$4:$D$6</c:f>
              <c:numCache>
                <c:formatCode>General</c:formatCode>
                <c:ptCount val="3"/>
                <c:pt idx="0">
                  <c:v>666.46</c:v>
                </c:pt>
                <c:pt idx="1">
                  <c:v>666.46</c:v>
                </c:pt>
              </c:numCache>
            </c:numRef>
          </c:val>
        </c:ser>
        <c:dLbls>
          <c:showLegendKey val="0"/>
          <c:showVal val="0"/>
          <c:showCatName val="0"/>
          <c:showSerName val="0"/>
          <c:showPercent val="0"/>
          <c:showBubbleSize val="0"/>
        </c:dLbls>
        <c:gapWidth val="219"/>
        <c:overlap val="-27"/>
        <c:axId val="870716862"/>
        <c:axId val="864921430"/>
      </c:barChart>
      <c:catAx>
        <c:axId val="87071686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4921430"/>
        <c:crosses val="autoZero"/>
        <c:auto val="1"/>
        <c:lblAlgn val="ctr"/>
        <c:lblOffset val="100"/>
        <c:noMultiLvlLbl val="0"/>
      </c:catAx>
      <c:valAx>
        <c:axId val="86492143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071686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[工作簿3]Sheet1!$E$5:$E$6</c:f>
              <c:strCache>
                <c:ptCount val="1"/>
                <c:pt idx="0">
                  <c:v>2024年</c:v>
                </c:pt>
              </c:strCache>
            </c:strRef>
          </c:tx>
          <c:spPr>
            <a:solidFill>
              <a:schemeClr val="accent1"/>
            </a:solidFill>
            <a:ln>
              <a:noFill/>
            </a:ln>
            <a:effectLst/>
          </c:spPr>
          <c:invertIfNegative val="0"/>
          <c:dLbls>
            <c:delete val="1"/>
          </c:dLbls>
          <c:cat>
            <c:strRef>
              <c:f>[工作簿3]Sheet1!$D$7:$D$8</c:f>
              <c:strCache>
                <c:ptCount val="2"/>
                <c:pt idx="0">
                  <c:v>一般公共预算财政拨款支出</c:v>
                </c:pt>
              </c:strCache>
            </c:strRef>
          </c:cat>
          <c:val>
            <c:numRef>
              <c:f>[工作簿3]Sheet1!$E$7:$E$8</c:f>
              <c:numCache>
                <c:formatCode>General</c:formatCode>
                <c:ptCount val="2"/>
                <c:pt idx="0">
                  <c:v>694.25</c:v>
                </c:pt>
              </c:numCache>
            </c:numRef>
          </c:val>
        </c:ser>
        <c:ser>
          <c:idx val="1"/>
          <c:order val="1"/>
          <c:tx>
            <c:strRef>
              <c:f>[工作簿3]Sheet1!$F$5:$F$6</c:f>
              <c:strCache>
                <c:ptCount val="1"/>
                <c:pt idx="0">
                  <c:v>2023年</c:v>
                </c:pt>
              </c:strCache>
            </c:strRef>
          </c:tx>
          <c:spPr>
            <a:solidFill>
              <a:schemeClr val="accent2"/>
            </a:solidFill>
            <a:ln>
              <a:noFill/>
            </a:ln>
            <a:effectLst/>
          </c:spPr>
          <c:invertIfNegative val="0"/>
          <c:dLbls>
            <c:delete val="1"/>
          </c:dLbls>
          <c:cat>
            <c:strRef>
              <c:f>[工作簿3]Sheet1!$D$7:$D$8</c:f>
              <c:strCache>
                <c:ptCount val="2"/>
                <c:pt idx="0">
                  <c:v>一般公共预算财政拨款支出</c:v>
                </c:pt>
              </c:strCache>
            </c:strRef>
          </c:cat>
          <c:val>
            <c:numRef>
              <c:f>[工作簿3]Sheet1!$F$7:$F$8</c:f>
              <c:numCache>
                <c:formatCode>General</c:formatCode>
                <c:ptCount val="2"/>
                <c:pt idx="0">
                  <c:v>666.46</c:v>
                </c:pt>
              </c:numCache>
            </c:numRef>
          </c:val>
        </c:ser>
        <c:dLbls>
          <c:showLegendKey val="0"/>
          <c:showVal val="0"/>
          <c:showCatName val="0"/>
          <c:showSerName val="0"/>
          <c:showPercent val="0"/>
          <c:showBubbleSize val="0"/>
        </c:dLbls>
        <c:gapWidth val="219"/>
        <c:overlap val="-27"/>
        <c:axId val="774023845"/>
        <c:axId val="20297410"/>
      </c:barChart>
      <c:catAx>
        <c:axId val="77402384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297410"/>
        <c:crosses val="autoZero"/>
        <c:auto val="1"/>
        <c:lblAlgn val="ctr"/>
        <c:lblOffset val="100"/>
        <c:noMultiLvlLbl val="0"/>
      </c:catAx>
      <c:valAx>
        <c:axId val="202974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402384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[工作簿5]Sheet1!$D$5:$D$6</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[工作簿5]Sheet1!$C$7:$C$11</c:f>
              <c:strCache>
                <c:ptCount val="5"/>
                <c:pt idx="0">
                  <c:v>一般公共服务支出</c:v>
                </c:pt>
                <c:pt idx="1">
                  <c:v>社会保障和就业支出</c:v>
                </c:pt>
                <c:pt idx="2">
                  <c:v>卫生健康支出</c:v>
                </c:pt>
                <c:pt idx="3">
                  <c:v>住房保障支出</c:v>
                </c:pt>
              </c:strCache>
            </c:strRef>
          </c:cat>
          <c:val>
            <c:numRef>
              <c:f>[工作簿5]Sheet1!$D$7:$D$11</c:f>
              <c:numCache>
                <c:formatCode>General</c:formatCode>
                <c:ptCount val="5"/>
                <c:pt idx="0">
                  <c:v>567.08</c:v>
                </c:pt>
                <c:pt idx="1">
                  <c:v>61.25</c:v>
                </c:pt>
                <c:pt idx="2">
                  <c:v>29.3</c:v>
                </c:pt>
                <c:pt idx="3">
                  <c:v>36.62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[工作簿3]Sheet1!$D$6</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[工作簿3]Sheet1!$C$7:$C$8</c:f>
              <c:strCache>
                <c:ptCount val="2"/>
                <c:pt idx="0">
                  <c:v>公务用车运行费</c:v>
                </c:pt>
              </c:strCache>
            </c:strRef>
          </c:cat>
          <c:val>
            <c:numRef>
              <c:f>[工作簿3]Sheet1!$D$7:$D$8</c:f>
              <c:numCache>
                <c:formatCode>General</c:formatCode>
                <c:ptCount val="2"/>
                <c:pt idx="0">
                  <c:v>7.02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1281</Words>
  <Characters>7302</Characters>
  <Lines>60</Lines>
  <Paragraphs>17</Paragraphs>
  <TotalTime>9</TotalTime>
  <ScaleCrop>false</ScaleCrop>
  <LinksUpToDate>false</LinksUpToDate>
  <CharactersWithSpaces>8566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RP</cp:lastModifiedBy>
  <cp:lastPrinted>2025-08-06T17:34:00Z</cp:lastPrinted>
  <dcterms:modified xsi:type="dcterms:W3CDTF">2025-09-09T02:43:49Z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04787F2533EB45DC91BCDE4AB213247F</vt:lpwstr>
  </property>
  <property fmtid="{D5CDD505-2E9C-101B-9397-08002B2CF9AE}" pid="4" name="KSOTemplateDocerSaveRecord">
    <vt:lpwstr>eyJoZGlkIjoiNzcxZDY4MmI1OTBjMjE1Nzk5NThjZGNlYmQwYzNkMjQifQ==</vt:lpwstr>
  </property>
</Properties>
</file>