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rPr>
          <w:rFonts w:hint="eastAsia" w:ascii="Times New Roman" w:hAnsi="Times New Roman" w:eastAsia="方正小标宋简体" w:cs="Times New Roman"/>
          <w:color w:val="auto"/>
          <w:kern w:val="2"/>
          <w:sz w:val="72"/>
          <w:szCs w:val="72"/>
          <w:highlight w:val="none"/>
          <w:lang w:val="en-US" w:eastAsia="zh-CN" w:bidi="ar-SA"/>
        </w:rPr>
      </w:pPr>
      <w:bookmarkStart w:id="0" w:name="_Toc15396475"/>
      <w:bookmarkStart w:id="1" w:name="_Toc15306267"/>
      <w:bookmarkStart w:id="2" w:name="_Toc15377425"/>
      <w:bookmarkStart w:id="3" w:name="_Toc15396597"/>
      <w:bookmarkStart w:id="4" w:name="_Toc15377193"/>
      <w:bookmarkStart w:id="5" w:name="_Toc15378441"/>
    </w:p>
    <w:p>
      <w:pPr>
        <w:pStyle w:val="6"/>
        <w:rPr>
          <w:rFonts w:hint="eastAsia" w:ascii="Times New Roman" w:hAnsi="Times New Roman" w:eastAsia="方正小标宋简体" w:cs="Times New Roman"/>
          <w:color w:val="auto"/>
          <w:kern w:val="2"/>
          <w:sz w:val="72"/>
          <w:szCs w:val="72"/>
          <w:highlight w:val="none"/>
          <w:lang w:val="en-US" w:eastAsia="zh-CN" w:bidi="ar-SA"/>
        </w:rPr>
      </w:pPr>
    </w:p>
    <w:p>
      <w:pPr>
        <w:pStyle w:val="6"/>
        <w:rPr>
          <w:rFonts w:hint="eastAsia" w:ascii="Times New Roman" w:hAnsi="Times New Roman" w:eastAsia="方正小标宋简体" w:cs="Times New Roman"/>
          <w:color w:val="auto"/>
          <w:kern w:val="2"/>
          <w:sz w:val="72"/>
          <w:szCs w:val="72"/>
          <w:highlight w:val="none"/>
          <w:lang w:val="en-US" w:eastAsia="zh-CN" w:bidi="ar-SA"/>
        </w:rPr>
      </w:pPr>
    </w:p>
    <w:p>
      <w:pPr>
        <w:adjustRightInd w:val="0"/>
        <w:snapToGrid w:val="0"/>
        <w:spacing w:line="360" w:lineRule="auto"/>
        <w:jc w:val="center"/>
        <w:outlineLvl w:val="0"/>
        <w:rPr>
          <w:rFonts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202</w:t>
      </w:r>
      <w:r>
        <w:rPr>
          <w:rFonts w:hint="eastAsia" w:ascii="方正小标宋简体" w:hAnsi="方正小标宋简体" w:eastAsia="方正小标宋简体" w:cs="方正小标宋简体"/>
          <w:sz w:val="72"/>
          <w:szCs w:val="72"/>
          <w:lang w:val="en-US" w:eastAsia="zh-CN"/>
        </w:rPr>
        <w:t>4</w:t>
      </w:r>
      <w:r>
        <w:rPr>
          <w:rFonts w:hint="eastAsia" w:ascii="方正小标宋简体" w:hAnsi="方正小标宋简体" w:eastAsia="方正小标宋简体" w:cs="方正小标宋简体"/>
          <w:sz w:val="72"/>
          <w:szCs w:val="72"/>
        </w:rPr>
        <w:t>年度四川省阿坝州成都离退休干部休养所(阿坝州驻成都老干部管理服务中心)单位决算</w:t>
      </w:r>
    </w:p>
    <w:p>
      <w:pPr>
        <w:spacing w:line="600" w:lineRule="exact"/>
        <w:jc w:val="center"/>
        <w:outlineLvl w:val="0"/>
        <w:rPr>
          <w:rFonts w:ascii="Times New Roman" w:hAnsi="Times New Roman" w:eastAsia="方正小标宋简体"/>
          <w:color w:val="auto"/>
          <w:sz w:val="72"/>
          <w:szCs w:val="72"/>
          <w:highlight w:val="none"/>
        </w:rPr>
      </w:pPr>
    </w:p>
    <w:p>
      <w:pPr>
        <w:pStyle w:val="2"/>
        <w:rPr>
          <w:rFonts w:ascii="Times New Roman" w:hAnsi="Times New Roman"/>
        </w:rPr>
        <w:sectPr>
          <w:footerReference r:id="rId5" w:type="first"/>
          <w:headerReference r:id="rId3" w:type="default"/>
          <w:footerReference r:id="rId4" w:type="default"/>
          <w:pgSz w:w="11906" w:h="16838"/>
          <w:pgMar w:top="1440" w:right="1800" w:bottom="1440" w:left="1800" w:header="851" w:footer="992" w:gutter="0"/>
          <w:pgNumType w:fmt="numberInDash" w:start="1"/>
          <w:cols w:space="425" w:num="1"/>
          <w:titlePg/>
          <w:docGrid w:type="lines" w:linePitch="312" w:charSpace="0"/>
        </w:sectPr>
      </w:pPr>
    </w:p>
    <w:p>
      <w:pPr>
        <w:rPr>
          <w:rFonts w:ascii="Times New Roman" w:hAnsi="Times New Roman"/>
        </w:rPr>
      </w:pPr>
    </w:p>
    <w:bookmarkEnd w:id="0"/>
    <w:bookmarkEnd w:id="1"/>
    <w:bookmarkEnd w:id="2"/>
    <w:bookmarkEnd w:id="3"/>
    <w:bookmarkEnd w:id="4"/>
    <w:bookmarkEnd w:id="5"/>
    <w:p>
      <w:pPr>
        <w:widowControl/>
        <w:jc w:val="center"/>
        <w:rPr>
          <w:rFonts w:ascii="Times New Roman" w:hAnsi="Times New Roman" w:eastAsia="黑体"/>
          <w:color w:val="auto"/>
          <w:sz w:val="48"/>
          <w:szCs w:val="48"/>
          <w:highlight w:val="none"/>
        </w:rPr>
      </w:pPr>
      <w:r>
        <w:rPr>
          <w:rFonts w:hint="eastAsia" w:ascii="Times New Roman" w:hAnsi="Times New Roman" w:eastAsia="黑体"/>
          <w:color w:val="auto"/>
          <w:sz w:val="48"/>
          <w:szCs w:val="48"/>
          <w:highlight w:val="none"/>
        </w:rPr>
        <w:t>目录</w:t>
      </w:r>
    </w:p>
    <w:p>
      <w:pPr>
        <w:widowControl/>
        <w:jc w:val="center"/>
        <w:rPr>
          <w:rFonts w:ascii="Times New Roman" w:hAnsi="Times New Roman" w:eastAsia="黑体" w:cstheme="minorBidi"/>
          <w:color w:val="auto"/>
          <w:sz w:val="28"/>
          <w:szCs w:val="28"/>
          <w:highlight w:val="none"/>
        </w:rPr>
      </w:pPr>
    </w:p>
    <w:p>
      <w:pPr>
        <w:pStyle w:val="13"/>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公开时间：20</w:t>
      </w:r>
      <w:r>
        <w:rPr>
          <w:rFonts w:hint="eastAsia" w:ascii="Times New Roman" w:hAnsi="Times New Roman" w:eastAsia="仿宋_GB2312" w:cs="仿宋_GB2312"/>
          <w:color w:val="auto"/>
          <w:sz w:val="32"/>
          <w:szCs w:val="32"/>
          <w:highlight w:val="none"/>
          <w:lang w:val="en-US" w:eastAsia="zh-CN"/>
        </w:rPr>
        <w:t>24</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val="en-US" w:eastAsia="zh-CN"/>
        </w:rPr>
        <w:t>9</w:t>
      </w:r>
      <w:r>
        <w:rPr>
          <w:rFonts w:hint="eastAsia" w:ascii="Times New Roman" w:hAnsi="Times New Roman" w:eastAsia="仿宋_GB2312" w:cs="仿宋_GB2312"/>
          <w:color w:val="auto"/>
          <w:sz w:val="32"/>
          <w:szCs w:val="32"/>
          <w:highlight w:val="none"/>
        </w:rPr>
        <w:t>月</w:t>
      </w:r>
      <w:r>
        <w:rPr>
          <w:rFonts w:hint="eastAsia" w:ascii="Times New Roman" w:hAnsi="Times New Roman" w:eastAsia="仿宋_GB2312" w:cs="仿宋_GB2312"/>
          <w:color w:val="auto"/>
          <w:sz w:val="32"/>
          <w:szCs w:val="32"/>
          <w:highlight w:val="none"/>
          <w:lang w:val="en-US" w:eastAsia="zh-CN"/>
        </w:rPr>
        <w:t>5</w:t>
      </w:r>
      <w:r>
        <w:rPr>
          <w:rFonts w:hint="eastAsia" w:ascii="Times New Roman" w:hAnsi="Times New Roman" w:eastAsia="仿宋_GB2312" w:cs="仿宋_GB2312"/>
          <w:color w:val="auto"/>
          <w:sz w:val="32"/>
          <w:szCs w:val="32"/>
          <w:highlight w:val="none"/>
        </w:rPr>
        <w:t>日</w:t>
      </w:r>
    </w:p>
    <w:p>
      <w:pPr>
        <w:rPr>
          <w:rFonts w:ascii="Times New Roman" w:hAnsi="Times New Roman"/>
          <w:color w:val="auto"/>
          <w:highlight w:val="none"/>
        </w:rPr>
      </w:pPr>
    </w:p>
    <w:p>
      <w:pPr>
        <w:pStyle w:val="13"/>
        <w:keepNext w:val="0"/>
        <w:keepLines w:val="0"/>
        <w:pageBreakBefore w:val="0"/>
        <w:numPr>
          <w:ilvl w:val="0"/>
          <w:numId w:val="1"/>
        </w:numPr>
        <w:kinsoku/>
        <w:wordWrap/>
        <w:overflowPunct/>
        <w:topLinePunct w:val="0"/>
        <w:autoSpaceDE/>
        <w:autoSpaceDN/>
        <w:bidi w:val="0"/>
        <w:adjustRightInd w:val="0"/>
        <w:snapToGrid w:val="0"/>
        <w:spacing w:before="0" w:line="560" w:lineRule="exact"/>
        <w:jc w:val="left"/>
        <w:textAlignment w:val="auto"/>
        <w:rPr>
          <w:rFonts w:hint="eastAsia" w:ascii="Times New Roman" w:hAnsi="Times New Roman" w:eastAsia="仿宋" w:cs="黑体"/>
          <w:color w:val="auto"/>
          <w:sz w:val="32"/>
          <w:szCs w:val="32"/>
          <w:highlight w:val="none"/>
          <w:lang w:val="en-US" w:eastAsia="zh-CN"/>
        </w:rPr>
      </w:pPr>
      <w:r>
        <w:rPr>
          <w:rFonts w:hint="eastAsia" w:ascii="Times New Roman" w:hAnsi="Times New Roman" w:eastAsia="黑体" w:cs="黑体"/>
          <w:color w:val="auto"/>
          <w:sz w:val="32"/>
          <w:szCs w:val="32"/>
          <w:highlight w:val="none"/>
        </w:rPr>
        <w:t>部门概况</w:t>
      </w:r>
      <w:r>
        <w:tab/>
      </w:r>
      <w:r>
        <w:rPr>
          <w:rFonts w:hint="eastAsia"/>
          <w:lang w:val="en-US" w:eastAsia="zh-CN"/>
        </w:rPr>
        <w:t>3</w:t>
      </w:r>
    </w:p>
    <w:p>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宋体"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一、</w:t>
      </w:r>
      <w:r>
        <w:rPr>
          <w:rFonts w:hint="eastAsia" w:ascii="Times New Roman" w:hAnsi="Times New Roman" w:eastAsia="仿宋_GB2312" w:cs="仿宋_GB2312"/>
          <w:color w:val="auto"/>
          <w:sz w:val="32"/>
          <w:szCs w:val="32"/>
          <w:highlight w:val="none"/>
          <w:lang w:eastAsia="zh-CN"/>
        </w:rPr>
        <w:t>部门职责</w:t>
      </w:r>
      <w:r>
        <w:tab/>
      </w:r>
      <w:r>
        <w:rPr>
          <w:rFonts w:hint="eastAsia"/>
          <w:lang w:val="en-US" w:eastAsia="zh-CN"/>
        </w:rPr>
        <w:t>3</w:t>
      </w:r>
    </w:p>
    <w:p>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宋体"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二、机构设置</w:t>
      </w:r>
      <w:r>
        <w:tab/>
      </w:r>
      <w:r>
        <w:rPr>
          <w:rFonts w:hint="eastAsia"/>
          <w:lang w:val="en-US" w:eastAsia="zh-CN"/>
        </w:rPr>
        <w:t>3</w:t>
      </w:r>
    </w:p>
    <w:p>
      <w:pPr>
        <w:pStyle w:val="13"/>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eastAsia" w:ascii="Times New Roman" w:hAnsi="Times New Roman" w:eastAsia="仿宋" w:cs="黑体"/>
          <w:color w:val="auto"/>
          <w:sz w:val="32"/>
          <w:szCs w:val="32"/>
          <w:highlight w:val="none"/>
          <w:lang w:val="en-US" w:eastAsia="zh-CN"/>
        </w:rPr>
      </w:pPr>
      <w:r>
        <w:rPr>
          <w:rFonts w:hint="eastAsia" w:ascii="Times New Roman" w:hAnsi="Times New Roman" w:eastAsia="黑体" w:cs="黑体"/>
          <w:color w:val="auto"/>
          <w:sz w:val="32"/>
          <w:szCs w:val="32"/>
          <w:highlight w:val="none"/>
        </w:rPr>
        <w:t>第二部分</w:t>
      </w:r>
      <w:r>
        <w:rPr>
          <w:rFonts w:hint="eastAsia" w:ascii="Times New Roman" w:hAnsi="Times New Roman" w:eastAsia="黑体" w:cs="黑体"/>
          <w:color w:val="auto"/>
          <w:sz w:val="32"/>
          <w:szCs w:val="32"/>
          <w:highlight w:val="none"/>
          <w:lang w:val="en-US" w:eastAsia="zh-CN"/>
        </w:rPr>
        <w:t xml:space="preserve"> 2024年度</w:t>
      </w:r>
      <w:r>
        <w:rPr>
          <w:rFonts w:hint="eastAsia" w:ascii="Times New Roman" w:hAnsi="Times New Roman" w:eastAsia="黑体" w:cs="黑体"/>
          <w:color w:val="auto"/>
          <w:sz w:val="32"/>
          <w:szCs w:val="32"/>
          <w:highlight w:val="none"/>
        </w:rPr>
        <w:t>部门决算情况说明</w:t>
      </w:r>
      <w:r>
        <w:tab/>
      </w:r>
      <w:r>
        <w:rPr>
          <w:rFonts w:hint="eastAsia"/>
          <w:lang w:val="en-US" w:eastAsia="zh-CN"/>
        </w:rPr>
        <w:t>4</w:t>
      </w:r>
    </w:p>
    <w:p>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宋体"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一、收入支出决算总体情况说明</w:t>
      </w:r>
      <w:r>
        <w:tab/>
      </w:r>
      <w:r>
        <w:rPr>
          <w:rFonts w:hint="eastAsia"/>
          <w:lang w:val="en-US" w:eastAsia="zh-CN"/>
        </w:rPr>
        <w:t>4</w:t>
      </w:r>
    </w:p>
    <w:p>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宋体"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二、收入决算情况说明</w:t>
      </w:r>
      <w:r>
        <w:tab/>
      </w:r>
      <w:r>
        <w:rPr>
          <w:rFonts w:hint="eastAsia"/>
          <w:lang w:val="en-US" w:eastAsia="zh-CN"/>
        </w:rPr>
        <w:t>4</w:t>
      </w:r>
    </w:p>
    <w:p>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宋体"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三、支出决算情况说明</w:t>
      </w:r>
      <w:r>
        <w:tab/>
      </w:r>
      <w:r>
        <w:rPr>
          <w:rFonts w:hint="eastAsia"/>
          <w:lang w:val="en-US" w:eastAsia="zh-CN"/>
        </w:rPr>
        <w:t>5</w:t>
      </w:r>
    </w:p>
    <w:p>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宋体"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四、财政拨款收入支出决算总体情况说明</w:t>
      </w:r>
      <w:r>
        <w:tab/>
      </w:r>
      <w:r>
        <w:rPr>
          <w:rFonts w:hint="eastAsia"/>
          <w:lang w:val="en-US" w:eastAsia="zh-CN"/>
        </w:rPr>
        <w:t>6</w:t>
      </w:r>
    </w:p>
    <w:p>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宋体"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五、一般公共预算财政拨款支出决算情况说明</w:t>
      </w:r>
      <w:r>
        <w:tab/>
      </w:r>
      <w:r>
        <w:rPr>
          <w:rFonts w:hint="eastAsia"/>
          <w:lang w:val="en-US" w:eastAsia="zh-CN"/>
        </w:rPr>
        <w:t>7</w:t>
      </w:r>
    </w:p>
    <w:p>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宋体"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六、一般公共预算财政拨款基本支出决算情况说明</w:t>
      </w:r>
      <w:r>
        <w:tab/>
      </w:r>
      <w:r>
        <w:rPr>
          <w:rFonts w:hint="eastAsia"/>
          <w:lang w:val="en-US" w:eastAsia="zh-CN"/>
        </w:rPr>
        <w:t>9</w:t>
      </w:r>
    </w:p>
    <w:p>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宋体"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七、财政拨款</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rPr>
        <w:t>三公”经费支出决算情况说明</w:t>
      </w:r>
      <w:r>
        <w:tab/>
      </w:r>
      <w:r>
        <w:rPr>
          <w:rFonts w:hint="eastAsia"/>
          <w:lang w:val="en-US" w:eastAsia="zh-CN"/>
        </w:rPr>
        <w:t>10</w:t>
      </w:r>
    </w:p>
    <w:p>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宋体"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八、政府性基金预算支出决算情况说明</w:t>
      </w:r>
      <w:r>
        <w:tab/>
      </w:r>
      <w:r>
        <w:rPr>
          <w:rFonts w:hint="eastAsia"/>
          <w:lang w:val="en-US" w:eastAsia="zh-CN"/>
        </w:rPr>
        <w:t>12</w:t>
      </w:r>
    </w:p>
    <w:p>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宋体"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九、</w:t>
      </w:r>
      <w:r>
        <w:rPr>
          <w:rFonts w:hint="eastAsia" w:ascii="Times New Roman" w:hAnsi="Times New Roman" w:eastAsia="仿宋_GB2312" w:cs="仿宋_GB2312"/>
          <w:color w:val="auto"/>
          <w:sz w:val="32"/>
          <w:szCs w:val="32"/>
          <w:highlight w:val="none"/>
          <w:lang w:eastAsia="zh-CN"/>
        </w:rPr>
        <w:t>国</w:t>
      </w:r>
      <w:r>
        <w:rPr>
          <w:rFonts w:hint="eastAsia" w:ascii="Times New Roman" w:hAnsi="Times New Roman" w:eastAsia="仿宋_GB2312" w:cs="仿宋_GB2312"/>
          <w:color w:val="auto"/>
          <w:sz w:val="32"/>
          <w:szCs w:val="32"/>
          <w:highlight w:val="none"/>
        </w:rPr>
        <w:t>有资本经营预算支出决算情况说明</w:t>
      </w:r>
      <w:r>
        <w:tab/>
      </w:r>
      <w:r>
        <w:rPr>
          <w:rFonts w:hint="eastAsia"/>
          <w:lang w:val="en-US" w:eastAsia="zh-CN"/>
        </w:rPr>
        <w:t>12</w:t>
      </w:r>
    </w:p>
    <w:p>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宋体"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eastAsia="zh-CN"/>
        </w:rPr>
        <w:t>十</w:t>
      </w:r>
      <w:r>
        <w:rPr>
          <w:rFonts w:hint="eastAsia" w:ascii="Times New Roman" w:hAnsi="Times New Roman" w:eastAsia="仿宋_GB2312" w:cs="仿宋_GB2312"/>
          <w:color w:val="auto"/>
          <w:sz w:val="32"/>
          <w:szCs w:val="32"/>
          <w:highlight w:val="none"/>
        </w:rPr>
        <w:t>、其他重要事项的情况说明</w:t>
      </w:r>
      <w:r>
        <w:tab/>
      </w:r>
      <w:r>
        <w:rPr>
          <w:rFonts w:hint="eastAsia"/>
          <w:lang w:val="en-US" w:eastAsia="zh-CN"/>
        </w:rPr>
        <w:t>13</w:t>
      </w:r>
    </w:p>
    <w:p>
      <w:pPr>
        <w:pStyle w:val="13"/>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仿宋" w:cs="黑体"/>
          <w:color w:val="auto"/>
          <w:sz w:val="32"/>
          <w:szCs w:val="32"/>
          <w:highlight w:val="none"/>
          <w:lang w:val="en-US" w:eastAsia="zh-CN"/>
        </w:rPr>
      </w:pPr>
      <w:r>
        <w:rPr>
          <w:rFonts w:hint="eastAsia" w:ascii="Times New Roman" w:hAnsi="Times New Roman" w:eastAsia="黑体" w:cs="黑体"/>
          <w:color w:val="auto"/>
          <w:sz w:val="32"/>
          <w:szCs w:val="32"/>
          <w:highlight w:val="none"/>
        </w:rPr>
        <w:t>第三部分 名词解释</w:t>
      </w:r>
      <w:r>
        <w:tab/>
      </w:r>
      <w:r>
        <w:rPr>
          <w:rFonts w:hint="eastAsia"/>
          <w:lang w:val="en-US" w:eastAsia="zh-CN"/>
        </w:rPr>
        <w:t>14</w:t>
      </w:r>
    </w:p>
    <w:p>
      <w:pPr>
        <w:pStyle w:val="13"/>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仿宋" w:cs="黑体"/>
          <w:color w:val="auto"/>
          <w:sz w:val="32"/>
          <w:szCs w:val="32"/>
          <w:highlight w:val="none"/>
          <w:lang w:val="en-US" w:eastAsia="zh-CN"/>
        </w:rPr>
      </w:pPr>
      <w:r>
        <w:rPr>
          <w:rFonts w:hint="eastAsia" w:ascii="Times New Roman" w:hAnsi="Times New Roman" w:eastAsia="黑体" w:cs="黑体"/>
          <w:color w:val="auto"/>
          <w:sz w:val="32"/>
          <w:szCs w:val="32"/>
          <w:highlight w:val="none"/>
        </w:rPr>
        <w:t>第四部分 附件</w:t>
      </w:r>
      <w:r>
        <w:tab/>
      </w:r>
      <w:r>
        <w:rPr>
          <w:rFonts w:hint="eastAsia"/>
          <w:lang w:val="en-US" w:eastAsia="zh-CN"/>
        </w:rPr>
        <w:t>18</w:t>
      </w:r>
    </w:p>
    <w:p>
      <w:pPr>
        <w:pStyle w:val="13"/>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仿宋" w:cs="黑体"/>
          <w:b/>
          <w:bCs/>
          <w:color w:val="auto"/>
          <w:sz w:val="32"/>
          <w:szCs w:val="32"/>
          <w:highlight w:val="none"/>
          <w:lang w:val="en-US" w:eastAsia="zh-CN"/>
        </w:rPr>
      </w:pPr>
      <w:r>
        <w:rPr>
          <w:rFonts w:hint="eastAsia" w:ascii="Times New Roman" w:hAnsi="Times New Roman" w:eastAsia="黑体" w:cs="黑体"/>
          <w:color w:val="auto"/>
          <w:sz w:val="32"/>
          <w:szCs w:val="32"/>
          <w:highlight w:val="none"/>
        </w:rPr>
        <w:t>第五部分 附表</w:t>
      </w:r>
      <w:r>
        <w:tab/>
      </w:r>
      <w:r>
        <w:rPr>
          <w:rFonts w:hint="eastAsia"/>
          <w:lang w:val="en-US" w:eastAsia="zh-CN"/>
        </w:rPr>
        <w:t>35</w:t>
      </w:r>
    </w:p>
    <w:p>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宋体"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一、收入支出决算总表</w:t>
      </w:r>
      <w:r>
        <w:tab/>
      </w:r>
      <w:r>
        <w:rPr>
          <w:rFonts w:hint="eastAsia"/>
          <w:lang w:val="en-US" w:eastAsia="zh-CN"/>
        </w:rPr>
        <w:t>35</w:t>
      </w:r>
    </w:p>
    <w:p>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宋体"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二、收入决算表</w:t>
      </w:r>
      <w:r>
        <w:tab/>
      </w:r>
      <w:r>
        <w:rPr>
          <w:rFonts w:hint="eastAsia"/>
          <w:lang w:val="en-US" w:eastAsia="zh-CN"/>
        </w:rPr>
        <w:t>35</w:t>
      </w:r>
    </w:p>
    <w:p>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宋体"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三、支出决算表</w:t>
      </w:r>
      <w:r>
        <w:tab/>
      </w:r>
      <w:r>
        <w:rPr>
          <w:rFonts w:hint="eastAsia"/>
          <w:lang w:val="en-US" w:eastAsia="zh-CN"/>
        </w:rPr>
        <w:t>35</w:t>
      </w:r>
    </w:p>
    <w:p>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宋体"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四、财政拨款收入支出决算总表</w:t>
      </w:r>
      <w:r>
        <w:tab/>
      </w:r>
      <w:r>
        <w:rPr>
          <w:rFonts w:hint="eastAsia"/>
          <w:lang w:val="en-US" w:eastAsia="zh-CN"/>
        </w:rPr>
        <w:t>35</w:t>
      </w:r>
    </w:p>
    <w:p>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宋体"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五、财政拨款支出决算明细表</w:t>
      </w:r>
      <w:r>
        <w:tab/>
      </w:r>
      <w:r>
        <w:rPr>
          <w:rFonts w:hint="eastAsia"/>
          <w:lang w:val="en-US" w:eastAsia="zh-CN"/>
        </w:rPr>
        <w:t>35</w:t>
      </w:r>
    </w:p>
    <w:p>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宋体"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六、一般公共预算财政拨款支出决算表</w:t>
      </w:r>
      <w:r>
        <w:tab/>
      </w:r>
      <w:r>
        <w:rPr>
          <w:rFonts w:hint="eastAsia"/>
          <w:lang w:val="en-US" w:eastAsia="zh-CN"/>
        </w:rPr>
        <w:t>35</w:t>
      </w:r>
    </w:p>
    <w:p>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宋体"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七、一般公共预算财政拨款支出决算明细表</w:t>
      </w:r>
      <w:r>
        <w:tab/>
      </w:r>
      <w:r>
        <w:rPr>
          <w:rFonts w:hint="eastAsia"/>
          <w:lang w:val="en-US" w:eastAsia="zh-CN"/>
        </w:rPr>
        <w:t>35</w:t>
      </w:r>
    </w:p>
    <w:p>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宋体"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八、一般公共预算财政拨款基本支出决算</w:t>
      </w:r>
      <w:r>
        <w:rPr>
          <w:rFonts w:hint="eastAsia" w:ascii="Times New Roman" w:hAnsi="Times New Roman" w:eastAsia="仿宋_GB2312" w:cs="仿宋_GB2312"/>
          <w:color w:val="auto"/>
          <w:sz w:val="32"/>
          <w:szCs w:val="32"/>
          <w:highlight w:val="none"/>
          <w:lang w:eastAsia="zh-CN"/>
        </w:rPr>
        <w:t>明细</w:t>
      </w:r>
      <w:r>
        <w:rPr>
          <w:rFonts w:hint="eastAsia" w:ascii="Times New Roman" w:hAnsi="Times New Roman" w:eastAsia="仿宋_GB2312" w:cs="仿宋_GB2312"/>
          <w:color w:val="auto"/>
          <w:sz w:val="32"/>
          <w:szCs w:val="32"/>
          <w:highlight w:val="none"/>
        </w:rPr>
        <w:t>表</w:t>
      </w:r>
      <w:r>
        <w:tab/>
      </w:r>
      <w:r>
        <w:rPr>
          <w:rFonts w:hint="eastAsia"/>
          <w:lang w:val="en-US" w:eastAsia="zh-CN"/>
        </w:rPr>
        <w:t>35</w:t>
      </w:r>
    </w:p>
    <w:p>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宋体"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九、一般公共预算财政拨款项目支出决算表</w:t>
      </w:r>
      <w:r>
        <w:tab/>
      </w:r>
      <w:r>
        <w:rPr>
          <w:rFonts w:hint="eastAsia"/>
          <w:lang w:val="en-US" w:eastAsia="zh-CN"/>
        </w:rPr>
        <w:t>35</w:t>
      </w:r>
    </w:p>
    <w:p>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宋体"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十、政府性基金预算财政拨款收入支出决算表</w:t>
      </w:r>
      <w:r>
        <w:tab/>
      </w:r>
      <w:r>
        <w:rPr>
          <w:rFonts w:hint="eastAsia"/>
          <w:lang w:val="en-US" w:eastAsia="zh-CN"/>
        </w:rPr>
        <w:t>35</w:t>
      </w:r>
    </w:p>
    <w:p>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宋体"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十一、国有资本经营预算财政拨款收入支出决算表</w:t>
      </w:r>
      <w:r>
        <w:tab/>
      </w:r>
      <w:r>
        <w:rPr>
          <w:rFonts w:hint="eastAsia"/>
          <w:lang w:val="en-US" w:eastAsia="zh-CN"/>
        </w:rPr>
        <w:t>35</w:t>
      </w:r>
    </w:p>
    <w:p>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宋体"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十二、</w:t>
      </w:r>
      <w:r>
        <w:rPr>
          <w:rFonts w:hint="eastAsia" w:ascii="Times New Roman" w:hAnsi="Times New Roman" w:eastAsia="仿宋_GB2312" w:cs="仿宋_GB2312"/>
          <w:color w:val="auto"/>
          <w:sz w:val="32"/>
          <w:szCs w:val="32"/>
          <w:highlight w:val="none"/>
          <w:lang w:val="en-US" w:eastAsia="zh-CN"/>
        </w:rPr>
        <w:t>国有资本经营预算财政拨款支出决算表</w:t>
      </w:r>
      <w:r>
        <w:tab/>
      </w:r>
      <w:r>
        <w:rPr>
          <w:rFonts w:hint="eastAsia"/>
          <w:lang w:val="en-US" w:eastAsia="zh-CN"/>
        </w:rPr>
        <w:t>35</w:t>
      </w:r>
    </w:p>
    <w:p>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宋体"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十三、财政拨款“三公”经费支出决算表</w:t>
      </w:r>
      <w:r>
        <w:tab/>
      </w:r>
      <w:r>
        <w:rPr>
          <w:rFonts w:hint="eastAsia"/>
          <w:lang w:val="en-US" w:eastAsia="zh-CN"/>
        </w:rPr>
        <w:t>35</w:t>
      </w:r>
    </w:p>
    <w:p>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3" w:firstLineChars="200"/>
        <w:jc w:val="left"/>
        <w:textAlignment w:val="auto"/>
        <w:rPr>
          <w:rFonts w:hint="eastAsia" w:ascii="Times New Roman" w:hAnsi="Times New Roman" w:eastAsia="仿宋_GB2312" w:cs="仿宋_GB2312"/>
          <w:b/>
          <w:bCs/>
          <w:color w:val="auto"/>
          <w:sz w:val="32"/>
          <w:szCs w:val="32"/>
          <w:highlight w:val="none"/>
          <w:lang w:eastAsia="zh-CN"/>
        </w:rPr>
      </w:pPr>
      <w:r>
        <w:rPr>
          <w:rFonts w:hint="eastAsia" w:ascii="Times New Roman" w:hAnsi="Times New Roman" w:eastAsia="仿宋_GB2312" w:cs="仿宋_GB2312"/>
          <w:b/>
          <w:bCs/>
          <w:color w:val="auto"/>
          <w:sz w:val="32"/>
          <w:szCs w:val="32"/>
          <w:highlight w:val="none"/>
          <w:lang w:eastAsia="zh-CN"/>
        </w:rPr>
        <w:t>（</w:t>
      </w:r>
      <w:r>
        <w:rPr>
          <w:rFonts w:hint="eastAsia" w:ascii="Times New Roman" w:hAnsi="Times New Roman" w:eastAsia="仿宋_GB2312" w:cs="仿宋_GB2312"/>
          <w:b/>
          <w:bCs/>
          <w:color w:val="auto"/>
          <w:sz w:val="32"/>
          <w:szCs w:val="32"/>
          <w:highlight w:val="none"/>
        </w:rPr>
        <w:t>注：请部门根据实际注明页码</w:t>
      </w:r>
      <w:r>
        <w:rPr>
          <w:rFonts w:hint="eastAsia" w:ascii="Times New Roman" w:hAnsi="Times New Roman" w:eastAsia="仿宋_GB2312" w:cs="仿宋_GB2312"/>
          <w:b/>
          <w:bCs/>
          <w:color w:val="auto"/>
          <w:sz w:val="32"/>
          <w:szCs w:val="32"/>
          <w:highlight w:val="none"/>
          <w:lang w:eastAsia="zh-CN"/>
        </w:rPr>
        <w:t>）</w:t>
      </w:r>
    </w:p>
    <w:p>
      <w:pPr>
        <w:keepNext w:val="0"/>
        <w:keepLines w:val="0"/>
        <w:pageBreakBefore w:val="0"/>
        <w:widowControl/>
        <w:kinsoku/>
        <w:wordWrap/>
        <w:overflowPunct/>
        <w:topLinePunct w:val="0"/>
        <w:autoSpaceDE/>
        <w:autoSpaceDN/>
        <w:bidi w:val="0"/>
        <w:spacing w:line="560" w:lineRule="exact"/>
        <w:jc w:val="left"/>
        <w:textAlignment w:val="auto"/>
        <w:rPr>
          <w:rFonts w:hint="eastAsia" w:ascii="Times New Roman" w:hAnsi="Times New Roman" w:eastAsia="仿宋_GB2312" w:cs="仿宋_GB2312"/>
          <w:bCs/>
          <w:color w:val="auto"/>
          <w:kern w:val="44"/>
          <w:sz w:val="32"/>
          <w:szCs w:val="32"/>
          <w:highlight w:val="none"/>
        </w:rPr>
      </w:pPr>
      <w:bookmarkStart w:id="6" w:name="_Toc15396599"/>
      <w:bookmarkStart w:id="7" w:name="_Toc15377196"/>
      <w:r>
        <w:rPr>
          <w:rFonts w:hint="eastAsia" w:ascii="Times New Roman" w:hAnsi="Times New Roman" w:eastAsia="仿宋_GB2312" w:cs="仿宋_GB2312"/>
          <w:b/>
          <w:color w:val="auto"/>
          <w:sz w:val="32"/>
          <w:szCs w:val="32"/>
          <w:highlight w:val="none"/>
        </w:rPr>
        <w:br w:type="page"/>
      </w:r>
    </w:p>
    <w:p>
      <w:pPr>
        <w:pStyle w:val="3"/>
        <w:jc w:val="center"/>
        <w:rPr>
          <w:rStyle w:val="28"/>
          <w:rFonts w:hint="eastAsia" w:ascii="Times New Roman" w:hAnsi="Times New Roman" w:eastAsia="方正小标宋简体" w:cs="方正小标宋简体"/>
          <w:b/>
          <w:bCs w:val="0"/>
          <w:color w:val="auto"/>
          <w:highlight w:val="none"/>
        </w:rPr>
      </w:pPr>
      <w:r>
        <w:rPr>
          <w:rFonts w:hint="eastAsia" w:ascii="Times New Roman" w:hAnsi="Times New Roman" w:eastAsia="方正小标宋简体" w:cs="方正小标宋简体"/>
          <w:b w:val="0"/>
          <w:color w:val="auto"/>
          <w:highlight w:val="none"/>
        </w:rPr>
        <w:t>第一部分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Style w:val="28"/>
          <w:rFonts w:hint="eastAsia" w:ascii="Times New Roman" w:hAnsi="Times New Roman" w:eastAsia="方正小标宋简体" w:cs="方正小标宋简体"/>
          <w:b w:val="0"/>
          <w:bCs w:val="0"/>
          <w:color w:val="auto"/>
          <w:highlight w:val="none"/>
        </w:rPr>
        <w:t>部门概况</w:t>
      </w:r>
      <w:bookmarkEnd w:id="6"/>
      <w:bookmarkEnd w:id="7"/>
    </w:p>
    <w:p>
      <w:pPr>
        <w:widowControl/>
        <w:jc w:val="left"/>
        <w:rPr>
          <w:rFonts w:ascii="Times New Roman" w:hAnsi="Times New Roman" w:eastAsia="黑体"/>
          <w:color w:val="auto"/>
          <w:sz w:val="32"/>
          <w:szCs w:val="32"/>
          <w:highlight w:val="none"/>
        </w:rPr>
      </w:pPr>
    </w:p>
    <w:p>
      <w:pPr>
        <w:pStyle w:val="4"/>
        <w:numPr>
          <w:ilvl w:val="0"/>
          <w:numId w:val="0"/>
        </w:numPr>
        <w:rPr>
          <w:rFonts w:hint="eastAsia" w:ascii="Times New Roman" w:hAnsi="Times New Roman" w:eastAsia="黑体"/>
          <w:b w:val="0"/>
          <w:color w:val="auto"/>
          <w:highlight w:val="none"/>
          <w:lang w:eastAsia="zh-CN"/>
        </w:rPr>
      </w:pPr>
      <w:r>
        <w:rPr>
          <w:rFonts w:hint="eastAsia" w:ascii="Times New Roman" w:hAnsi="Times New Roman" w:eastAsia="黑体"/>
          <w:b w:val="0"/>
          <w:color w:val="auto"/>
          <w:highlight w:val="none"/>
          <w:lang w:eastAsia="zh-CN"/>
        </w:rPr>
        <w:t>一、部门职责</w:t>
      </w:r>
    </w:p>
    <w:p>
      <w:pPr>
        <w:spacing w:line="56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认真贯彻执行党和国家有关老干部工作的方针、政策，贯彻执行州委老干部局对干休所工作的总体安排布署，为离退休老干部和老干部工作服务，引导老干部发挥自身特点和优势，围绕工作大局，为党和人民的事业增添正能量，积极稳妥推进离退休干部工作转型发展。</w:t>
      </w:r>
    </w:p>
    <w:p>
      <w:pPr>
        <w:numPr>
          <w:ilvl w:val="0"/>
          <w:numId w:val="0"/>
        </w:numPr>
        <w:rPr>
          <w:rFonts w:hint="eastAsia"/>
          <w:lang w:eastAsia="zh-CN"/>
        </w:rPr>
      </w:pPr>
    </w:p>
    <w:p>
      <w:pPr>
        <w:pStyle w:val="4"/>
        <w:rPr>
          <w:rStyle w:val="29"/>
          <w:rFonts w:ascii="Times New Roman" w:hAnsi="Times New Roman"/>
          <w:b w:val="0"/>
          <w:bCs w:val="0"/>
          <w:color w:val="auto"/>
          <w:highlight w:val="none"/>
        </w:rPr>
      </w:pPr>
      <w:bookmarkStart w:id="8" w:name="_Toc15396601"/>
      <w:bookmarkStart w:id="9" w:name="_Toc15377200"/>
      <w:r>
        <w:rPr>
          <w:rFonts w:hint="eastAsia" w:ascii="Times New Roman" w:hAnsi="Times New Roman" w:eastAsia="黑体"/>
          <w:b w:val="0"/>
          <w:color w:val="auto"/>
          <w:highlight w:val="none"/>
        </w:rPr>
        <w:t>二、机</w:t>
      </w:r>
      <w:r>
        <w:rPr>
          <w:rStyle w:val="29"/>
          <w:rFonts w:hint="eastAsia" w:ascii="Times New Roman" w:hAnsi="Times New Roman" w:eastAsia="黑体"/>
          <w:b w:val="0"/>
          <w:bCs w:val="0"/>
          <w:color w:val="auto"/>
          <w:highlight w:val="none"/>
        </w:rPr>
        <w:t>构设置</w:t>
      </w:r>
      <w:bookmarkEnd w:id="8"/>
      <w:bookmarkEnd w:id="9"/>
    </w:p>
    <w:p>
      <w:pPr>
        <w:spacing w:line="560" w:lineRule="exact"/>
        <w:ind w:firstLine="640" w:firstLineChars="200"/>
        <w:jc w:val="left"/>
        <w:rPr>
          <w:rFonts w:ascii="Times New Roman" w:hAnsi="Times New Roman" w:eastAsia="仿宋"/>
          <w:color w:val="auto"/>
          <w:kern w:val="0"/>
          <w:sz w:val="32"/>
          <w:szCs w:val="32"/>
          <w:highlight w:val="none"/>
        </w:rPr>
      </w:pPr>
      <w:r>
        <w:rPr>
          <w:rFonts w:hint="eastAsia" w:ascii="仿宋_GB2312" w:hAnsi="仿宋_GB2312" w:eastAsia="仿宋_GB2312" w:cs="仿宋_GB2312"/>
          <w:color w:val="auto"/>
          <w:sz w:val="32"/>
          <w:szCs w:val="32"/>
          <w:highlight w:val="none"/>
        </w:rPr>
        <w:t>阿坝州成都离退休干部休养所（阿坝州驻成都老干部管理服务中心）</w:t>
      </w:r>
      <w:r>
        <w:rPr>
          <w:rFonts w:hint="eastAsia" w:ascii="Times New Roman" w:hAnsi="Times New Roman" w:eastAsia="仿宋_GB2312" w:cs="仿宋_GB2312"/>
          <w:color w:val="auto"/>
          <w:sz w:val="32"/>
          <w:szCs w:val="32"/>
          <w:highlight w:val="none"/>
        </w:rPr>
        <w:t>属</w:t>
      </w:r>
      <w:r>
        <w:rPr>
          <w:rFonts w:hint="eastAsia" w:eastAsia="仿宋_GB2312" w:cs="仿宋_GB2312"/>
          <w:color w:val="auto"/>
          <w:sz w:val="32"/>
          <w:szCs w:val="32"/>
          <w:highlight w:val="none"/>
          <w:lang w:eastAsia="zh-CN"/>
        </w:rPr>
        <w:t>于中共阿坝州委老干局的</w:t>
      </w:r>
      <w:r>
        <w:rPr>
          <w:rFonts w:hint="eastAsia" w:ascii="Times New Roman" w:hAnsi="Times New Roman" w:eastAsia="仿宋_GB2312" w:cs="仿宋_GB2312"/>
          <w:color w:val="auto"/>
          <w:sz w:val="32"/>
          <w:szCs w:val="32"/>
          <w:highlight w:val="none"/>
        </w:rPr>
        <w:t>二级</w:t>
      </w:r>
      <w:r>
        <w:rPr>
          <w:rFonts w:hint="eastAsia" w:ascii="Times New Roman" w:hAnsi="Times New Roman" w:eastAsia="仿宋_GB2312" w:cs="仿宋_GB2312"/>
          <w:color w:val="auto"/>
          <w:sz w:val="32"/>
          <w:szCs w:val="32"/>
          <w:highlight w:val="none"/>
          <w:lang w:eastAsia="zh-CN"/>
        </w:rPr>
        <w:t>预算</w:t>
      </w:r>
      <w:r>
        <w:rPr>
          <w:rFonts w:hint="eastAsia" w:ascii="Times New Roman" w:hAnsi="Times New Roman" w:eastAsia="仿宋_GB2312" w:cs="仿宋_GB2312"/>
          <w:color w:val="auto"/>
          <w:sz w:val="32"/>
          <w:szCs w:val="32"/>
          <w:highlight w:val="none"/>
        </w:rPr>
        <w:t>单位。</w:t>
      </w:r>
      <w:r>
        <w:rPr>
          <w:rFonts w:hint="eastAsia" w:ascii="仿宋" w:hAnsi="仿宋" w:eastAsia="仿宋" w:cs="仿宋"/>
          <w:sz w:val="32"/>
          <w:szCs w:val="32"/>
        </w:rPr>
        <w:t>本单位本年度纳入本套决算编制范围的独立编制机构数共1个，独立核算机构数共1个，</w:t>
      </w:r>
      <w:r>
        <w:rPr>
          <w:rFonts w:ascii="仿宋" w:hAnsi="仿宋" w:eastAsia="仿宋" w:cs="仿宋"/>
          <w:sz w:val="32"/>
          <w:szCs w:val="32"/>
        </w:rPr>
        <w:t>总编制</w:t>
      </w:r>
      <w:r>
        <w:rPr>
          <w:rFonts w:hint="eastAsia" w:ascii="仿宋" w:hAnsi="仿宋" w:eastAsia="仿宋" w:cs="仿宋"/>
          <w:sz w:val="32"/>
          <w:szCs w:val="32"/>
        </w:rPr>
        <w:t>10</w:t>
      </w:r>
      <w:r>
        <w:rPr>
          <w:rFonts w:ascii="仿宋" w:hAnsi="仿宋" w:eastAsia="仿宋" w:cs="仿宋"/>
          <w:sz w:val="32"/>
          <w:szCs w:val="32"/>
        </w:rPr>
        <w:t>名，参照公务员法管理的事业编制</w:t>
      </w:r>
      <w:r>
        <w:rPr>
          <w:rFonts w:hint="eastAsia" w:ascii="仿宋" w:hAnsi="仿宋" w:eastAsia="仿宋" w:cs="仿宋"/>
          <w:sz w:val="32"/>
          <w:szCs w:val="32"/>
        </w:rPr>
        <w:t>7</w:t>
      </w:r>
      <w:r>
        <w:rPr>
          <w:rFonts w:ascii="仿宋" w:hAnsi="仿宋" w:eastAsia="仿宋" w:cs="仿宋"/>
          <w:sz w:val="32"/>
          <w:szCs w:val="32"/>
        </w:rPr>
        <w:t>名，工勤编制</w:t>
      </w:r>
      <w:r>
        <w:rPr>
          <w:rFonts w:hint="eastAsia" w:ascii="仿宋" w:hAnsi="仿宋" w:eastAsia="仿宋" w:cs="仿宋"/>
          <w:sz w:val="32"/>
          <w:szCs w:val="32"/>
        </w:rPr>
        <w:t>3</w:t>
      </w:r>
      <w:r>
        <w:rPr>
          <w:rFonts w:ascii="仿宋" w:hAnsi="仿宋" w:eastAsia="仿宋" w:cs="仿宋"/>
          <w:sz w:val="32"/>
          <w:szCs w:val="32"/>
        </w:rPr>
        <w:t>名。在职人员总数</w:t>
      </w:r>
      <w:r>
        <w:rPr>
          <w:rFonts w:hint="eastAsia" w:ascii="仿宋" w:hAnsi="仿宋" w:eastAsia="仿宋" w:cs="仿宋"/>
          <w:sz w:val="32"/>
          <w:szCs w:val="32"/>
        </w:rPr>
        <w:t>10</w:t>
      </w:r>
      <w:r>
        <w:rPr>
          <w:rFonts w:ascii="仿宋" w:hAnsi="仿宋" w:eastAsia="仿宋" w:cs="仿宋"/>
          <w:sz w:val="32"/>
          <w:szCs w:val="32"/>
        </w:rPr>
        <w:t>名，其中：参照公务员法管理的事业人员</w:t>
      </w:r>
      <w:r>
        <w:rPr>
          <w:rFonts w:hint="eastAsia" w:ascii="仿宋" w:hAnsi="仿宋" w:eastAsia="仿宋" w:cs="仿宋"/>
          <w:sz w:val="32"/>
          <w:szCs w:val="32"/>
        </w:rPr>
        <w:t>7</w:t>
      </w:r>
      <w:r>
        <w:rPr>
          <w:rFonts w:ascii="仿宋" w:hAnsi="仿宋" w:eastAsia="仿宋" w:cs="仿宋"/>
          <w:sz w:val="32"/>
          <w:szCs w:val="32"/>
        </w:rPr>
        <w:t>名，工勤人员</w:t>
      </w:r>
      <w:r>
        <w:rPr>
          <w:rFonts w:hint="eastAsia" w:ascii="仿宋" w:hAnsi="仿宋" w:eastAsia="仿宋" w:cs="仿宋"/>
          <w:sz w:val="32"/>
          <w:szCs w:val="32"/>
        </w:rPr>
        <w:t>3</w:t>
      </w:r>
      <w:r>
        <w:rPr>
          <w:rFonts w:ascii="仿宋" w:hAnsi="仿宋" w:eastAsia="仿宋" w:cs="仿宋"/>
          <w:sz w:val="32"/>
          <w:szCs w:val="32"/>
        </w:rPr>
        <w:t>名</w:t>
      </w:r>
      <w:r>
        <w:rPr>
          <w:rFonts w:hint="eastAsia" w:ascii="仿宋" w:hAnsi="仿宋" w:eastAsia="仿宋" w:cs="仿宋"/>
          <w:sz w:val="32"/>
          <w:szCs w:val="32"/>
        </w:rPr>
        <w:t>。</w:t>
      </w:r>
      <w:r>
        <w:rPr>
          <w:rFonts w:ascii="仿宋" w:hAnsi="仿宋" w:eastAsia="仿宋" w:cs="仿宋"/>
          <w:sz w:val="32"/>
          <w:szCs w:val="32"/>
        </w:rPr>
        <w:t>退休人员</w:t>
      </w:r>
      <w:r>
        <w:rPr>
          <w:rFonts w:hint="eastAsia" w:ascii="仿宋" w:hAnsi="仿宋" w:eastAsia="仿宋" w:cs="仿宋"/>
          <w:sz w:val="32"/>
          <w:szCs w:val="32"/>
        </w:rPr>
        <w:t>7</w:t>
      </w:r>
      <w:r>
        <w:rPr>
          <w:rFonts w:ascii="仿宋" w:hAnsi="仿宋" w:eastAsia="仿宋" w:cs="仿宋"/>
          <w:sz w:val="32"/>
          <w:szCs w:val="32"/>
        </w:rPr>
        <w:t>人。</w:t>
      </w:r>
      <w:r>
        <w:rPr>
          <w:rFonts w:ascii="Times New Roman" w:hAnsi="Times New Roman" w:eastAsia="仿宋"/>
          <w:color w:val="auto"/>
          <w:sz w:val="32"/>
          <w:szCs w:val="32"/>
          <w:highlight w:val="none"/>
        </w:rPr>
        <w:br w:type="page"/>
      </w:r>
    </w:p>
    <w:p>
      <w:pPr>
        <w:pStyle w:val="3"/>
        <w:jc w:val="center"/>
        <w:rPr>
          <w:rFonts w:hint="eastAsia" w:ascii="Times New Roman" w:hAnsi="Times New Roman" w:eastAsia="方正小标宋简体" w:cs="方正小标宋简体"/>
          <w:b w:val="0"/>
          <w:color w:val="auto"/>
          <w:highlight w:val="none"/>
        </w:rPr>
      </w:pPr>
      <w:bookmarkStart w:id="10" w:name="_Toc15396602"/>
      <w:bookmarkStart w:id="11" w:name="_Toc15377204"/>
      <w:r>
        <w:rPr>
          <w:rFonts w:hint="eastAsia" w:ascii="Times New Roman" w:hAnsi="Times New Roman" w:eastAsia="方正小标宋简体" w:cs="方正小标宋简体"/>
          <w:b w:val="0"/>
          <w:color w:val="auto"/>
          <w:highlight w:val="none"/>
        </w:rPr>
        <w:t>第二部分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Fonts w:hint="eastAsia" w:ascii="Times New Roman" w:hAnsi="Times New Roman" w:eastAsia="方正小标宋简体" w:cs="方正小标宋简体"/>
          <w:b w:val="0"/>
          <w:color w:val="auto"/>
          <w:highlight w:val="none"/>
          <w:lang w:val="en-US" w:eastAsia="zh-CN"/>
        </w:rPr>
        <w:t>2024年度</w:t>
      </w:r>
      <w:r>
        <w:rPr>
          <w:rFonts w:hint="eastAsia" w:ascii="Times New Roman" w:hAnsi="Times New Roman" w:eastAsia="方正小标宋简体" w:cs="方正小标宋简体"/>
          <w:b w:val="0"/>
          <w:color w:val="auto"/>
          <w:highlight w:val="none"/>
        </w:rPr>
        <w:t>部门决算情况说明</w:t>
      </w:r>
      <w:bookmarkEnd w:id="10"/>
      <w:bookmarkEnd w:id="11"/>
    </w:p>
    <w:p>
      <w:pPr>
        <w:rPr>
          <w:rFonts w:ascii="Times New Roman" w:hAnsi="Times New Roman"/>
          <w:color w:val="auto"/>
          <w:highlight w:val="none"/>
        </w:rPr>
      </w:pPr>
    </w:p>
    <w:p>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29"/>
          <w:rFonts w:hint="eastAsia" w:ascii="Times New Roman" w:hAnsi="Times New Roman" w:eastAsia="黑体"/>
          <w:b w:val="0"/>
          <w:color w:val="auto"/>
          <w:highlight w:val="none"/>
        </w:rPr>
      </w:pPr>
      <w:bookmarkStart w:id="12" w:name="_Toc15377205"/>
      <w:bookmarkStart w:id="13" w:name="_Toc15396603"/>
      <w:r>
        <w:rPr>
          <w:rFonts w:hint="eastAsia" w:ascii="Times New Roman" w:hAnsi="Times New Roman" w:eastAsia="黑体"/>
          <w:color w:val="auto"/>
          <w:sz w:val="32"/>
          <w:szCs w:val="32"/>
          <w:highlight w:val="none"/>
          <w:lang w:eastAsia="zh-CN"/>
        </w:rPr>
        <w:t>一、</w:t>
      </w:r>
      <w:r>
        <w:rPr>
          <w:rFonts w:hint="eastAsia" w:ascii="Times New Roman" w:hAnsi="Times New Roman" w:eastAsia="黑体"/>
          <w:color w:val="auto"/>
          <w:sz w:val="32"/>
          <w:szCs w:val="32"/>
          <w:highlight w:val="none"/>
        </w:rPr>
        <w:t>收</w:t>
      </w:r>
      <w:r>
        <w:rPr>
          <w:rStyle w:val="29"/>
          <w:rFonts w:hint="eastAsia" w:ascii="Times New Roman" w:hAnsi="Times New Roman" w:eastAsia="黑体"/>
          <w:b w:val="0"/>
          <w:color w:val="auto"/>
          <w:highlight w:val="none"/>
        </w:rPr>
        <w:t>入支出决算总体情况说明</w:t>
      </w:r>
      <w:bookmarkEnd w:id="12"/>
      <w:bookmarkEnd w:id="13"/>
    </w:p>
    <w:p>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eastAsia="zh-CN"/>
        </w:rPr>
        <w:t>2024年度收入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w:t>
      </w:r>
      <w:r>
        <w:rPr>
          <w:rFonts w:hint="eastAsia" w:ascii="Times New Roman" w:hAnsi="Times New Roman" w:eastAsia="仿宋_GB2312" w:cs="仿宋_GB2312"/>
          <w:color w:val="auto"/>
          <w:sz w:val="32"/>
          <w:szCs w:val="32"/>
          <w:highlight w:val="none"/>
          <w:lang w:eastAsia="zh-CN"/>
        </w:rPr>
        <w:t>均为</w:t>
      </w:r>
      <w:r>
        <w:rPr>
          <w:rFonts w:hint="eastAsia" w:ascii="仿宋_GB2312" w:hAnsi="仿宋_GB2312" w:eastAsia="仿宋_GB2312" w:cs="仿宋_GB2312"/>
          <w:sz w:val="32"/>
          <w:szCs w:val="32"/>
        </w:rPr>
        <w:t>378.46</w:t>
      </w:r>
      <w:r>
        <w:rPr>
          <w:rFonts w:hint="eastAsia" w:ascii="Times New Roman" w:hAnsi="Times New Roman" w:eastAsia="仿宋_GB2312" w:cs="仿宋_GB2312"/>
          <w:color w:val="auto"/>
          <w:sz w:val="32"/>
          <w:szCs w:val="32"/>
          <w:highlight w:val="none"/>
        </w:rPr>
        <w:t>万元。与</w:t>
      </w:r>
      <w:r>
        <w:rPr>
          <w:rFonts w:hint="eastAsia" w:ascii="Times New Roman" w:hAnsi="Times New Roman" w:eastAsia="仿宋_GB2312" w:cs="仿宋_GB2312"/>
          <w:color w:val="auto"/>
          <w:sz w:val="32"/>
          <w:szCs w:val="32"/>
          <w:highlight w:val="none"/>
          <w:lang w:eastAsia="zh-CN"/>
        </w:rPr>
        <w:t>202</w:t>
      </w:r>
      <w:r>
        <w:rPr>
          <w:rFonts w:hint="eastAsia" w:ascii="Times New Roman" w:hAnsi="Times New Roman" w:eastAsia="仿宋_GB2312" w:cs="仿宋_GB2312"/>
          <w:color w:val="auto"/>
          <w:sz w:val="32"/>
          <w:szCs w:val="32"/>
          <w:highlight w:val="none"/>
          <w:lang w:val="en-US" w:eastAsia="zh-CN"/>
        </w:rPr>
        <w:t>3</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eastAsia="zh-CN"/>
        </w:rPr>
        <w:t>度</w:t>
      </w:r>
      <w:r>
        <w:rPr>
          <w:rFonts w:hint="eastAsia" w:ascii="Times New Roman" w:hAnsi="Times New Roman" w:eastAsia="仿宋_GB2312" w:cs="仿宋_GB2312"/>
          <w:color w:val="auto"/>
          <w:sz w:val="32"/>
          <w:szCs w:val="32"/>
          <w:highlight w:val="none"/>
        </w:rPr>
        <w:t>相比，</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w:t>
      </w:r>
      <w:r>
        <w:rPr>
          <w:rFonts w:hint="eastAsia" w:eastAsia="仿宋_GB2312" w:cs="仿宋_GB2312"/>
          <w:color w:val="auto"/>
          <w:sz w:val="32"/>
          <w:szCs w:val="32"/>
          <w:highlight w:val="none"/>
          <w:lang w:eastAsia="zh-CN"/>
        </w:rPr>
        <w:t>各</w:t>
      </w:r>
      <w:r>
        <w:rPr>
          <w:rFonts w:hint="eastAsia" w:ascii="Times New Roman" w:hAnsi="Times New Roman" w:eastAsia="仿宋_GB2312" w:cs="仿宋_GB2312"/>
          <w:color w:val="auto"/>
          <w:sz w:val="32"/>
          <w:szCs w:val="32"/>
          <w:highlight w:val="none"/>
        </w:rPr>
        <w:t>减少</w:t>
      </w:r>
      <w:r>
        <w:rPr>
          <w:rFonts w:hint="eastAsia" w:eastAsia="仿宋_GB2312" w:cs="仿宋_GB2312"/>
          <w:color w:val="auto"/>
          <w:sz w:val="32"/>
          <w:szCs w:val="32"/>
          <w:highlight w:val="none"/>
          <w:lang w:eastAsia="zh-CN"/>
        </w:rPr>
        <w:t>了</w:t>
      </w:r>
      <w:r>
        <w:rPr>
          <w:rFonts w:hint="eastAsia" w:eastAsia="仿宋_GB2312" w:cs="仿宋_GB2312"/>
          <w:color w:val="auto"/>
          <w:sz w:val="32"/>
          <w:szCs w:val="32"/>
          <w:highlight w:val="none"/>
          <w:lang w:val="en-US" w:eastAsia="zh-CN"/>
        </w:rPr>
        <w:t>18.56</w:t>
      </w:r>
      <w:r>
        <w:rPr>
          <w:rFonts w:hint="eastAsia" w:ascii="Times New Roman" w:hAnsi="Times New Roman" w:eastAsia="仿宋_GB2312" w:cs="仿宋_GB2312"/>
          <w:color w:val="auto"/>
          <w:sz w:val="32"/>
          <w:szCs w:val="32"/>
          <w:highlight w:val="none"/>
        </w:rPr>
        <w:t>万元，下降</w:t>
      </w:r>
      <w:r>
        <w:rPr>
          <w:rFonts w:hint="eastAsia" w:eastAsia="仿宋_GB2312" w:cs="仿宋_GB2312"/>
          <w:color w:val="auto"/>
          <w:sz w:val="32"/>
          <w:szCs w:val="32"/>
          <w:highlight w:val="none"/>
          <w:lang w:val="en-US" w:eastAsia="zh-CN"/>
        </w:rPr>
        <w:t>4</w:t>
      </w:r>
      <w:r>
        <w:rPr>
          <w:rFonts w:hint="eastAsia" w:ascii="Times New Roman" w:hAnsi="Times New Roman" w:eastAsia="仿宋_GB2312" w:cs="仿宋_GB2312"/>
          <w:color w:val="auto"/>
          <w:sz w:val="32"/>
          <w:szCs w:val="32"/>
          <w:highlight w:val="none"/>
        </w:rPr>
        <w:t>%。主要变动原因是</w:t>
      </w:r>
      <w:r>
        <w:rPr>
          <w:rFonts w:hint="eastAsia" w:eastAsia="仿宋_GB2312" w:cs="仿宋_GB2312"/>
          <w:color w:val="auto"/>
          <w:sz w:val="32"/>
          <w:szCs w:val="32"/>
          <w:highlight w:val="none"/>
          <w:lang w:eastAsia="zh-CN"/>
        </w:rPr>
        <w:t>追加州级部门一次性抚恤金及丧葬费。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（图1：</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决算总计变动情况图）（柱状图）</w:t>
      </w:r>
    </w:p>
    <w:p>
      <w:pPr>
        <w:pStyle w:val="2"/>
        <w:rPr>
          <w:rFonts w:hint="eastAsia" w:ascii="Times New Roman" w:hAnsi="Times New Roman" w:eastAsia="仿宋_GB2312" w:cs="仿宋_GB2312"/>
          <w:color w:val="auto"/>
          <w:sz w:val="32"/>
          <w:szCs w:val="32"/>
          <w:highlight w:val="none"/>
        </w:rPr>
      </w:pPr>
      <w:r>
        <w:rPr>
          <w:rFonts w:hint="eastAsia" w:ascii="仿宋_GB2312" w:eastAsia="仿宋_GB2312"/>
          <w:sz w:val="32"/>
          <w:szCs w:val="32"/>
        </w:rPr>
        <w:drawing>
          <wp:anchor distT="0" distB="0" distL="0" distR="0" simplePos="0" relativeHeight="251659264" behindDoc="0" locked="0" layoutInCell="1" allowOverlap="1">
            <wp:simplePos x="0" y="0"/>
            <wp:positionH relativeFrom="column">
              <wp:posOffset>556895</wp:posOffset>
            </wp:positionH>
            <wp:positionV relativeFrom="paragraph">
              <wp:posOffset>156845</wp:posOffset>
            </wp:positionV>
            <wp:extent cx="4138930" cy="2564765"/>
            <wp:effectExtent l="4445" t="4445" r="9525" b="21590"/>
            <wp:wrapSquare wrapText="bothSides"/>
            <wp:docPr id="1"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pPr>
        <w:rPr>
          <w:rFonts w:hint="eastAsia" w:ascii="Times New Roman" w:hAnsi="Times New Roman" w:eastAsia="仿宋_GB2312" w:cs="仿宋_GB2312"/>
          <w:color w:val="auto"/>
          <w:sz w:val="32"/>
          <w:szCs w:val="32"/>
          <w:highlight w:val="none"/>
        </w:rPr>
      </w:pPr>
    </w:p>
    <w:p>
      <w:pPr>
        <w:pStyle w:val="2"/>
        <w:rPr>
          <w:rFonts w:hint="eastAsia" w:ascii="Times New Roman" w:hAnsi="Times New Roman" w:eastAsia="仿宋_GB2312" w:cs="仿宋_GB2312"/>
          <w:color w:val="auto"/>
          <w:sz w:val="32"/>
          <w:szCs w:val="32"/>
          <w:highlight w:val="none"/>
        </w:rPr>
      </w:pPr>
    </w:p>
    <w:p>
      <w:pPr>
        <w:rPr>
          <w:rFonts w:hint="eastAsia" w:ascii="Times New Roman" w:hAnsi="Times New Roman" w:eastAsia="仿宋_GB2312" w:cs="仿宋_GB2312"/>
          <w:color w:val="auto"/>
          <w:sz w:val="32"/>
          <w:szCs w:val="32"/>
          <w:highlight w:val="none"/>
        </w:rPr>
      </w:pPr>
    </w:p>
    <w:p>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color w:val="auto"/>
          <w:sz w:val="32"/>
          <w:szCs w:val="32"/>
          <w:highlight w:val="none"/>
        </w:rPr>
      </w:pPr>
    </w:p>
    <w:p>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olor w:val="auto"/>
          <w:sz w:val="32"/>
          <w:szCs w:val="32"/>
          <w:highlight w:val="none"/>
          <w:lang w:eastAsia="zh-CN"/>
        </w:rPr>
      </w:pPr>
      <w:bookmarkStart w:id="14" w:name="_Toc15396604"/>
      <w:bookmarkStart w:id="15" w:name="_Toc15377206"/>
      <w:r>
        <w:rPr>
          <w:rFonts w:hint="eastAsia" w:ascii="Times New Roman" w:hAnsi="Times New Roman" w:eastAsia="黑体"/>
          <w:color w:val="auto"/>
          <w:sz w:val="32"/>
          <w:szCs w:val="32"/>
          <w:highlight w:val="none"/>
          <w:lang w:eastAsia="zh-CN"/>
        </w:rPr>
        <w:t>二、收入决算情况说明</w:t>
      </w:r>
      <w:bookmarkEnd w:id="14"/>
      <w:bookmarkEnd w:id="15"/>
    </w:p>
    <w:p>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Times New Roman" w:hAnsi="Times New Roman" w:eastAsia="仿宋_GB2312" w:cs="仿宋_GB2312"/>
          <w:b/>
          <w:bCs/>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2024年度本年收入合计</w:t>
      </w:r>
      <w:r>
        <w:rPr>
          <w:rFonts w:hint="eastAsia" w:ascii="仿宋_GB2312" w:hAnsi="仿宋_GB2312" w:eastAsia="仿宋_GB2312" w:cs="仿宋_GB2312"/>
          <w:sz w:val="32"/>
          <w:szCs w:val="32"/>
        </w:rPr>
        <w:t>378.46万元，其中：一般公共预算财政拨款收入378.46</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sz w:val="32"/>
          <w:szCs w:val="32"/>
          <w:highlight w:val="none"/>
          <w:lang w:eastAsia="zh-CN"/>
        </w:rPr>
        <w:t>%；政府性基金预算财政拨款收入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%；国有资本经营预算财政拨款收入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%；上级补助收入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%；事业收入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%；经营收入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%；附属单位上缴收入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%；其他收入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w:t>
      </w:r>
      <w:r>
        <w:rPr>
          <w:rFonts w:hint="eastAsia" w:ascii="Times New Roman" w:hAnsi="Times New Roman" w:eastAsia="仿宋_GB2312" w:cs="仿宋_GB2312"/>
          <w:b/>
          <w:bCs/>
          <w:color w:val="auto"/>
          <w:sz w:val="32"/>
          <w:szCs w:val="32"/>
          <w:highlight w:val="none"/>
          <w:lang w:eastAsia="zh-CN"/>
        </w:rPr>
        <w:t>（注：仅罗列本部门涉及的收入）</w:t>
      </w:r>
    </w:p>
    <w:p>
      <w:pPr>
        <w:ind w:firstLine="800" w:firstLineChars="250"/>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（图2：收入决算结构图）（饼状图）</w:t>
      </w:r>
    </w:p>
    <w:p>
      <w:pPr>
        <w:pStyle w:val="2"/>
        <w:rPr>
          <w:rFonts w:hint="eastAsia" w:ascii="Times New Roman" w:hAnsi="Times New Roman" w:eastAsia="仿宋_GB2312" w:cs="仿宋_GB2312"/>
          <w:color w:val="auto"/>
          <w:sz w:val="32"/>
          <w:szCs w:val="32"/>
          <w:highlight w:val="none"/>
          <w:lang w:eastAsia="zh-CN"/>
        </w:rPr>
      </w:pPr>
      <w:r>
        <w:rPr>
          <w:rFonts w:hint="eastAsia" w:ascii="仿宋_GB2312" w:eastAsia="仿宋_GB2312"/>
          <w:sz w:val="32"/>
          <w:szCs w:val="32"/>
        </w:rPr>
        <w:drawing>
          <wp:anchor distT="0" distB="0" distL="0" distR="0" simplePos="0" relativeHeight="251660288" behindDoc="0" locked="0" layoutInCell="1" allowOverlap="1">
            <wp:simplePos x="0" y="0"/>
            <wp:positionH relativeFrom="column">
              <wp:posOffset>509270</wp:posOffset>
            </wp:positionH>
            <wp:positionV relativeFrom="paragraph">
              <wp:posOffset>50800</wp:posOffset>
            </wp:positionV>
            <wp:extent cx="3928110" cy="3139440"/>
            <wp:effectExtent l="4445" t="5080" r="10795" b="17780"/>
            <wp:wrapSquare wrapText="bothSides"/>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pPr>
        <w:rPr>
          <w:rFonts w:hint="eastAsia" w:ascii="Times New Roman" w:hAnsi="Times New Roman" w:eastAsia="仿宋_GB2312" w:cs="仿宋_GB2312"/>
          <w:color w:val="auto"/>
          <w:sz w:val="32"/>
          <w:szCs w:val="32"/>
          <w:highlight w:val="none"/>
          <w:lang w:eastAsia="zh-CN"/>
        </w:rPr>
      </w:pPr>
    </w:p>
    <w:p>
      <w:pPr>
        <w:pStyle w:val="2"/>
        <w:rPr>
          <w:rFonts w:hint="eastAsia" w:ascii="Times New Roman" w:hAnsi="Times New Roman" w:eastAsia="仿宋_GB2312" w:cs="仿宋_GB2312"/>
          <w:color w:val="auto"/>
          <w:sz w:val="32"/>
          <w:szCs w:val="32"/>
          <w:highlight w:val="none"/>
          <w:lang w:eastAsia="zh-CN"/>
        </w:rPr>
      </w:pPr>
    </w:p>
    <w:p>
      <w:pPr>
        <w:rPr>
          <w:rFonts w:hint="eastAsia" w:ascii="Times New Roman" w:hAnsi="Times New Roman" w:eastAsia="仿宋_GB2312" w:cs="仿宋_GB2312"/>
          <w:color w:val="auto"/>
          <w:sz w:val="32"/>
          <w:szCs w:val="32"/>
          <w:highlight w:val="none"/>
          <w:lang w:eastAsia="zh-CN"/>
        </w:rPr>
      </w:pPr>
    </w:p>
    <w:p>
      <w:pPr>
        <w:pStyle w:val="2"/>
        <w:rPr>
          <w:rFonts w:hint="eastAsia"/>
          <w:lang w:eastAsia="zh-CN"/>
        </w:rPr>
      </w:pPr>
    </w:p>
    <w:p>
      <w:pPr>
        <w:ind w:firstLine="800" w:firstLineChars="250"/>
        <w:rPr>
          <w:rFonts w:hint="eastAsia" w:ascii="Times New Roman" w:hAnsi="Times New Roman" w:eastAsia="仿宋_GB2312" w:cs="仿宋_GB2312"/>
          <w:color w:val="auto"/>
          <w:sz w:val="32"/>
          <w:szCs w:val="32"/>
          <w:highlight w:val="none"/>
          <w:lang w:eastAsia="zh-CN"/>
        </w:rPr>
      </w:pPr>
    </w:p>
    <w:p>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left="319" w:leftChars="152" w:firstLine="320" w:firstLineChars="100"/>
        <w:textAlignment w:val="auto"/>
        <w:outlineLvl w:val="1"/>
        <w:rPr>
          <w:rFonts w:hint="eastAsia" w:ascii="Times New Roman" w:hAnsi="Times New Roman" w:eastAsia="黑体"/>
          <w:color w:val="auto"/>
          <w:sz w:val="32"/>
          <w:szCs w:val="32"/>
          <w:highlight w:val="none"/>
          <w:lang w:eastAsia="zh-CN"/>
        </w:rPr>
      </w:pPr>
      <w:bookmarkStart w:id="16" w:name="_Toc15377207"/>
      <w:bookmarkStart w:id="17" w:name="_Toc15396605"/>
    </w:p>
    <w:p>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left="319" w:leftChars="152" w:firstLine="320" w:firstLineChars="100"/>
        <w:textAlignment w:val="auto"/>
        <w:outlineLvl w:val="1"/>
        <w:rPr>
          <w:rStyle w:val="29"/>
          <w:rFonts w:hint="eastAsia" w:ascii="Times New Roman" w:hAnsi="Times New Roman" w:eastAsia="黑体"/>
          <w:b w:val="0"/>
          <w:color w:val="auto"/>
          <w:highlight w:val="none"/>
        </w:rPr>
      </w:pPr>
      <w:r>
        <w:rPr>
          <w:rFonts w:hint="eastAsia" w:ascii="Times New Roman" w:hAnsi="Times New Roman" w:eastAsia="黑体"/>
          <w:color w:val="auto"/>
          <w:sz w:val="32"/>
          <w:szCs w:val="32"/>
          <w:highlight w:val="none"/>
          <w:lang w:eastAsia="zh-CN"/>
        </w:rPr>
        <w:t>三</w:t>
      </w:r>
      <w:r>
        <w:rPr>
          <w:rFonts w:hint="eastAsia" w:eastAsia="黑体"/>
          <w:color w:val="auto"/>
          <w:sz w:val="32"/>
          <w:szCs w:val="32"/>
          <w:highlight w:val="none"/>
          <w:lang w:eastAsia="zh-CN"/>
        </w:rPr>
        <w:t>、</w:t>
      </w:r>
      <w:r>
        <w:rPr>
          <w:rFonts w:hint="eastAsia" w:ascii="Times New Roman" w:hAnsi="Times New Roman" w:eastAsia="黑体"/>
          <w:color w:val="auto"/>
          <w:sz w:val="32"/>
          <w:szCs w:val="32"/>
          <w:highlight w:val="none"/>
        </w:rPr>
        <w:t>支</w:t>
      </w:r>
      <w:r>
        <w:rPr>
          <w:rStyle w:val="29"/>
          <w:rFonts w:hint="eastAsia" w:ascii="Times New Roman" w:hAnsi="Times New Roman" w:eastAsia="黑体"/>
          <w:b w:val="0"/>
          <w:color w:val="auto"/>
          <w:highlight w:val="none"/>
        </w:rPr>
        <w:t>出决算情况说明</w:t>
      </w:r>
      <w:bookmarkEnd w:id="16"/>
      <w:bookmarkEnd w:id="17"/>
    </w:p>
    <w:p>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Times New Roman" w:hAnsi="Times New Roman"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2024年度本年支出合计</w:t>
      </w:r>
      <w:r>
        <w:rPr>
          <w:rFonts w:hint="eastAsia" w:ascii="仿宋_GB2312" w:hAnsi="仿宋_GB2312" w:eastAsia="仿宋_GB2312" w:cs="仿宋_GB2312"/>
          <w:sz w:val="32"/>
          <w:szCs w:val="32"/>
        </w:rPr>
        <w:t>378.46</w:t>
      </w:r>
      <w:r>
        <w:rPr>
          <w:rFonts w:hint="eastAsia" w:ascii="仿宋_GB2312" w:hAnsi="仿宋_GB2312" w:eastAsia="仿宋_GB2312" w:cs="仿宋_GB2312"/>
          <w:color w:val="auto"/>
          <w:sz w:val="32"/>
          <w:szCs w:val="32"/>
          <w:highlight w:val="none"/>
          <w:lang w:eastAsia="zh-CN"/>
        </w:rPr>
        <w:t>万元，其中：基本支出</w:t>
      </w:r>
      <w:r>
        <w:rPr>
          <w:rFonts w:hint="eastAsia" w:ascii="仿宋_GB2312" w:hAnsi="仿宋_GB2312" w:eastAsia="仿宋_GB2312" w:cs="仿宋_GB2312"/>
          <w:sz w:val="32"/>
          <w:szCs w:val="32"/>
        </w:rPr>
        <w:t>289.58</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76.51</w:t>
      </w:r>
      <w:r>
        <w:rPr>
          <w:rFonts w:hint="eastAsia" w:ascii="仿宋_GB2312" w:hAnsi="仿宋_GB2312" w:eastAsia="仿宋_GB2312" w:cs="仿宋_GB2312"/>
          <w:color w:val="auto"/>
          <w:sz w:val="32"/>
          <w:szCs w:val="32"/>
          <w:highlight w:val="none"/>
          <w:lang w:eastAsia="zh-CN"/>
        </w:rPr>
        <w:t>%；项目支出</w:t>
      </w:r>
      <w:r>
        <w:rPr>
          <w:rFonts w:hint="eastAsia" w:ascii="仿宋_GB2312" w:hAnsi="仿宋_GB2312" w:eastAsia="仿宋_GB2312" w:cs="仿宋_GB2312"/>
          <w:sz w:val="32"/>
          <w:szCs w:val="32"/>
        </w:rPr>
        <w:t>88.89</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23.48</w:t>
      </w:r>
      <w:r>
        <w:rPr>
          <w:rFonts w:hint="eastAsia" w:ascii="仿宋_GB2312" w:hAnsi="仿宋_GB2312" w:eastAsia="仿宋_GB2312" w:cs="仿宋_GB2312"/>
          <w:color w:val="auto"/>
          <w:sz w:val="32"/>
          <w:szCs w:val="32"/>
          <w:highlight w:val="none"/>
          <w:lang w:eastAsia="zh-CN"/>
        </w:rPr>
        <w:t>%；上缴上级支出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%；经营支出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%；对附属单位补助支出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w:t>
      </w:r>
      <w:r>
        <w:rPr>
          <w:rFonts w:hint="eastAsia" w:ascii="Times New Roman" w:hAnsi="Times New Roman" w:eastAsia="仿宋_GB2312" w:cs="仿宋_GB2312"/>
          <w:b/>
          <w:bCs/>
          <w:color w:val="auto"/>
          <w:sz w:val="32"/>
          <w:szCs w:val="32"/>
          <w:highlight w:val="none"/>
          <w:lang w:eastAsia="zh-CN"/>
        </w:rPr>
        <w:t>（注：仅罗列本部门涉及的支出）</w:t>
      </w:r>
    </w:p>
    <w:p>
      <w:pPr>
        <w:ind w:firstLine="800" w:firstLineChars="250"/>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（图3：支出决算结构图）（饼状图）</w:t>
      </w:r>
    </w:p>
    <w:p>
      <w:pPr>
        <w:ind w:firstLine="800" w:firstLineChars="250"/>
        <w:rPr>
          <w:rFonts w:hint="eastAsia" w:ascii="Times New Roman" w:hAnsi="Times New Roman" w:eastAsia="仿宋_GB2312" w:cs="仿宋_GB2312"/>
          <w:color w:val="auto"/>
          <w:sz w:val="32"/>
          <w:szCs w:val="32"/>
          <w:highlight w:val="none"/>
          <w:lang w:eastAsia="zh-CN"/>
        </w:rPr>
      </w:pPr>
    </w:p>
    <w:p>
      <w:pPr>
        <w:pStyle w:val="2"/>
        <w:rPr>
          <w:rFonts w:hint="eastAsia" w:ascii="Times New Roman" w:hAnsi="Times New Roman" w:eastAsia="仿宋_GB2312" w:cs="仿宋_GB2312"/>
          <w:color w:val="auto"/>
          <w:sz w:val="32"/>
          <w:szCs w:val="32"/>
          <w:highlight w:val="none"/>
          <w:lang w:eastAsia="zh-CN"/>
        </w:rPr>
      </w:pPr>
    </w:p>
    <w:p>
      <w:pPr>
        <w:rPr>
          <w:rFonts w:hint="eastAsia" w:ascii="Times New Roman" w:hAnsi="Times New Roman" w:eastAsia="仿宋_GB2312" w:cs="仿宋_GB2312"/>
          <w:color w:val="auto"/>
          <w:sz w:val="32"/>
          <w:szCs w:val="32"/>
          <w:highlight w:val="none"/>
          <w:lang w:eastAsia="zh-CN"/>
        </w:rPr>
      </w:pPr>
    </w:p>
    <w:p>
      <w:pPr>
        <w:pStyle w:val="2"/>
        <w:rPr>
          <w:rFonts w:hint="eastAsia" w:ascii="Times New Roman" w:hAnsi="Times New Roman" w:eastAsia="仿宋_GB2312" w:cs="仿宋_GB2312"/>
          <w:color w:val="auto"/>
          <w:sz w:val="32"/>
          <w:szCs w:val="32"/>
          <w:highlight w:val="none"/>
          <w:lang w:eastAsia="zh-CN"/>
        </w:rPr>
      </w:pPr>
      <w:r>
        <w:rPr>
          <w:rFonts w:ascii="仿宋_GB2312" w:eastAsia="仿宋_GB2312"/>
          <w:sz w:val="32"/>
          <w:szCs w:val="32"/>
        </w:rPr>
        <w:drawing>
          <wp:anchor distT="0" distB="0" distL="0" distR="0" simplePos="0" relativeHeight="251661312" behindDoc="0" locked="0" layoutInCell="1" allowOverlap="1">
            <wp:simplePos x="0" y="0"/>
            <wp:positionH relativeFrom="column">
              <wp:posOffset>356870</wp:posOffset>
            </wp:positionH>
            <wp:positionV relativeFrom="paragraph">
              <wp:posOffset>-576580</wp:posOffset>
            </wp:positionV>
            <wp:extent cx="4354830" cy="3255645"/>
            <wp:effectExtent l="4445" t="4445" r="22225" b="16510"/>
            <wp:wrapSquare wrapText="bothSides"/>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pPr>
        <w:rPr>
          <w:rFonts w:hint="eastAsia" w:ascii="Times New Roman" w:hAnsi="Times New Roman" w:eastAsia="仿宋_GB2312" w:cs="仿宋_GB2312"/>
          <w:color w:val="auto"/>
          <w:sz w:val="32"/>
          <w:szCs w:val="32"/>
          <w:highlight w:val="none"/>
          <w:lang w:eastAsia="zh-CN"/>
        </w:rPr>
      </w:pPr>
    </w:p>
    <w:p>
      <w:pPr>
        <w:pStyle w:val="2"/>
        <w:rPr>
          <w:rFonts w:hint="eastAsia" w:ascii="Times New Roman" w:hAnsi="Times New Roman" w:eastAsia="仿宋_GB2312" w:cs="仿宋_GB2312"/>
          <w:color w:val="auto"/>
          <w:sz w:val="32"/>
          <w:szCs w:val="32"/>
          <w:highlight w:val="none"/>
          <w:lang w:eastAsia="zh-CN"/>
        </w:rPr>
      </w:pPr>
    </w:p>
    <w:p>
      <w:pPr>
        <w:rPr>
          <w:rFonts w:hint="eastAsia" w:ascii="Times New Roman" w:hAnsi="Times New Roman" w:eastAsia="仿宋_GB2312" w:cs="仿宋_GB2312"/>
          <w:color w:val="auto"/>
          <w:sz w:val="32"/>
          <w:szCs w:val="32"/>
          <w:highlight w:val="none"/>
          <w:lang w:eastAsia="zh-CN"/>
        </w:rPr>
      </w:pPr>
    </w:p>
    <w:p>
      <w:pPr>
        <w:pStyle w:val="2"/>
        <w:rPr>
          <w:rFonts w:hint="eastAsia"/>
          <w:lang w:eastAsia="zh-CN"/>
        </w:rPr>
      </w:pPr>
    </w:p>
    <w:p>
      <w:pPr>
        <w:spacing w:line="600" w:lineRule="exact"/>
        <w:ind w:firstLine="640" w:firstLineChars="200"/>
        <w:outlineLvl w:val="1"/>
        <w:rPr>
          <w:rStyle w:val="29"/>
          <w:rFonts w:ascii="Times New Roman" w:hAnsi="Times New Roman" w:eastAsia="黑体"/>
          <w:b w:val="0"/>
          <w:color w:val="auto"/>
          <w:highlight w:val="none"/>
        </w:rPr>
      </w:pPr>
      <w:bookmarkStart w:id="18" w:name="_Toc15396606"/>
      <w:bookmarkStart w:id="19" w:name="_Toc15377208"/>
      <w:r>
        <w:rPr>
          <w:rFonts w:hint="eastAsia" w:ascii="Times New Roman" w:hAnsi="Times New Roman" w:eastAsia="黑体"/>
          <w:color w:val="auto"/>
          <w:sz w:val="32"/>
          <w:szCs w:val="32"/>
          <w:highlight w:val="none"/>
        </w:rPr>
        <w:t>四、财</w:t>
      </w:r>
      <w:r>
        <w:rPr>
          <w:rStyle w:val="29"/>
          <w:rFonts w:hint="eastAsia" w:ascii="Times New Roman" w:hAnsi="Times New Roman" w:eastAsia="黑体"/>
          <w:b w:val="0"/>
          <w:color w:val="auto"/>
          <w:highlight w:val="none"/>
        </w:rPr>
        <w:t>政拨款收入支出决算总体情况说明</w:t>
      </w:r>
      <w:bookmarkEnd w:id="18"/>
      <w:bookmarkEnd w:id="19"/>
    </w:p>
    <w:p>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2024年度财政拨款收入、支出总计均为</w:t>
      </w:r>
      <w:r>
        <w:rPr>
          <w:rFonts w:hint="eastAsia" w:ascii="仿宋_GB2312" w:hAnsi="仿宋_GB2312" w:eastAsia="仿宋_GB2312" w:cs="仿宋_GB2312"/>
          <w:sz w:val="32"/>
          <w:szCs w:val="32"/>
        </w:rPr>
        <w:t>378.46</w:t>
      </w:r>
      <w:r>
        <w:rPr>
          <w:rFonts w:hint="eastAsia" w:ascii="Times New Roman" w:hAnsi="Times New Roman" w:eastAsia="仿宋_GB2312" w:cs="仿宋_GB2312"/>
          <w:color w:val="auto"/>
          <w:kern w:val="2"/>
          <w:sz w:val="32"/>
          <w:szCs w:val="32"/>
          <w:highlight w:val="none"/>
          <w:lang w:val="en-US" w:eastAsia="zh-CN" w:bidi="ar-SA"/>
        </w:rPr>
        <w:t>万元。与2023年度相比，财政拨款收入总计、支出总计各减少</w:t>
      </w:r>
      <w:r>
        <w:rPr>
          <w:rFonts w:hint="eastAsia" w:eastAsia="仿宋_GB2312" w:cs="仿宋_GB2312"/>
          <w:color w:val="auto"/>
          <w:sz w:val="32"/>
          <w:szCs w:val="32"/>
          <w:highlight w:val="none"/>
          <w:lang w:val="en-US" w:eastAsia="zh-CN"/>
        </w:rPr>
        <w:t>18.56</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sz w:val="32"/>
          <w:szCs w:val="32"/>
          <w:highlight w:val="none"/>
          <w:lang w:val="en-US" w:eastAsia="zh-CN"/>
        </w:rPr>
        <w:t>4</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kern w:val="2"/>
          <w:sz w:val="32"/>
          <w:szCs w:val="32"/>
          <w:highlight w:val="none"/>
          <w:lang w:val="en-US" w:eastAsia="zh-CN" w:bidi="ar-SA"/>
        </w:rPr>
        <w:t>。主要变动原因是</w:t>
      </w:r>
      <w:r>
        <w:rPr>
          <w:rFonts w:hint="eastAsia" w:eastAsia="仿宋_GB2312" w:cs="仿宋_GB2312"/>
          <w:color w:val="auto"/>
          <w:sz w:val="32"/>
          <w:szCs w:val="32"/>
          <w:highlight w:val="none"/>
          <w:lang w:eastAsia="zh-CN"/>
        </w:rPr>
        <w:t>追加州级部门一次性抚恤金及丧葬费。</w:t>
      </w:r>
    </w:p>
    <w:p>
      <w:p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（图4：财政拨款收、支决算总计变动情况）（柱状图）</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ascii="仿宋" w:hAnsi="仿宋" w:eastAsia="仿宋"/>
          <w:b/>
          <w:sz w:val="32"/>
          <w:szCs w:val="32"/>
        </w:rPr>
        <w:drawing>
          <wp:anchor distT="0" distB="0" distL="0" distR="0" simplePos="0" relativeHeight="251662336" behindDoc="0" locked="0" layoutInCell="1" allowOverlap="1">
            <wp:simplePos x="0" y="0"/>
            <wp:positionH relativeFrom="column">
              <wp:posOffset>452120</wp:posOffset>
            </wp:positionH>
            <wp:positionV relativeFrom="paragraph">
              <wp:posOffset>141605</wp:posOffset>
            </wp:positionV>
            <wp:extent cx="4771390" cy="3260090"/>
            <wp:effectExtent l="4445" t="5080" r="5715" b="11430"/>
            <wp:wrapSquare wrapText="bothSides"/>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pPr>
        <w:pStyle w:val="2"/>
        <w:rPr>
          <w:rFonts w:hint="eastAsia" w:ascii="Times New Roman" w:hAnsi="Times New Roman" w:eastAsia="仿宋_GB2312" w:cs="仿宋_GB2312"/>
          <w:color w:val="auto"/>
          <w:kern w:val="2"/>
          <w:sz w:val="32"/>
          <w:szCs w:val="32"/>
          <w:highlight w:val="none"/>
          <w:lang w:val="en-US" w:eastAsia="zh-CN" w:bidi="ar-SA"/>
        </w:rPr>
      </w:pPr>
    </w:p>
    <w:p>
      <w:pPr>
        <w:rPr>
          <w:rFonts w:hint="eastAsia" w:ascii="Times New Roman" w:hAnsi="Times New Roman" w:eastAsia="仿宋_GB2312" w:cs="仿宋_GB2312"/>
          <w:color w:val="auto"/>
          <w:kern w:val="2"/>
          <w:sz w:val="32"/>
          <w:szCs w:val="32"/>
          <w:highlight w:val="none"/>
          <w:lang w:val="en-US" w:eastAsia="zh-CN" w:bidi="ar-SA"/>
        </w:rPr>
      </w:pPr>
    </w:p>
    <w:p>
      <w:pPr>
        <w:pStyle w:val="2"/>
        <w:rPr>
          <w:rFonts w:hint="eastAsia" w:ascii="Times New Roman" w:hAnsi="Times New Roman" w:eastAsia="仿宋_GB2312" w:cs="仿宋_GB2312"/>
          <w:color w:val="auto"/>
          <w:kern w:val="2"/>
          <w:sz w:val="32"/>
          <w:szCs w:val="32"/>
          <w:highlight w:val="none"/>
          <w:lang w:val="en-US" w:eastAsia="zh-CN" w:bidi="ar-SA"/>
        </w:rPr>
      </w:pPr>
    </w:p>
    <w:p>
      <w:pPr>
        <w:rPr>
          <w:rFonts w:hint="eastAsia" w:ascii="Times New Roman" w:hAnsi="Times New Roman" w:eastAsia="仿宋_GB2312" w:cs="仿宋_GB2312"/>
          <w:color w:val="auto"/>
          <w:kern w:val="2"/>
          <w:sz w:val="32"/>
          <w:szCs w:val="32"/>
          <w:highlight w:val="none"/>
          <w:lang w:val="en-US" w:eastAsia="zh-CN" w:bidi="ar-SA"/>
        </w:rPr>
      </w:pPr>
    </w:p>
    <w:p>
      <w:pPr>
        <w:pStyle w:val="2"/>
        <w:rPr>
          <w:rFonts w:hint="eastAsia" w:ascii="Times New Roman" w:hAnsi="Times New Roman" w:eastAsia="仿宋_GB2312" w:cs="仿宋_GB2312"/>
          <w:color w:val="auto"/>
          <w:kern w:val="2"/>
          <w:sz w:val="32"/>
          <w:szCs w:val="32"/>
          <w:highlight w:val="none"/>
          <w:lang w:val="en-US" w:eastAsia="zh-CN" w:bidi="ar-SA"/>
        </w:rPr>
      </w:pPr>
    </w:p>
    <w:p>
      <w:pPr>
        <w:rPr>
          <w:rFonts w:hint="eastAsia" w:ascii="Times New Roman" w:hAnsi="Times New Roman" w:eastAsia="仿宋_GB2312" w:cs="仿宋_GB2312"/>
          <w:color w:val="auto"/>
          <w:kern w:val="2"/>
          <w:sz w:val="32"/>
          <w:szCs w:val="32"/>
          <w:highlight w:val="none"/>
          <w:lang w:val="en-US" w:eastAsia="zh-CN" w:bidi="ar-SA"/>
        </w:rPr>
      </w:pPr>
    </w:p>
    <w:p>
      <w:pPr>
        <w:pStyle w:val="2"/>
        <w:rPr>
          <w:rFonts w:hint="eastAsia"/>
          <w:lang w:val="en-US" w:eastAsia="zh-CN"/>
        </w:rPr>
      </w:pPr>
    </w:p>
    <w:p>
      <w:pPr>
        <w:spacing w:line="600" w:lineRule="exact"/>
        <w:ind w:firstLine="640" w:firstLineChars="200"/>
        <w:outlineLvl w:val="1"/>
        <w:rPr>
          <w:rStyle w:val="29"/>
          <w:rFonts w:ascii="Times New Roman" w:hAnsi="Times New Roman" w:eastAsia="黑体"/>
          <w:b w:val="0"/>
          <w:color w:val="auto"/>
          <w:highlight w:val="none"/>
        </w:rPr>
      </w:pPr>
      <w:bookmarkStart w:id="20" w:name="_Toc15377209"/>
      <w:bookmarkStart w:id="21" w:name="_Toc15396607"/>
      <w:r>
        <w:rPr>
          <w:rFonts w:hint="eastAsia" w:ascii="Times New Roman" w:hAnsi="Times New Roman" w:eastAsia="黑体"/>
          <w:color w:val="auto"/>
          <w:sz w:val="32"/>
          <w:szCs w:val="32"/>
          <w:highlight w:val="none"/>
        </w:rPr>
        <w:t>五、</w:t>
      </w:r>
      <w:r>
        <w:rPr>
          <w:rFonts w:hint="eastAsia" w:ascii="Times New Roman" w:hAnsi="Times New Roman" w:eastAsia="黑体"/>
          <w:b/>
          <w:color w:val="auto"/>
          <w:sz w:val="32"/>
          <w:szCs w:val="32"/>
          <w:highlight w:val="none"/>
        </w:rPr>
        <w:t>一</w:t>
      </w:r>
      <w:r>
        <w:rPr>
          <w:rStyle w:val="29"/>
          <w:rFonts w:hint="eastAsia" w:ascii="Times New Roman" w:hAnsi="Times New Roman" w:eastAsia="黑体"/>
          <w:b w:val="0"/>
          <w:color w:val="auto"/>
          <w:highlight w:val="none"/>
        </w:rPr>
        <w:t>般公共预算财政拨款支出决算情况说明</w:t>
      </w:r>
      <w:bookmarkEnd w:id="20"/>
      <w:bookmarkEnd w:id="21"/>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22" w:name="_Toc15377210"/>
      <w:r>
        <w:rPr>
          <w:rFonts w:hint="eastAsia" w:ascii="Times New Roman" w:hAnsi="Times New Roman" w:eastAsia="楷体_GB2312" w:cs="楷体_GB2312"/>
          <w:b/>
          <w:color w:val="auto"/>
          <w:sz w:val="32"/>
          <w:szCs w:val="32"/>
          <w:highlight w:val="none"/>
        </w:rPr>
        <w:t>（一）一般公共预算财政拨款支出决算总体情况</w:t>
      </w:r>
      <w:bookmarkEnd w:id="22"/>
    </w:p>
    <w:p>
      <w:pPr>
        <w:spacing w:line="600" w:lineRule="exact"/>
        <w:ind w:firstLine="640"/>
        <w:rPr>
          <w:rFonts w:hint="eastAsia" w:eastAsia="仿宋_GB2312" w:cs="仿宋_GB2312"/>
          <w:color w:val="auto"/>
          <w:sz w:val="32"/>
          <w:szCs w:val="32"/>
          <w:highlight w:val="none"/>
          <w:lang w:eastAsia="zh-CN"/>
        </w:rPr>
      </w:pPr>
      <w:r>
        <w:rPr>
          <w:rFonts w:hint="eastAsia" w:ascii="仿宋_GB2312" w:hAnsi="仿宋_GB2312"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378.46</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kern w:val="2"/>
          <w:sz w:val="32"/>
          <w:szCs w:val="32"/>
          <w:highlight w:val="none"/>
          <w:lang w:val="en-US" w:eastAsia="zh-CN" w:bidi="ar-SA"/>
        </w:rPr>
        <w:t>%。与2023年度相比，一般公共预算财政拨款支出增加18.56万元，增长4%。主要变动原因是</w:t>
      </w:r>
      <w:r>
        <w:rPr>
          <w:rFonts w:hint="eastAsia" w:eastAsia="仿宋_GB2312" w:cs="仿宋_GB2312"/>
          <w:color w:val="auto"/>
          <w:sz w:val="32"/>
          <w:szCs w:val="32"/>
          <w:highlight w:val="none"/>
          <w:lang w:eastAsia="zh-CN"/>
        </w:rPr>
        <w:t>追加州级部门一次性抚恤金及丧葬费。</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（图5：一般公共预算财政拨款支出决算变动情况）（柱状图）</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ascii="仿宋" w:hAnsi="仿宋" w:eastAsia="仿宋"/>
          <w:sz w:val="32"/>
          <w:szCs w:val="32"/>
        </w:rPr>
        <w:drawing>
          <wp:anchor distT="0" distB="0" distL="0" distR="0" simplePos="0" relativeHeight="251663360" behindDoc="0" locked="0" layoutInCell="1" allowOverlap="1">
            <wp:simplePos x="0" y="0"/>
            <wp:positionH relativeFrom="column">
              <wp:posOffset>309245</wp:posOffset>
            </wp:positionH>
            <wp:positionV relativeFrom="paragraph">
              <wp:posOffset>32385</wp:posOffset>
            </wp:positionV>
            <wp:extent cx="4770120" cy="3255645"/>
            <wp:effectExtent l="4445" t="4445" r="6985" b="16510"/>
            <wp:wrapSquare wrapText="bothSides"/>
            <wp:docPr id="12"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pPr>
        <w:pStyle w:val="2"/>
        <w:rPr>
          <w:rFonts w:hint="eastAsia" w:ascii="Times New Roman" w:hAnsi="Times New Roman" w:eastAsia="仿宋_GB2312" w:cs="仿宋_GB2312"/>
          <w:color w:val="auto"/>
          <w:kern w:val="2"/>
          <w:sz w:val="32"/>
          <w:szCs w:val="32"/>
          <w:highlight w:val="none"/>
          <w:lang w:val="en-US" w:eastAsia="zh-CN" w:bidi="ar-SA"/>
        </w:rPr>
      </w:pPr>
    </w:p>
    <w:p>
      <w:pPr>
        <w:rPr>
          <w:rFonts w:hint="eastAsia" w:ascii="Times New Roman" w:hAnsi="Times New Roman" w:eastAsia="仿宋_GB2312" w:cs="仿宋_GB2312"/>
          <w:color w:val="auto"/>
          <w:kern w:val="2"/>
          <w:sz w:val="32"/>
          <w:szCs w:val="32"/>
          <w:highlight w:val="none"/>
          <w:lang w:val="en-US" w:eastAsia="zh-CN" w:bidi="ar-SA"/>
        </w:rPr>
      </w:pPr>
    </w:p>
    <w:p>
      <w:pPr>
        <w:pStyle w:val="2"/>
        <w:rPr>
          <w:rFonts w:hint="eastAsia" w:ascii="Times New Roman" w:hAnsi="Times New Roman" w:eastAsia="仿宋_GB2312" w:cs="仿宋_GB2312"/>
          <w:color w:val="auto"/>
          <w:kern w:val="2"/>
          <w:sz w:val="32"/>
          <w:szCs w:val="32"/>
          <w:highlight w:val="none"/>
          <w:lang w:val="en-US" w:eastAsia="zh-CN" w:bidi="ar-SA"/>
        </w:rPr>
      </w:pPr>
    </w:p>
    <w:p>
      <w:pPr>
        <w:rPr>
          <w:rFonts w:hint="eastAsia" w:ascii="Times New Roman" w:hAnsi="Times New Roman" w:eastAsia="仿宋_GB2312" w:cs="仿宋_GB2312"/>
          <w:color w:val="auto"/>
          <w:kern w:val="2"/>
          <w:sz w:val="32"/>
          <w:szCs w:val="32"/>
          <w:highlight w:val="none"/>
          <w:lang w:val="en-US" w:eastAsia="zh-CN" w:bidi="ar-SA"/>
        </w:rPr>
      </w:pPr>
    </w:p>
    <w:p>
      <w:pPr>
        <w:pStyle w:val="2"/>
        <w:rPr>
          <w:rFonts w:hint="eastAsia" w:ascii="Times New Roman" w:hAnsi="Times New Roman" w:eastAsia="仿宋_GB2312" w:cs="仿宋_GB2312"/>
          <w:color w:val="auto"/>
          <w:kern w:val="2"/>
          <w:sz w:val="32"/>
          <w:szCs w:val="32"/>
          <w:highlight w:val="none"/>
          <w:lang w:val="en-US" w:eastAsia="zh-CN" w:bidi="ar-SA"/>
        </w:rPr>
      </w:pPr>
    </w:p>
    <w:p>
      <w:pPr>
        <w:rPr>
          <w:rFonts w:hint="eastAsia"/>
          <w:lang w:val="en-US" w:eastAsia="zh-CN"/>
        </w:rPr>
      </w:pPr>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23" w:name="_Toc15377211"/>
      <w:r>
        <w:rPr>
          <w:rFonts w:hint="eastAsia" w:ascii="Times New Roman" w:hAnsi="Times New Roman" w:eastAsia="楷体_GB2312" w:cs="楷体_GB2312"/>
          <w:b/>
          <w:color w:val="auto"/>
          <w:sz w:val="32"/>
          <w:szCs w:val="32"/>
          <w:highlight w:val="none"/>
        </w:rPr>
        <w:t>（二）一般公共预算财政拨款支出决算结构情况</w:t>
      </w:r>
      <w:bookmarkEnd w:id="23"/>
    </w:p>
    <w:p>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378.46</w:t>
      </w:r>
      <w:r>
        <w:rPr>
          <w:rFonts w:hint="eastAsia" w:ascii="仿宋_GB2312" w:hAnsi="仿宋_GB2312" w:eastAsia="仿宋_GB2312" w:cs="仿宋_GB2312"/>
          <w:color w:val="auto"/>
          <w:kern w:val="2"/>
          <w:sz w:val="32"/>
          <w:szCs w:val="32"/>
          <w:highlight w:val="none"/>
          <w:lang w:val="en-US" w:eastAsia="zh-CN" w:bidi="ar-SA"/>
        </w:rPr>
        <w:t>万元</w:t>
      </w:r>
      <w:r>
        <w:rPr>
          <w:rFonts w:hint="eastAsia" w:ascii="Times New Roman" w:hAnsi="Times New Roman" w:eastAsia="仿宋_GB2312" w:cs="仿宋_GB2312"/>
          <w:color w:val="auto"/>
          <w:kern w:val="2"/>
          <w:sz w:val="32"/>
          <w:szCs w:val="32"/>
          <w:highlight w:val="none"/>
          <w:lang w:val="en-US" w:eastAsia="zh-CN" w:bidi="ar-SA"/>
        </w:rPr>
        <w:t>，主要用于以下方面</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一般公共服务</w:t>
      </w:r>
      <w:r>
        <w:rPr>
          <w:rFonts w:hint="eastAsia" w:ascii="仿宋" w:hAnsi="仿宋" w:eastAsia="仿宋"/>
          <w:b/>
          <w:bCs/>
          <w:sz w:val="32"/>
          <w:szCs w:val="32"/>
        </w:rPr>
        <w:t>（201）</w:t>
      </w:r>
      <w:r>
        <w:rPr>
          <w:rFonts w:hint="eastAsia" w:ascii="Times New Roman" w:hAnsi="Times New Roman" w:eastAsia="仿宋_GB2312" w:cs="仿宋_GB2312"/>
          <w:color w:val="auto"/>
          <w:kern w:val="2"/>
          <w:sz w:val="32"/>
          <w:szCs w:val="32"/>
          <w:highlight w:val="none"/>
          <w:lang w:val="en-US" w:eastAsia="zh-CN" w:bidi="ar-SA"/>
        </w:rPr>
        <w:t>支出</w:t>
      </w:r>
      <w:r>
        <w:rPr>
          <w:rFonts w:hint="eastAsia" w:eastAsia="仿宋_GB2312" w:cs="仿宋_GB2312"/>
          <w:color w:val="auto"/>
          <w:kern w:val="2"/>
          <w:sz w:val="32"/>
          <w:szCs w:val="32"/>
          <w:highlight w:val="none"/>
          <w:lang w:val="en-US" w:eastAsia="zh-CN" w:bidi="ar-SA"/>
        </w:rPr>
        <w:t>315.29</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83</w:t>
      </w:r>
      <w:r>
        <w:rPr>
          <w:rFonts w:hint="eastAsia" w:ascii="Times New Roman" w:hAnsi="Times New Roman" w:eastAsia="仿宋_GB2312" w:cs="仿宋_GB2312"/>
          <w:color w:val="auto"/>
          <w:kern w:val="2"/>
          <w:sz w:val="32"/>
          <w:szCs w:val="32"/>
          <w:highlight w:val="none"/>
          <w:lang w:val="en-US" w:eastAsia="zh-CN" w:bidi="ar-SA"/>
        </w:rPr>
        <w:t>%；教育支出</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%；科学技术支出</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%；文化旅游体育与传媒支出</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%；社会保障和就业</w:t>
      </w:r>
      <w:r>
        <w:rPr>
          <w:rFonts w:hint="eastAsia" w:ascii="仿宋" w:hAnsi="仿宋" w:eastAsia="仿宋"/>
          <w:b/>
          <w:sz w:val="32"/>
          <w:szCs w:val="32"/>
        </w:rPr>
        <w:t>（208）</w:t>
      </w:r>
      <w:r>
        <w:rPr>
          <w:rFonts w:hint="eastAsia" w:ascii="Times New Roman" w:hAnsi="Times New Roman" w:eastAsia="仿宋_GB2312" w:cs="仿宋_GB2312"/>
          <w:color w:val="auto"/>
          <w:kern w:val="2"/>
          <w:sz w:val="32"/>
          <w:szCs w:val="32"/>
          <w:highlight w:val="none"/>
          <w:lang w:val="en-US" w:eastAsia="zh-CN" w:bidi="ar-SA"/>
        </w:rPr>
        <w:t>支出</w:t>
      </w:r>
      <w:r>
        <w:rPr>
          <w:rFonts w:hint="eastAsia" w:eastAsia="仿宋_GB2312" w:cs="仿宋_GB2312"/>
          <w:color w:val="auto"/>
          <w:kern w:val="2"/>
          <w:sz w:val="32"/>
          <w:szCs w:val="32"/>
          <w:highlight w:val="none"/>
          <w:lang w:val="en-US" w:eastAsia="zh-CN" w:bidi="ar-SA"/>
        </w:rPr>
        <w:t>31.26</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8</w:t>
      </w:r>
      <w:r>
        <w:rPr>
          <w:rFonts w:hint="eastAsia" w:ascii="Times New Roman" w:hAnsi="Times New Roman" w:eastAsia="仿宋_GB2312" w:cs="仿宋_GB2312"/>
          <w:color w:val="auto"/>
          <w:kern w:val="2"/>
          <w:sz w:val="32"/>
          <w:szCs w:val="32"/>
          <w:highlight w:val="none"/>
          <w:lang w:val="en-US" w:eastAsia="zh-CN" w:bidi="ar-SA"/>
        </w:rPr>
        <w:t>%；卫生健康</w:t>
      </w:r>
      <w:r>
        <w:rPr>
          <w:rFonts w:hint="eastAsia" w:ascii="仿宋" w:hAnsi="仿宋" w:eastAsia="仿宋"/>
          <w:b/>
          <w:bCs/>
          <w:sz w:val="32"/>
          <w:szCs w:val="32"/>
        </w:rPr>
        <w:t>（210）</w:t>
      </w:r>
      <w:r>
        <w:rPr>
          <w:rFonts w:hint="eastAsia" w:ascii="Times New Roman" w:hAnsi="Times New Roman" w:eastAsia="仿宋_GB2312" w:cs="仿宋_GB2312"/>
          <w:color w:val="auto"/>
          <w:kern w:val="2"/>
          <w:sz w:val="32"/>
          <w:szCs w:val="32"/>
          <w:highlight w:val="none"/>
          <w:lang w:val="en-US" w:eastAsia="zh-CN" w:bidi="ar-SA"/>
        </w:rPr>
        <w:t>支出</w:t>
      </w:r>
      <w:r>
        <w:rPr>
          <w:rFonts w:hint="eastAsia" w:eastAsia="仿宋_GB2312" w:cs="仿宋_GB2312"/>
          <w:color w:val="auto"/>
          <w:kern w:val="2"/>
          <w:sz w:val="32"/>
          <w:szCs w:val="32"/>
          <w:highlight w:val="none"/>
          <w:lang w:val="en-US" w:eastAsia="zh-CN" w:bidi="ar-SA"/>
        </w:rPr>
        <w:t>14.24</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4</w:t>
      </w:r>
      <w:r>
        <w:rPr>
          <w:rFonts w:hint="eastAsia" w:ascii="Times New Roman" w:hAnsi="Times New Roman" w:eastAsia="仿宋_GB2312" w:cs="仿宋_GB2312"/>
          <w:color w:val="auto"/>
          <w:kern w:val="2"/>
          <w:sz w:val="32"/>
          <w:szCs w:val="32"/>
          <w:highlight w:val="none"/>
          <w:lang w:val="en-US" w:eastAsia="zh-CN" w:bidi="ar-SA"/>
        </w:rPr>
        <w:t>%；住房保障</w:t>
      </w:r>
      <w:r>
        <w:rPr>
          <w:rFonts w:hint="eastAsia" w:ascii="仿宋" w:hAnsi="仿宋" w:eastAsia="仿宋"/>
          <w:b/>
          <w:bCs/>
          <w:sz w:val="32"/>
          <w:szCs w:val="32"/>
        </w:rPr>
        <w:t>（221）</w:t>
      </w:r>
      <w:r>
        <w:rPr>
          <w:rFonts w:hint="eastAsia" w:ascii="Times New Roman" w:hAnsi="Times New Roman" w:eastAsia="仿宋_GB2312" w:cs="仿宋_GB2312"/>
          <w:color w:val="auto"/>
          <w:kern w:val="2"/>
          <w:sz w:val="32"/>
          <w:szCs w:val="32"/>
          <w:highlight w:val="none"/>
          <w:lang w:val="en-US" w:eastAsia="zh-CN" w:bidi="ar-SA"/>
        </w:rPr>
        <w:t>支出</w:t>
      </w:r>
      <w:r>
        <w:rPr>
          <w:rFonts w:hint="eastAsia" w:eastAsia="仿宋_GB2312" w:cs="仿宋_GB2312"/>
          <w:color w:val="auto"/>
          <w:kern w:val="2"/>
          <w:sz w:val="32"/>
          <w:szCs w:val="32"/>
          <w:highlight w:val="none"/>
          <w:lang w:val="en-US" w:eastAsia="zh-CN" w:bidi="ar-SA"/>
        </w:rPr>
        <w:t>17.67</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5</w:t>
      </w:r>
      <w:r>
        <w:rPr>
          <w:rFonts w:hint="eastAsia" w:ascii="Times New Roman" w:hAnsi="Times New Roman"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（注：仅罗列本部门涉及的全部功能分类科目，至类级）</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（图6：一般公共预算财政拨款支出决算结构）（饼状图）</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drawing>
          <wp:anchor distT="0" distB="0" distL="0" distR="0" simplePos="0" relativeHeight="251664384" behindDoc="0" locked="0" layoutInCell="1" allowOverlap="1">
            <wp:simplePos x="0" y="0"/>
            <wp:positionH relativeFrom="column">
              <wp:posOffset>262255</wp:posOffset>
            </wp:positionH>
            <wp:positionV relativeFrom="paragraph">
              <wp:posOffset>147320</wp:posOffset>
            </wp:positionV>
            <wp:extent cx="5266690" cy="3088005"/>
            <wp:effectExtent l="5080" t="4445" r="5080" b="12700"/>
            <wp:wrapSquare wrapText="bothSides"/>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pPr>
        <w:pStyle w:val="2"/>
        <w:rPr>
          <w:rFonts w:hint="eastAsia" w:ascii="Times New Roman" w:hAnsi="Times New Roman" w:eastAsia="仿宋_GB2312" w:cs="仿宋_GB2312"/>
          <w:color w:val="auto"/>
          <w:kern w:val="2"/>
          <w:sz w:val="32"/>
          <w:szCs w:val="32"/>
          <w:highlight w:val="none"/>
          <w:lang w:val="en-US" w:eastAsia="zh-CN" w:bidi="ar-SA"/>
        </w:rPr>
      </w:pPr>
    </w:p>
    <w:p>
      <w:pPr>
        <w:rPr>
          <w:rFonts w:hint="eastAsia" w:ascii="Times New Roman" w:hAnsi="Times New Roman" w:eastAsia="仿宋_GB2312" w:cs="仿宋_GB2312"/>
          <w:color w:val="auto"/>
          <w:kern w:val="2"/>
          <w:sz w:val="32"/>
          <w:szCs w:val="32"/>
          <w:highlight w:val="none"/>
          <w:lang w:val="en-US" w:eastAsia="zh-CN" w:bidi="ar-SA"/>
        </w:rPr>
      </w:pPr>
    </w:p>
    <w:p>
      <w:pPr>
        <w:pStyle w:val="2"/>
        <w:rPr>
          <w:rFonts w:hint="eastAsia" w:ascii="Times New Roman" w:hAnsi="Times New Roman" w:eastAsia="仿宋_GB2312" w:cs="仿宋_GB2312"/>
          <w:color w:val="auto"/>
          <w:kern w:val="2"/>
          <w:sz w:val="32"/>
          <w:szCs w:val="32"/>
          <w:highlight w:val="none"/>
          <w:lang w:val="en-US" w:eastAsia="zh-CN" w:bidi="ar-SA"/>
        </w:rPr>
      </w:pPr>
    </w:p>
    <w:p>
      <w:pPr>
        <w:rPr>
          <w:rFonts w:hint="eastAsia" w:ascii="Times New Roman" w:hAnsi="Times New Roman" w:eastAsia="仿宋_GB2312" w:cs="仿宋_GB2312"/>
          <w:color w:val="auto"/>
          <w:kern w:val="2"/>
          <w:sz w:val="32"/>
          <w:szCs w:val="32"/>
          <w:highlight w:val="none"/>
          <w:lang w:val="en-US" w:eastAsia="zh-CN" w:bidi="ar-SA"/>
        </w:rPr>
      </w:pPr>
    </w:p>
    <w:p>
      <w:pPr>
        <w:pStyle w:val="2"/>
        <w:rPr>
          <w:rFonts w:hint="eastAsia" w:ascii="Times New Roman" w:hAnsi="Times New Roman" w:eastAsia="仿宋_GB2312" w:cs="仿宋_GB2312"/>
          <w:color w:val="auto"/>
          <w:kern w:val="2"/>
          <w:sz w:val="32"/>
          <w:szCs w:val="32"/>
          <w:highlight w:val="none"/>
          <w:lang w:val="en-US" w:eastAsia="zh-CN" w:bidi="ar-SA"/>
        </w:rPr>
      </w:pPr>
    </w:p>
    <w:p>
      <w:pPr>
        <w:rPr>
          <w:rFonts w:hint="eastAsia" w:ascii="Times New Roman" w:hAnsi="Times New Roman" w:eastAsia="仿宋_GB2312" w:cs="仿宋_GB2312"/>
          <w:color w:val="auto"/>
          <w:kern w:val="2"/>
          <w:sz w:val="32"/>
          <w:szCs w:val="32"/>
          <w:highlight w:val="none"/>
          <w:lang w:val="en-US" w:eastAsia="zh-CN" w:bidi="ar-SA"/>
        </w:rPr>
      </w:pPr>
    </w:p>
    <w:p>
      <w:pPr>
        <w:pStyle w:val="2"/>
        <w:rPr>
          <w:rFonts w:hint="eastAsia"/>
          <w:lang w:val="en-US" w:eastAsia="zh-CN"/>
        </w:rPr>
      </w:pPr>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24" w:name="_Toc15377212"/>
      <w:r>
        <w:rPr>
          <w:rFonts w:hint="eastAsia" w:ascii="Times New Roman" w:hAnsi="Times New Roman" w:eastAsia="楷体_GB2312" w:cs="楷体_GB2312"/>
          <w:b/>
          <w:color w:val="auto"/>
          <w:sz w:val="32"/>
          <w:szCs w:val="32"/>
          <w:highlight w:val="none"/>
        </w:rPr>
        <w:t>（三）一般公共预算财政拨款支出决算具体情况</w:t>
      </w:r>
      <w:bookmarkEnd w:id="24"/>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bookmarkStart w:id="25" w:name="_Toc15378460"/>
      <w:bookmarkStart w:id="26" w:name="_Toc15377213"/>
      <w:bookmarkStart w:id="27" w:name="_Toc15377444"/>
      <w:r>
        <w:rPr>
          <w:rFonts w:hint="eastAsia" w:ascii="Times New Roman" w:hAnsi="Times New Roman" w:eastAsia="仿宋_GB2312" w:cs="仿宋_GB2312"/>
          <w:color w:val="auto"/>
          <w:kern w:val="2"/>
          <w:sz w:val="32"/>
          <w:szCs w:val="32"/>
          <w:highlight w:val="none"/>
          <w:lang w:val="en-US" w:eastAsia="zh-CN" w:bidi="ar-SA"/>
        </w:rPr>
        <w:t>2024年度一般公共预算财政拨款支出决算数为</w:t>
      </w:r>
      <w:r>
        <w:rPr>
          <w:rFonts w:hint="eastAsia" w:ascii="仿宋_GB2312" w:hAnsi="仿宋_GB2312" w:eastAsia="仿宋_GB2312" w:cs="仿宋_GB2312"/>
          <w:sz w:val="32"/>
          <w:szCs w:val="32"/>
        </w:rPr>
        <w:t>378.46</w:t>
      </w:r>
      <w:r>
        <w:rPr>
          <w:rFonts w:hint="eastAsia" w:ascii="仿宋_GB2312" w:hAnsi="仿宋_GB2312" w:eastAsia="仿宋_GB2312" w:cs="仿宋_GB2312"/>
          <w:sz w:val="32"/>
          <w:szCs w:val="32"/>
          <w:lang w:eastAsia="zh-CN"/>
        </w:rPr>
        <w:t>万元</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%。其中：</w:t>
      </w:r>
      <w:bookmarkEnd w:id="25"/>
      <w:bookmarkEnd w:id="26"/>
      <w:bookmarkEnd w:id="27"/>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w:t>
      </w:r>
      <w:r>
        <w:rPr>
          <w:rFonts w:hint="eastAsia" w:eastAsia="仿宋_GB2312" w:cs="仿宋_GB2312"/>
          <w:color w:val="auto"/>
          <w:kern w:val="2"/>
          <w:sz w:val="32"/>
          <w:szCs w:val="32"/>
          <w:highlight w:val="none"/>
          <w:lang w:val="en-US" w:eastAsia="zh-CN" w:bidi="ar-SA"/>
        </w:rPr>
        <w:t>.</w:t>
      </w:r>
      <w:r>
        <w:rPr>
          <w:rStyle w:val="17"/>
          <w:rFonts w:hint="eastAsia" w:ascii="仿宋" w:hAnsi="仿宋" w:eastAsia="仿宋"/>
          <w:bCs/>
          <w:sz w:val="32"/>
          <w:szCs w:val="32"/>
        </w:rPr>
        <w:t>一般公共服务（201）其他共产党事务支出（36）行政运行（01）、一般行政管理服务（02）</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ascii="仿宋_GB2312" w:hAnsi="仿宋_GB2312" w:eastAsia="仿宋_GB2312" w:cs="仿宋_GB2312"/>
          <w:sz w:val="32"/>
          <w:szCs w:val="32"/>
        </w:rPr>
        <w:t>378.46</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pPr>
        <w:pStyle w:val="2"/>
        <w:rPr>
          <w:rFonts w:hint="eastAsia"/>
          <w:lang w:val="en-US" w:eastAsia="zh-CN"/>
        </w:rPr>
      </w:pP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w:t>
      </w:r>
      <w:r>
        <w:rPr>
          <w:rStyle w:val="17"/>
          <w:rFonts w:hint="eastAsia" w:ascii="仿宋" w:hAnsi="仿宋" w:eastAsia="仿宋"/>
          <w:bCs/>
          <w:sz w:val="32"/>
          <w:szCs w:val="32"/>
        </w:rPr>
        <w:t>社会保障和就业（208）行政事业单位养老支出（05）机关事业单位基本养老保险缴费支出（05）、机关事业单位职业年金缴费支出（06）</w:t>
      </w:r>
      <w:r>
        <w:rPr>
          <w:rStyle w:val="17"/>
          <w:rFonts w:ascii="仿宋" w:hAnsi="仿宋" w:eastAsia="仿宋"/>
          <w:b w:val="0"/>
          <w:bCs/>
          <w:sz w:val="32"/>
          <w:szCs w:val="32"/>
        </w:rPr>
        <w:t xml:space="preserve"> </w:t>
      </w:r>
      <w:r>
        <w:rPr>
          <w:rFonts w:hint="eastAsia" w:ascii="Times New Roman" w:hAnsi="Times New Roman" w:eastAsia="仿宋_GB2312" w:cs="仿宋_GB2312"/>
          <w:color w:val="auto"/>
          <w:kern w:val="2"/>
          <w:sz w:val="32"/>
          <w:szCs w:val="32"/>
          <w:highlight w:val="none"/>
          <w:lang w:val="en-US" w:eastAsia="zh-CN" w:bidi="ar-SA"/>
        </w:rPr>
        <w:t>: 支出决算为</w:t>
      </w:r>
      <w:r>
        <w:rPr>
          <w:rFonts w:hint="eastAsia" w:eastAsia="仿宋_GB2312" w:cs="仿宋_GB2312"/>
          <w:color w:val="auto"/>
          <w:kern w:val="2"/>
          <w:sz w:val="32"/>
          <w:szCs w:val="32"/>
          <w:highlight w:val="none"/>
          <w:lang w:val="en-US" w:eastAsia="zh-CN" w:bidi="ar-SA"/>
        </w:rPr>
        <w:t>31.26</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3.</w:t>
      </w:r>
      <w:r>
        <w:rPr>
          <w:rFonts w:hint="eastAsia" w:ascii="仿宋" w:hAnsi="仿宋" w:eastAsia="仿宋"/>
          <w:b/>
          <w:bCs/>
          <w:sz w:val="32"/>
          <w:szCs w:val="32"/>
        </w:rPr>
        <w:t>卫生健康</w:t>
      </w:r>
      <w:r>
        <w:rPr>
          <w:rStyle w:val="17"/>
          <w:rFonts w:hint="eastAsia" w:ascii="仿宋" w:hAnsi="仿宋" w:eastAsia="仿宋"/>
          <w:bCs/>
          <w:sz w:val="32"/>
          <w:szCs w:val="32"/>
        </w:rPr>
        <w:t>（201）行政事业单位医疗（11）行政单位医疗（01）、公务员医疗补助（02）</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14.24</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4.</w:t>
      </w:r>
      <w:r>
        <w:rPr>
          <w:rFonts w:hint="eastAsia" w:ascii="仿宋" w:hAnsi="仿宋" w:eastAsia="仿宋"/>
          <w:b/>
          <w:bCs/>
          <w:sz w:val="32"/>
          <w:szCs w:val="32"/>
        </w:rPr>
        <w:t>住房保险支出</w:t>
      </w:r>
      <w:r>
        <w:rPr>
          <w:rStyle w:val="17"/>
          <w:rFonts w:hint="eastAsia" w:ascii="仿宋" w:hAnsi="仿宋" w:eastAsia="仿宋"/>
          <w:bCs/>
          <w:sz w:val="32"/>
          <w:szCs w:val="32"/>
        </w:rPr>
        <w:t>（221）住房改革支出（02）住房公积金（01）、购房补贴（03）</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17.67</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（注：仅罗列本部门涉及的全部功能分类科目，至项级。上述“预算”口径为全年预算数。增减变动原因为决算数&lt;项级&gt;和全年预算数&lt;项级&gt;比较，与预算数持平可以不写原因）</w:t>
      </w:r>
    </w:p>
    <w:p>
      <w:pPr>
        <w:tabs>
          <w:tab w:val="right" w:pos="8306"/>
        </w:tabs>
        <w:spacing w:line="600" w:lineRule="exact"/>
        <w:ind w:firstLine="640"/>
        <w:outlineLvl w:val="1"/>
        <w:rPr>
          <w:rStyle w:val="29"/>
          <w:rFonts w:ascii="Times New Roman" w:hAnsi="Times New Roman"/>
          <w:color w:val="auto"/>
          <w:highlight w:val="none"/>
        </w:rPr>
      </w:pPr>
      <w:bookmarkStart w:id="28" w:name="_Toc15377214"/>
      <w:bookmarkStart w:id="29" w:name="_Toc15396608"/>
      <w:r>
        <w:rPr>
          <w:rFonts w:hint="eastAsia" w:ascii="Times New Roman" w:hAnsi="Times New Roman" w:eastAsia="黑体"/>
          <w:color w:val="auto"/>
          <w:sz w:val="32"/>
          <w:szCs w:val="32"/>
          <w:highlight w:val="none"/>
        </w:rPr>
        <w:t>六</w:t>
      </w:r>
      <w:r>
        <w:rPr>
          <w:rFonts w:hint="eastAsia" w:ascii="Times New Roman" w:hAnsi="Times New Roman" w:eastAsia="黑体"/>
          <w:b/>
          <w:color w:val="auto"/>
          <w:sz w:val="32"/>
          <w:szCs w:val="32"/>
          <w:highlight w:val="none"/>
        </w:rPr>
        <w:t>、一</w:t>
      </w:r>
      <w:r>
        <w:rPr>
          <w:rStyle w:val="29"/>
          <w:rFonts w:hint="eastAsia" w:ascii="Times New Roman" w:hAnsi="Times New Roman" w:eastAsia="黑体"/>
          <w:b w:val="0"/>
          <w:color w:val="auto"/>
          <w:highlight w:val="none"/>
        </w:rPr>
        <w:t>般公共预算财政拨款基本支出决算情况说明</w:t>
      </w:r>
      <w:bookmarkEnd w:id="28"/>
      <w:bookmarkEnd w:id="29"/>
      <w:r>
        <w:rPr>
          <w:rStyle w:val="29"/>
          <w:rFonts w:ascii="Times New Roman" w:hAnsi="Times New Roman" w:eastAsia="黑体"/>
          <w:b w:val="0"/>
          <w:color w:val="auto"/>
          <w:highlight w:val="none"/>
        </w:rPr>
        <w:tab/>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2024年度一般公共预算财政拨款基本支出</w:t>
      </w:r>
      <w:r>
        <w:rPr>
          <w:rFonts w:hint="eastAsia" w:ascii="仿宋_GB2312" w:hAnsi="仿宋_GB2312" w:eastAsia="仿宋_GB2312" w:cs="仿宋_GB2312"/>
          <w:sz w:val="32"/>
          <w:szCs w:val="32"/>
        </w:rPr>
        <w:t>289.58</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元，其中：</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人员经费</w:t>
      </w:r>
      <w:r>
        <w:rPr>
          <w:rFonts w:hint="eastAsia" w:ascii="仿宋_GB2312" w:hAnsi="仿宋_GB2312" w:eastAsia="仿宋_GB2312" w:cs="仿宋_GB2312"/>
          <w:sz w:val="32"/>
          <w:szCs w:val="32"/>
        </w:rPr>
        <w:t>250.79</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hint="eastAsia" w:ascii="Times New Roman" w:hAnsi="Times New Roman" w:eastAsia="仿宋_GB2312" w:cs="仿宋_GB2312"/>
          <w:color w:val="auto"/>
          <w:kern w:val="2"/>
          <w:sz w:val="32"/>
          <w:szCs w:val="32"/>
          <w:highlight w:val="none"/>
          <w:lang w:val="en-US" w:eastAsia="zh-CN" w:bidi="ar-SA"/>
        </w:rPr>
        <w:br w:type="textWrapping"/>
      </w:r>
      <w:r>
        <w:rPr>
          <w:rFonts w:hint="eastAsia" w:ascii="Times New Roman" w:hAnsi="Times New Roman" w:eastAsia="仿宋_GB2312" w:cs="仿宋_GB2312"/>
          <w:color w:val="auto"/>
          <w:kern w:val="2"/>
          <w:sz w:val="32"/>
          <w:szCs w:val="32"/>
          <w:highlight w:val="none"/>
          <w:lang w:val="en-US" w:eastAsia="zh-CN" w:bidi="ar-SA"/>
        </w:rPr>
        <w:t>　　公用经费</w:t>
      </w:r>
      <w:r>
        <w:rPr>
          <w:rFonts w:hint="eastAsia" w:ascii="仿宋_GB2312" w:hAnsi="仿宋_GB2312" w:eastAsia="仿宋_GB2312" w:cs="仿宋_GB2312"/>
          <w:sz w:val="32"/>
          <w:szCs w:val="32"/>
        </w:rPr>
        <w:t>38.79</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（注：仅罗列本部门实际支出涉及的经济分类科目）</w:t>
      </w:r>
    </w:p>
    <w:p>
      <w:pPr>
        <w:spacing w:line="600" w:lineRule="exact"/>
        <w:ind w:firstLine="640"/>
        <w:outlineLvl w:val="1"/>
        <w:rPr>
          <w:rStyle w:val="29"/>
          <w:rFonts w:ascii="Times New Roman" w:hAnsi="Times New Roman" w:eastAsia="黑体"/>
          <w:b w:val="0"/>
          <w:color w:val="auto"/>
          <w:highlight w:val="none"/>
        </w:rPr>
      </w:pPr>
      <w:bookmarkStart w:id="30" w:name="_Toc15396609"/>
      <w:bookmarkStart w:id="31" w:name="_Toc15377215"/>
      <w:r>
        <w:rPr>
          <w:rFonts w:hint="eastAsia" w:ascii="Times New Roman" w:hAnsi="Times New Roman" w:eastAsia="黑体"/>
          <w:color w:val="auto"/>
          <w:sz w:val="32"/>
          <w:szCs w:val="32"/>
          <w:highlight w:val="none"/>
        </w:rPr>
        <w:t>七、</w:t>
      </w:r>
      <w:r>
        <w:rPr>
          <w:rStyle w:val="29"/>
          <w:rFonts w:hint="eastAsia" w:ascii="Times New Roman" w:hAnsi="Times New Roman" w:eastAsia="黑体"/>
          <w:b w:val="0"/>
          <w:color w:val="auto"/>
          <w:highlight w:val="none"/>
        </w:rPr>
        <w:t>财政拨款</w:t>
      </w:r>
      <w:r>
        <w:rPr>
          <w:rStyle w:val="29"/>
          <w:rFonts w:hint="eastAsia" w:ascii="Times New Roman" w:hAnsi="Times New Roman" w:eastAsia="黑体"/>
          <w:color w:val="auto"/>
          <w:highlight w:val="none"/>
        </w:rPr>
        <w:t>“</w:t>
      </w:r>
      <w:r>
        <w:rPr>
          <w:rStyle w:val="29"/>
          <w:rFonts w:hint="eastAsia" w:ascii="Times New Roman" w:hAnsi="Times New Roman" w:eastAsia="黑体"/>
          <w:b w:val="0"/>
          <w:color w:val="auto"/>
          <w:highlight w:val="none"/>
        </w:rPr>
        <w:t>三公”经费支出决算情况说明</w:t>
      </w:r>
      <w:bookmarkEnd w:id="30"/>
      <w:bookmarkEnd w:id="31"/>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2" w:name="_Toc15377216"/>
      <w:r>
        <w:rPr>
          <w:rFonts w:hint="eastAsia" w:ascii="Times New Roman" w:hAnsi="Times New Roman" w:eastAsia="楷体_GB2312" w:cs="楷体_GB2312"/>
          <w:b/>
          <w:color w:val="auto"/>
          <w:sz w:val="32"/>
          <w:szCs w:val="32"/>
          <w:highlight w:val="none"/>
        </w:rPr>
        <w:t>（一）“三公”经费财政拨款支出决算总体情况说明</w:t>
      </w:r>
      <w:bookmarkEnd w:id="32"/>
    </w:p>
    <w:p>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2024年度“三公”经费财政拨款支出决算为</w:t>
      </w:r>
      <w:r>
        <w:rPr>
          <w:rFonts w:hint="eastAsia" w:ascii="仿宋_GB2312" w:hAnsi="仿宋_GB2312" w:eastAsia="仿宋_GB2312" w:cs="仿宋_GB2312"/>
          <w:sz w:val="32"/>
          <w:szCs w:val="32"/>
        </w:rPr>
        <w:t>8.82</w:t>
      </w:r>
      <w:r>
        <w:rPr>
          <w:rFonts w:hint="eastAsia" w:ascii="仿宋_GB2312" w:hAnsi="仿宋_GB2312" w:eastAsia="仿宋_GB2312" w:cs="仿宋_GB2312"/>
          <w:color w:val="auto"/>
          <w:kern w:val="2"/>
          <w:sz w:val="32"/>
          <w:szCs w:val="32"/>
          <w:highlight w:val="none"/>
          <w:lang w:val="en-US" w:eastAsia="zh-CN" w:bidi="ar-SA"/>
        </w:rPr>
        <w:t>万元，完成预算</w:t>
      </w:r>
      <w:r>
        <w:rPr>
          <w:rFonts w:hint="eastAsia" w:ascii="仿宋_GB2312" w:hAnsi="仿宋_GB2312" w:eastAsia="仿宋_GB2312" w:cs="仿宋_GB2312"/>
          <w:sz w:val="32"/>
          <w:szCs w:val="32"/>
        </w:rPr>
        <w:t>14.77</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较上年度减少</w:t>
      </w:r>
      <w:r>
        <w:rPr>
          <w:rFonts w:hint="eastAsia" w:eastAsia="仿宋_GB2312" w:cs="仿宋_GB2312"/>
          <w:color w:val="auto"/>
          <w:kern w:val="2"/>
          <w:sz w:val="32"/>
          <w:szCs w:val="32"/>
          <w:highlight w:val="none"/>
          <w:lang w:val="en-US" w:eastAsia="zh-CN" w:bidi="ar-SA"/>
        </w:rPr>
        <w:t>3.32</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27</w:t>
      </w:r>
      <w:r>
        <w:rPr>
          <w:rFonts w:hint="eastAsia" w:ascii="Times New Roman" w:hAnsi="Times New Roman"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（注：上述“预算”口径为全年预算数，包括一般公共预算和政府性基金预算财政拨款支出决算情况）</w:t>
      </w:r>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3" w:name="_Toc15377217"/>
      <w:r>
        <w:rPr>
          <w:rFonts w:hint="eastAsia" w:ascii="Times New Roman" w:hAnsi="Times New Roman" w:eastAsia="楷体_GB2312" w:cs="楷体_GB2312"/>
          <w:b/>
          <w:color w:val="auto"/>
          <w:sz w:val="32"/>
          <w:szCs w:val="32"/>
          <w:highlight w:val="none"/>
        </w:rPr>
        <w:t>（二）“三公”经费财政拨款支出决算具体情况说明</w:t>
      </w:r>
      <w:bookmarkEnd w:id="33"/>
    </w:p>
    <w:p>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2024年度“三公”经费财政拨款支出决算中，因公出国（境）费支出决算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万元，占0%；公务用车购置及运行维护费支出决算</w:t>
      </w:r>
      <w:r>
        <w:rPr>
          <w:rFonts w:hint="eastAsia" w:ascii="仿宋_GB2312" w:hAnsi="仿宋_GB2312" w:eastAsia="仿宋_GB2312" w:cs="仿宋_GB2312"/>
          <w:sz w:val="32"/>
          <w:szCs w:val="32"/>
        </w:rPr>
        <w:t>8.82</w:t>
      </w:r>
      <w:r>
        <w:rPr>
          <w:rFonts w:hint="eastAsia" w:ascii="仿宋_GB2312" w:hAnsi="仿宋_GB2312" w:eastAsia="仿宋_GB2312" w:cs="仿宋_GB2312"/>
          <w:color w:val="auto"/>
          <w:kern w:val="2"/>
          <w:sz w:val="32"/>
          <w:szCs w:val="32"/>
          <w:highlight w:val="none"/>
          <w:lang w:val="en-US" w:eastAsia="zh-CN" w:bidi="ar-SA"/>
        </w:rPr>
        <w:t>万元，占100%；公务接待费支出决算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万元，占0%。具体情况如下：</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（图7：“三公”经费财政拨款支出结构）（饼状图）</w:t>
      </w:r>
    </w:p>
    <w:p>
      <w:pPr>
        <w:pStyle w:val="2"/>
        <w:rPr>
          <w:rFonts w:hint="eastAsia" w:ascii="Times New Roman" w:hAnsi="Times New Roman" w:eastAsia="仿宋_GB2312" w:cs="仿宋_GB2312"/>
          <w:color w:val="auto"/>
          <w:kern w:val="2"/>
          <w:sz w:val="32"/>
          <w:szCs w:val="32"/>
          <w:highlight w:val="none"/>
          <w:lang w:val="en-US" w:eastAsia="zh-CN" w:bidi="ar-SA"/>
        </w:rPr>
      </w:pPr>
    </w:p>
    <w:p>
      <w:pPr>
        <w:rPr>
          <w:rFonts w:hint="eastAsia" w:ascii="Times New Roman" w:hAnsi="Times New Roman" w:eastAsia="仿宋_GB2312" w:cs="仿宋_GB2312"/>
          <w:color w:val="auto"/>
          <w:kern w:val="2"/>
          <w:sz w:val="32"/>
          <w:szCs w:val="32"/>
          <w:highlight w:val="none"/>
          <w:lang w:val="en-US" w:eastAsia="zh-CN" w:bidi="ar-SA"/>
        </w:rPr>
      </w:pPr>
    </w:p>
    <w:p>
      <w:pPr>
        <w:pStyle w:val="2"/>
        <w:rPr>
          <w:rFonts w:hint="eastAsia"/>
          <w:lang w:val="en-US" w:eastAsia="zh-CN"/>
        </w:rPr>
      </w:pPr>
      <w:r>
        <w:rPr>
          <w:szCs w:val="28"/>
        </w:rPr>
        <w:drawing>
          <wp:anchor distT="0" distB="0" distL="0" distR="0" simplePos="0" relativeHeight="251665408" behindDoc="0" locked="0" layoutInCell="1" allowOverlap="1">
            <wp:simplePos x="0" y="0"/>
            <wp:positionH relativeFrom="column">
              <wp:posOffset>23495</wp:posOffset>
            </wp:positionH>
            <wp:positionV relativeFrom="paragraph">
              <wp:posOffset>109220</wp:posOffset>
            </wp:positionV>
            <wp:extent cx="5271770" cy="3328670"/>
            <wp:effectExtent l="5080" t="4445" r="19050" b="19685"/>
            <wp:wrapSquare wrapText="bothSides"/>
            <wp:docPr id="7"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1.因公出国（境）经费支出</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万元，完成预算</w:t>
      </w:r>
      <w:r>
        <w:rPr>
          <w:rFonts w:hint="eastAsia" w:eastAsia="仿宋_GB2312" w:cs="仿宋_GB2312"/>
          <w:b/>
          <w:bCs/>
          <w:color w:val="auto"/>
          <w:kern w:val="2"/>
          <w:sz w:val="32"/>
          <w:szCs w:val="32"/>
          <w:highlight w:val="none"/>
          <w:lang w:val="en-US" w:eastAsia="zh-CN" w:bidi="ar-SA"/>
        </w:rPr>
        <w:t xml:space="preserve"> 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全年安排因公出国（境）团</w:t>
      </w:r>
      <w:r>
        <w:rPr>
          <w:rFonts w:hint="eastAsia" w:ascii="仿宋_GB2312" w:hAnsi="仿宋_GB2312" w:eastAsia="仿宋_GB2312" w:cs="仿宋_GB2312"/>
          <w:color w:val="auto"/>
          <w:kern w:val="2"/>
          <w:sz w:val="32"/>
          <w:szCs w:val="32"/>
          <w:highlight w:val="none"/>
          <w:lang w:val="en-US" w:eastAsia="zh-CN" w:bidi="ar-SA"/>
        </w:rPr>
        <w:t>组</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次，出国（境）</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人</w:t>
      </w:r>
      <w:r>
        <w:rPr>
          <w:rFonts w:hint="eastAsia" w:ascii="Times New Roman" w:hAnsi="Times New Roman" w:eastAsia="仿宋_GB2312" w:cs="仿宋_GB2312"/>
          <w:color w:val="auto"/>
          <w:kern w:val="2"/>
          <w:sz w:val="32"/>
          <w:szCs w:val="32"/>
          <w:highlight w:val="none"/>
          <w:lang w:val="en-US" w:eastAsia="zh-CN" w:bidi="ar-SA"/>
        </w:rPr>
        <w:t>。因公出国（境）支出决算比2023年增加</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 xml:space="preserve">0 </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全年无出国计划。</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2.公务用车购置及运行维护费支出</w:t>
      </w:r>
      <w:r>
        <w:rPr>
          <w:rFonts w:hint="eastAsia" w:ascii="仿宋_GB2312" w:hAnsi="仿宋_GB2312" w:eastAsia="仿宋_GB2312" w:cs="仿宋_GB2312"/>
          <w:b/>
          <w:bCs/>
          <w:color w:val="auto"/>
          <w:kern w:val="2"/>
          <w:sz w:val="32"/>
          <w:szCs w:val="32"/>
          <w:highlight w:val="none"/>
          <w:lang w:val="en-US" w:eastAsia="zh-CN" w:bidi="ar-SA"/>
        </w:rPr>
        <w:t>8.82万</w:t>
      </w:r>
      <w:r>
        <w:rPr>
          <w:rFonts w:hint="eastAsia" w:ascii="Times New Roman" w:hAnsi="Times New Roman" w:eastAsia="仿宋_GB2312" w:cs="仿宋_GB2312"/>
          <w:b/>
          <w:bCs/>
          <w:color w:val="auto"/>
          <w:kern w:val="2"/>
          <w:sz w:val="32"/>
          <w:szCs w:val="32"/>
          <w:highlight w:val="none"/>
          <w:lang w:val="en-US" w:eastAsia="zh-CN" w:bidi="ar-SA"/>
        </w:rPr>
        <w:t>元</w:t>
      </w:r>
      <w:r>
        <w:rPr>
          <w:rFonts w:hint="eastAsia"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完成预算</w:t>
      </w:r>
      <w:r>
        <w:rPr>
          <w:rFonts w:hint="eastAsia" w:eastAsia="仿宋_GB2312" w:cs="仿宋_GB2312"/>
          <w:b/>
          <w:bCs/>
          <w:color w:val="auto"/>
          <w:kern w:val="2"/>
          <w:sz w:val="32"/>
          <w:szCs w:val="32"/>
          <w:highlight w:val="none"/>
          <w:lang w:val="en-US" w:eastAsia="zh-CN" w:bidi="ar-SA"/>
        </w:rPr>
        <w:t>100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公务用车购置及运行维护费支出决算比202</w:t>
      </w:r>
      <w:r>
        <w:rPr>
          <w:rFonts w:hint="eastAsia" w:eastAsia="仿宋_GB2312" w:cs="仿宋_GB2312"/>
          <w:color w:val="auto"/>
          <w:kern w:val="2"/>
          <w:sz w:val="32"/>
          <w:szCs w:val="32"/>
          <w:highlight w:val="none"/>
          <w:lang w:val="en-US" w:eastAsia="zh-CN" w:bidi="ar-SA"/>
        </w:rPr>
        <w:t>3</w:t>
      </w:r>
      <w:r>
        <w:rPr>
          <w:rFonts w:hint="eastAsia" w:ascii="Times New Roman" w:hAnsi="Times New Roman" w:eastAsia="仿宋_GB2312" w:cs="仿宋_GB2312"/>
          <w:color w:val="auto"/>
          <w:kern w:val="2"/>
          <w:sz w:val="32"/>
          <w:szCs w:val="32"/>
          <w:highlight w:val="none"/>
          <w:lang w:val="en-US" w:eastAsia="zh-CN" w:bidi="ar-SA"/>
        </w:rPr>
        <w:t>年度减少</w:t>
      </w:r>
      <w:r>
        <w:rPr>
          <w:rFonts w:hint="eastAsia" w:eastAsia="仿宋_GB2312" w:cs="仿宋_GB2312"/>
          <w:color w:val="auto"/>
          <w:kern w:val="2"/>
          <w:sz w:val="32"/>
          <w:szCs w:val="32"/>
          <w:highlight w:val="none"/>
          <w:lang w:val="en-US" w:eastAsia="zh-CN" w:bidi="ar-SA"/>
        </w:rPr>
        <w:t>3.32</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27</w:t>
      </w:r>
      <w:r>
        <w:rPr>
          <w:rFonts w:hint="eastAsia" w:ascii="Times New Roman" w:hAnsi="Times New Roman" w:eastAsia="仿宋_GB2312" w:cs="仿宋_GB2312"/>
          <w:color w:val="auto"/>
          <w:kern w:val="2"/>
          <w:sz w:val="32"/>
          <w:szCs w:val="32"/>
          <w:highlight w:val="none"/>
          <w:lang w:val="en-US" w:eastAsia="zh-CN" w:bidi="ar-SA"/>
        </w:rPr>
        <w:t>%。主要原因是</w:t>
      </w:r>
      <w:r>
        <w:rPr>
          <w:rFonts w:hint="eastAsia" w:eastAsia="仿宋_GB2312" w:cs="仿宋_GB2312"/>
          <w:color w:val="auto"/>
          <w:kern w:val="2"/>
          <w:sz w:val="32"/>
          <w:szCs w:val="32"/>
          <w:highlight w:val="none"/>
          <w:lang w:val="en-US" w:eastAsia="zh-CN" w:bidi="ar-SA"/>
        </w:rPr>
        <w:t>公务用车次数减少。</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其中：公务用车购置支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万元。全年按规定更新购置公务用车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辆，其中：轿车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万元，越野车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万元，载客汽车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万元。截至2024年12月31日，单位共有公务用车</w:t>
      </w:r>
      <w:r>
        <w:rPr>
          <w:rFonts w:hint="eastAsia" w:eastAsia="仿宋_GB2312" w:cs="仿宋_GB2312"/>
          <w:color w:val="auto"/>
          <w:kern w:val="2"/>
          <w:sz w:val="32"/>
          <w:szCs w:val="32"/>
          <w:highlight w:val="none"/>
          <w:lang w:val="en-US" w:eastAsia="zh-CN" w:bidi="ar-SA"/>
        </w:rPr>
        <w:t>4</w:t>
      </w:r>
      <w:r>
        <w:rPr>
          <w:rFonts w:hint="eastAsia" w:ascii="Times New Roman" w:hAnsi="Times New Roman" w:eastAsia="仿宋_GB2312" w:cs="仿宋_GB2312"/>
          <w:color w:val="auto"/>
          <w:kern w:val="2"/>
          <w:sz w:val="32"/>
          <w:szCs w:val="32"/>
          <w:highlight w:val="none"/>
          <w:lang w:val="en-US" w:eastAsia="zh-CN" w:bidi="ar-SA"/>
        </w:rPr>
        <w:t>辆，其中：轿车</w:t>
      </w:r>
      <w:r>
        <w:rPr>
          <w:rFonts w:hint="eastAsia" w:eastAsia="仿宋_GB2312" w:cs="仿宋_GB2312"/>
          <w:color w:val="auto"/>
          <w:kern w:val="2"/>
          <w:sz w:val="32"/>
          <w:szCs w:val="32"/>
          <w:highlight w:val="none"/>
          <w:lang w:val="en-US" w:eastAsia="zh-CN" w:bidi="ar-SA"/>
        </w:rPr>
        <w:t>2</w:t>
      </w:r>
      <w:r>
        <w:rPr>
          <w:rFonts w:hint="eastAsia" w:ascii="Times New Roman" w:hAnsi="Times New Roman" w:eastAsia="仿宋_GB2312" w:cs="仿宋_GB2312"/>
          <w:color w:val="auto"/>
          <w:kern w:val="2"/>
          <w:sz w:val="32"/>
          <w:szCs w:val="32"/>
          <w:highlight w:val="none"/>
          <w:lang w:val="en-US" w:eastAsia="zh-CN" w:bidi="ar-SA"/>
        </w:rPr>
        <w:t>辆、越野车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辆、载客汽车</w:t>
      </w:r>
      <w:r>
        <w:rPr>
          <w:rFonts w:hint="eastAsia" w:eastAsia="仿宋_GB2312" w:cs="仿宋_GB2312"/>
          <w:color w:val="auto"/>
          <w:kern w:val="2"/>
          <w:sz w:val="32"/>
          <w:szCs w:val="32"/>
          <w:highlight w:val="none"/>
          <w:lang w:val="en-US" w:eastAsia="zh-CN" w:bidi="ar-SA"/>
        </w:rPr>
        <w:t>2</w:t>
      </w:r>
      <w:r>
        <w:rPr>
          <w:rFonts w:hint="eastAsia" w:ascii="Times New Roman" w:hAnsi="Times New Roman" w:eastAsia="仿宋_GB2312" w:cs="仿宋_GB2312"/>
          <w:color w:val="auto"/>
          <w:kern w:val="2"/>
          <w:sz w:val="32"/>
          <w:szCs w:val="32"/>
          <w:highlight w:val="none"/>
          <w:lang w:val="en-US" w:eastAsia="zh-CN" w:bidi="ar-SA"/>
        </w:rPr>
        <w:t>辆。</w:t>
      </w:r>
    </w:p>
    <w:p>
      <w:pPr>
        <w:spacing w:line="600" w:lineRule="exact"/>
        <w:ind w:firstLine="640"/>
        <w:rPr>
          <w:rFonts w:ascii="仿宋_GB2312" w:eastAsia="仿宋_GB2312"/>
          <w:sz w:val="32"/>
          <w:szCs w:val="32"/>
        </w:rPr>
      </w:pPr>
      <w:r>
        <w:rPr>
          <w:rFonts w:hint="eastAsia" w:ascii="Times New Roman" w:hAnsi="Times New Roman" w:eastAsia="仿宋_GB2312" w:cs="仿宋_GB2312"/>
          <w:color w:val="auto"/>
          <w:kern w:val="2"/>
          <w:sz w:val="32"/>
          <w:szCs w:val="32"/>
          <w:highlight w:val="none"/>
          <w:lang w:val="en-US" w:eastAsia="zh-CN" w:bidi="ar-SA"/>
        </w:rPr>
        <w:t>公务用车运行维护费支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8.82</w:t>
      </w:r>
      <w:r>
        <w:rPr>
          <w:rFonts w:hint="eastAsia" w:ascii="Times New Roman" w:hAnsi="Times New Roman" w:eastAsia="仿宋_GB2312" w:cs="仿宋_GB2312"/>
          <w:color w:val="auto"/>
          <w:kern w:val="2"/>
          <w:sz w:val="32"/>
          <w:szCs w:val="32"/>
          <w:highlight w:val="none"/>
          <w:lang w:val="en-US" w:eastAsia="zh-CN" w:bidi="ar-SA"/>
        </w:rPr>
        <w:t>万元。</w:t>
      </w:r>
      <w:r>
        <w:rPr>
          <w:rFonts w:hint="eastAsia" w:ascii="仿宋_GB2312" w:eastAsia="仿宋_GB2312"/>
          <w:sz w:val="32"/>
          <w:szCs w:val="32"/>
        </w:rPr>
        <w:t>主要用于服务老干部、机关正常运转等所需的公务用车燃料费、维修费、过路过桥费、保险费等支出。</w:t>
      </w:r>
    </w:p>
    <w:p>
      <w:pPr>
        <w:spacing w:line="600" w:lineRule="exact"/>
        <w:ind w:firstLine="640"/>
        <w:rPr>
          <w:rFonts w:ascii="仿宋_GB2312" w:eastAsia="仿宋_GB2312"/>
          <w:sz w:val="32"/>
          <w:szCs w:val="32"/>
        </w:rPr>
      </w:pPr>
      <w:r>
        <w:rPr>
          <w:rFonts w:hint="eastAsia" w:ascii="Times New Roman" w:hAnsi="Times New Roman" w:eastAsia="仿宋_GB2312" w:cs="仿宋_GB2312"/>
          <w:b/>
          <w:bCs/>
          <w:color w:val="auto"/>
          <w:kern w:val="2"/>
          <w:sz w:val="32"/>
          <w:szCs w:val="32"/>
          <w:highlight w:val="none"/>
          <w:lang w:val="en-US" w:eastAsia="zh-CN" w:bidi="ar-SA"/>
        </w:rPr>
        <w:t>3.公务接待费支出</w:t>
      </w:r>
      <w:r>
        <w:rPr>
          <w:rFonts w:hint="eastAsia" w:ascii="仿宋_GB2312" w:hAnsi="仿宋_GB2312" w:eastAsia="仿宋_GB2312" w:cs="仿宋_GB2312"/>
          <w:b/>
          <w:bCs/>
          <w:color w:val="auto"/>
          <w:kern w:val="2"/>
          <w:sz w:val="32"/>
          <w:szCs w:val="32"/>
          <w:highlight w:val="none"/>
          <w:lang w:val="en-US" w:eastAsia="zh-CN" w:bidi="ar-SA"/>
        </w:rPr>
        <w:t>0万</w:t>
      </w:r>
      <w:r>
        <w:rPr>
          <w:rFonts w:hint="eastAsia" w:ascii="Times New Roman" w:hAnsi="Times New Roman" w:eastAsia="仿宋_GB2312" w:cs="仿宋_GB2312"/>
          <w:b/>
          <w:bCs/>
          <w:color w:val="auto"/>
          <w:kern w:val="2"/>
          <w:sz w:val="32"/>
          <w:szCs w:val="32"/>
          <w:highlight w:val="none"/>
          <w:lang w:val="en-US" w:eastAsia="zh-CN" w:bidi="ar-SA"/>
        </w:rPr>
        <w:t>元，完成预算</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w:t>
      </w:r>
      <w:bookmarkStart w:id="34" w:name="_Toc15377218"/>
      <w:bookmarkStart w:id="35" w:name="_Toc15396610"/>
      <w:r>
        <w:rPr>
          <w:rFonts w:hint="eastAsia" w:ascii="仿宋_GB2312" w:eastAsia="仿宋_GB2312"/>
          <w:sz w:val="32"/>
          <w:szCs w:val="32"/>
        </w:rPr>
        <w:t>公务接待费支出决算比202</w:t>
      </w:r>
      <w:r>
        <w:rPr>
          <w:rFonts w:hint="eastAsia" w:ascii="仿宋_GB2312" w:eastAsia="仿宋_GB2312"/>
          <w:sz w:val="32"/>
          <w:szCs w:val="32"/>
          <w:lang w:val="en-US" w:eastAsia="zh-CN"/>
        </w:rPr>
        <w:t>3</w:t>
      </w:r>
      <w:r>
        <w:rPr>
          <w:rFonts w:hint="eastAsia" w:ascii="仿宋_GB2312" w:eastAsia="仿宋_GB2312"/>
          <w:sz w:val="32"/>
          <w:szCs w:val="32"/>
        </w:rPr>
        <w:t>年度</w:t>
      </w:r>
      <w:r>
        <w:rPr>
          <w:rFonts w:hint="eastAsia" w:ascii="仿宋_GB2312" w:eastAsia="仿宋_GB2312"/>
          <w:sz w:val="32"/>
          <w:szCs w:val="32"/>
          <w:lang w:eastAsia="zh-CN"/>
        </w:rPr>
        <w:t>无增减</w:t>
      </w:r>
      <w:r>
        <w:rPr>
          <w:rFonts w:hint="eastAsia" w:ascii="仿宋_GB2312" w:eastAsia="仿宋_GB2312"/>
          <w:sz w:val="32"/>
          <w:szCs w:val="32"/>
        </w:rPr>
        <w:t>。主要原因是202</w:t>
      </w:r>
      <w:r>
        <w:rPr>
          <w:rFonts w:hint="eastAsia" w:ascii="仿宋_GB2312" w:eastAsia="仿宋_GB2312"/>
          <w:sz w:val="32"/>
          <w:szCs w:val="32"/>
          <w:lang w:val="en-US" w:eastAsia="zh-CN"/>
        </w:rPr>
        <w:t>4</w:t>
      </w:r>
      <w:r>
        <w:rPr>
          <w:rFonts w:hint="eastAsia" w:ascii="仿宋_GB2312" w:eastAsia="仿宋_GB2312"/>
          <w:sz w:val="32"/>
          <w:szCs w:val="32"/>
        </w:rPr>
        <w:t>年无公务接待。其中：</w:t>
      </w:r>
    </w:p>
    <w:p>
      <w:pPr>
        <w:spacing w:line="600" w:lineRule="exact"/>
        <w:ind w:firstLine="640"/>
        <w:rPr>
          <w:rFonts w:ascii="仿宋_GB2312" w:eastAsia="仿宋_GB2312"/>
          <w:sz w:val="32"/>
          <w:szCs w:val="32"/>
        </w:rPr>
      </w:pPr>
      <w:r>
        <w:rPr>
          <w:rFonts w:hint="eastAsia" w:ascii="仿宋" w:hAnsi="仿宋" w:eastAsia="仿宋"/>
          <w:b/>
          <w:sz w:val="32"/>
          <w:szCs w:val="32"/>
        </w:rPr>
        <w:t>国内公务接待支出</w:t>
      </w:r>
      <w:r>
        <w:rPr>
          <w:rFonts w:ascii="仿宋" w:hAnsi="仿宋" w:eastAsia="仿宋"/>
          <w:b/>
          <w:sz w:val="32"/>
          <w:szCs w:val="32"/>
        </w:rPr>
        <w:t>0</w:t>
      </w:r>
      <w:r>
        <w:rPr>
          <w:rFonts w:hint="eastAsia" w:ascii="仿宋_GB2312" w:eastAsia="仿宋_GB2312"/>
          <w:sz w:val="32"/>
          <w:szCs w:val="32"/>
        </w:rPr>
        <w:t>万元，主要用于 (执行公务、开展业务活动开支的交通费、住宿费、用餐费等)。国内公务接待0批次，0人次（不包括陪同人员），共计支出0万元，具体内容无。</w:t>
      </w:r>
    </w:p>
    <w:p>
      <w:pPr>
        <w:spacing w:line="600" w:lineRule="exact"/>
        <w:ind w:firstLine="643" w:firstLineChars="200"/>
        <w:rPr>
          <w:rFonts w:ascii="仿宋_GB2312" w:eastAsia="仿宋_GB2312"/>
          <w:sz w:val="32"/>
          <w:szCs w:val="32"/>
        </w:rPr>
      </w:pPr>
      <w:r>
        <w:rPr>
          <w:rFonts w:hint="eastAsia" w:ascii="仿宋" w:hAnsi="仿宋" w:eastAsia="仿宋"/>
          <w:b/>
          <w:sz w:val="32"/>
          <w:szCs w:val="32"/>
        </w:rPr>
        <w:t>外事接待支出</w:t>
      </w:r>
      <w:r>
        <w:rPr>
          <w:rFonts w:ascii="仿宋" w:hAnsi="仿宋" w:eastAsia="仿宋"/>
          <w:b/>
          <w:sz w:val="32"/>
          <w:szCs w:val="32"/>
        </w:rPr>
        <w:t>0</w:t>
      </w:r>
      <w:r>
        <w:rPr>
          <w:rFonts w:hint="eastAsia" w:ascii="仿宋_GB2312" w:eastAsia="仿宋_GB2312"/>
          <w:sz w:val="32"/>
          <w:szCs w:val="32"/>
        </w:rPr>
        <w:t>万元，主要用于接待（具体项目）。外事接待0批次，0人次（不包括陪同人员），共计支出0万元。</w:t>
      </w:r>
    </w:p>
    <w:p>
      <w:pPr>
        <w:spacing w:line="600" w:lineRule="exact"/>
        <w:ind w:firstLine="640"/>
        <w:outlineLvl w:val="1"/>
        <w:rPr>
          <w:rStyle w:val="29"/>
          <w:rFonts w:ascii="Times New Roman" w:hAnsi="Times New Roman" w:eastAsia="黑体"/>
          <w:color w:val="auto"/>
          <w:highlight w:val="none"/>
        </w:rPr>
      </w:pPr>
      <w:r>
        <w:rPr>
          <w:rFonts w:hint="eastAsia" w:ascii="Times New Roman" w:hAnsi="Times New Roman" w:eastAsia="黑体"/>
          <w:color w:val="auto"/>
          <w:sz w:val="32"/>
          <w:szCs w:val="32"/>
          <w:highlight w:val="none"/>
        </w:rPr>
        <w:t>八、</w:t>
      </w:r>
      <w:r>
        <w:rPr>
          <w:rStyle w:val="29"/>
          <w:rFonts w:hint="eastAsia" w:ascii="Times New Roman" w:hAnsi="Times New Roman" w:eastAsia="黑体"/>
          <w:b w:val="0"/>
          <w:color w:val="auto"/>
          <w:highlight w:val="none"/>
        </w:rPr>
        <w:t>政府性基金预算支出决算情况说明</w:t>
      </w:r>
      <w:bookmarkEnd w:id="34"/>
      <w:bookmarkEnd w:id="35"/>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2024年度政府性基金预算财政拨款支出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。与2023年度相比，政府性基金预算财政拨款支出增加</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（注：支出数与上年持平可以不写原因）</w:t>
      </w:r>
    </w:p>
    <w:p>
      <w:pPr>
        <w:numPr>
          <w:ilvl w:val="0"/>
          <w:numId w:val="0"/>
        </w:numPr>
        <w:spacing w:line="600" w:lineRule="exact"/>
        <w:ind w:left="630" w:leftChars="0"/>
        <w:outlineLvl w:val="1"/>
        <w:rPr>
          <w:rStyle w:val="29"/>
          <w:rFonts w:ascii="Times New Roman" w:hAnsi="Times New Roman" w:eastAsia="黑体"/>
          <w:b w:val="0"/>
          <w:color w:val="auto"/>
          <w:highlight w:val="none"/>
        </w:rPr>
      </w:pPr>
      <w:bookmarkStart w:id="36" w:name="_Toc15396611"/>
      <w:bookmarkStart w:id="37" w:name="_Toc15377219"/>
      <w:r>
        <w:rPr>
          <w:rStyle w:val="29"/>
          <w:rFonts w:hint="eastAsia" w:ascii="Times New Roman" w:hAnsi="Times New Roman" w:eastAsia="黑体"/>
          <w:b w:val="0"/>
          <w:color w:val="auto"/>
          <w:highlight w:val="none"/>
          <w:lang w:eastAsia="zh-CN"/>
        </w:rPr>
        <w:t>九、</w:t>
      </w:r>
      <w:r>
        <w:rPr>
          <w:rStyle w:val="29"/>
          <w:rFonts w:hint="eastAsia" w:ascii="Times New Roman" w:hAnsi="Times New Roman" w:eastAsia="黑体"/>
          <w:b w:val="0"/>
          <w:color w:val="auto"/>
          <w:highlight w:val="none"/>
        </w:rPr>
        <w:t>国有资本经营预算支出决算情况说明</w:t>
      </w:r>
      <w:bookmarkEnd w:id="36"/>
      <w:bookmarkEnd w:id="37"/>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2024年度国有资本经营预算财政拨款支出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。与2023年度相比，国有资本经营预算财政拨款支出增加</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（注：支出数与上年持平可以不写原因）</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numPr>
          <w:ilvl w:val="0"/>
          <w:numId w:val="0"/>
        </w:numPr>
        <w:spacing w:line="600" w:lineRule="exact"/>
        <w:ind w:left="630" w:leftChars="0"/>
        <w:outlineLvl w:val="1"/>
        <w:rPr>
          <w:rStyle w:val="29"/>
          <w:rFonts w:hint="eastAsia" w:ascii="Times New Roman" w:hAnsi="Times New Roman" w:eastAsia="黑体"/>
          <w:b w:val="0"/>
          <w:color w:val="auto"/>
          <w:highlight w:val="none"/>
        </w:rPr>
      </w:pPr>
      <w:bookmarkStart w:id="38" w:name="_Toc15377221"/>
      <w:bookmarkStart w:id="39" w:name="_Toc15396612"/>
      <w:r>
        <w:rPr>
          <w:rStyle w:val="29"/>
          <w:rFonts w:hint="eastAsia" w:ascii="Times New Roman" w:hAnsi="Times New Roman" w:eastAsia="黑体"/>
          <w:b w:val="0"/>
          <w:color w:val="auto"/>
          <w:highlight w:val="none"/>
          <w:lang w:eastAsia="zh-CN"/>
        </w:rPr>
        <w:t>十、</w:t>
      </w:r>
      <w:r>
        <w:rPr>
          <w:rStyle w:val="29"/>
          <w:rFonts w:hint="eastAsia" w:ascii="Times New Roman" w:hAnsi="Times New Roman" w:eastAsia="黑体"/>
          <w:b w:val="0"/>
          <w:color w:val="auto"/>
          <w:highlight w:val="none"/>
        </w:rPr>
        <w:t>其他重要事项的情况说明</w:t>
      </w:r>
      <w:bookmarkEnd w:id="38"/>
      <w:bookmarkEnd w:id="39"/>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0" w:name="_Toc15377222"/>
      <w:r>
        <w:rPr>
          <w:rFonts w:hint="eastAsia" w:ascii="Times New Roman" w:hAnsi="Times New Roman" w:eastAsia="楷体_GB2312" w:cs="楷体_GB2312"/>
          <w:b/>
          <w:color w:val="auto"/>
          <w:sz w:val="32"/>
          <w:szCs w:val="32"/>
          <w:highlight w:val="none"/>
        </w:rPr>
        <w:t>（一）机关运行经费支出情况</w:t>
      </w:r>
      <w:bookmarkEnd w:id="40"/>
    </w:p>
    <w:p>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color w:val="auto"/>
          <w:kern w:val="2"/>
          <w:sz w:val="32"/>
          <w:szCs w:val="32"/>
          <w:highlight w:val="none"/>
          <w:lang w:val="en-US" w:eastAsia="zh-CN" w:bidi="ar-SA"/>
        </w:rPr>
        <w:t>，</w:t>
      </w:r>
      <w:r>
        <w:rPr>
          <w:rFonts w:hint="eastAsia" w:ascii="仿宋_GB2312" w:hAnsi="仿宋_GB2312" w:eastAsia="仿宋_GB2312" w:cs="仿宋_GB2312"/>
          <w:sz w:val="32"/>
          <w:szCs w:val="32"/>
        </w:rPr>
        <w:t>阿坝州成都离退休干部休养所（阿坝州驻成都老干部管理服务中心）</w:t>
      </w:r>
      <w:r>
        <w:rPr>
          <w:rFonts w:hint="eastAsia" w:ascii="仿宋_GB2312" w:hAnsi="仿宋_GB2312" w:eastAsia="仿宋_GB2312" w:cs="仿宋_GB2312"/>
          <w:color w:val="auto"/>
          <w:kern w:val="2"/>
          <w:sz w:val="32"/>
          <w:szCs w:val="32"/>
          <w:highlight w:val="none"/>
          <w:lang w:val="en-US" w:eastAsia="zh-CN" w:bidi="ar-SA"/>
        </w:rPr>
        <w:t>机关运行经费支出</w:t>
      </w:r>
      <w:r>
        <w:rPr>
          <w:rFonts w:hint="eastAsia" w:ascii="仿宋_GB2312" w:hAnsi="仿宋_GB2312" w:eastAsia="仿宋_GB2312" w:cs="仿宋_GB2312"/>
          <w:sz w:val="32"/>
          <w:szCs w:val="32"/>
        </w:rPr>
        <w:t>38.79</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元，比2023年度增加</w:t>
      </w:r>
      <w:r>
        <w:rPr>
          <w:rFonts w:hint="eastAsia" w:eastAsia="仿宋_GB2312" w:cs="仿宋_GB2312"/>
          <w:color w:val="auto"/>
          <w:kern w:val="2"/>
          <w:sz w:val="32"/>
          <w:szCs w:val="32"/>
          <w:highlight w:val="none"/>
          <w:lang w:val="en-US" w:eastAsia="zh-CN" w:bidi="ar-SA"/>
        </w:rPr>
        <w:t>0.01</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0.03</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，与2023年基本持平。</w:t>
      </w:r>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1" w:name="_Toc15377223"/>
      <w:r>
        <w:rPr>
          <w:rFonts w:hint="eastAsia" w:ascii="Times New Roman" w:hAnsi="Times New Roman" w:eastAsia="楷体_GB2312" w:cs="楷体_GB2312"/>
          <w:b/>
          <w:color w:val="auto"/>
          <w:sz w:val="32"/>
          <w:szCs w:val="32"/>
          <w:highlight w:val="none"/>
        </w:rPr>
        <w:t>（二）政府采购支出情况</w:t>
      </w:r>
      <w:bookmarkEnd w:id="41"/>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sz w:val="32"/>
          <w:szCs w:val="32"/>
        </w:rPr>
        <w:t>阿坝州成都离退休干部休养所（阿坝州驻成都老干部管理服务中心）</w:t>
      </w:r>
      <w:r>
        <w:rPr>
          <w:rFonts w:hint="eastAsia" w:ascii="仿宋_GB2312" w:hAnsi="仿宋_GB2312" w:eastAsia="仿宋_GB2312" w:cs="仿宋_GB2312"/>
          <w:color w:val="auto"/>
          <w:kern w:val="2"/>
          <w:sz w:val="32"/>
          <w:szCs w:val="32"/>
          <w:highlight w:val="none"/>
          <w:lang w:val="en-US" w:eastAsia="zh-CN" w:bidi="ar-SA"/>
        </w:rPr>
        <w:t>政府采购支出总额</w:t>
      </w:r>
      <w:r>
        <w:rPr>
          <w:rFonts w:hint="eastAsia" w:ascii="仿宋_GB2312" w:hAnsi="仿宋_GB2312" w:eastAsia="仿宋_GB2312" w:cs="仿宋_GB2312"/>
          <w:sz w:val="32"/>
          <w:szCs w:val="32"/>
        </w:rPr>
        <w:t>0.74</w:t>
      </w:r>
      <w:r>
        <w:rPr>
          <w:rFonts w:hint="eastAsia" w:ascii="仿宋_GB2312" w:hAnsi="仿宋_GB2312" w:eastAsia="仿宋_GB2312" w:cs="仿宋_GB2312"/>
          <w:color w:val="auto"/>
          <w:kern w:val="2"/>
          <w:sz w:val="32"/>
          <w:szCs w:val="32"/>
          <w:highlight w:val="none"/>
          <w:lang w:val="en-US" w:eastAsia="zh-CN" w:bidi="ar-SA"/>
        </w:rPr>
        <w:t>万元，其中：政府采购货物支出</w:t>
      </w:r>
      <w:r>
        <w:rPr>
          <w:rFonts w:hint="eastAsia" w:ascii="仿宋_GB2312" w:hAnsi="仿宋_GB2312" w:eastAsia="仿宋_GB2312" w:cs="仿宋_GB2312"/>
          <w:sz w:val="32"/>
          <w:szCs w:val="32"/>
        </w:rPr>
        <w:t>0.74</w:t>
      </w:r>
      <w:r>
        <w:rPr>
          <w:rFonts w:hint="eastAsia" w:ascii="仿宋_GB2312" w:hAnsi="仿宋_GB2312" w:eastAsia="仿宋_GB2312" w:cs="仿宋_GB2312"/>
          <w:color w:val="auto"/>
          <w:kern w:val="2"/>
          <w:sz w:val="32"/>
          <w:szCs w:val="32"/>
          <w:highlight w:val="none"/>
          <w:lang w:val="en-US" w:eastAsia="zh-CN" w:bidi="ar-SA"/>
        </w:rPr>
        <w:t>万元、政府采购工程支出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万元、政府采购服务支出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万元。主要用于办公设备购置。授予中小企业合同金额</w:t>
      </w:r>
      <w:r>
        <w:rPr>
          <w:rFonts w:hint="eastAsia" w:ascii="仿宋_GB2312" w:hAnsi="仿宋_GB2312" w:eastAsia="仿宋_GB2312" w:cs="仿宋_GB2312"/>
          <w:sz w:val="32"/>
          <w:szCs w:val="32"/>
        </w:rPr>
        <w:t>0.74</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kern w:val="2"/>
          <w:sz w:val="32"/>
          <w:szCs w:val="32"/>
          <w:highlight w:val="none"/>
          <w:lang w:val="en-US" w:eastAsia="zh-CN" w:bidi="ar-SA"/>
        </w:rPr>
        <w:t>%，其中：授予小微企业合同金额</w:t>
      </w:r>
      <w:r>
        <w:rPr>
          <w:rFonts w:hint="eastAsia" w:ascii="仿宋_GB2312" w:hAnsi="仿宋_GB2312" w:eastAsia="仿宋_GB2312" w:cs="仿宋_GB2312"/>
          <w:sz w:val="32"/>
          <w:szCs w:val="32"/>
        </w:rPr>
        <w:t>0.74</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kern w:val="2"/>
          <w:sz w:val="32"/>
          <w:szCs w:val="32"/>
          <w:highlight w:val="none"/>
          <w:lang w:val="en-US" w:eastAsia="zh-CN" w:bidi="ar-SA"/>
        </w:rPr>
        <w:t>%。</w:t>
      </w:r>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2" w:name="_Toc15377224"/>
      <w:r>
        <w:rPr>
          <w:rFonts w:hint="eastAsia" w:ascii="Times New Roman" w:hAnsi="Times New Roman" w:eastAsia="楷体_GB2312" w:cs="楷体_GB2312"/>
          <w:b/>
          <w:color w:val="auto"/>
          <w:sz w:val="32"/>
          <w:szCs w:val="32"/>
          <w:highlight w:val="none"/>
        </w:rPr>
        <w:t>（三）国有资产占有使用情况</w:t>
      </w:r>
      <w:bookmarkEnd w:id="42"/>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截至2024年12月31日，</w:t>
      </w:r>
      <w:r>
        <w:rPr>
          <w:rFonts w:hint="eastAsia" w:ascii="仿宋_GB2312" w:hAnsi="仿宋_GB2312" w:eastAsia="仿宋_GB2312" w:cs="仿宋_GB2312"/>
          <w:sz w:val="32"/>
          <w:szCs w:val="32"/>
        </w:rPr>
        <w:t>阿坝州成都离退休干部休养所（阿坝州驻成都老干部管理服务中心）</w:t>
      </w:r>
      <w:r>
        <w:rPr>
          <w:rFonts w:hint="eastAsia" w:ascii="仿宋_GB2312" w:hAnsi="仿宋_GB2312" w:eastAsia="仿宋_GB2312" w:cs="仿宋_GB2312"/>
          <w:color w:val="auto"/>
          <w:kern w:val="2"/>
          <w:sz w:val="32"/>
          <w:szCs w:val="32"/>
          <w:highlight w:val="none"/>
          <w:lang w:val="en-US" w:eastAsia="zh-CN" w:bidi="ar-SA"/>
        </w:rPr>
        <w:t>共有车辆</w:t>
      </w:r>
      <w:r>
        <w:rPr>
          <w:rFonts w:hint="eastAsia" w:ascii="仿宋_GB2312" w:hAnsi="仿宋_GB2312" w:eastAsia="仿宋_GB2312" w:cs="仿宋_GB2312"/>
          <w:sz w:val="32"/>
          <w:szCs w:val="32"/>
        </w:rPr>
        <w:t>4</w:t>
      </w:r>
      <w:r>
        <w:rPr>
          <w:rFonts w:hint="eastAsia" w:ascii="仿宋_GB2312" w:hAnsi="仿宋_GB2312" w:eastAsia="仿宋_GB2312" w:cs="仿宋_GB2312"/>
          <w:color w:val="auto"/>
          <w:kern w:val="2"/>
          <w:sz w:val="32"/>
          <w:szCs w:val="32"/>
          <w:highlight w:val="none"/>
          <w:lang w:val="en-US" w:eastAsia="zh-CN" w:bidi="ar-SA"/>
        </w:rPr>
        <w:t>辆，其中：主要负责人用车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辆、机要通信用车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辆、应急保障用车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辆、其他用车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辆，其他用车主要是用于老干部工作用车。单价100万元（含）以上设备（不含车辆）</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台（套）</w:t>
      </w:r>
      <w:r>
        <w:rPr>
          <w:rFonts w:hint="eastAsia" w:ascii="Times New Roman" w:hAnsi="Times New Roman" w:eastAsia="仿宋_GB2312" w:cs="仿宋_GB2312"/>
          <w:color w:val="auto"/>
          <w:kern w:val="2"/>
          <w:sz w:val="32"/>
          <w:szCs w:val="32"/>
          <w:highlight w:val="none"/>
          <w:lang w:val="en-US" w:eastAsia="zh-CN" w:bidi="ar-SA"/>
        </w:rPr>
        <w:t>。</w:t>
      </w:r>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（四）预算绩效管理情况</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根据预算绩效管理要求，</w:t>
      </w:r>
      <w:r>
        <w:rPr>
          <w:rFonts w:hint="eastAsia" w:ascii="仿宋_GB2312" w:eastAsia="仿宋_GB2312"/>
          <w:sz w:val="32"/>
          <w:szCs w:val="32"/>
        </w:rPr>
        <w:t>本单位</w:t>
      </w:r>
      <w:r>
        <w:rPr>
          <w:rFonts w:hint="eastAsia" w:ascii="Times New Roman" w:hAnsi="Times New Roman" w:eastAsia="仿宋_GB2312" w:cs="仿宋_GB2312"/>
          <w:color w:val="auto"/>
          <w:kern w:val="2"/>
          <w:sz w:val="32"/>
          <w:szCs w:val="32"/>
          <w:highlight w:val="none"/>
          <w:lang w:val="en-US" w:eastAsia="zh-CN" w:bidi="ar-SA"/>
        </w:rPr>
        <w:t>在2024年度预算编制阶段，组织对</w:t>
      </w:r>
      <w:r>
        <w:rPr>
          <w:rFonts w:hint="eastAsia" w:ascii="仿宋_GB2312" w:eastAsia="仿宋_GB2312"/>
          <w:sz w:val="32"/>
          <w:szCs w:val="32"/>
        </w:rPr>
        <w:t>理</w:t>
      </w:r>
      <w:r>
        <w:rPr>
          <w:rFonts w:hint="eastAsia" w:ascii="仿宋_GB2312" w:eastAsia="仿宋_GB2312"/>
          <w:sz w:val="32"/>
          <w:szCs w:val="32"/>
          <w:lang w:eastAsia="zh-CN"/>
        </w:rPr>
        <w:t>办公点物业管理费，离退休基层党组织活动费，维修维护费，老干部活动、</w:t>
      </w:r>
      <w:r>
        <w:rPr>
          <w:rFonts w:hint="eastAsia" w:ascii="仿宋_GB2312" w:eastAsia="仿宋_GB2312"/>
          <w:sz w:val="32"/>
          <w:szCs w:val="32"/>
        </w:rPr>
        <w:t>服务中心运行费</w:t>
      </w:r>
      <w:r>
        <w:rPr>
          <w:rFonts w:hint="eastAsia" w:ascii="仿宋_GB2312" w:eastAsia="仿宋_GB2312"/>
          <w:sz w:val="32"/>
          <w:szCs w:val="32"/>
          <w:lang w:eastAsia="zh-CN"/>
        </w:rPr>
        <w:t>，</w:t>
      </w:r>
      <w:r>
        <w:rPr>
          <w:rFonts w:hint="eastAsia" w:ascii="仿宋_GB2312" w:eastAsia="仿宋_GB2312"/>
          <w:sz w:val="32"/>
          <w:szCs w:val="32"/>
        </w:rPr>
        <w:t>老干部大学运行费</w:t>
      </w:r>
      <w:r>
        <w:rPr>
          <w:rFonts w:hint="eastAsia" w:ascii="Times New Roman" w:hAnsi="Times New Roman" w:eastAsia="仿宋_GB2312" w:cs="仿宋_GB2312"/>
          <w:color w:val="auto"/>
          <w:kern w:val="2"/>
          <w:sz w:val="32"/>
          <w:szCs w:val="32"/>
          <w:highlight w:val="none"/>
          <w:lang w:val="en-US" w:eastAsia="zh-CN" w:bidi="ar-SA"/>
        </w:rPr>
        <w:t>等</w:t>
      </w:r>
      <w:r>
        <w:rPr>
          <w:rFonts w:hint="eastAsia" w:eastAsia="仿宋_GB2312" w:cs="仿宋_GB2312"/>
          <w:color w:val="auto"/>
          <w:kern w:val="2"/>
          <w:sz w:val="32"/>
          <w:szCs w:val="32"/>
          <w:highlight w:val="none"/>
          <w:lang w:val="en-US" w:eastAsia="zh-CN" w:bidi="ar-SA"/>
        </w:rPr>
        <w:t>5</w:t>
      </w:r>
      <w:r>
        <w:rPr>
          <w:rFonts w:hint="eastAsia" w:ascii="Times New Roman" w:hAnsi="Times New Roman" w:eastAsia="仿宋_GB2312" w:cs="仿宋_GB2312"/>
          <w:color w:val="auto"/>
          <w:kern w:val="2"/>
          <w:sz w:val="32"/>
          <w:szCs w:val="32"/>
          <w:highlight w:val="none"/>
          <w:lang w:val="en-US" w:eastAsia="zh-CN" w:bidi="ar-SA"/>
        </w:rPr>
        <w:t>个项目开展了预算事前绩效评估，对</w:t>
      </w:r>
      <w:r>
        <w:rPr>
          <w:rFonts w:hint="eastAsia" w:eastAsia="仿宋_GB2312" w:cs="仿宋_GB2312"/>
          <w:color w:val="auto"/>
          <w:kern w:val="2"/>
          <w:sz w:val="32"/>
          <w:szCs w:val="32"/>
          <w:highlight w:val="none"/>
          <w:lang w:val="en-US" w:eastAsia="zh-CN" w:bidi="ar-SA"/>
        </w:rPr>
        <w:t>5</w:t>
      </w:r>
      <w:r>
        <w:rPr>
          <w:rFonts w:hint="eastAsia" w:ascii="Times New Roman" w:hAnsi="Times New Roman" w:eastAsia="仿宋_GB2312" w:cs="仿宋_GB2312"/>
          <w:color w:val="auto"/>
          <w:kern w:val="2"/>
          <w:sz w:val="32"/>
          <w:szCs w:val="32"/>
          <w:highlight w:val="none"/>
          <w:lang w:val="en-US" w:eastAsia="zh-CN" w:bidi="ar-SA"/>
        </w:rPr>
        <w:t>个项目编制了绩效目标，预算执行过程中，选取</w:t>
      </w:r>
      <w:r>
        <w:rPr>
          <w:rFonts w:hint="eastAsia" w:eastAsia="仿宋_GB2312" w:cs="仿宋_GB2312"/>
          <w:color w:val="auto"/>
          <w:kern w:val="2"/>
          <w:sz w:val="32"/>
          <w:szCs w:val="32"/>
          <w:highlight w:val="none"/>
          <w:lang w:val="en-US" w:eastAsia="zh-CN" w:bidi="ar-SA"/>
        </w:rPr>
        <w:t>5</w:t>
      </w:r>
      <w:r>
        <w:rPr>
          <w:rFonts w:hint="eastAsia" w:ascii="Times New Roman" w:hAnsi="Times New Roman" w:eastAsia="仿宋_GB2312" w:cs="仿宋_GB2312"/>
          <w:color w:val="auto"/>
          <w:kern w:val="2"/>
          <w:sz w:val="32"/>
          <w:szCs w:val="32"/>
          <w:highlight w:val="none"/>
          <w:lang w:val="en-US" w:eastAsia="zh-CN" w:bidi="ar-SA"/>
        </w:rPr>
        <w:t>个项目开展绩效监控。</w:t>
      </w:r>
    </w:p>
    <w:p>
      <w:pPr>
        <w:adjustRightInd w:val="0"/>
        <w:snapToGrid w:val="0"/>
        <w:spacing w:line="520" w:lineRule="exact"/>
        <w:ind w:firstLine="480" w:firstLineChars="15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组织对2024年度一般公共预算、政府性基金预算、国有资本经营预算、社会保险基金预算以及资本资产、债券资金等全面开展绩效自评，形成部门整体（含部门预算项目）绩效自评报告、专项预算项目绩效自评报告，其中，部门整体（含部门预算项目）绩效自评得分为</w:t>
      </w:r>
      <w:r>
        <w:rPr>
          <w:rFonts w:hint="eastAsia" w:eastAsia="仿宋_GB2312" w:cs="仿宋_GB2312"/>
          <w:color w:val="auto"/>
          <w:kern w:val="2"/>
          <w:sz w:val="32"/>
          <w:szCs w:val="32"/>
          <w:highlight w:val="none"/>
          <w:lang w:val="en-US" w:eastAsia="zh-CN" w:bidi="ar-SA"/>
        </w:rPr>
        <w:t>93.69</w:t>
      </w:r>
      <w:r>
        <w:rPr>
          <w:rFonts w:hint="eastAsia" w:ascii="Times New Roman" w:hAnsi="Times New Roman" w:eastAsia="仿宋_GB2312" w:cs="仿宋_GB2312"/>
          <w:color w:val="auto"/>
          <w:kern w:val="2"/>
          <w:sz w:val="32"/>
          <w:szCs w:val="32"/>
          <w:highlight w:val="none"/>
          <w:lang w:val="en-US" w:eastAsia="zh-CN" w:bidi="ar-SA"/>
        </w:rPr>
        <w:t>分，绩效自评综述2024年，我单位部门预算执行情况基本良好，根据部门预算绩效评价指标体系，逐一进行分析自评，自评得分为93.</w:t>
      </w:r>
      <w:r>
        <w:rPr>
          <w:rFonts w:hint="eastAsia" w:eastAsia="仿宋_GB2312" w:cs="仿宋_GB2312"/>
          <w:color w:val="auto"/>
          <w:kern w:val="2"/>
          <w:sz w:val="32"/>
          <w:szCs w:val="32"/>
          <w:highlight w:val="none"/>
          <w:lang w:val="en-US" w:eastAsia="zh-CN" w:bidi="ar-SA"/>
        </w:rPr>
        <w:t>06</w:t>
      </w:r>
      <w:r>
        <w:rPr>
          <w:rFonts w:hint="eastAsia" w:ascii="Times New Roman" w:hAnsi="Times New Roman" w:eastAsia="仿宋_GB2312" w:cs="仿宋_GB2312"/>
          <w:color w:val="auto"/>
          <w:kern w:val="2"/>
          <w:sz w:val="32"/>
          <w:szCs w:val="32"/>
          <w:highlight w:val="none"/>
          <w:lang w:val="en-US" w:eastAsia="zh-CN" w:bidi="ar-SA"/>
        </w:rPr>
        <w:t>分。</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eastAsia="仿宋_GB2312" w:cs="仿宋_GB2312"/>
          <w:b/>
          <w:bCs/>
          <w:color w:val="auto"/>
          <w:kern w:val="2"/>
          <w:sz w:val="32"/>
          <w:szCs w:val="32"/>
          <w:highlight w:val="none"/>
          <w:lang w:val="en-US" w:eastAsia="zh-CN" w:bidi="ar-SA"/>
        </w:rPr>
        <w:t>注：</w:t>
      </w:r>
      <w:r>
        <w:rPr>
          <w:rFonts w:hint="eastAsia" w:ascii="Times New Roman" w:hAnsi="Times New Roman" w:eastAsia="仿宋_GB2312" w:cs="仿宋_GB2312"/>
          <w:b/>
          <w:bCs/>
          <w:color w:val="auto"/>
          <w:kern w:val="2"/>
          <w:sz w:val="32"/>
          <w:szCs w:val="32"/>
          <w:highlight w:val="none"/>
          <w:lang w:val="en-US" w:eastAsia="zh-CN" w:bidi="ar-SA"/>
        </w:rPr>
        <w:t>如不涉及，可根据实际修改表述。）</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numPr>
          <w:ilvl w:val="0"/>
          <w:numId w:val="0"/>
        </w:numPr>
        <w:spacing w:line="600" w:lineRule="exact"/>
        <w:jc w:val="center"/>
        <w:outlineLvl w:val="0"/>
        <w:rPr>
          <w:rFonts w:hint="eastAsia" w:ascii="Times New Roman" w:hAnsi="Times New Roman" w:eastAsia="黑体"/>
          <w:color w:val="auto"/>
          <w:sz w:val="44"/>
          <w:szCs w:val="44"/>
          <w:highlight w:val="none"/>
        </w:rPr>
      </w:pPr>
      <w:bookmarkStart w:id="43" w:name="_Toc15396613"/>
      <w:bookmarkStart w:id="44" w:name="_Toc15377225"/>
      <w:r>
        <w:rPr>
          <w:rFonts w:hint="eastAsia" w:ascii="Times New Roman" w:hAnsi="Times New Roman" w:eastAsia="黑体"/>
          <w:color w:val="auto"/>
          <w:sz w:val="44"/>
          <w:szCs w:val="44"/>
          <w:highlight w:val="none"/>
        </w:rPr>
        <w:t>第</w:t>
      </w:r>
      <w:r>
        <w:rPr>
          <w:rFonts w:hint="eastAsia" w:eastAsia="黑体"/>
          <w:color w:val="auto"/>
          <w:sz w:val="44"/>
          <w:szCs w:val="44"/>
          <w:highlight w:val="none"/>
          <w:lang w:eastAsia="zh-CN"/>
        </w:rPr>
        <w:t>三</w:t>
      </w:r>
      <w:r>
        <w:rPr>
          <w:rFonts w:hint="eastAsia" w:ascii="Times New Roman" w:hAnsi="Times New Roman" w:eastAsia="黑体"/>
          <w:color w:val="auto"/>
          <w:sz w:val="44"/>
          <w:szCs w:val="44"/>
          <w:highlight w:val="none"/>
        </w:rPr>
        <w:t>部分</w:t>
      </w:r>
      <w:r>
        <w:rPr>
          <w:rFonts w:hint="eastAsia" w:ascii="Times New Roman" w:hAnsi="Times New Roman" w:eastAsia="黑体"/>
          <w:color w:val="auto"/>
          <w:sz w:val="44"/>
          <w:szCs w:val="44"/>
          <w:highlight w:val="none"/>
          <w:lang w:val="en-US" w:eastAsia="zh-CN"/>
        </w:rPr>
        <w:t xml:space="preserve"> </w:t>
      </w:r>
      <w:r>
        <w:rPr>
          <w:rFonts w:hint="eastAsia"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名词解释</w:t>
      </w:r>
      <w:bookmarkEnd w:id="43"/>
      <w:bookmarkEnd w:id="44"/>
    </w:p>
    <w:p>
      <w:pPr>
        <w:spacing w:line="600" w:lineRule="exact"/>
        <w:jc w:val="left"/>
        <w:rPr>
          <w:rFonts w:ascii="Times New Roman" w:hAnsi="Times New Roman"/>
          <w:b/>
          <w:color w:val="auto"/>
          <w:sz w:val="44"/>
          <w:szCs w:val="44"/>
          <w:highlight w:val="none"/>
        </w:rPr>
      </w:pP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1.财政拨款收入：指单位从同级财政部门取得的财政预算资金。</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2.事业收入：指事业单位开展专业业务活动及辅助活动取得的收入。。</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3.经营收入：指事业单位在专业业务活动及其辅助活动之外开展非独立核算经营活动取得的收入。</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4.其他收入：指单位取得的除上述收入以外的各项收入。</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 xml:space="preserve">5.使用非财政拨款结余（含专用结余）：指事业单位使用以前年度积累的非财政拨款结余弥补当年收支差额的金额。 </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 xml:space="preserve">6.年初结转和结余：指以前年度尚未完成、结转到本年按有关规定继续使用的资金。 </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7.结余分配：指事业单位按照会计制度规定缴纳的所得税、提取的专用结余以及转入非财政拨款结余的金额等。</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8.年末结转和结余：指单位按有关规定结转到下年或以后年度继续使用的资金。</w:t>
      </w:r>
    </w:p>
    <w:p>
      <w:pPr>
        <w:spacing w:line="600" w:lineRule="exact"/>
        <w:ind w:firstLine="640"/>
        <w:rPr>
          <w:rFonts w:hint="eastAsia"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9.一般公共服务</w:t>
      </w:r>
      <w:r>
        <w:rPr>
          <w:rFonts w:hint="eastAsia" w:eastAsia="仿宋_GB2312" w:cs="仿宋_GB2312"/>
          <w:color w:val="auto"/>
          <w:kern w:val="2"/>
          <w:sz w:val="32"/>
          <w:szCs w:val="32"/>
          <w:highlight w:val="none"/>
          <w:lang w:val="en-US" w:eastAsia="zh-CN" w:bidi="ar-SA"/>
        </w:rPr>
        <w:t>201</w:t>
      </w:r>
      <w:r>
        <w:rPr>
          <w:rFonts w:hint="eastAsia" w:ascii="Times New Roman" w:hAnsi="Times New Roman" w:eastAsia="仿宋_GB2312" w:cs="仿宋_GB2312"/>
          <w:color w:val="auto"/>
          <w:kern w:val="2"/>
          <w:sz w:val="32"/>
          <w:szCs w:val="32"/>
          <w:highlight w:val="none"/>
          <w:lang w:val="en-US" w:eastAsia="zh-CN" w:bidi="ar-SA"/>
        </w:rPr>
        <w:t>（类）</w:t>
      </w:r>
      <w:r>
        <w:rPr>
          <w:rFonts w:hint="eastAsia" w:eastAsia="仿宋_GB2312" w:cs="仿宋_GB2312"/>
          <w:color w:val="auto"/>
          <w:kern w:val="2"/>
          <w:sz w:val="32"/>
          <w:szCs w:val="32"/>
          <w:highlight w:val="none"/>
          <w:lang w:val="en-US" w:eastAsia="zh-CN" w:bidi="ar-SA"/>
        </w:rPr>
        <w:t>36</w:t>
      </w:r>
      <w:r>
        <w:rPr>
          <w:rFonts w:hint="eastAsia" w:ascii="Times New Roman" w:hAnsi="Times New Roman" w:eastAsia="仿宋_GB2312" w:cs="仿宋_GB2312"/>
          <w:color w:val="auto"/>
          <w:kern w:val="2"/>
          <w:sz w:val="32"/>
          <w:szCs w:val="32"/>
          <w:highlight w:val="none"/>
          <w:lang w:val="en-US" w:eastAsia="zh-CN" w:bidi="ar-SA"/>
        </w:rPr>
        <w:t>（款）</w:t>
      </w:r>
      <w:r>
        <w:rPr>
          <w:rFonts w:hint="eastAsia" w:eastAsia="仿宋_GB2312" w:cs="仿宋_GB2312"/>
          <w:color w:val="auto"/>
          <w:kern w:val="2"/>
          <w:sz w:val="32"/>
          <w:szCs w:val="32"/>
          <w:highlight w:val="none"/>
          <w:lang w:val="en-US" w:eastAsia="zh-CN" w:bidi="ar-SA"/>
        </w:rPr>
        <w:t>01</w:t>
      </w:r>
      <w:r>
        <w:rPr>
          <w:rFonts w:hint="eastAsia" w:ascii="Times New Roman" w:hAnsi="Times New Roman" w:eastAsia="仿宋_GB2312" w:cs="仿宋_GB2312"/>
          <w:color w:val="auto"/>
          <w:kern w:val="2"/>
          <w:sz w:val="32"/>
          <w:szCs w:val="32"/>
          <w:highlight w:val="none"/>
          <w:lang w:val="en-US" w:eastAsia="zh-CN" w:bidi="ar-SA"/>
        </w:rPr>
        <w:t>（项）：指</w:t>
      </w:r>
      <w:r>
        <w:rPr>
          <w:rFonts w:hint="eastAsia" w:eastAsia="仿宋_GB2312" w:cs="仿宋_GB2312"/>
          <w:color w:val="auto"/>
          <w:kern w:val="2"/>
          <w:sz w:val="32"/>
          <w:szCs w:val="32"/>
          <w:highlight w:val="none"/>
          <w:lang w:val="en-US" w:eastAsia="zh-CN" w:bidi="ar-SA"/>
        </w:rPr>
        <w:t>行政单位(包括实行公务员管理的事业单位)的基本支出。</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10.外交（类）……（款）……（项）：指……</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11.公共安全（类）……（款）……（项）：指……</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12.教育（类）……（款）……（项）：指……</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13.科学技术（类）……（款）……（项）：指……</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14.文化旅游体育与传媒（类）……（款）……（项）：指……</w:t>
      </w:r>
    </w:p>
    <w:p>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15.社会保障和就业</w:t>
      </w:r>
      <w:r>
        <w:rPr>
          <w:rFonts w:hint="eastAsia" w:eastAsia="仿宋_GB2312" w:cs="仿宋_GB2312"/>
          <w:color w:val="auto"/>
          <w:kern w:val="2"/>
          <w:sz w:val="32"/>
          <w:szCs w:val="32"/>
          <w:highlight w:val="none"/>
          <w:lang w:val="en-US" w:eastAsia="zh-CN" w:bidi="ar-SA"/>
        </w:rPr>
        <w:t>208</w:t>
      </w:r>
      <w:r>
        <w:rPr>
          <w:rFonts w:hint="eastAsia" w:ascii="Times New Roman" w:hAnsi="Times New Roman" w:eastAsia="仿宋_GB2312" w:cs="仿宋_GB2312"/>
          <w:color w:val="auto"/>
          <w:kern w:val="2"/>
          <w:sz w:val="32"/>
          <w:szCs w:val="32"/>
          <w:highlight w:val="none"/>
          <w:lang w:val="en-US" w:eastAsia="zh-CN" w:bidi="ar-SA"/>
        </w:rPr>
        <w:t>（类）</w:t>
      </w:r>
      <w:r>
        <w:rPr>
          <w:rFonts w:hint="eastAsia" w:eastAsia="仿宋_GB2312" w:cs="仿宋_GB2312"/>
          <w:color w:val="auto"/>
          <w:kern w:val="2"/>
          <w:sz w:val="32"/>
          <w:szCs w:val="32"/>
          <w:highlight w:val="none"/>
          <w:lang w:val="en-US" w:eastAsia="zh-CN" w:bidi="ar-SA"/>
        </w:rPr>
        <w:t>05</w:t>
      </w:r>
      <w:r>
        <w:rPr>
          <w:rFonts w:hint="eastAsia" w:ascii="Times New Roman" w:hAnsi="Times New Roman" w:eastAsia="仿宋_GB2312" w:cs="仿宋_GB2312"/>
          <w:color w:val="auto"/>
          <w:kern w:val="2"/>
          <w:sz w:val="32"/>
          <w:szCs w:val="32"/>
          <w:highlight w:val="none"/>
          <w:lang w:val="en-US" w:eastAsia="zh-CN" w:bidi="ar-SA"/>
        </w:rPr>
        <w:t>（款）</w:t>
      </w:r>
      <w:r>
        <w:rPr>
          <w:rFonts w:hint="eastAsia" w:eastAsia="仿宋_GB2312" w:cs="仿宋_GB2312"/>
          <w:color w:val="auto"/>
          <w:kern w:val="2"/>
          <w:sz w:val="32"/>
          <w:szCs w:val="32"/>
          <w:highlight w:val="none"/>
          <w:lang w:val="en-US" w:eastAsia="zh-CN" w:bidi="ar-SA"/>
        </w:rPr>
        <w:t>05</w:t>
      </w:r>
      <w:r>
        <w:rPr>
          <w:rFonts w:hint="eastAsia" w:ascii="Times New Roman" w:hAnsi="Times New Roman" w:eastAsia="仿宋_GB2312" w:cs="仿宋_GB2312"/>
          <w:color w:val="auto"/>
          <w:kern w:val="2"/>
          <w:sz w:val="32"/>
          <w:szCs w:val="32"/>
          <w:highlight w:val="none"/>
          <w:lang w:val="en-US" w:eastAsia="zh-CN" w:bidi="ar-SA"/>
        </w:rPr>
        <w:t>（项）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指</w:t>
      </w:r>
      <w:r>
        <w:rPr>
          <w:rFonts w:hint="eastAsia" w:eastAsia="仿宋_GB2312" w:cs="仿宋_GB2312"/>
          <w:color w:val="auto"/>
          <w:kern w:val="2"/>
          <w:sz w:val="32"/>
          <w:szCs w:val="32"/>
          <w:highlight w:val="none"/>
          <w:lang w:val="en-US" w:eastAsia="zh-CN" w:bidi="ar-SA"/>
        </w:rPr>
        <w:t>机关事业单位实施养老保险制度由单位缴纳的基本养老保险费用支出；208</w:t>
      </w:r>
      <w:r>
        <w:rPr>
          <w:rFonts w:hint="eastAsia" w:ascii="Times New Roman" w:hAnsi="Times New Roman" w:eastAsia="仿宋_GB2312" w:cs="仿宋_GB2312"/>
          <w:color w:val="auto"/>
          <w:kern w:val="2"/>
          <w:sz w:val="32"/>
          <w:szCs w:val="32"/>
          <w:highlight w:val="none"/>
          <w:lang w:val="en-US" w:eastAsia="zh-CN" w:bidi="ar-SA"/>
        </w:rPr>
        <w:t>（类）</w:t>
      </w:r>
      <w:r>
        <w:rPr>
          <w:rFonts w:hint="eastAsia" w:eastAsia="仿宋_GB2312" w:cs="仿宋_GB2312"/>
          <w:color w:val="auto"/>
          <w:kern w:val="2"/>
          <w:sz w:val="32"/>
          <w:szCs w:val="32"/>
          <w:highlight w:val="none"/>
          <w:lang w:val="en-US" w:eastAsia="zh-CN" w:bidi="ar-SA"/>
        </w:rPr>
        <w:t>05</w:t>
      </w:r>
      <w:r>
        <w:rPr>
          <w:rFonts w:hint="eastAsia" w:ascii="Times New Roman" w:hAnsi="Times New Roman" w:eastAsia="仿宋_GB2312" w:cs="仿宋_GB2312"/>
          <w:color w:val="auto"/>
          <w:kern w:val="2"/>
          <w:sz w:val="32"/>
          <w:szCs w:val="32"/>
          <w:highlight w:val="none"/>
          <w:lang w:val="en-US" w:eastAsia="zh-CN" w:bidi="ar-SA"/>
        </w:rPr>
        <w:t>（款）</w:t>
      </w:r>
      <w:r>
        <w:rPr>
          <w:rFonts w:hint="eastAsia" w:eastAsia="仿宋_GB2312" w:cs="仿宋_GB2312"/>
          <w:color w:val="auto"/>
          <w:kern w:val="2"/>
          <w:sz w:val="32"/>
          <w:szCs w:val="32"/>
          <w:highlight w:val="none"/>
          <w:lang w:val="en-US" w:eastAsia="zh-CN" w:bidi="ar-SA"/>
        </w:rPr>
        <w:t>06</w:t>
      </w:r>
      <w:r>
        <w:rPr>
          <w:rFonts w:hint="eastAsia" w:ascii="Times New Roman" w:hAnsi="Times New Roman" w:eastAsia="仿宋_GB2312" w:cs="仿宋_GB2312"/>
          <w:color w:val="auto"/>
          <w:kern w:val="2"/>
          <w:sz w:val="32"/>
          <w:szCs w:val="32"/>
          <w:highlight w:val="none"/>
          <w:lang w:val="en-US" w:eastAsia="zh-CN" w:bidi="ar-SA"/>
        </w:rPr>
        <w:t>（项）</w:t>
      </w:r>
      <w:r>
        <w:rPr>
          <w:rFonts w:hint="eastAsia" w:eastAsia="仿宋_GB2312" w:cs="仿宋_GB2312"/>
          <w:color w:val="auto"/>
          <w:kern w:val="2"/>
          <w:sz w:val="32"/>
          <w:szCs w:val="32"/>
          <w:highlight w:val="none"/>
          <w:lang w:val="en-US" w:eastAsia="zh-CN" w:bidi="ar-SA"/>
        </w:rPr>
        <w:t>:指机关事业单位实施养老保险制度由单位实际缴纳的职业年金支出（含职业年金补记支出)</w:t>
      </w:r>
    </w:p>
    <w:p>
      <w:pPr>
        <w:spacing w:line="600" w:lineRule="exact"/>
        <w:ind w:firstLine="640" w:firstLineChars="200"/>
        <w:rPr>
          <w:rFonts w:hint="default"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16.卫生健康</w:t>
      </w:r>
      <w:r>
        <w:rPr>
          <w:rFonts w:hint="eastAsia" w:eastAsia="仿宋_GB2312" w:cs="仿宋_GB2312"/>
          <w:color w:val="auto"/>
          <w:kern w:val="2"/>
          <w:sz w:val="32"/>
          <w:szCs w:val="32"/>
          <w:highlight w:val="none"/>
          <w:lang w:val="en-US" w:eastAsia="zh-CN" w:bidi="ar-SA"/>
        </w:rPr>
        <w:t>210</w:t>
      </w:r>
      <w:r>
        <w:rPr>
          <w:rFonts w:hint="eastAsia" w:ascii="Times New Roman" w:hAnsi="Times New Roman" w:eastAsia="仿宋_GB2312" w:cs="仿宋_GB2312"/>
          <w:color w:val="auto"/>
          <w:kern w:val="2"/>
          <w:sz w:val="32"/>
          <w:szCs w:val="32"/>
          <w:highlight w:val="none"/>
          <w:lang w:val="en-US" w:eastAsia="zh-CN" w:bidi="ar-SA"/>
        </w:rPr>
        <w:t>（类）</w:t>
      </w:r>
      <w:r>
        <w:rPr>
          <w:rFonts w:hint="eastAsia" w:eastAsia="仿宋_GB2312" w:cs="仿宋_GB2312"/>
          <w:color w:val="auto"/>
          <w:kern w:val="2"/>
          <w:sz w:val="32"/>
          <w:szCs w:val="32"/>
          <w:highlight w:val="none"/>
          <w:lang w:val="en-US" w:eastAsia="zh-CN" w:bidi="ar-SA"/>
        </w:rPr>
        <w:t>11</w:t>
      </w:r>
      <w:r>
        <w:rPr>
          <w:rFonts w:hint="eastAsia" w:ascii="Times New Roman" w:hAnsi="Times New Roman" w:eastAsia="仿宋_GB2312" w:cs="仿宋_GB2312"/>
          <w:color w:val="auto"/>
          <w:kern w:val="2"/>
          <w:sz w:val="32"/>
          <w:szCs w:val="32"/>
          <w:highlight w:val="none"/>
          <w:lang w:val="en-US" w:eastAsia="zh-CN" w:bidi="ar-SA"/>
        </w:rPr>
        <w:t>（款）</w:t>
      </w:r>
      <w:r>
        <w:rPr>
          <w:rFonts w:hint="eastAsia" w:eastAsia="仿宋_GB2312" w:cs="仿宋_GB2312"/>
          <w:color w:val="auto"/>
          <w:kern w:val="2"/>
          <w:sz w:val="32"/>
          <w:szCs w:val="32"/>
          <w:highlight w:val="none"/>
          <w:lang w:val="en-US" w:eastAsia="zh-CN" w:bidi="ar-SA"/>
        </w:rPr>
        <w:t>01</w:t>
      </w:r>
      <w:r>
        <w:rPr>
          <w:rFonts w:hint="eastAsia" w:ascii="Times New Roman" w:hAnsi="Times New Roman" w:eastAsia="仿宋_GB2312" w:cs="仿宋_GB2312"/>
          <w:color w:val="auto"/>
          <w:kern w:val="2"/>
          <w:sz w:val="32"/>
          <w:szCs w:val="32"/>
          <w:highlight w:val="none"/>
          <w:lang w:val="en-US" w:eastAsia="zh-CN" w:bidi="ar-SA"/>
        </w:rPr>
        <w:t>（项）：指</w:t>
      </w:r>
      <w:r>
        <w:rPr>
          <w:rFonts w:hint="eastAsia" w:eastAsia="仿宋_GB2312" w:cs="仿宋_GB2312"/>
          <w:color w:val="auto"/>
          <w:kern w:val="2"/>
          <w:sz w:val="32"/>
          <w:szCs w:val="32"/>
          <w:highlight w:val="none"/>
          <w:lang w:val="en-US" w:eastAsia="zh-CN" w:bidi="ar-SA"/>
        </w:rPr>
        <w:t>财政部门安排的行政单位(包括实行公务员管理的事业单位)基本医疗保险缴费经费,未参加医疗保险的行政单位预算的公费医疗经费,按国家规定享受离休人员、红军老战士待遇人员的医疗经费；210</w:t>
      </w:r>
      <w:r>
        <w:rPr>
          <w:rFonts w:hint="eastAsia" w:ascii="Times New Roman" w:hAnsi="Times New Roman" w:eastAsia="仿宋_GB2312" w:cs="仿宋_GB2312"/>
          <w:color w:val="auto"/>
          <w:kern w:val="2"/>
          <w:sz w:val="32"/>
          <w:szCs w:val="32"/>
          <w:highlight w:val="none"/>
          <w:lang w:val="en-US" w:eastAsia="zh-CN" w:bidi="ar-SA"/>
        </w:rPr>
        <w:t>（类）</w:t>
      </w:r>
      <w:r>
        <w:rPr>
          <w:rFonts w:hint="eastAsia" w:eastAsia="仿宋_GB2312" w:cs="仿宋_GB2312"/>
          <w:color w:val="auto"/>
          <w:kern w:val="2"/>
          <w:sz w:val="32"/>
          <w:szCs w:val="32"/>
          <w:highlight w:val="none"/>
          <w:lang w:val="en-US" w:eastAsia="zh-CN" w:bidi="ar-SA"/>
        </w:rPr>
        <w:t>11</w:t>
      </w:r>
      <w:r>
        <w:rPr>
          <w:rFonts w:hint="eastAsia" w:ascii="Times New Roman" w:hAnsi="Times New Roman" w:eastAsia="仿宋_GB2312" w:cs="仿宋_GB2312"/>
          <w:color w:val="auto"/>
          <w:kern w:val="2"/>
          <w:sz w:val="32"/>
          <w:szCs w:val="32"/>
          <w:highlight w:val="none"/>
          <w:lang w:val="en-US" w:eastAsia="zh-CN" w:bidi="ar-SA"/>
        </w:rPr>
        <w:t>（款）</w:t>
      </w:r>
      <w:r>
        <w:rPr>
          <w:rFonts w:hint="eastAsia" w:eastAsia="仿宋_GB2312" w:cs="仿宋_GB2312"/>
          <w:color w:val="auto"/>
          <w:kern w:val="2"/>
          <w:sz w:val="32"/>
          <w:szCs w:val="32"/>
          <w:highlight w:val="none"/>
          <w:lang w:val="en-US" w:eastAsia="zh-CN" w:bidi="ar-SA"/>
        </w:rPr>
        <w:t>03</w:t>
      </w:r>
      <w:r>
        <w:rPr>
          <w:rFonts w:hint="eastAsia" w:ascii="Times New Roman" w:hAnsi="Times New Roman" w:eastAsia="仿宋_GB2312" w:cs="仿宋_GB2312"/>
          <w:color w:val="auto"/>
          <w:kern w:val="2"/>
          <w:sz w:val="32"/>
          <w:szCs w:val="32"/>
          <w:highlight w:val="none"/>
          <w:lang w:val="en-US" w:eastAsia="zh-CN" w:bidi="ar-SA"/>
        </w:rPr>
        <w:t>（项）</w:t>
      </w:r>
      <w:r>
        <w:rPr>
          <w:rFonts w:hint="eastAsia" w:eastAsia="仿宋_GB2312" w:cs="仿宋_GB2312"/>
          <w:color w:val="auto"/>
          <w:kern w:val="2"/>
          <w:sz w:val="32"/>
          <w:szCs w:val="32"/>
          <w:highlight w:val="none"/>
          <w:lang w:val="en-US" w:eastAsia="zh-CN" w:bidi="ar-SA"/>
        </w:rPr>
        <w:t>:指反映财政部门安排的公务员医疗补助经费。</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17.节能环保（类）……（款）……（项）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指……</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18.城乡社区（类）……（款）……（项）：指……</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19.农林水（类）……（款）……（项）：指……</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20.交通运输（类）……（款）……（项）：指……</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21.资源勘探工业信息等（类）……（款）……（项）：指……</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22.商业服务业（类）……（款）……（项）：指……</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23.金融（类）……（款）……（项）：指……</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24.自然资源海洋气象等（类）……（款）……（项）：指……</w:t>
      </w:r>
    </w:p>
    <w:p>
      <w:pPr>
        <w:spacing w:line="600" w:lineRule="exact"/>
        <w:ind w:firstLine="640"/>
        <w:rPr>
          <w:rFonts w:hint="eastAsia"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25.住房保障</w:t>
      </w:r>
      <w:r>
        <w:rPr>
          <w:rFonts w:hint="eastAsia" w:eastAsia="仿宋_GB2312" w:cs="仿宋_GB2312"/>
          <w:color w:val="auto"/>
          <w:kern w:val="2"/>
          <w:sz w:val="32"/>
          <w:szCs w:val="32"/>
          <w:highlight w:val="none"/>
          <w:lang w:val="en-US" w:eastAsia="zh-CN" w:bidi="ar-SA"/>
        </w:rPr>
        <w:t>221</w:t>
      </w:r>
      <w:r>
        <w:rPr>
          <w:rFonts w:hint="eastAsia" w:ascii="Times New Roman" w:hAnsi="Times New Roman" w:eastAsia="仿宋_GB2312" w:cs="仿宋_GB2312"/>
          <w:color w:val="auto"/>
          <w:kern w:val="2"/>
          <w:sz w:val="32"/>
          <w:szCs w:val="32"/>
          <w:highlight w:val="none"/>
          <w:lang w:val="en-US" w:eastAsia="zh-CN" w:bidi="ar-SA"/>
        </w:rPr>
        <w:t>（类）</w:t>
      </w:r>
      <w:r>
        <w:rPr>
          <w:rFonts w:hint="eastAsia" w:eastAsia="仿宋_GB2312" w:cs="仿宋_GB2312"/>
          <w:color w:val="auto"/>
          <w:kern w:val="2"/>
          <w:sz w:val="32"/>
          <w:szCs w:val="32"/>
          <w:highlight w:val="none"/>
          <w:lang w:val="en-US" w:eastAsia="zh-CN" w:bidi="ar-SA"/>
        </w:rPr>
        <w:t>02</w:t>
      </w:r>
      <w:r>
        <w:rPr>
          <w:rFonts w:hint="eastAsia" w:ascii="Times New Roman" w:hAnsi="Times New Roman" w:eastAsia="仿宋_GB2312" w:cs="仿宋_GB2312"/>
          <w:color w:val="auto"/>
          <w:kern w:val="2"/>
          <w:sz w:val="32"/>
          <w:szCs w:val="32"/>
          <w:highlight w:val="none"/>
          <w:lang w:val="en-US" w:eastAsia="zh-CN" w:bidi="ar-SA"/>
        </w:rPr>
        <w:t>（款）</w:t>
      </w:r>
      <w:r>
        <w:rPr>
          <w:rFonts w:hint="eastAsia" w:eastAsia="仿宋_GB2312" w:cs="仿宋_GB2312"/>
          <w:color w:val="auto"/>
          <w:kern w:val="2"/>
          <w:sz w:val="32"/>
          <w:szCs w:val="32"/>
          <w:highlight w:val="none"/>
          <w:lang w:val="en-US" w:eastAsia="zh-CN" w:bidi="ar-SA"/>
        </w:rPr>
        <w:t>01</w:t>
      </w:r>
      <w:r>
        <w:rPr>
          <w:rFonts w:hint="eastAsia" w:ascii="Times New Roman" w:hAnsi="Times New Roman" w:eastAsia="仿宋_GB2312" w:cs="仿宋_GB2312"/>
          <w:color w:val="auto"/>
          <w:kern w:val="2"/>
          <w:sz w:val="32"/>
          <w:szCs w:val="32"/>
          <w:highlight w:val="none"/>
          <w:lang w:val="en-US" w:eastAsia="zh-CN" w:bidi="ar-SA"/>
        </w:rPr>
        <w:t>（项）：指</w:t>
      </w:r>
      <w:r>
        <w:rPr>
          <w:rFonts w:hint="eastAsia" w:eastAsia="仿宋_GB2312" w:cs="仿宋_GB2312"/>
          <w:color w:val="auto"/>
          <w:kern w:val="2"/>
          <w:sz w:val="32"/>
          <w:szCs w:val="32"/>
          <w:highlight w:val="none"/>
          <w:lang w:val="en-US" w:eastAsia="zh-CN" w:bidi="ar-SA"/>
        </w:rPr>
        <w:t>行政事业单位按人力资源和社会保障部、财政部规定的基本工资和津贴补贴</w:t>
      </w:r>
      <w:bookmarkStart w:id="67" w:name="_GoBack"/>
      <w:bookmarkEnd w:id="67"/>
      <w:r>
        <w:rPr>
          <w:rFonts w:hint="eastAsia" w:eastAsia="仿宋_GB2312" w:cs="仿宋_GB2312"/>
          <w:color w:val="auto"/>
          <w:kern w:val="2"/>
          <w:sz w:val="32"/>
          <w:szCs w:val="32"/>
          <w:highlight w:val="none"/>
          <w:lang w:val="en-US" w:eastAsia="zh-CN" w:bidi="ar-SA"/>
        </w:rPr>
        <w:t>以及规定比例为职工缴纳的住房公积金。</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26.粮油物资储备（类）……（款）……（项）：指……</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w:t>
      </w:r>
      <w:r>
        <w:rPr>
          <w:rFonts w:hint="eastAsia" w:eastAsia="仿宋_GB2312" w:cs="仿宋_GB2312"/>
          <w:b/>
          <w:bCs/>
          <w:color w:val="auto"/>
          <w:kern w:val="2"/>
          <w:sz w:val="32"/>
          <w:szCs w:val="32"/>
          <w:highlight w:val="none"/>
          <w:lang w:val="en-US" w:eastAsia="zh-CN" w:bidi="ar-SA"/>
        </w:rPr>
        <w:t>注：</w:t>
      </w:r>
      <w:r>
        <w:rPr>
          <w:rFonts w:hint="eastAsia" w:ascii="Times New Roman" w:hAnsi="Times New Roman" w:eastAsia="仿宋_GB2312" w:cs="仿宋_GB2312"/>
          <w:b/>
          <w:bCs/>
          <w:color w:val="auto"/>
          <w:kern w:val="2"/>
          <w:sz w:val="32"/>
          <w:szCs w:val="32"/>
          <w:highlight w:val="none"/>
          <w:lang w:val="en-US" w:eastAsia="zh-CN" w:bidi="ar-SA"/>
        </w:rPr>
        <w:t>解释本部门决算报表中涉及的全部功能分类科目至项级，不涉及的科目请自行删除。请参照</w:t>
      </w:r>
      <w:r>
        <w:rPr>
          <w:rFonts w:hint="eastAsia"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202</w:t>
      </w:r>
      <w:r>
        <w:rPr>
          <w:rFonts w:hint="eastAsia" w:eastAsia="仿宋_GB2312" w:cs="仿宋_GB2312"/>
          <w:b/>
          <w:bCs/>
          <w:color w:val="auto"/>
          <w:kern w:val="2"/>
          <w:sz w:val="32"/>
          <w:szCs w:val="32"/>
          <w:highlight w:val="none"/>
          <w:lang w:val="en-US" w:eastAsia="zh-CN" w:bidi="ar-SA"/>
        </w:rPr>
        <w:t>4</w:t>
      </w:r>
      <w:r>
        <w:rPr>
          <w:rFonts w:hint="eastAsia" w:ascii="Times New Roman" w:hAnsi="Times New Roman" w:eastAsia="仿宋_GB2312" w:cs="仿宋_GB2312"/>
          <w:b/>
          <w:bCs/>
          <w:color w:val="auto"/>
          <w:kern w:val="2"/>
          <w:sz w:val="32"/>
          <w:szCs w:val="32"/>
          <w:highlight w:val="none"/>
          <w:lang w:val="en-US" w:eastAsia="zh-CN" w:bidi="ar-SA"/>
        </w:rPr>
        <w:t>年政府收支分类科目</w:t>
      </w:r>
      <w:r>
        <w:rPr>
          <w:rFonts w:hint="eastAsia"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增减内容）</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27.基本支出：指为保障机构正常运转、完成日常工作任务而发生的人员支出和公用支出。</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 xml:space="preserve">28.项目支出：指在基本支出之外为完成特定行政任务和事业发展目标所发生的支出。 </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29.经营支出：指事业单位在专业业务活动及其辅助活动之外开展非独立核算经营活动发生的支出。</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30.</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三公</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31.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32.……</w:t>
      </w:r>
    </w:p>
    <w:p>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（注：名词解释部分请根据各部门实际列支情况罗列，并根据本部门职责职能增减名词解释内容）</w:t>
      </w:r>
    </w:p>
    <w:p>
      <w:pPr>
        <w:spacing w:line="600" w:lineRule="exact"/>
        <w:jc w:val="center"/>
        <w:rPr>
          <w:rStyle w:val="28"/>
          <w:rFonts w:hint="eastAsia" w:ascii="Times New Roman" w:hAnsi="Times New Roman" w:eastAsia="黑体"/>
          <w:b w:val="0"/>
          <w:color w:val="auto"/>
          <w:highlight w:val="none"/>
          <w:lang w:eastAsia="zh-CN"/>
        </w:rPr>
      </w:pPr>
      <w:bookmarkStart w:id="45" w:name="_Toc15377226"/>
      <w:r>
        <w:rPr>
          <w:rFonts w:hint="eastAsia" w:ascii="Times New Roman" w:hAnsi="Times New Roman" w:eastAsia="仿宋_GB2312" w:cs="仿宋_GB2312"/>
          <w:color w:val="auto"/>
          <w:kern w:val="2"/>
          <w:sz w:val="32"/>
          <w:szCs w:val="32"/>
          <w:highlight w:val="none"/>
          <w:lang w:val="en-US" w:eastAsia="zh-CN" w:bidi="ar-SA"/>
        </w:rPr>
        <w:br w:type="page"/>
      </w:r>
      <w:bookmarkStart w:id="46" w:name="_Toc15396614"/>
      <w:r>
        <w:rPr>
          <w:rFonts w:hint="eastAsia" w:ascii="Times New Roman" w:hAnsi="Times New Roman" w:eastAsia="黑体"/>
          <w:color w:val="auto"/>
          <w:sz w:val="44"/>
          <w:szCs w:val="44"/>
          <w:highlight w:val="none"/>
        </w:rPr>
        <w:t>第四部分</w:t>
      </w:r>
      <w:r>
        <w:rPr>
          <w:rFonts w:hint="eastAsia" w:ascii="Times New Roman" w:hAnsi="Times New Roman"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 xml:space="preserve"> 附件</w:t>
      </w:r>
      <w:bookmarkEnd w:id="46"/>
    </w:p>
    <w:p>
      <w:pPr>
        <w:keepNext w:val="0"/>
        <w:keepLines w:val="0"/>
        <w:pageBreakBefore w:val="0"/>
        <w:kinsoku/>
        <w:wordWrap/>
        <w:overflowPunct/>
        <w:topLinePunct w:val="0"/>
        <w:autoSpaceDE/>
        <w:autoSpaceDN/>
        <w:bidi w:val="0"/>
        <w:spacing w:line="572" w:lineRule="exact"/>
        <w:jc w:val="left"/>
        <w:textAlignment w:val="auto"/>
        <w:outlineLvl w:val="0"/>
        <w:rPr>
          <w:rFonts w:hint="eastAsia" w:ascii="Times New Roman" w:hAnsi="Times New Roman" w:eastAsia="黑体" w:cs="黑体"/>
          <w:color w:val="FF0000"/>
          <w:sz w:val="32"/>
          <w:szCs w:val="32"/>
          <w:highlight w:val="none"/>
        </w:rPr>
      </w:pPr>
    </w:p>
    <w:p>
      <w:pPr>
        <w:keepNext w:val="0"/>
        <w:keepLines w:val="0"/>
        <w:pageBreakBefore w:val="0"/>
        <w:kinsoku/>
        <w:wordWrap/>
        <w:overflowPunct/>
        <w:topLinePunct w:val="0"/>
        <w:autoSpaceDE/>
        <w:autoSpaceDN/>
        <w:bidi w:val="0"/>
        <w:spacing w:line="572" w:lineRule="exact"/>
        <w:jc w:val="left"/>
        <w:textAlignment w:val="auto"/>
        <w:outlineLvl w:val="0"/>
        <w:rPr>
          <w:rFonts w:hint="eastAsia" w:ascii="Times New Roman" w:hAnsi="Times New Roman" w:eastAsia="黑体" w:cs="方正小标宋简体"/>
          <w:color w:val="auto"/>
          <w:sz w:val="44"/>
          <w:szCs w:val="44"/>
          <w:highlight w:val="none"/>
          <w:lang w:val="en-US" w:eastAsia="zh-CN"/>
        </w:rPr>
      </w:pPr>
      <w:r>
        <w:rPr>
          <w:rFonts w:hint="eastAsia" w:ascii="Times New Roman" w:hAnsi="Times New Roman" w:eastAsia="黑体" w:cs="黑体"/>
          <w:color w:val="auto"/>
          <w:sz w:val="32"/>
          <w:szCs w:val="32"/>
          <w:highlight w:val="none"/>
        </w:rPr>
        <w:t>附件</w:t>
      </w:r>
      <w:r>
        <w:rPr>
          <w:rFonts w:hint="eastAsia" w:ascii="Times New Roman" w:hAnsi="Times New Roman" w:eastAsia="黑体" w:cs="黑体"/>
          <w:color w:val="auto"/>
          <w:sz w:val="32"/>
          <w:szCs w:val="32"/>
          <w:highlight w:val="none"/>
          <w:lang w:val="en-US" w:eastAsia="zh-CN"/>
        </w:rPr>
        <w:t>1</w:t>
      </w:r>
    </w:p>
    <w:p>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default" w:ascii="Times New Roman" w:hAnsi="Times New Roman" w:eastAsia="方正小标宋简体" w:cs="Times New Roman"/>
          <w:b w:val="0"/>
          <w:bCs/>
          <w:sz w:val="44"/>
          <w:szCs w:val="44"/>
          <w:highlight w:val="none"/>
          <w:shd w:val="clear" w:color="auto" w:fill="FFFFFF"/>
        </w:rPr>
      </w:pPr>
    </w:p>
    <w:p>
      <w:pPr>
        <w:widowControl/>
        <w:spacing w:line="578" w:lineRule="exact"/>
        <w:contextualSpacing/>
        <w:jc w:val="center"/>
        <w:rPr>
          <w:rFonts w:hint="eastAsia" w:eastAsia="方正小标宋简体"/>
          <w:bCs/>
          <w:sz w:val="44"/>
          <w:szCs w:val="44"/>
          <w:shd w:val="clear" w:color="auto" w:fill="FFFFFF"/>
          <w:lang w:eastAsia="zh-CN"/>
        </w:rPr>
      </w:pPr>
      <w:r>
        <w:rPr>
          <w:rFonts w:hint="eastAsia" w:eastAsia="方正小标宋简体"/>
          <w:bCs/>
          <w:sz w:val="44"/>
          <w:szCs w:val="44"/>
          <w:shd w:val="clear" w:color="auto" w:fill="FFFFFF"/>
          <w:lang w:eastAsia="zh-CN"/>
        </w:rPr>
        <w:t>阿坝州成都离退休干部休养所</w:t>
      </w:r>
      <w:r>
        <w:rPr>
          <w:rFonts w:eastAsia="方正小标宋简体"/>
          <w:bCs/>
          <w:sz w:val="44"/>
          <w:szCs w:val="44"/>
          <w:shd w:val="clear" w:color="auto" w:fill="FFFFFF"/>
        </w:rPr>
        <w:t>部门预算绩效</w:t>
      </w:r>
      <w:r>
        <w:rPr>
          <w:rFonts w:hint="eastAsia" w:eastAsia="方正小标宋简体"/>
          <w:bCs/>
          <w:sz w:val="44"/>
          <w:szCs w:val="44"/>
          <w:shd w:val="clear" w:color="auto" w:fill="FFFFFF"/>
        </w:rPr>
        <w:t>自评</w:t>
      </w:r>
      <w:r>
        <w:rPr>
          <w:rFonts w:eastAsia="方正小标宋简体"/>
          <w:bCs/>
          <w:sz w:val="44"/>
          <w:szCs w:val="44"/>
          <w:shd w:val="clear" w:color="auto" w:fill="FFFFFF"/>
        </w:rPr>
        <w:t>报告</w:t>
      </w:r>
    </w:p>
    <w:p>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default" w:ascii="Times New Roman" w:hAnsi="Times New Roman" w:eastAsia="方正小标宋简体" w:cs="Times New Roman"/>
          <w:b w:val="0"/>
          <w:bCs/>
          <w:sz w:val="44"/>
          <w:szCs w:val="44"/>
          <w:highlight w:val="none"/>
          <w:shd w:val="clear" w:color="auto" w:fill="FFFFFF"/>
        </w:rPr>
      </w:pP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zh-CN" w:eastAsia="zh-CN" w:bidi="ar-SA"/>
        </w:rPr>
        <w:t>一、基本情况</w:t>
      </w:r>
    </w:p>
    <w:p>
      <w:pPr>
        <w:spacing w:line="600" w:lineRule="exact"/>
        <w:ind w:firstLine="640"/>
        <w:rPr>
          <w:rFonts w:hint="eastAsia"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仿宋_GB2312" w:cs="仿宋_GB2312"/>
          <w:color w:val="auto"/>
          <w:kern w:val="2"/>
          <w:sz w:val="32"/>
          <w:szCs w:val="32"/>
          <w:highlight w:val="none"/>
          <w:lang w:val="zh-CN" w:eastAsia="zh-CN" w:bidi="ar-SA"/>
        </w:rPr>
        <w:t>（一）机构组成</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本部门性质为参照公务员管理的事业单位，执行行政单位会计制度，属于二级预算单位。</w:t>
      </w:r>
    </w:p>
    <w:p>
      <w:pPr>
        <w:spacing w:line="600" w:lineRule="exact"/>
        <w:ind w:firstLine="640"/>
        <w:rPr>
          <w:rFonts w:hint="eastAsia"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仿宋_GB2312" w:cs="仿宋_GB2312"/>
          <w:color w:val="auto"/>
          <w:kern w:val="2"/>
          <w:sz w:val="32"/>
          <w:szCs w:val="32"/>
          <w:highlight w:val="none"/>
          <w:lang w:val="zh-CN" w:eastAsia="zh-CN" w:bidi="ar-SA"/>
        </w:rPr>
        <w:t>（二）机构职能。</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本单位的主要职责是：一是贯彻执行中共中央、国务院和省州党委、政府关于老干部工作的方针、政策和指示，按照州委老干部局的领导贯彻落实老干部工作的各项方针、政策。二是制定或参与制定全州老干部工作的具体政策和决定，对老干部工作中出现的新情况和新问题及时向州委老干部局反馈，抓好老干部工作目标管理责任制的落实。三是抓好老干部政治待遇的落实，切实从政治上关心老干部。四是抓好老干部生活待遇的落实，对老干部生活待遇方面出现的新情况、新问题，及时汇报，采取措施加以解决。五是抓好州老干部活动中心的建设、管理和服务工作，抓好自身建设，筹办和抓好州老干部大学，为老干部服好务。六是对老干部的丧事和善后工作进行政策指导，并参与州委老干部部交办的重要丧事活动。七是负责完成州老干部局交办的其他工作任务。</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zh-CN" w:eastAsia="zh-CN" w:bidi="ar-SA"/>
        </w:rPr>
        <w:t>（三）人员概况。</w:t>
      </w:r>
      <w:r>
        <w:rPr>
          <w:rFonts w:hint="eastAsia" w:ascii="Times New Roman" w:hAnsi="Times New Roman" w:eastAsia="仿宋_GB2312" w:cs="仿宋_GB2312"/>
          <w:color w:val="auto"/>
          <w:kern w:val="2"/>
          <w:sz w:val="32"/>
          <w:szCs w:val="32"/>
          <w:highlight w:val="none"/>
          <w:lang w:val="en-US" w:eastAsia="zh-CN" w:bidi="ar-SA"/>
        </w:rPr>
        <w:t>截至2024年末，总编制10名，参照公务员法管理的事业编制7名，工勤编制3名。在职人员总数10名，其中：参照公务员法管理的事业人员7名，工勤人员 3名。退休人员7人。</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二、资金收支情况</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zh-CN" w:eastAsia="zh-CN" w:bidi="ar-SA"/>
        </w:rPr>
        <w:t>（一）收入情况。</w:t>
      </w:r>
      <w:r>
        <w:rPr>
          <w:rFonts w:hint="eastAsia" w:ascii="Times New Roman" w:hAnsi="Times New Roman" w:eastAsia="仿宋_GB2312" w:cs="仿宋_GB2312"/>
          <w:color w:val="auto"/>
          <w:kern w:val="2"/>
          <w:sz w:val="32"/>
          <w:szCs w:val="32"/>
          <w:highlight w:val="none"/>
          <w:lang w:val="en-US" w:eastAsia="zh-CN" w:bidi="ar-SA"/>
        </w:rPr>
        <w:t>本单位2024年年初预算收入数为450.46万元，2024年决算报表收入数为</w:t>
      </w:r>
      <w:bookmarkStart w:id="47" w:name="OLE_LINK1"/>
      <w:bookmarkStart w:id="48" w:name="OLE_LINK2"/>
      <w:bookmarkStart w:id="49" w:name="OLE_LINK8"/>
      <w:bookmarkStart w:id="50" w:name="OLE_LINK9"/>
      <w:bookmarkStart w:id="51" w:name="OLE_LINK10"/>
      <w:r>
        <w:rPr>
          <w:rFonts w:hint="eastAsia" w:ascii="Times New Roman" w:hAnsi="Times New Roman" w:eastAsia="仿宋_GB2312" w:cs="仿宋_GB2312"/>
          <w:color w:val="auto"/>
          <w:kern w:val="2"/>
          <w:sz w:val="32"/>
          <w:szCs w:val="32"/>
          <w:highlight w:val="none"/>
          <w:lang w:val="en-US" w:eastAsia="zh-CN" w:bidi="ar-SA"/>
        </w:rPr>
        <w:t>378.46</w:t>
      </w:r>
      <w:bookmarkEnd w:id="47"/>
      <w:bookmarkEnd w:id="48"/>
      <w:r>
        <w:rPr>
          <w:rFonts w:hint="eastAsia" w:ascii="Times New Roman" w:hAnsi="Times New Roman" w:eastAsia="仿宋_GB2312" w:cs="仿宋_GB2312"/>
          <w:color w:val="auto"/>
          <w:kern w:val="2"/>
          <w:sz w:val="32"/>
          <w:szCs w:val="32"/>
          <w:highlight w:val="none"/>
          <w:lang w:val="en-US" w:eastAsia="zh-CN" w:bidi="ar-SA"/>
        </w:rPr>
        <w:t>万元</w:t>
      </w:r>
      <w:bookmarkEnd w:id="49"/>
      <w:bookmarkEnd w:id="50"/>
      <w:bookmarkEnd w:id="51"/>
      <w:r>
        <w:rPr>
          <w:rFonts w:hint="eastAsia" w:ascii="Times New Roman" w:hAnsi="Times New Roman" w:eastAsia="仿宋_GB2312" w:cs="仿宋_GB2312"/>
          <w:color w:val="auto"/>
          <w:kern w:val="2"/>
          <w:sz w:val="32"/>
          <w:szCs w:val="32"/>
          <w:highlight w:val="none"/>
          <w:lang w:val="en-US" w:eastAsia="zh-CN" w:bidi="ar-SA"/>
        </w:rPr>
        <w:t>。</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zh-CN" w:eastAsia="zh-CN" w:bidi="ar-SA"/>
        </w:rPr>
        <w:t>（二）支出情况。</w:t>
      </w:r>
      <w:r>
        <w:rPr>
          <w:rFonts w:hint="eastAsia" w:ascii="Times New Roman" w:hAnsi="Times New Roman" w:eastAsia="仿宋_GB2312" w:cs="仿宋_GB2312"/>
          <w:color w:val="auto"/>
          <w:kern w:val="2"/>
          <w:sz w:val="32"/>
          <w:szCs w:val="32"/>
          <w:highlight w:val="none"/>
          <w:lang w:val="en-US" w:eastAsia="zh-CN" w:bidi="ar-SA"/>
        </w:rPr>
        <w:t>本单位2024年年初预算支出数为378.46万元、2024年决算报表支出数为378.46万元，其中：基本支出289.58万元，项目支出88.88万元。</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zh-CN" w:eastAsia="zh-CN" w:bidi="ar-SA"/>
        </w:rPr>
        <w:t>（三）</w:t>
      </w:r>
      <w:r>
        <w:rPr>
          <w:rFonts w:hint="eastAsia" w:ascii="Times New Roman" w:hAnsi="Times New Roman" w:eastAsia="仿宋_GB2312" w:cs="仿宋_GB2312"/>
          <w:color w:val="auto"/>
          <w:kern w:val="2"/>
          <w:sz w:val="32"/>
          <w:szCs w:val="32"/>
          <w:highlight w:val="none"/>
          <w:lang w:val="en-US" w:eastAsia="zh-CN" w:bidi="ar-SA"/>
        </w:rPr>
        <w:t>结余分配和结转结余情况。本单位2024年决算报表结转结余数为零。</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三、预算绩效分析</w:t>
      </w:r>
    </w:p>
    <w:p>
      <w:pPr>
        <w:spacing w:line="600" w:lineRule="exact"/>
        <w:ind w:firstLine="640"/>
        <w:rPr>
          <w:rFonts w:hint="eastAsia"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仿宋_GB2312" w:cs="仿宋_GB2312"/>
          <w:color w:val="auto"/>
          <w:kern w:val="2"/>
          <w:sz w:val="32"/>
          <w:szCs w:val="32"/>
          <w:highlight w:val="none"/>
          <w:lang w:val="zh-CN" w:eastAsia="zh-CN" w:bidi="ar-SA"/>
        </w:rPr>
        <w:t>（一）部门预算总体绩效分析。</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zh-CN" w:eastAsia="zh-CN" w:bidi="ar-SA"/>
        </w:rPr>
        <w:t>履职效能。</w:t>
      </w:r>
      <w:r>
        <w:rPr>
          <w:rFonts w:hint="eastAsia" w:ascii="Times New Roman" w:hAnsi="Times New Roman" w:eastAsia="仿宋_GB2312" w:cs="仿宋_GB2312"/>
          <w:color w:val="auto"/>
          <w:kern w:val="2"/>
          <w:sz w:val="32"/>
          <w:szCs w:val="32"/>
          <w:highlight w:val="none"/>
          <w:lang w:val="en-US" w:eastAsia="zh-CN" w:bidi="ar-SA"/>
        </w:rPr>
        <w:t>2024年，阿坝州成都离退休干部休养所以习近平新时代中国特色社会主义思想为指导，认真落实全国、全省老干部局长会议精神，按照全州老干部工作部署安排，紧扣离退休干部管理服务工作重点任务，在政治引领、组织建设、作用发挥、服务保障、队伍建设等方面精准发力，推进离退休干部管理服务工作提质增效。（1）聚焦思想政治引领，增强听党话跟党走的行动自觉。</w:t>
      </w:r>
      <w:bookmarkStart w:id="52" w:name="OLE_LINK30"/>
      <w:r>
        <w:rPr>
          <w:rFonts w:hint="eastAsia" w:ascii="Times New Roman" w:hAnsi="Times New Roman" w:eastAsia="仿宋_GB2312" w:cs="仿宋_GB2312"/>
          <w:color w:val="auto"/>
          <w:kern w:val="2"/>
          <w:sz w:val="32"/>
          <w:szCs w:val="32"/>
          <w:highlight w:val="none"/>
          <w:lang w:val="en-US" w:eastAsia="zh-CN" w:bidi="ar-SA"/>
        </w:rPr>
        <w:t>坚持把思想政治建设作为加强离退休干部党员队伍建设的重中之重，</w:t>
      </w:r>
      <w:bookmarkEnd w:id="52"/>
      <w:r>
        <w:rPr>
          <w:rFonts w:hint="eastAsia" w:ascii="Times New Roman" w:hAnsi="Times New Roman" w:eastAsia="仿宋_GB2312" w:cs="仿宋_GB2312"/>
          <w:color w:val="auto"/>
          <w:kern w:val="2"/>
          <w:sz w:val="32"/>
          <w:szCs w:val="32"/>
          <w:highlight w:val="none"/>
          <w:lang w:val="en-US" w:eastAsia="zh-CN" w:bidi="ar-SA"/>
        </w:rPr>
        <w:t>突出抓好理想信念教育，引导离退休干部党员坚定不移听党话、跟党走。一是深化党的创新理论武装，结合个人自学与集体讨论、线上线下学习，充分利用离退休干部党支部、涉老团体及微信公众号等平台，组织专题学习28次、宣讲6次、交流研讨4次、送学上门56人次、线上推送学习60余次，并组织老同志观看网上专题报告会5场，共400余人次，坚定理想信念。二是落实“三会一课”、组织生活会、主题党日等制度，健全定期学习、会议和阅读文件的制度，赠送学习资料210份给每位离退休干部党员。三是通过老年大学、老干部活动中心等阵地，加强离退休干部思想建设，开展党纪学习教育，采取集中学习、送学上门、线上推送、现场观摩、交流研讨和讲党课等多种方式，提升理论素养，坚定理想信念，推动事业发展。（2）聚焦组织规范建设，夯实凝心聚力坚强战斗堡垒。坚持推进离退休党员干部在志愿服务、政策宣讲等方面谋实策、出实招、见实效，引导党员广泛参与政策宣传、文化传承、关心教育下一代等志愿服务活动，展现退休干部党员退而不休、老有所为的时代风采。一是增强组织凝聚力，明确责任目标。围绕“六好”支部标准，制定详细创建清单，确保目标明确、责任清晰。中心第一党支部成功入选首批“全省‘六好’离退休干部示范党支部”。二是落实党内关爱制度，传递组织温暖。关注离退休党员干部的困难和需求，及时对困难党员、体弱党员进行关心和慰问，让老同志感受到组织的重视和关爱。三是组织正能量活动，激发爱国情怀。结合重要节日和纪念活动，开展系列正能量活动，如庆祝新中国成立75周年、家风家教活动、文艺演出等，激发爱国情怀和奉献精神。开展“凝善汇爱，关爱下一代”爱心捐款活动，共募集6780元。四是融入社区党建，共建和谐社区。与银沙社区签订《党建协作共建协议书》，实现党建工作与社区治理深度融合。组织志愿者参与社区治理，推动小区环境改造和规范管理。开展驻地党组织活动阵地调研，推荐退休干部党员和“五老”队伍骨干参与志愿服务。五是庆祝建党103周年，牢记初心使命。组织参观党史教育馆、颁发“在党五十年”纪念章、举办“书记讲党课”、重温入党誓词、过集体政治生日和慰问困难党员等活动，增强党性修养和爱国情怀。（3）聚焦平台载体搭建，汇聚推动高质量发展银发智慧。充分发挥离退休干部党员政治优势、经验优势、威望优势，积极搭建作用发挥平台，紧紧围绕州委中心工作，搭建平台载体，组织引导离退休党员干部发挥优势作用，在服务大局中彰显党建工作成效。一是搭建建言献策平台。开展“赞辉煌成就·聚银发力量”专题调研活动3场次，走访离退休干部70余人，收集感言和意见建议10余条，为全州经济社会发展凝聚智慧和力量。二是助力基层社会治理。建立“银发人才库”，37名离退休干部在基层治理、生态文明、乡村振兴等方面发挥作用。老同志组成的智囊团围绕小区改造、环境治理等开展议事会，指导监督措施落实。三是坚持党建带关建，组织“五老”宣讲团成员深入基层宣讲4场次，为青少年健康成长营造良好环境。有效发挥“五老”作用，为青少年健康成长营造良好环境。四是依托载体用活阵地。推行阵地共享，为协会老同志的活动提供便利，激发其参与正能量活动的热情。今年，退休干部艺术人才创作的3部文学作品见于党报党刊中；艺术人才参与文艺演出和公益活动5场，老干部大学与协会舞蹈队在省艺术节上取得佳绩。聚焦精准服务保障，营造尊老爱老敬老良好环境。（4）聚焦退休干部党员所需所盼，坚持目标导向、问题导向，推动精准服务与教育管理有机融合，做到“学习有人组织、平时有人过问、难时有人帮助”。一是严格落实重大节日慰问制度，结合日常走访和重点慰问，共走访慰问90余人次。二是强化服务保障，利用老干部活动中心、老干部大学和老年人协会等平台，开展多样文化活动，提升退休干部的荣誉感、归属感和幸福感。三是采取“一人一策”方式，完善离休干部信息和服务管理台账，建立网格员队伍，提供上门帮扶和志愿服务。全年解决医疗报销及抚恤金问题6件，陪同就医36次，探望住院老干部6人，组织70余名退休老同志进行健康体检。四是优化活动阵地建设，定期巡检和维护活动场所，改善生活环境。五是丰富文娱活动，整合老年人协会资源，提供活动场地，开展文化宣传。老干部大学开设多种课程，120余名老同志参加学习，完成300课时。六是落实老干部“入管”仪式，为5名退休干部举办加入管理服务仪式，增强荣誉感和归属感。（5）聚焦作风建设深化，增强党员干部党性修养和纪律意识。通过注重培养党员干部的责任担当精神和服务意识，以及加强党员干部的思想政治教育，不断提升党员干部的党性修养和纪律意识。一是加强老干部工作队伍建设。将习近平新时代中国特色社会主义思想和党纪学习内容作为第一议题主要学习内容，开展集中学习21次。坚持月报告制度，通过“一月一清单一提醒”，层层压紧压实责任，有效推动目标任务按时完成。二是加强党风廉政工作。教育党员筑牢理想信念，把牢廉洁防线，开展案例警示教育11次。适时开展谈心谈话，班子成员不定期与各分管干部职工进行面对面的约谈，倾听职工声音，掌握思想动态，加强廉政教育。三是严格落实意识形态工作责任制。结合重要节点积极举办宣讲、文艺宣传等活动，唱响社会主旋律，切实巩固主流舆论阵地，营造良好舆论氛围。</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w:t>
      </w:r>
      <w:r>
        <w:rPr>
          <w:rFonts w:hint="eastAsia" w:ascii="Times New Roman" w:hAnsi="Times New Roman" w:eastAsia="仿宋_GB2312" w:cs="仿宋_GB2312"/>
          <w:color w:val="auto"/>
          <w:kern w:val="2"/>
          <w:sz w:val="32"/>
          <w:szCs w:val="32"/>
          <w:highlight w:val="none"/>
          <w:lang w:val="zh-CN" w:eastAsia="zh-CN" w:bidi="ar-SA"/>
        </w:rPr>
        <w:t>预算管理。</w:t>
      </w:r>
      <w:r>
        <w:rPr>
          <w:rFonts w:hint="eastAsia" w:ascii="Times New Roman" w:hAnsi="Times New Roman" w:eastAsia="仿宋_GB2312" w:cs="仿宋_GB2312"/>
          <w:color w:val="auto"/>
          <w:kern w:val="2"/>
          <w:sz w:val="32"/>
          <w:szCs w:val="32"/>
          <w:highlight w:val="none"/>
          <w:lang w:val="en-US" w:eastAsia="zh-CN" w:bidi="ar-SA"/>
        </w:rPr>
        <w:t>我单位严格按要求编制年初部门预算，年初预算编制具有科学性和准确性。2024年年初财政下达预算450.46万元，其中：基本支出338.31万元，项目支出112.15万元；本年人员经费追加27.49万元；本年财政预算支出378.46万元，财政预算年终无结余。</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本单位1–6月支出183.07万元，预算执行完成48.37%；1–10月支出295.41万元，预算执行完成78.06%；全年财政预算收入378.46万元，支出378.46万元，预算执行完成100%。</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3.</w:t>
      </w:r>
      <w:r>
        <w:rPr>
          <w:rFonts w:hint="eastAsia" w:ascii="Times New Roman" w:hAnsi="Times New Roman" w:eastAsia="仿宋_GB2312" w:cs="仿宋_GB2312"/>
          <w:color w:val="auto"/>
          <w:kern w:val="2"/>
          <w:sz w:val="32"/>
          <w:szCs w:val="32"/>
          <w:highlight w:val="none"/>
          <w:lang w:val="zh-CN" w:eastAsia="zh-CN" w:bidi="ar-SA"/>
        </w:rPr>
        <w:t>财务管理。</w:t>
      </w:r>
      <w:r>
        <w:rPr>
          <w:rFonts w:hint="eastAsia" w:ascii="Times New Roman" w:hAnsi="Times New Roman" w:eastAsia="仿宋_GB2312" w:cs="仿宋_GB2312"/>
          <w:color w:val="auto"/>
          <w:kern w:val="2"/>
          <w:sz w:val="32"/>
          <w:szCs w:val="32"/>
          <w:highlight w:val="none"/>
          <w:lang w:val="en-US" w:eastAsia="zh-CN" w:bidi="ar-SA"/>
        </w:rPr>
        <w:t>我单位执行的是《政府会计准则制度》会计制度。财务岗位设会计1人、出纳1人，由副所长分管财务工作，执行一支笔审签，对超过5000.00元的大额资金支出必须经所长办公会商议决定。通过制定财务管理制度，明确了财务人员的职责权限、财务收支审批程序和审批人的权限及责任、经费支出的范围及开支标准，规范了各项资金的使用，提高了资金使用效益，杜绝了浪费现象的发生。在财务管理中，严格执行国家有关财务法规，所发生的各项业务事项均在依法设置的会计账簿上统一登记、核算，依据国家统一的会计制度规定进行会计核算，确保数据真实、有效。单位发生的经济业务严格执行《预算法》规定，持续规范、完善部门预算编制、账务处理、资产管理等不规范问题，不断提高“花钱必问效，无效必问责”绩效管理理念。</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4.</w:t>
      </w:r>
      <w:r>
        <w:rPr>
          <w:rFonts w:hint="eastAsia" w:ascii="Times New Roman" w:hAnsi="Times New Roman" w:eastAsia="仿宋_GB2312" w:cs="仿宋_GB2312"/>
          <w:color w:val="auto"/>
          <w:kern w:val="2"/>
          <w:sz w:val="32"/>
          <w:szCs w:val="32"/>
          <w:highlight w:val="none"/>
          <w:lang w:val="zh-CN" w:eastAsia="zh-CN" w:bidi="ar-SA"/>
        </w:rPr>
        <w:t>资产管理。</w:t>
      </w:r>
      <w:r>
        <w:rPr>
          <w:rFonts w:hint="eastAsia" w:ascii="Times New Roman" w:hAnsi="Times New Roman" w:eastAsia="仿宋_GB2312" w:cs="仿宋_GB2312"/>
          <w:color w:val="auto"/>
          <w:kern w:val="2"/>
          <w:sz w:val="32"/>
          <w:szCs w:val="32"/>
          <w:highlight w:val="none"/>
          <w:lang w:val="en-US" w:eastAsia="zh-CN" w:bidi="ar-SA"/>
        </w:rPr>
        <w:t>为了加强固定资产管理和使用，在固定资产购置时，严格按照政府采购程序进行采购，并根据有关规定，建立了账簿、款项和实物核查制度，通过建立健全制度，会计人员对各项财物、款项的增减变动和结存情况及时进行记录、计算、反映、核对等；一方面做到账簿上所反映的有关财物、款项的结存数同实存数一致，另一方面通过账簿记录和记账凭证，原始凭证的核对，保证账账相符；无固定资产不入账，公物私用及其他违规问题。202４年度无闲置资产盘活，人均资产变化率为0.05%，办公设备超最低使用年限资产利用率为8.46%。</w:t>
      </w:r>
    </w:p>
    <w:p>
      <w:pPr>
        <w:spacing w:line="600" w:lineRule="exact"/>
        <w:ind w:firstLine="640"/>
        <w:rPr>
          <w:rFonts w:hint="eastAsia"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仿宋_GB2312" w:cs="仿宋_GB2312"/>
          <w:color w:val="auto"/>
          <w:kern w:val="2"/>
          <w:sz w:val="32"/>
          <w:szCs w:val="32"/>
          <w:highlight w:val="none"/>
          <w:lang w:val="en-US" w:eastAsia="zh-CN" w:bidi="ar-SA"/>
        </w:rPr>
        <w:t>5.</w:t>
      </w:r>
      <w:r>
        <w:rPr>
          <w:rFonts w:hint="eastAsia" w:ascii="Times New Roman" w:hAnsi="Times New Roman" w:eastAsia="仿宋_GB2312" w:cs="仿宋_GB2312"/>
          <w:color w:val="auto"/>
          <w:kern w:val="2"/>
          <w:sz w:val="32"/>
          <w:szCs w:val="32"/>
          <w:highlight w:val="none"/>
          <w:lang w:val="zh-CN" w:eastAsia="zh-CN" w:bidi="ar-SA"/>
        </w:rPr>
        <w:t>采购管理。进一步规范单位政府采购行为，2024年1项政府采购项目坚持支持中小企业发展，采购执行率</w:t>
      </w:r>
      <w:r>
        <w:rPr>
          <w:rFonts w:hint="eastAsia" w:ascii="Times New Roman" w:hAnsi="Times New Roman" w:eastAsia="仿宋_GB2312" w:cs="仿宋_GB2312"/>
          <w:color w:val="auto"/>
          <w:kern w:val="2"/>
          <w:sz w:val="32"/>
          <w:szCs w:val="32"/>
          <w:highlight w:val="none"/>
          <w:lang w:val="en-US" w:eastAsia="zh-CN" w:bidi="ar-SA"/>
        </w:rPr>
        <w:t>66.67</w:t>
      </w:r>
      <w:r>
        <w:rPr>
          <w:rFonts w:hint="eastAsia" w:ascii="Times New Roman" w:hAnsi="Times New Roman" w:eastAsia="仿宋_GB2312" w:cs="仿宋_GB2312"/>
          <w:color w:val="auto"/>
          <w:kern w:val="2"/>
          <w:sz w:val="32"/>
          <w:szCs w:val="32"/>
          <w:highlight w:val="none"/>
          <w:lang w:val="zh-CN" w:eastAsia="zh-CN" w:bidi="ar-SA"/>
        </w:rPr>
        <w:t>%。</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zh-CN" w:eastAsia="zh-CN" w:bidi="ar-SA"/>
        </w:rPr>
        <w:t>（二）部门预算项目绩效分析。</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常年项目绩效分析。</w:t>
      </w:r>
      <w:r>
        <w:rPr>
          <w:rFonts w:hint="eastAsia" w:ascii="Times New Roman" w:hAnsi="Times New Roman" w:eastAsia="仿宋_GB2312" w:cs="仿宋_GB2312"/>
          <w:color w:val="auto"/>
          <w:kern w:val="2"/>
          <w:sz w:val="32"/>
          <w:szCs w:val="32"/>
          <w:highlight w:val="none"/>
          <w:lang w:val="zh-CN" w:eastAsia="zh-CN" w:bidi="ar-SA"/>
        </w:rPr>
        <w:t>该类项目总数</w:t>
      </w:r>
      <w:r>
        <w:rPr>
          <w:rFonts w:hint="eastAsia" w:ascii="Times New Roman" w:hAnsi="Times New Roman" w:eastAsia="仿宋_GB2312" w:cs="仿宋_GB2312"/>
          <w:color w:val="auto"/>
          <w:kern w:val="2"/>
          <w:sz w:val="32"/>
          <w:szCs w:val="32"/>
          <w:highlight w:val="none"/>
          <w:lang w:val="en-US" w:eastAsia="zh-CN" w:bidi="ar-SA"/>
        </w:rPr>
        <w:t>5</w:t>
      </w:r>
      <w:r>
        <w:rPr>
          <w:rFonts w:hint="eastAsia" w:ascii="Times New Roman" w:hAnsi="Times New Roman" w:eastAsia="仿宋_GB2312" w:cs="仿宋_GB2312"/>
          <w:color w:val="auto"/>
          <w:kern w:val="2"/>
          <w:sz w:val="32"/>
          <w:szCs w:val="32"/>
          <w:highlight w:val="none"/>
          <w:lang w:val="zh-CN" w:eastAsia="zh-CN" w:bidi="ar-SA"/>
        </w:rPr>
        <w:t>个，涉及预算总金额</w:t>
      </w:r>
      <w:r>
        <w:rPr>
          <w:rFonts w:hint="eastAsia" w:ascii="Times New Roman" w:hAnsi="Times New Roman" w:eastAsia="仿宋_GB2312" w:cs="仿宋_GB2312"/>
          <w:color w:val="auto"/>
          <w:kern w:val="2"/>
          <w:sz w:val="32"/>
          <w:szCs w:val="32"/>
          <w:highlight w:val="none"/>
          <w:lang w:val="en-US" w:eastAsia="zh-CN" w:bidi="ar-SA"/>
        </w:rPr>
        <w:t xml:space="preserve">   88.88</w:t>
      </w:r>
      <w:r>
        <w:rPr>
          <w:rFonts w:hint="eastAsia" w:ascii="Times New Roman" w:hAnsi="Times New Roman" w:eastAsia="仿宋_GB2312" w:cs="仿宋_GB2312"/>
          <w:color w:val="auto"/>
          <w:kern w:val="2"/>
          <w:sz w:val="32"/>
          <w:szCs w:val="32"/>
          <w:highlight w:val="none"/>
          <w:lang w:val="zh-CN" w:eastAsia="zh-CN" w:bidi="ar-SA"/>
        </w:rPr>
        <w:t>万元，1—1</w:t>
      </w:r>
      <w:r>
        <w:rPr>
          <w:rFonts w:hint="eastAsia" w:ascii="Times New Roman" w:hAnsi="Times New Roman" w:eastAsia="仿宋_GB2312" w:cs="仿宋_GB2312"/>
          <w:color w:val="auto"/>
          <w:kern w:val="2"/>
          <w:sz w:val="32"/>
          <w:szCs w:val="32"/>
          <w:highlight w:val="none"/>
          <w:lang w:val="en-US" w:eastAsia="zh-CN" w:bidi="ar-SA"/>
        </w:rPr>
        <w:t>2</w:t>
      </w:r>
      <w:r>
        <w:rPr>
          <w:rFonts w:hint="eastAsia" w:ascii="Times New Roman" w:hAnsi="Times New Roman" w:eastAsia="仿宋_GB2312" w:cs="仿宋_GB2312"/>
          <w:color w:val="auto"/>
          <w:kern w:val="2"/>
          <w:sz w:val="32"/>
          <w:szCs w:val="32"/>
          <w:highlight w:val="none"/>
          <w:lang w:val="zh-CN" w:eastAsia="zh-CN" w:bidi="ar-SA"/>
        </w:rPr>
        <w:t>月预算执行总体进度为</w:t>
      </w:r>
      <w:r>
        <w:rPr>
          <w:rFonts w:hint="eastAsia" w:ascii="Times New Roman" w:hAnsi="Times New Roman"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zh-CN" w:eastAsia="zh-CN" w:bidi="ar-SA"/>
        </w:rPr>
        <w:t>%，</w:t>
      </w:r>
      <w:r>
        <w:rPr>
          <w:rFonts w:hint="eastAsia" w:ascii="Times New Roman" w:hAnsi="Times New Roman" w:eastAsia="仿宋_GB2312" w:cs="仿宋_GB2312"/>
          <w:color w:val="auto"/>
          <w:kern w:val="2"/>
          <w:sz w:val="32"/>
          <w:szCs w:val="32"/>
          <w:highlight w:val="none"/>
          <w:lang w:val="en-US" w:eastAsia="zh-CN" w:bidi="ar-SA"/>
        </w:rPr>
        <w:t>无预算结余资金。</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zh-CN" w:eastAsia="zh-CN" w:bidi="ar-SA"/>
        </w:rPr>
        <w:t>项目决策。</w:t>
      </w:r>
      <w:r>
        <w:rPr>
          <w:rFonts w:hint="eastAsia" w:ascii="Times New Roman" w:hAnsi="Times New Roman" w:eastAsia="仿宋_GB2312" w:cs="仿宋_GB2312"/>
          <w:color w:val="auto"/>
          <w:kern w:val="2"/>
          <w:sz w:val="32"/>
          <w:szCs w:val="32"/>
          <w:highlight w:val="none"/>
          <w:lang w:val="en-US" w:eastAsia="zh-CN" w:bidi="ar-SA"/>
        </w:rPr>
        <w:t>我单位常年项目5个，分别是老干部活动费、重阳节活动费，离退休基层党组织活动费，老年大学教学经费，维修维护费用、垃圾清运、发电机费用，办公点物业管理费，严格按照规程序进行申报，部门预算项目在规定时间完成项目入库。</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2.项目执行</w:t>
      </w:r>
      <w:r>
        <w:rPr>
          <w:rFonts w:hint="eastAsia" w:ascii="Times New Roman" w:hAnsi="Times New Roman" w:eastAsia="仿宋_GB2312" w:cs="仿宋_GB2312"/>
          <w:color w:val="auto"/>
          <w:kern w:val="2"/>
          <w:sz w:val="32"/>
          <w:szCs w:val="32"/>
          <w:highlight w:val="none"/>
          <w:lang w:val="zh-CN" w:eastAsia="zh-CN" w:bidi="ar-SA"/>
        </w:rPr>
        <w:t>。</w:t>
      </w:r>
      <w:r>
        <w:rPr>
          <w:rFonts w:hint="eastAsia" w:ascii="Times New Roman" w:hAnsi="Times New Roman" w:eastAsia="仿宋_GB2312" w:cs="仿宋_GB2312"/>
          <w:color w:val="auto"/>
          <w:kern w:val="2"/>
          <w:sz w:val="32"/>
          <w:szCs w:val="32"/>
          <w:highlight w:val="none"/>
          <w:lang w:val="en-US" w:eastAsia="zh-CN" w:bidi="ar-SA"/>
        </w:rPr>
        <w:t>部门预算项目绩效目标与计划期内的任务量、预算安排的资金量相匹配，绩效目标设置科学合理、规范完整、量化细化、与预算相匹配。部门预算项目实际列支内容与绩效目标设置方向相符，无项目调整。</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3.</w:t>
      </w:r>
      <w:r>
        <w:rPr>
          <w:rFonts w:hint="eastAsia" w:ascii="Times New Roman" w:hAnsi="Times New Roman" w:eastAsia="仿宋_GB2312" w:cs="仿宋_GB2312"/>
          <w:color w:val="auto"/>
          <w:kern w:val="2"/>
          <w:sz w:val="32"/>
          <w:szCs w:val="32"/>
          <w:highlight w:val="none"/>
          <w:lang w:val="zh-CN" w:eastAsia="zh-CN" w:bidi="ar-SA"/>
        </w:rPr>
        <w:t>目标实现。</w:t>
      </w:r>
      <w:r>
        <w:rPr>
          <w:rFonts w:hint="eastAsia" w:ascii="Times New Roman" w:hAnsi="Times New Roman" w:eastAsia="仿宋_GB2312" w:cs="仿宋_GB2312"/>
          <w:color w:val="auto"/>
          <w:kern w:val="2"/>
          <w:sz w:val="32"/>
          <w:szCs w:val="32"/>
          <w:highlight w:val="none"/>
          <w:lang w:val="en-US" w:eastAsia="zh-CN" w:bidi="ar-SA"/>
        </w:rPr>
        <w:t>5个项目年内目标完成良好，无目标偏离。省级部门对2024年度一般公共预算、政府性基金预算、国有资本经营预算安排的常年项目、阶段项目绩效目标完成情况，以及债券资金、政府购买服务有关情况进行梳理阐述。</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zh-CN" w:eastAsia="zh-CN" w:bidi="ar-SA"/>
        </w:rPr>
        <w:t>（三）绩效结果应用情况。</w:t>
      </w:r>
      <w:r>
        <w:rPr>
          <w:rFonts w:hint="eastAsia" w:ascii="Times New Roman" w:hAnsi="Times New Roman" w:eastAsia="仿宋_GB2312" w:cs="仿宋_GB2312"/>
          <w:color w:val="auto"/>
          <w:kern w:val="2"/>
          <w:sz w:val="32"/>
          <w:szCs w:val="32"/>
          <w:highlight w:val="none"/>
          <w:lang w:val="en-US" w:eastAsia="zh-CN" w:bidi="ar-SA"/>
        </w:rPr>
        <w:t>在资金使用上坚持专款专用、勤俭节约、合理有效的原则。老干部活动费、重阳节活动费支出主要用于组织老干部开展活动、2个办公点活动室日常运转、老干部生日慰问、生病住院慰问等；维修维护费用、垃圾清运、发电机费用支出主要2个办公点监控及日常维修维护、大宗垃圾清运、发电机相关费用等；离退休基层党组织活动费支出主要用于中心党委组织党员开展党组织活动费用等；老年大学教学经费支出主要用于老年大学课时费等；办公点物业管理费支出主要用于2个办公点物业管理费用等。</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四、评价结论及建议</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zh-CN" w:eastAsia="zh-CN" w:bidi="ar-SA"/>
        </w:rPr>
        <w:t>（一）评价结论。</w:t>
      </w:r>
      <w:r>
        <w:rPr>
          <w:rFonts w:hint="eastAsia" w:ascii="Times New Roman" w:hAnsi="Times New Roman" w:eastAsia="仿宋_GB2312" w:cs="仿宋_GB2312"/>
          <w:color w:val="auto"/>
          <w:kern w:val="2"/>
          <w:sz w:val="32"/>
          <w:szCs w:val="32"/>
          <w:highlight w:val="none"/>
          <w:lang w:val="en-US" w:eastAsia="zh-CN" w:bidi="ar-SA"/>
        </w:rPr>
        <w:t>2024年，我单位部门预算执行情况基本良好，根据部门预算绩效评价指标体系，逐一进行分析自评，自评得分为93.69分。</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zh-CN" w:eastAsia="zh-CN" w:bidi="ar-SA"/>
        </w:rPr>
        <w:t>（二）存在问题。</w:t>
      </w:r>
      <w:r>
        <w:rPr>
          <w:rFonts w:hint="eastAsia" w:ascii="Times New Roman" w:hAnsi="Times New Roman" w:eastAsia="仿宋_GB2312" w:cs="仿宋_GB2312"/>
          <w:color w:val="auto"/>
          <w:kern w:val="2"/>
          <w:sz w:val="32"/>
          <w:szCs w:val="32"/>
          <w:highlight w:val="none"/>
          <w:lang w:val="en-US" w:eastAsia="zh-CN" w:bidi="ar-SA"/>
        </w:rPr>
        <w:t>人员经费、公用经费能按月和工作进度执行，基本达到规定的执行进度。在预算编制过程中缺乏预见性，难以较为准确的编制项目预算，比如维修维护费用、垃圾清运、发电机费用，我们在原有的基础上进行了财政压减，但是我不能准确的预见来年监控设施设备是否需要维修、发电机是否需要维修及使用、院区内垃圾、化粪池是否清理，所以每年的预算都有，使用了才会支出，不使用在年底做调整或退回。</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zh-CN" w:eastAsia="zh-CN" w:bidi="ar-SA"/>
        </w:rPr>
        <w:t>（三）改进建议。</w:t>
      </w:r>
      <w:r>
        <w:rPr>
          <w:rFonts w:hint="eastAsia" w:ascii="Times New Roman" w:hAnsi="Times New Roman" w:eastAsia="仿宋_GB2312" w:cs="仿宋_GB2312"/>
          <w:color w:val="auto"/>
          <w:kern w:val="2"/>
          <w:sz w:val="32"/>
          <w:szCs w:val="32"/>
          <w:highlight w:val="none"/>
          <w:lang w:val="en-US" w:eastAsia="zh-CN" w:bidi="ar-SA"/>
        </w:rPr>
        <w:t>本单位将始终遵循先有预算、后有支出的原则，科学合理编制部门预算，推进预算编制科学化、标准化。2023年在预算编制中存在不科学的地方，将根据实际情况及时进行预算调整，定期做好预算执行分析，适时掌握预算执行进度，及时找出预算实际执行情况与预算目标之间存在的差距，进一步加快预算执行。提前做好下年度部门预算编制计划准备，更科学合理的编制下年度预算；在编制下年度部门预算时，希望财政在部门支出经济分类这块能更给科学的指导。</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附表：1.部门预算绩效自评打分表</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2.部门整体绩效目标完成情况自评表</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3.部门预算项目支出绩效评价表（2024年度）</w:t>
      </w:r>
    </w:p>
    <w:p>
      <w:pPr>
        <w:spacing w:line="578" w:lineRule="exact"/>
        <w:jc w:val="left"/>
        <w:rPr>
          <w:rFonts w:eastAsia="黑体"/>
        </w:rPr>
      </w:pPr>
      <w:r>
        <w:rPr>
          <w:color w:val="000000"/>
          <w:kern w:val="0"/>
          <w:szCs w:val="32"/>
          <w:shd w:val="clear" w:color="auto" w:fill="FFFFFF"/>
        </w:rPr>
        <w:br w:type="page"/>
      </w:r>
      <w:r>
        <w:rPr>
          <w:rFonts w:eastAsia="黑体"/>
        </w:rPr>
        <w:t>附表</w:t>
      </w:r>
      <w:r>
        <w:rPr>
          <w:rFonts w:hint="eastAsia" w:eastAsia="黑体"/>
        </w:rPr>
        <w:t>1</w:t>
      </w:r>
    </w:p>
    <w:p>
      <w:pPr>
        <w:widowControl/>
        <w:spacing w:line="600" w:lineRule="exact"/>
        <w:jc w:val="center"/>
        <w:textAlignment w:val="center"/>
        <w:rPr>
          <w:rFonts w:eastAsia="方正小标宋简体"/>
          <w:color w:val="000000"/>
          <w:kern w:val="0"/>
          <w:sz w:val="44"/>
          <w:szCs w:val="44"/>
        </w:rPr>
      </w:pPr>
      <w:r>
        <w:rPr>
          <w:rFonts w:hint="eastAsia" w:eastAsia="方正小标宋简体"/>
          <w:color w:val="000000"/>
          <w:kern w:val="0"/>
          <w:sz w:val="44"/>
          <w:szCs w:val="44"/>
        </w:rPr>
        <w:t>部门预算绩效自评打分表</w:t>
      </w:r>
    </w:p>
    <w:tbl>
      <w:tblPr>
        <w:tblStyle w:val="19"/>
        <w:tblW w:w="10819" w:type="dxa"/>
        <w:jc w:val="center"/>
        <w:tblInd w:w="0" w:type="dxa"/>
        <w:tblLayout w:type="fixed"/>
        <w:tblCellMar>
          <w:top w:w="0" w:type="dxa"/>
          <w:left w:w="108" w:type="dxa"/>
          <w:bottom w:w="0" w:type="dxa"/>
          <w:right w:w="108" w:type="dxa"/>
        </w:tblCellMar>
      </w:tblPr>
      <w:tblGrid>
        <w:gridCol w:w="1004"/>
        <w:gridCol w:w="1462"/>
        <w:gridCol w:w="1665"/>
        <w:gridCol w:w="720"/>
        <w:gridCol w:w="4734"/>
        <w:gridCol w:w="756"/>
        <w:gridCol w:w="478"/>
      </w:tblGrid>
      <w:tr>
        <w:tblPrEx>
          <w:tblLayout w:type="fixed"/>
          <w:tblCellMar>
            <w:top w:w="0" w:type="dxa"/>
            <w:left w:w="108" w:type="dxa"/>
            <w:bottom w:w="0" w:type="dxa"/>
            <w:right w:w="108" w:type="dxa"/>
          </w:tblCellMar>
        </w:tblPrEx>
        <w:trPr>
          <w:trHeight w:val="23" w:hRule="atLeast"/>
          <w:jc w:val="center"/>
        </w:trPr>
        <w:tc>
          <w:tcPr>
            <w:tcW w:w="485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黑体" w:hAnsi="宋体" w:eastAsia="黑体" w:cs="黑体"/>
                <w:color w:val="000000"/>
                <w:sz w:val="24"/>
              </w:rPr>
            </w:pPr>
            <w:r>
              <w:rPr>
                <w:rFonts w:hint="eastAsia" w:ascii="黑体" w:hAnsi="宋体" w:eastAsia="黑体" w:cs="黑体"/>
                <w:color w:val="000000"/>
                <w:kern w:val="0"/>
                <w:sz w:val="24"/>
              </w:rPr>
              <w:t>绩效评价指标指标分值</w:t>
            </w:r>
          </w:p>
        </w:tc>
        <w:tc>
          <w:tcPr>
            <w:tcW w:w="47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黑体" w:hAnsi="宋体" w:eastAsia="黑体" w:cs="黑体"/>
                <w:color w:val="000000"/>
                <w:sz w:val="24"/>
              </w:rPr>
            </w:pPr>
            <w:r>
              <w:rPr>
                <w:rFonts w:hint="eastAsia" w:ascii="黑体" w:hAnsi="宋体" w:eastAsia="黑体" w:cs="黑体"/>
                <w:color w:val="000000"/>
                <w:kern w:val="0"/>
                <w:sz w:val="24"/>
              </w:rPr>
              <w:t>指标解释</w:t>
            </w:r>
          </w:p>
        </w:tc>
        <w:tc>
          <w:tcPr>
            <w:tcW w:w="756" w:type="dxa"/>
            <w:vMerge w:val="restart"/>
            <w:tcBorders>
              <w:top w:val="single" w:color="000000" w:sz="4" w:space="0"/>
              <w:left w:val="single" w:color="000000" w:sz="4" w:space="0"/>
              <w:right w:val="single" w:color="000000" w:sz="4" w:space="0"/>
            </w:tcBorders>
            <w:shd w:val="clear" w:color="auto" w:fill="auto"/>
            <w:vAlign w:val="center"/>
          </w:tcPr>
          <w:p>
            <w:pPr>
              <w:widowControl/>
              <w:spacing w:line="240" w:lineRule="exact"/>
              <w:jc w:val="center"/>
              <w:textAlignment w:val="center"/>
              <w:rPr>
                <w:rFonts w:ascii="黑体" w:hAnsi="宋体" w:eastAsia="黑体" w:cs="黑体"/>
                <w:color w:val="000000"/>
                <w:kern w:val="0"/>
                <w:sz w:val="24"/>
              </w:rPr>
            </w:pPr>
            <w:r>
              <w:rPr>
                <w:rFonts w:hint="eastAsia" w:ascii="黑体" w:hAnsi="宋体" w:eastAsia="黑体" w:cs="黑体"/>
                <w:color w:val="000000"/>
                <w:kern w:val="0"/>
                <w:sz w:val="24"/>
              </w:rPr>
              <w:t>自评得分</w:t>
            </w:r>
          </w:p>
        </w:tc>
        <w:tc>
          <w:tcPr>
            <w:tcW w:w="478" w:type="dxa"/>
            <w:vMerge w:val="restart"/>
            <w:tcBorders>
              <w:top w:val="single" w:color="000000" w:sz="4" w:space="0"/>
              <w:left w:val="single" w:color="000000" w:sz="4" w:space="0"/>
              <w:right w:val="single" w:color="000000" w:sz="4" w:space="0"/>
            </w:tcBorders>
            <w:shd w:val="clear" w:color="auto" w:fill="auto"/>
            <w:vAlign w:val="center"/>
          </w:tcPr>
          <w:p>
            <w:pPr>
              <w:widowControl/>
              <w:spacing w:line="240" w:lineRule="exact"/>
              <w:jc w:val="center"/>
              <w:textAlignment w:val="center"/>
              <w:rPr>
                <w:rFonts w:ascii="黑体" w:hAnsi="宋体" w:eastAsia="黑体" w:cs="黑体"/>
                <w:color w:val="000000"/>
                <w:kern w:val="0"/>
                <w:sz w:val="24"/>
              </w:rPr>
            </w:pPr>
            <w:r>
              <w:rPr>
                <w:rFonts w:hint="eastAsia" w:ascii="黑体" w:hAnsi="宋体" w:eastAsia="黑体" w:cs="黑体"/>
                <w:color w:val="000000"/>
                <w:kern w:val="0"/>
                <w:sz w:val="24"/>
              </w:rPr>
              <w:t>备注</w:t>
            </w:r>
          </w:p>
        </w:tc>
      </w:tr>
      <w:tr>
        <w:tblPrEx>
          <w:tblLayout w:type="fixed"/>
          <w:tblCellMar>
            <w:top w:w="0" w:type="dxa"/>
            <w:left w:w="108" w:type="dxa"/>
            <w:bottom w:w="0" w:type="dxa"/>
            <w:right w:w="108" w:type="dxa"/>
          </w:tblCellMar>
        </w:tblPrEx>
        <w:trPr>
          <w:trHeight w:val="23" w:hRule="atLeast"/>
          <w:jc w:val="center"/>
        </w:trPr>
        <w:tc>
          <w:tcPr>
            <w:tcW w:w="1004" w:type="dxa"/>
            <w:tcBorders>
              <w:top w:val="single" w:color="000000" w:sz="4" w:space="0"/>
              <w:left w:val="single" w:color="000000" w:sz="4" w:space="0"/>
              <w:bottom w:val="single" w:color="000000" w:sz="4" w:space="0"/>
              <w:right w:val="nil"/>
            </w:tcBorders>
            <w:shd w:val="clear" w:color="auto" w:fill="auto"/>
            <w:vAlign w:val="center"/>
          </w:tcPr>
          <w:p>
            <w:pPr>
              <w:widowControl/>
              <w:spacing w:line="240" w:lineRule="exact"/>
              <w:jc w:val="center"/>
              <w:textAlignment w:val="center"/>
              <w:rPr>
                <w:rFonts w:ascii="黑体" w:hAnsi="宋体" w:eastAsia="黑体" w:cs="黑体"/>
                <w:color w:val="000000"/>
                <w:sz w:val="24"/>
              </w:rPr>
            </w:pPr>
            <w:r>
              <w:rPr>
                <w:rFonts w:hint="eastAsia" w:ascii="黑体" w:hAnsi="宋体" w:eastAsia="黑体" w:cs="黑体"/>
                <w:color w:val="000000"/>
                <w:kern w:val="0"/>
                <w:sz w:val="24"/>
              </w:rPr>
              <w:t>一级指标</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黑体" w:hAnsi="宋体" w:eastAsia="黑体" w:cs="黑体"/>
                <w:color w:val="000000"/>
                <w:sz w:val="24"/>
              </w:rPr>
            </w:pPr>
            <w:r>
              <w:rPr>
                <w:rFonts w:hint="eastAsia" w:ascii="黑体" w:hAnsi="宋体" w:eastAsia="黑体" w:cs="黑体"/>
                <w:color w:val="000000"/>
                <w:kern w:val="0"/>
                <w:sz w:val="24"/>
              </w:rPr>
              <w:t>二级指标</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黑体" w:hAnsi="宋体" w:eastAsia="黑体" w:cs="黑体"/>
                <w:color w:val="000000"/>
                <w:sz w:val="24"/>
              </w:rPr>
            </w:pPr>
            <w:r>
              <w:rPr>
                <w:rFonts w:hint="eastAsia" w:ascii="黑体" w:hAnsi="宋体" w:eastAsia="黑体" w:cs="黑体"/>
                <w:color w:val="000000"/>
                <w:kern w:val="0"/>
                <w:sz w:val="24"/>
              </w:rPr>
              <w:t>三级指标</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黑体" w:hAnsi="宋体" w:eastAsia="黑体" w:cs="黑体"/>
                <w:color w:val="000000"/>
                <w:sz w:val="24"/>
              </w:rPr>
            </w:pPr>
            <w:r>
              <w:rPr>
                <w:rFonts w:hint="eastAsia" w:ascii="黑体" w:hAnsi="宋体" w:eastAsia="黑体" w:cs="黑体"/>
                <w:color w:val="000000"/>
                <w:kern w:val="0"/>
                <w:sz w:val="24"/>
              </w:rPr>
              <w:t>指标</w:t>
            </w:r>
            <w:r>
              <w:rPr>
                <w:rFonts w:hint="eastAsia" w:ascii="黑体" w:hAnsi="宋体" w:eastAsia="黑体" w:cs="黑体"/>
                <w:color w:val="000000"/>
                <w:kern w:val="0"/>
                <w:sz w:val="24"/>
              </w:rPr>
              <w:br w:type="textWrapping"/>
            </w:r>
            <w:r>
              <w:rPr>
                <w:rFonts w:hint="eastAsia" w:ascii="黑体" w:hAnsi="宋体" w:eastAsia="黑体" w:cs="黑体"/>
                <w:color w:val="000000"/>
                <w:kern w:val="0"/>
                <w:sz w:val="24"/>
              </w:rPr>
              <w:t>分值</w:t>
            </w:r>
          </w:p>
        </w:tc>
        <w:tc>
          <w:tcPr>
            <w:tcW w:w="47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黑体" w:hAnsi="宋体" w:eastAsia="黑体" w:cs="黑体"/>
                <w:color w:val="000000"/>
                <w:sz w:val="24"/>
              </w:rPr>
            </w:pPr>
          </w:p>
        </w:tc>
        <w:tc>
          <w:tcPr>
            <w:tcW w:w="756" w:type="dxa"/>
            <w:vMerge w:val="continue"/>
            <w:tcBorders>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黑体" w:hAnsi="宋体" w:eastAsia="黑体" w:cs="黑体"/>
                <w:color w:val="000000"/>
                <w:sz w:val="24"/>
              </w:rPr>
            </w:pPr>
          </w:p>
        </w:tc>
        <w:tc>
          <w:tcPr>
            <w:tcW w:w="478" w:type="dxa"/>
            <w:vMerge w:val="continue"/>
            <w:tcBorders>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黑体" w:hAnsi="宋体" w:eastAsia="黑体" w:cs="黑体"/>
                <w:color w:val="000000"/>
                <w:sz w:val="24"/>
              </w:rPr>
            </w:pPr>
          </w:p>
        </w:tc>
      </w:tr>
      <w:tr>
        <w:tblPrEx>
          <w:tblLayout w:type="fixed"/>
          <w:tblCellMar>
            <w:top w:w="0" w:type="dxa"/>
            <w:left w:w="108" w:type="dxa"/>
            <w:bottom w:w="0" w:type="dxa"/>
            <w:right w:w="108" w:type="dxa"/>
          </w:tblCellMar>
        </w:tblPrEx>
        <w:trPr>
          <w:trHeight w:val="23" w:hRule="atLeast"/>
          <w:jc w:val="center"/>
        </w:trPr>
        <w:tc>
          <w:tcPr>
            <w:tcW w:w="10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b/>
                <w:color w:val="000000"/>
                <w:sz w:val="24"/>
              </w:rPr>
            </w:pPr>
            <w:r>
              <w:rPr>
                <w:rFonts w:hint="eastAsia" w:ascii="宋体" w:hAnsi="宋体" w:eastAsia="宋体" w:cs="宋体"/>
                <w:b/>
                <w:color w:val="000000"/>
                <w:kern w:val="0"/>
                <w:sz w:val="24"/>
              </w:rPr>
              <w:t>总体绩效</w:t>
            </w:r>
            <w:r>
              <w:rPr>
                <w:rFonts w:hint="eastAsia" w:ascii="宋体" w:hAnsi="宋体" w:eastAsia="宋体" w:cs="宋体"/>
                <w:b/>
                <w:color w:val="000000"/>
                <w:kern w:val="0"/>
                <w:sz w:val="24"/>
              </w:rPr>
              <w:br w:type="textWrapping"/>
            </w:r>
            <w:r>
              <w:rPr>
                <w:rFonts w:hint="eastAsia" w:ascii="宋体" w:hAnsi="宋体" w:eastAsia="宋体" w:cs="宋体"/>
                <w:b/>
                <w:color w:val="000000"/>
                <w:kern w:val="0"/>
                <w:sz w:val="24"/>
              </w:rPr>
              <w:t>（65分）</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b/>
                <w:color w:val="000000"/>
                <w:sz w:val="24"/>
              </w:rPr>
            </w:pPr>
            <w:r>
              <w:rPr>
                <w:rFonts w:hint="eastAsia" w:ascii="宋体" w:hAnsi="宋体" w:eastAsia="宋体" w:cs="宋体"/>
                <w:b/>
                <w:color w:val="000000"/>
                <w:kern w:val="0"/>
                <w:sz w:val="24"/>
              </w:rPr>
              <w:t>履职效能</w:t>
            </w:r>
            <w:r>
              <w:rPr>
                <w:rFonts w:hint="eastAsia" w:ascii="宋体" w:hAnsi="宋体" w:eastAsia="宋体" w:cs="宋体"/>
                <w:b/>
                <w:color w:val="000000"/>
                <w:kern w:val="0"/>
                <w:sz w:val="24"/>
              </w:rPr>
              <w:br w:type="textWrapping"/>
            </w:r>
            <w:r>
              <w:rPr>
                <w:rFonts w:hint="eastAsia" w:ascii="宋体" w:hAnsi="宋体" w:eastAsia="宋体" w:cs="宋体"/>
                <w:b/>
                <w:color w:val="000000"/>
                <w:kern w:val="0"/>
                <w:sz w:val="24"/>
              </w:rPr>
              <w:t>（15分）</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rPr>
              <w:t>XX履职效果</w:t>
            </w:r>
          </w:p>
        </w:tc>
        <w:tc>
          <w:tcPr>
            <w:tcW w:w="720" w:type="dxa"/>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rPr>
              <w:t>15</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sz w:val="24"/>
              </w:rPr>
            </w:pPr>
            <w:r>
              <w:rPr>
                <w:rFonts w:hint="eastAsia" w:ascii="宋体" w:hAnsi="宋体" w:eastAsia="宋体" w:cs="宋体"/>
                <w:color w:val="000000"/>
                <w:kern w:val="0"/>
                <w:sz w:val="24"/>
              </w:rPr>
              <w:t>部门整体绩效目标中选定3-5个核心职能目标，反映该项职能目标完成效果情况</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default"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15</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kern w:val="0"/>
                <w:sz w:val="24"/>
              </w:rPr>
            </w:pPr>
          </w:p>
        </w:tc>
      </w:tr>
      <w:tr>
        <w:tblPrEx>
          <w:tblLayout w:type="fixed"/>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宋体" w:cs="宋体"/>
                <w:b/>
                <w:color w:val="000000"/>
                <w:sz w:val="24"/>
              </w:rPr>
            </w:pPr>
          </w:p>
        </w:tc>
        <w:tc>
          <w:tcPr>
            <w:tcW w:w="14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b/>
                <w:color w:val="000000"/>
                <w:sz w:val="24"/>
              </w:rPr>
            </w:pPr>
            <w:r>
              <w:rPr>
                <w:rFonts w:hint="eastAsia" w:ascii="宋体" w:hAnsi="宋体" w:eastAsia="宋体" w:cs="宋体"/>
                <w:b/>
                <w:color w:val="000000"/>
                <w:kern w:val="0"/>
                <w:sz w:val="24"/>
              </w:rPr>
              <w:t>预算管理</w:t>
            </w:r>
            <w:r>
              <w:rPr>
                <w:rFonts w:hint="eastAsia" w:ascii="宋体" w:hAnsi="宋体" w:eastAsia="宋体" w:cs="宋体"/>
                <w:b/>
                <w:color w:val="000000"/>
                <w:kern w:val="0"/>
                <w:sz w:val="24"/>
              </w:rPr>
              <w:br w:type="textWrapping"/>
            </w:r>
            <w:r>
              <w:rPr>
                <w:rFonts w:hint="eastAsia" w:ascii="宋体" w:hAnsi="宋体" w:eastAsia="宋体" w:cs="宋体"/>
                <w:b/>
                <w:color w:val="000000"/>
                <w:kern w:val="0"/>
                <w:sz w:val="24"/>
              </w:rPr>
              <w:t>（25分）</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rPr>
              <w:t>预算编制质量</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rPr>
              <w:t>8</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sz w:val="24"/>
              </w:rPr>
            </w:pPr>
            <w:r>
              <w:rPr>
                <w:rFonts w:hint="eastAsia" w:ascii="宋体" w:hAnsi="宋体" w:eastAsia="宋体" w:cs="宋体"/>
                <w:color w:val="000000"/>
                <w:kern w:val="0"/>
                <w:sz w:val="24"/>
              </w:rPr>
              <w:t>部门是否严格按要求编制年初部门预算，年初预算编制的科学性和准确性</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default"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6.69</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kern w:val="0"/>
                <w:sz w:val="24"/>
              </w:rPr>
            </w:pPr>
          </w:p>
        </w:tc>
      </w:tr>
      <w:tr>
        <w:tblPrEx>
          <w:tblLayout w:type="fixed"/>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宋体" w:cs="宋体"/>
                <w:b/>
                <w:color w:val="000000"/>
                <w:sz w:val="24"/>
              </w:rPr>
            </w:pPr>
          </w:p>
        </w:tc>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宋体" w:cs="宋体"/>
                <w:b/>
                <w:color w:val="000000"/>
                <w:sz w:val="24"/>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rPr>
              <w:t>单位收入统筹</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rPr>
              <w:t>4</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sz w:val="24"/>
              </w:rPr>
            </w:pPr>
            <w:r>
              <w:rPr>
                <w:rFonts w:hint="eastAsia" w:ascii="宋体" w:hAnsi="宋体" w:eastAsia="宋体" w:cs="宋体"/>
                <w:color w:val="000000"/>
                <w:kern w:val="0"/>
                <w:sz w:val="24"/>
              </w:rPr>
              <w:t>部门统筹自有收入程度</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4</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kern w:val="0"/>
                <w:sz w:val="24"/>
              </w:rPr>
            </w:pPr>
          </w:p>
        </w:tc>
      </w:tr>
      <w:tr>
        <w:tblPrEx>
          <w:tblLayout w:type="fixed"/>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宋体" w:cs="宋体"/>
                <w:b/>
                <w:color w:val="000000"/>
                <w:sz w:val="24"/>
              </w:rPr>
            </w:pPr>
          </w:p>
        </w:tc>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宋体" w:cs="宋体"/>
                <w:b/>
                <w:color w:val="000000"/>
                <w:sz w:val="24"/>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rPr>
              <w:t>支出执行进度</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rPr>
              <w:t>6</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sz w:val="24"/>
              </w:rPr>
            </w:pPr>
            <w:r>
              <w:rPr>
                <w:rFonts w:hint="eastAsia" w:ascii="宋体" w:hAnsi="宋体" w:eastAsia="宋体" w:cs="宋体"/>
                <w:color w:val="000000"/>
                <w:kern w:val="0"/>
                <w:sz w:val="24"/>
              </w:rPr>
              <w:t>部门1至6月、1至10月预算执行情况</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default"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5.82</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kern w:val="0"/>
                <w:sz w:val="24"/>
              </w:rPr>
            </w:pPr>
          </w:p>
        </w:tc>
      </w:tr>
      <w:tr>
        <w:tblPrEx>
          <w:tblLayout w:type="fixed"/>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宋体" w:cs="宋体"/>
                <w:b/>
                <w:color w:val="000000"/>
                <w:sz w:val="24"/>
              </w:rPr>
            </w:pPr>
          </w:p>
        </w:tc>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宋体" w:cs="宋体"/>
                <w:b/>
                <w:color w:val="000000"/>
                <w:sz w:val="24"/>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rPr>
              <w:t>预算年终结余</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rPr>
              <w:t>2</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sz w:val="24"/>
              </w:rPr>
            </w:pPr>
            <w:r>
              <w:rPr>
                <w:rFonts w:hint="eastAsia" w:ascii="宋体" w:hAnsi="宋体" w:eastAsia="宋体" w:cs="宋体"/>
                <w:color w:val="000000"/>
                <w:kern w:val="0"/>
                <w:sz w:val="24"/>
              </w:rPr>
              <w:t>部门整体年终预算结余情况</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kern w:val="0"/>
                <w:sz w:val="24"/>
              </w:rPr>
            </w:pPr>
          </w:p>
        </w:tc>
      </w:tr>
      <w:tr>
        <w:tblPrEx>
          <w:tblLayout w:type="fixed"/>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宋体" w:cs="宋体"/>
                <w:b/>
                <w:color w:val="000000"/>
                <w:sz w:val="24"/>
              </w:rPr>
            </w:pPr>
          </w:p>
        </w:tc>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宋体" w:cs="宋体"/>
                <w:b/>
                <w:color w:val="000000"/>
                <w:sz w:val="24"/>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rPr>
              <w:t>严控一般性支出</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rPr>
              <w:t>5</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sz w:val="24"/>
              </w:rPr>
            </w:pPr>
            <w:r>
              <w:rPr>
                <w:rFonts w:hint="eastAsia" w:ascii="宋体" w:hAnsi="宋体" w:eastAsia="宋体" w:cs="宋体"/>
                <w:color w:val="000000"/>
                <w:kern w:val="0"/>
                <w:sz w:val="24"/>
              </w:rPr>
              <w:t>部门严控“三公”经费、会议、培训、差旅、办节办展、办公设备购置、信息网络及软件购置更新、课题经费等8项一般性支出情况</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default"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2.88</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kern w:val="0"/>
                <w:sz w:val="24"/>
              </w:rPr>
            </w:pPr>
          </w:p>
        </w:tc>
      </w:tr>
      <w:tr>
        <w:tblPrEx>
          <w:tblLayout w:type="fixed"/>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宋体" w:cs="宋体"/>
                <w:b/>
                <w:color w:val="000000"/>
                <w:sz w:val="24"/>
              </w:rPr>
            </w:pPr>
          </w:p>
        </w:tc>
        <w:tc>
          <w:tcPr>
            <w:tcW w:w="14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b/>
                <w:color w:val="000000"/>
                <w:sz w:val="24"/>
              </w:rPr>
            </w:pPr>
            <w:r>
              <w:rPr>
                <w:rFonts w:hint="eastAsia" w:ascii="宋体" w:hAnsi="宋体" w:eastAsia="宋体" w:cs="宋体"/>
                <w:b/>
                <w:color w:val="000000"/>
                <w:kern w:val="0"/>
                <w:sz w:val="24"/>
              </w:rPr>
              <w:t>财务管理</w:t>
            </w:r>
            <w:r>
              <w:rPr>
                <w:rFonts w:hint="eastAsia" w:ascii="宋体" w:hAnsi="宋体" w:eastAsia="宋体" w:cs="宋体"/>
                <w:b/>
                <w:color w:val="000000"/>
                <w:kern w:val="0"/>
                <w:sz w:val="24"/>
              </w:rPr>
              <w:br w:type="textWrapping"/>
            </w:r>
            <w:r>
              <w:rPr>
                <w:rFonts w:hint="eastAsia" w:ascii="宋体" w:hAnsi="宋体" w:eastAsia="宋体" w:cs="宋体"/>
                <w:b/>
                <w:color w:val="000000"/>
                <w:kern w:val="0"/>
                <w:sz w:val="24"/>
              </w:rPr>
              <w:t>（10分）</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rPr>
              <w:t>财务管理制度</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rPr>
              <w:t>4</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sz w:val="24"/>
              </w:rPr>
            </w:pPr>
            <w:r>
              <w:rPr>
                <w:rFonts w:hint="eastAsia" w:ascii="宋体" w:hAnsi="宋体" w:eastAsia="宋体" w:cs="宋体"/>
                <w:color w:val="000000"/>
                <w:kern w:val="0"/>
                <w:sz w:val="24"/>
              </w:rPr>
              <w:t>部门财务管理制度建立情况</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4</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kern w:val="0"/>
                <w:sz w:val="24"/>
              </w:rPr>
            </w:pPr>
          </w:p>
        </w:tc>
      </w:tr>
      <w:tr>
        <w:tblPrEx>
          <w:tblLayout w:type="fixed"/>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宋体" w:cs="宋体"/>
                <w:b/>
                <w:color w:val="000000"/>
                <w:sz w:val="24"/>
              </w:rPr>
            </w:pPr>
          </w:p>
        </w:tc>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宋体" w:cs="宋体"/>
                <w:b/>
                <w:color w:val="000000"/>
                <w:sz w:val="24"/>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rPr>
              <w:t>财务岗位设置</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rPr>
              <w:t>2</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sz w:val="24"/>
              </w:rPr>
            </w:pPr>
            <w:r>
              <w:rPr>
                <w:rFonts w:hint="eastAsia" w:ascii="宋体" w:hAnsi="宋体" w:eastAsia="宋体" w:cs="宋体"/>
                <w:color w:val="000000"/>
                <w:kern w:val="0"/>
                <w:sz w:val="24"/>
              </w:rPr>
              <w:t>部门财务岗位设置是否符合相关财务管理制度要求</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kern w:val="0"/>
                <w:sz w:val="24"/>
              </w:rPr>
            </w:pPr>
          </w:p>
        </w:tc>
      </w:tr>
      <w:tr>
        <w:tblPrEx>
          <w:tblLayout w:type="fixed"/>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宋体" w:cs="宋体"/>
                <w:b/>
                <w:color w:val="000000"/>
                <w:sz w:val="24"/>
              </w:rPr>
            </w:pPr>
          </w:p>
        </w:tc>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宋体" w:cs="宋体"/>
                <w:b/>
                <w:color w:val="000000"/>
                <w:sz w:val="24"/>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rPr>
              <w:t>资金使用规范</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rPr>
              <w:t>4</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sz w:val="24"/>
              </w:rPr>
            </w:pPr>
            <w:r>
              <w:rPr>
                <w:rFonts w:hint="eastAsia" w:ascii="宋体" w:hAnsi="宋体" w:eastAsia="宋体" w:cs="宋体"/>
                <w:color w:val="000000"/>
                <w:kern w:val="0"/>
                <w:sz w:val="24"/>
              </w:rPr>
              <w:t>部门资金使用是否符合相关财务管理制度规定</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4</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kern w:val="0"/>
                <w:sz w:val="24"/>
              </w:rPr>
            </w:pPr>
          </w:p>
        </w:tc>
      </w:tr>
      <w:tr>
        <w:tblPrEx>
          <w:tblLayout w:type="fixed"/>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宋体" w:cs="宋体"/>
                <w:b/>
                <w:color w:val="000000"/>
                <w:sz w:val="24"/>
              </w:rPr>
            </w:pPr>
          </w:p>
        </w:tc>
        <w:tc>
          <w:tcPr>
            <w:tcW w:w="14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b/>
                <w:color w:val="000000"/>
                <w:sz w:val="24"/>
              </w:rPr>
            </w:pPr>
            <w:r>
              <w:rPr>
                <w:rFonts w:hint="eastAsia" w:ascii="宋体" w:hAnsi="宋体" w:eastAsia="宋体" w:cs="宋体"/>
                <w:b/>
                <w:color w:val="000000"/>
                <w:kern w:val="0"/>
                <w:sz w:val="24"/>
              </w:rPr>
              <w:t>资产管理</w:t>
            </w:r>
            <w:r>
              <w:rPr>
                <w:rFonts w:hint="eastAsia" w:ascii="宋体" w:hAnsi="宋体" w:eastAsia="宋体" w:cs="宋体"/>
                <w:b/>
                <w:color w:val="000000"/>
                <w:kern w:val="0"/>
                <w:sz w:val="24"/>
              </w:rPr>
              <w:br w:type="textWrapping"/>
            </w:r>
            <w:r>
              <w:rPr>
                <w:rFonts w:hint="eastAsia" w:ascii="宋体" w:hAnsi="宋体" w:eastAsia="宋体" w:cs="宋体"/>
                <w:b/>
                <w:color w:val="000000"/>
                <w:kern w:val="0"/>
                <w:sz w:val="24"/>
              </w:rPr>
              <w:t>（9分）</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rPr>
              <w:t>人均资产变化率</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rPr>
              <w:t>3</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sz w:val="24"/>
              </w:rPr>
            </w:pPr>
            <w:r>
              <w:rPr>
                <w:rFonts w:hint="eastAsia" w:ascii="宋体" w:hAnsi="宋体" w:eastAsia="宋体" w:cs="宋体"/>
                <w:color w:val="000000"/>
                <w:kern w:val="0"/>
                <w:sz w:val="24"/>
              </w:rPr>
              <w:t>部门人均资产变化情况</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default"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1.5</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kern w:val="0"/>
                <w:sz w:val="24"/>
              </w:rPr>
            </w:pPr>
          </w:p>
        </w:tc>
      </w:tr>
      <w:tr>
        <w:tblPrEx>
          <w:tblLayout w:type="fixed"/>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宋体" w:cs="宋体"/>
                <w:b/>
                <w:color w:val="000000"/>
                <w:sz w:val="24"/>
              </w:rPr>
            </w:pPr>
          </w:p>
        </w:tc>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宋体" w:cs="宋体"/>
                <w:b/>
                <w:color w:val="000000"/>
                <w:sz w:val="24"/>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rPr>
              <w:t>资产利用率</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rPr>
              <w:t>3</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sz w:val="24"/>
              </w:rPr>
            </w:pPr>
            <w:r>
              <w:rPr>
                <w:rFonts w:hint="eastAsia" w:ascii="宋体" w:hAnsi="宋体" w:eastAsia="宋体" w:cs="宋体"/>
                <w:color w:val="000000"/>
                <w:kern w:val="0"/>
                <w:sz w:val="24"/>
              </w:rPr>
              <w:t>部门资产超最低使用年限情况</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default"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1.8</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kern w:val="0"/>
                <w:sz w:val="24"/>
              </w:rPr>
            </w:pPr>
          </w:p>
        </w:tc>
      </w:tr>
      <w:tr>
        <w:tblPrEx>
          <w:tblLayout w:type="fixed"/>
          <w:tblCellMar>
            <w:top w:w="0" w:type="dxa"/>
            <w:left w:w="108" w:type="dxa"/>
            <w:bottom w:w="0" w:type="dxa"/>
            <w:right w:w="108" w:type="dxa"/>
          </w:tblCellMar>
        </w:tblPrEx>
        <w:trPr>
          <w:trHeight w:val="23" w:hRule="atLeast"/>
          <w:jc w:val="center"/>
        </w:trPr>
        <w:tc>
          <w:tcPr>
            <w:tcW w:w="10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b/>
                <w:color w:val="000000"/>
                <w:sz w:val="24"/>
              </w:rPr>
            </w:pPr>
            <w:r>
              <w:rPr>
                <w:rFonts w:hint="eastAsia" w:ascii="宋体" w:hAnsi="宋体" w:eastAsia="宋体" w:cs="宋体"/>
                <w:b/>
                <w:color w:val="000000"/>
                <w:kern w:val="0"/>
                <w:sz w:val="24"/>
              </w:rPr>
              <w:t>总体绩效</w:t>
            </w:r>
            <w:r>
              <w:rPr>
                <w:rFonts w:hint="eastAsia" w:ascii="宋体" w:hAnsi="宋体" w:eastAsia="宋体" w:cs="宋体"/>
                <w:b/>
                <w:color w:val="000000"/>
                <w:kern w:val="0"/>
                <w:sz w:val="24"/>
              </w:rPr>
              <w:br w:type="textWrapping"/>
            </w:r>
            <w:r>
              <w:rPr>
                <w:rFonts w:hint="eastAsia" w:ascii="宋体" w:hAnsi="宋体" w:eastAsia="宋体" w:cs="宋体"/>
                <w:b/>
                <w:color w:val="000000"/>
                <w:kern w:val="0"/>
                <w:sz w:val="24"/>
              </w:rPr>
              <w:t>（65分）</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b/>
                <w:color w:val="000000"/>
                <w:sz w:val="24"/>
              </w:rPr>
            </w:pPr>
            <w:r>
              <w:rPr>
                <w:rFonts w:hint="eastAsia" w:ascii="宋体" w:hAnsi="宋体" w:eastAsia="宋体" w:cs="宋体"/>
                <w:b/>
                <w:color w:val="000000"/>
                <w:kern w:val="0"/>
                <w:sz w:val="24"/>
              </w:rPr>
              <w:t>资产管理</w:t>
            </w:r>
            <w:r>
              <w:rPr>
                <w:rFonts w:hint="eastAsia" w:ascii="宋体" w:hAnsi="宋体" w:eastAsia="宋体" w:cs="宋体"/>
                <w:b/>
                <w:color w:val="000000"/>
                <w:kern w:val="0"/>
                <w:sz w:val="24"/>
              </w:rPr>
              <w:br w:type="textWrapping"/>
            </w:r>
            <w:r>
              <w:rPr>
                <w:rFonts w:hint="eastAsia" w:ascii="宋体" w:hAnsi="宋体" w:eastAsia="宋体" w:cs="宋体"/>
                <w:b/>
                <w:color w:val="000000"/>
                <w:kern w:val="0"/>
                <w:sz w:val="24"/>
              </w:rPr>
              <w:t>（9分）</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rPr>
              <w:t>资产盘活率</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rPr>
              <w:t>3</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sz w:val="24"/>
              </w:rPr>
            </w:pPr>
            <w:r>
              <w:rPr>
                <w:rFonts w:hint="eastAsia" w:ascii="宋体" w:hAnsi="宋体" w:eastAsia="宋体" w:cs="宋体"/>
                <w:color w:val="000000"/>
                <w:kern w:val="0"/>
                <w:sz w:val="24"/>
              </w:rPr>
              <w:t>部门闲置一年以上的资产盘活情况</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3</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kern w:val="0"/>
                <w:sz w:val="24"/>
              </w:rPr>
            </w:pPr>
          </w:p>
        </w:tc>
      </w:tr>
      <w:tr>
        <w:tblPrEx>
          <w:tblLayout w:type="fixed"/>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宋体" w:cs="宋体"/>
                <w:b/>
                <w:color w:val="000000"/>
                <w:sz w:val="24"/>
              </w:rPr>
            </w:pPr>
          </w:p>
        </w:tc>
        <w:tc>
          <w:tcPr>
            <w:tcW w:w="14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b/>
                <w:color w:val="000000"/>
                <w:sz w:val="24"/>
              </w:rPr>
            </w:pPr>
            <w:r>
              <w:rPr>
                <w:rFonts w:hint="eastAsia" w:ascii="宋体" w:hAnsi="宋体" w:eastAsia="宋体" w:cs="宋体"/>
                <w:b/>
                <w:color w:val="000000"/>
                <w:kern w:val="0"/>
                <w:sz w:val="24"/>
              </w:rPr>
              <w:t>采购管理</w:t>
            </w:r>
            <w:r>
              <w:rPr>
                <w:rFonts w:hint="eastAsia" w:ascii="宋体" w:hAnsi="宋体" w:eastAsia="宋体" w:cs="宋体"/>
                <w:b/>
                <w:color w:val="000000"/>
                <w:kern w:val="0"/>
                <w:sz w:val="24"/>
              </w:rPr>
              <w:br w:type="textWrapping"/>
            </w:r>
            <w:r>
              <w:rPr>
                <w:rFonts w:hint="eastAsia" w:ascii="宋体" w:hAnsi="宋体" w:eastAsia="宋体" w:cs="宋体"/>
                <w:b/>
                <w:color w:val="000000"/>
                <w:kern w:val="0"/>
                <w:sz w:val="24"/>
              </w:rPr>
              <w:t>（6分）</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rPr>
              <w:t>支持中小企业发展</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rPr>
              <w:t>3</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sz w:val="24"/>
              </w:rPr>
            </w:pPr>
            <w:r>
              <w:rPr>
                <w:rFonts w:hint="eastAsia" w:ascii="宋体" w:hAnsi="宋体" w:eastAsia="宋体" w:cs="宋体"/>
                <w:color w:val="000000"/>
                <w:kern w:val="0"/>
                <w:sz w:val="24"/>
              </w:rPr>
              <w:t>部门是否严格执行政府采购促进中小企业发展相关管理办法</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3</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kern w:val="0"/>
                <w:sz w:val="24"/>
              </w:rPr>
            </w:pPr>
          </w:p>
        </w:tc>
      </w:tr>
      <w:tr>
        <w:tblPrEx>
          <w:tblLayout w:type="fixed"/>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宋体" w:cs="宋体"/>
                <w:b/>
                <w:color w:val="000000"/>
                <w:sz w:val="24"/>
              </w:rPr>
            </w:pPr>
          </w:p>
        </w:tc>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宋体" w:cs="宋体"/>
                <w:b/>
                <w:color w:val="000000"/>
                <w:sz w:val="24"/>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rPr>
              <w:t>采购执行率</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rPr>
              <w:t>3</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sz w:val="24"/>
              </w:rPr>
            </w:pPr>
            <w:r>
              <w:rPr>
                <w:rFonts w:hint="eastAsia" w:ascii="宋体" w:hAnsi="宋体" w:eastAsia="宋体" w:cs="宋体"/>
                <w:color w:val="000000"/>
                <w:kern w:val="0"/>
                <w:sz w:val="24"/>
              </w:rPr>
              <w:t>部门政府采购项目资金支付比例情况</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3</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kern w:val="0"/>
                <w:sz w:val="24"/>
              </w:rPr>
            </w:pPr>
          </w:p>
        </w:tc>
      </w:tr>
      <w:tr>
        <w:tblPrEx>
          <w:tblLayout w:type="fixed"/>
          <w:tblCellMar>
            <w:top w:w="0" w:type="dxa"/>
            <w:left w:w="108" w:type="dxa"/>
            <w:bottom w:w="0" w:type="dxa"/>
            <w:right w:w="108" w:type="dxa"/>
          </w:tblCellMar>
        </w:tblPrEx>
        <w:trPr>
          <w:trHeight w:val="23" w:hRule="atLeast"/>
          <w:jc w:val="center"/>
        </w:trPr>
        <w:tc>
          <w:tcPr>
            <w:tcW w:w="10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b/>
                <w:color w:val="000000"/>
                <w:sz w:val="24"/>
              </w:rPr>
            </w:pPr>
            <w:r>
              <w:rPr>
                <w:rFonts w:hint="eastAsia" w:ascii="宋体" w:hAnsi="宋体" w:eastAsia="宋体" w:cs="宋体"/>
                <w:b/>
                <w:color w:val="000000"/>
                <w:kern w:val="0"/>
                <w:sz w:val="24"/>
              </w:rPr>
              <w:t>项目绩效</w:t>
            </w:r>
            <w:r>
              <w:rPr>
                <w:rFonts w:hint="eastAsia" w:ascii="宋体" w:hAnsi="宋体" w:eastAsia="宋体" w:cs="宋体"/>
                <w:b/>
                <w:color w:val="000000"/>
                <w:kern w:val="0"/>
                <w:sz w:val="24"/>
              </w:rPr>
              <w:br w:type="textWrapping"/>
            </w:r>
            <w:r>
              <w:rPr>
                <w:rFonts w:hint="eastAsia" w:ascii="宋体" w:hAnsi="宋体" w:eastAsia="宋体" w:cs="宋体"/>
                <w:b/>
                <w:color w:val="000000"/>
                <w:kern w:val="0"/>
                <w:sz w:val="24"/>
              </w:rPr>
              <w:t>（35分）</w:t>
            </w:r>
          </w:p>
        </w:tc>
        <w:tc>
          <w:tcPr>
            <w:tcW w:w="1462" w:type="dxa"/>
            <w:vMerge w:val="restart"/>
            <w:tcBorders>
              <w:top w:val="single" w:color="000000" w:sz="4" w:space="0"/>
              <w:left w:val="single" w:color="000000" w:sz="4" w:space="0"/>
              <w:bottom w:val="nil"/>
              <w:right w:val="single" w:color="000000" w:sz="4" w:space="0"/>
            </w:tcBorders>
            <w:shd w:val="clear" w:color="auto" w:fill="auto"/>
            <w:vAlign w:val="center"/>
          </w:tcPr>
          <w:p>
            <w:pPr>
              <w:widowControl/>
              <w:spacing w:line="240" w:lineRule="exact"/>
              <w:jc w:val="center"/>
              <w:textAlignment w:val="center"/>
              <w:rPr>
                <w:rFonts w:ascii="宋体" w:hAnsi="宋体" w:eastAsia="宋体" w:cs="宋体"/>
                <w:b/>
                <w:color w:val="000000"/>
                <w:sz w:val="24"/>
              </w:rPr>
            </w:pPr>
            <w:r>
              <w:rPr>
                <w:rFonts w:hint="eastAsia" w:ascii="宋体" w:hAnsi="宋体" w:eastAsia="宋体" w:cs="宋体"/>
                <w:b/>
                <w:color w:val="000000"/>
                <w:kern w:val="0"/>
                <w:sz w:val="24"/>
              </w:rPr>
              <w:t>项目决策</w:t>
            </w:r>
            <w:r>
              <w:rPr>
                <w:rFonts w:hint="eastAsia" w:ascii="宋体" w:hAnsi="宋体" w:eastAsia="宋体" w:cs="宋体"/>
                <w:b/>
                <w:color w:val="000000"/>
                <w:kern w:val="0"/>
                <w:sz w:val="24"/>
              </w:rPr>
              <w:br w:type="textWrapping"/>
            </w:r>
            <w:r>
              <w:rPr>
                <w:rFonts w:hint="eastAsia" w:ascii="宋体" w:hAnsi="宋体" w:eastAsia="宋体" w:cs="宋体"/>
                <w:b/>
                <w:color w:val="000000"/>
                <w:kern w:val="0"/>
                <w:sz w:val="24"/>
              </w:rPr>
              <w:t>（12分）</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rPr>
              <w:t>决策程序</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rPr>
              <w:t>4</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sz w:val="24"/>
              </w:rPr>
            </w:pPr>
            <w:r>
              <w:rPr>
                <w:rFonts w:hint="eastAsia" w:ascii="宋体" w:hAnsi="宋体" w:eastAsia="宋体" w:cs="宋体"/>
                <w:color w:val="000000"/>
                <w:kern w:val="0"/>
                <w:sz w:val="24"/>
              </w:rPr>
              <w:t>部门预算项目设立是否按规定履行评估论证、申报程序</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4</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kern w:val="0"/>
                <w:sz w:val="24"/>
              </w:rPr>
            </w:pPr>
          </w:p>
        </w:tc>
      </w:tr>
      <w:tr>
        <w:tblPrEx>
          <w:tblLayout w:type="fixed"/>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宋体" w:cs="宋体"/>
                <w:b/>
                <w:color w:val="000000"/>
                <w:sz w:val="24"/>
              </w:rPr>
            </w:pPr>
          </w:p>
        </w:tc>
        <w:tc>
          <w:tcPr>
            <w:tcW w:w="1462" w:type="dxa"/>
            <w:vMerge w:val="continue"/>
            <w:tcBorders>
              <w:top w:val="single" w:color="000000" w:sz="4" w:space="0"/>
              <w:left w:val="single" w:color="000000" w:sz="4" w:space="0"/>
              <w:bottom w:val="nil"/>
              <w:right w:val="single" w:color="000000" w:sz="4" w:space="0"/>
            </w:tcBorders>
            <w:shd w:val="clear" w:color="auto" w:fill="auto"/>
            <w:vAlign w:val="center"/>
          </w:tcPr>
          <w:p>
            <w:pPr>
              <w:widowControl/>
              <w:spacing w:line="240" w:lineRule="exact"/>
              <w:jc w:val="center"/>
              <w:rPr>
                <w:rFonts w:ascii="宋体" w:hAnsi="宋体" w:eastAsia="宋体" w:cs="宋体"/>
                <w:b/>
                <w:color w:val="000000"/>
                <w:sz w:val="24"/>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rPr>
              <w:t>目标设置</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rPr>
              <w:t>4</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sz w:val="24"/>
              </w:rPr>
            </w:pPr>
            <w:r>
              <w:rPr>
                <w:rFonts w:hint="eastAsia" w:ascii="宋体" w:hAnsi="宋体" w:eastAsia="宋体" w:cs="宋体"/>
                <w:color w:val="000000"/>
                <w:kern w:val="0"/>
                <w:sz w:val="24"/>
              </w:rPr>
              <w:t>部门预算项目绩效目标与计划期内的任务量、预算安排的资金量匹配情况，绩效目标设置是否科学合理、规范完整、量化细化、预算匹配</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4</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kern w:val="0"/>
                <w:sz w:val="24"/>
              </w:rPr>
            </w:pPr>
          </w:p>
        </w:tc>
      </w:tr>
      <w:tr>
        <w:tblPrEx>
          <w:tblLayout w:type="fixed"/>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宋体" w:cs="宋体"/>
                <w:b/>
                <w:color w:val="000000"/>
                <w:sz w:val="24"/>
              </w:rPr>
            </w:pPr>
          </w:p>
        </w:tc>
        <w:tc>
          <w:tcPr>
            <w:tcW w:w="1462" w:type="dxa"/>
            <w:vMerge w:val="continue"/>
            <w:tcBorders>
              <w:top w:val="single" w:color="000000" w:sz="4" w:space="0"/>
              <w:left w:val="single" w:color="000000" w:sz="4" w:space="0"/>
              <w:bottom w:val="nil"/>
              <w:right w:val="single" w:color="000000" w:sz="4" w:space="0"/>
            </w:tcBorders>
            <w:shd w:val="clear" w:color="auto" w:fill="auto"/>
            <w:vAlign w:val="center"/>
          </w:tcPr>
          <w:p>
            <w:pPr>
              <w:widowControl/>
              <w:spacing w:line="240" w:lineRule="exact"/>
              <w:jc w:val="center"/>
              <w:rPr>
                <w:rFonts w:ascii="宋体" w:hAnsi="宋体" w:eastAsia="宋体" w:cs="宋体"/>
                <w:b/>
                <w:color w:val="000000"/>
                <w:sz w:val="24"/>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rPr>
              <w:t>项目入库</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rPr>
              <w:t>4</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sz w:val="24"/>
              </w:rPr>
            </w:pPr>
            <w:r>
              <w:rPr>
                <w:rFonts w:hint="eastAsia" w:ascii="宋体" w:hAnsi="宋体" w:eastAsia="宋体" w:cs="宋体"/>
                <w:color w:val="000000"/>
                <w:kern w:val="0"/>
                <w:sz w:val="24"/>
              </w:rPr>
              <w:t>部门预算项目是否在规定时间完成项目入库</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4</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kern w:val="0"/>
                <w:sz w:val="24"/>
              </w:rPr>
            </w:pPr>
          </w:p>
        </w:tc>
      </w:tr>
      <w:tr>
        <w:tblPrEx>
          <w:tblLayout w:type="fixed"/>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宋体" w:cs="宋体"/>
                <w:b/>
                <w:color w:val="000000"/>
                <w:sz w:val="24"/>
              </w:rPr>
            </w:pPr>
          </w:p>
        </w:tc>
        <w:tc>
          <w:tcPr>
            <w:tcW w:w="1462" w:type="dxa"/>
            <w:vMerge w:val="restart"/>
            <w:tcBorders>
              <w:top w:val="single" w:color="000000" w:sz="4" w:space="0"/>
              <w:left w:val="single" w:color="000000" w:sz="4" w:space="0"/>
              <w:bottom w:val="nil"/>
              <w:right w:val="single" w:color="000000" w:sz="4" w:space="0"/>
            </w:tcBorders>
            <w:shd w:val="clear" w:color="auto" w:fill="auto"/>
            <w:vAlign w:val="center"/>
          </w:tcPr>
          <w:p>
            <w:pPr>
              <w:widowControl/>
              <w:spacing w:line="240" w:lineRule="exact"/>
              <w:jc w:val="center"/>
              <w:textAlignment w:val="center"/>
              <w:rPr>
                <w:rFonts w:ascii="宋体" w:hAnsi="宋体" w:eastAsia="宋体" w:cs="宋体"/>
                <w:b/>
                <w:color w:val="000000"/>
                <w:sz w:val="24"/>
              </w:rPr>
            </w:pPr>
            <w:r>
              <w:rPr>
                <w:rFonts w:hint="eastAsia" w:ascii="宋体" w:hAnsi="宋体" w:eastAsia="宋体" w:cs="宋体"/>
                <w:b/>
                <w:color w:val="000000"/>
                <w:kern w:val="0"/>
                <w:sz w:val="24"/>
              </w:rPr>
              <w:t>项目执行</w:t>
            </w:r>
            <w:r>
              <w:rPr>
                <w:rFonts w:hint="eastAsia" w:ascii="宋体" w:hAnsi="宋体" w:eastAsia="宋体" w:cs="宋体"/>
                <w:b/>
                <w:color w:val="000000"/>
                <w:kern w:val="0"/>
                <w:sz w:val="24"/>
              </w:rPr>
              <w:br w:type="textWrapping"/>
            </w:r>
            <w:r>
              <w:rPr>
                <w:rFonts w:hint="eastAsia" w:ascii="宋体" w:hAnsi="宋体" w:eastAsia="宋体" w:cs="宋体"/>
                <w:b/>
                <w:color w:val="000000"/>
                <w:kern w:val="0"/>
                <w:sz w:val="24"/>
              </w:rPr>
              <w:t>（12分）</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rPr>
              <w:t>执行同向</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rPr>
              <w:t>4</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sz w:val="24"/>
              </w:rPr>
            </w:pPr>
            <w:r>
              <w:rPr>
                <w:rFonts w:hint="eastAsia" w:ascii="宋体" w:hAnsi="宋体" w:eastAsia="宋体" w:cs="宋体"/>
                <w:color w:val="000000"/>
                <w:kern w:val="0"/>
                <w:sz w:val="24"/>
              </w:rPr>
              <w:t>部门预算项目实际列支内容是否与绩效目标设置方向相符</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4</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kern w:val="0"/>
                <w:sz w:val="24"/>
              </w:rPr>
            </w:pPr>
          </w:p>
        </w:tc>
      </w:tr>
      <w:tr>
        <w:tblPrEx>
          <w:tblLayout w:type="fixed"/>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宋体" w:cs="宋体"/>
                <w:b/>
                <w:color w:val="000000"/>
                <w:sz w:val="24"/>
              </w:rPr>
            </w:pPr>
          </w:p>
        </w:tc>
        <w:tc>
          <w:tcPr>
            <w:tcW w:w="1462" w:type="dxa"/>
            <w:vMerge w:val="continue"/>
            <w:tcBorders>
              <w:top w:val="single" w:color="000000" w:sz="4" w:space="0"/>
              <w:left w:val="single" w:color="000000" w:sz="4" w:space="0"/>
              <w:bottom w:val="nil"/>
              <w:right w:val="single" w:color="000000" w:sz="4" w:space="0"/>
            </w:tcBorders>
            <w:shd w:val="clear" w:color="auto" w:fill="auto"/>
            <w:vAlign w:val="center"/>
          </w:tcPr>
          <w:p>
            <w:pPr>
              <w:widowControl/>
              <w:spacing w:line="240" w:lineRule="exact"/>
              <w:jc w:val="center"/>
              <w:rPr>
                <w:rFonts w:ascii="宋体" w:hAnsi="宋体" w:eastAsia="宋体" w:cs="宋体"/>
                <w:b/>
                <w:color w:val="000000"/>
                <w:sz w:val="24"/>
              </w:rPr>
            </w:pPr>
          </w:p>
        </w:tc>
        <w:tc>
          <w:tcPr>
            <w:tcW w:w="1665" w:type="dxa"/>
            <w:tcBorders>
              <w:top w:val="single" w:color="000000" w:sz="4" w:space="0"/>
              <w:left w:val="single" w:color="000000" w:sz="4" w:space="0"/>
              <w:bottom w:val="nil"/>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rPr>
              <w:t>项目调整</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rPr>
              <w:t>4</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sz w:val="24"/>
              </w:rPr>
            </w:pPr>
            <w:r>
              <w:rPr>
                <w:rFonts w:hint="eastAsia" w:ascii="宋体" w:hAnsi="宋体" w:eastAsia="宋体" w:cs="宋体"/>
                <w:color w:val="000000"/>
                <w:kern w:val="0"/>
                <w:sz w:val="24"/>
              </w:rPr>
              <w:t>部门预算项目是否采取对应调整措施</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4</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kern w:val="0"/>
                <w:sz w:val="24"/>
              </w:rPr>
            </w:pPr>
          </w:p>
        </w:tc>
      </w:tr>
      <w:tr>
        <w:tblPrEx>
          <w:tblLayout w:type="fixed"/>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宋体" w:cs="宋体"/>
                <w:b/>
                <w:color w:val="000000"/>
                <w:sz w:val="24"/>
              </w:rPr>
            </w:pPr>
          </w:p>
        </w:tc>
        <w:tc>
          <w:tcPr>
            <w:tcW w:w="1462" w:type="dxa"/>
            <w:vMerge w:val="continue"/>
            <w:tcBorders>
              <w:top w:val="single" w:color="000000" w:sz="4" w:space="0"/>
              <w:left w:val="single" w:color="000000" w:sz="4" w:space="0"/>
              <w:bottom w:val="nil"/>
              <w:right w:val="single" w:color="000000" w:sz="4" w:space="0"/>
            </w:tcBorders>
            <w:shd w:val="clear" w:color="auto" w:fill="auto"/>
            <w:vAlign w:val="center"/>
          </w:tcPr>
          <w:p>
            <w:pPr>
              <w:widowControl/>
              <w:spacing w:line="240" w:lineRule="exact"/>
              <w:jc w:val="center"/>
              <w:rPr>
                <w:rFonts w:ascii="宋体" w:hAnsi="宋体" w:eastAsia="宋体" w:cs="宋体"/>
                <w:b/>
                <w:color w:val="000000"/>
                <w:sz w:val="24"/>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rPr>
              <w:t>执行结果</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rPr>
              <w:t>4</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sz w:val="24"/>
              </w:rPr>
            </w:pPr>
            <w:r>
              <w:rPr>
                <w:rFonts w:hint="eastAsia" w:ascii="宋体" w:hAnsi="宋体" w:eastAsia="宋体" w:cs="宋体"/>
                <w:color w:val="000000"/>
                <w:kern w:val="0"/>
                <w:sz w:val="24"/>
              </w:rPr>
              <w:t>部门预算项目预算执行情况</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4</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kern w:val="0"/>
                <w:sz w:val="24"/>
              </w:rPr>
            </w:pPr>
          </w:p>
        </w:tc>
      </w:tr>
      <w:tr>
        <w:tblPrEx>
          <w:tblLayout w:type="fixed"/>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宋体" w:cs="宋体"/>
                <w:b/>
                <w:color w:val="000000"/>
                <w:sz w:val="24"/>
              </w:rPr>
            </w:pPr>
          </w:p>
        </w:tc>
        <w:tc>
          <w:tcPr>
            <w:tcW w:w="14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b/>
                <w:color w:val="000000"/>
                <w:sz w:val="24"/>
              </w:rPr>
            </w:pPr>
            <w:r>
              <w:rPr>
                <w:rFonts w:hint="eastAsia" w:ascii="宋体" w:hAnsi="宋体" w:eastAsia="宋体" w:cs="宋体"/>
                <w:b/>
                <w:color w:val="000000"/>
                <w:kern w:val="0"/>
                <w:sz w:val="24"/>
              </w:rPr>
              <w:t>目标实现</w:t>
            </w:r>
            <w:r>
              <w:rPr>
                <w:rFonts w:hint="eastAsia" w:ascii="宋体" w:hAnsi="宋体" w:eastAsia="宋体" w:cs="宋体"/>
                <w:b/>
                <w:color w:val="000000"/>
                <w:kern w:val="0"/>
                <w:sz w:val="24"/>
              </w:rPr>
              <w:br w:type="textWrapping"/>
            </w:r>
            <w:r>
              <w:rPr>
                <w:rFonts w:hint="eastAsia" w:ascii="宋体" w:hAnsi="宋体" w:eastAsia="宋体" w:cs="宋体"/>
                <w:b/>
                <w:color w:val="000000"/>
                <w:kern w:val="0"/>
                <w:sz w:val="24"/>
              </w:rPr>
              <w:t>（11分）</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rPr>
              <w:t>目标完成</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rPr>
              <w:t>4</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sz w:val="24"/>
              </w:rPr>
            </w:pPr>
            <w:r>
              <w:rPr>
                <w:rFonts w:hint="eastAsia" w:ascii="宋体" w:hAnsi="宋体" w:eastAsia="宋体" w:cs="宋体"/>
                <w:color w:val="000000"/>
                <w:kern w:val="0"/>
                <w:sz w:val="24"/>
              </w:rPr>
              <w:t>部门预算项目绩效目标数量指标完成情况</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4</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kern w:val="0"/>
                <w:sz w:val="24"/>
              </w:rPr>
            </w:pPr>
          </w:p>
        </w:tc>
      </w:tr>
      <w:tr>
        <w:tblPrEx>
          <w:tblLayout w:type="fixed"/>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宋体" w:cs="宋体"/>
                <w:b/>
                <w:color w:val="000000"/>
                <w:sz w:val="24"/>
              </w:rPr>
            </w:pPr>
          </w:p>
        </w:tc>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宋体" w:cs="宋体"/>
                <w:b/>
                <w:color w:val="000000"/>
                <w:sz w:val="24"/>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rPr>
              <w:t>目标偏离</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rPr>
              <w:t>4</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sz w:val="24"/>
              </w:rPr>
            </w:pPr>
            <w:r>
              <w:rPr>
                <w:rFonts w:hint="eastAsia" w:ascii="宋体" w:hAnsi="宋体" w:eastAsia="宋体" w:cs="宋体"/>
                <w:color w:val="000000"/>
                <w:kern w:val="0"/>
                <w:sz w:val="24"/>
              </w:rPr>
              <w:t>部门预算项目绩效目标数量指标实现程度与预期目标的偏离情况</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4</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kern w:val="0"/>
                <w:sz w:val="24"/>
              </w:rPr>
            </w:pPr>
          </w:p>
        </w:tc>
      </w:tr>
      <w:tr>
        <w:tblPrEx>
          <w:tblLayout w:type="fixed"/>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宋体" w:cs="宋体"/>
                <w:b/>
                <w:color w:val="000000"/>
                <w:sz w:val="24"/>
              </w:rPr>
            </w:pPr>
          </w:p>
        </w:tc>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宋体" w:cs="宋体"/>
                <w:b/>
                <w:color w:val="000000"/>
                <w:sz w:val="24"/>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rPr>
              <w:t>实现效果</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rPr>
              <w:t>3</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sz w:val="24"/>
              </w:rPr>
            </w:pPr>
            <w:r>
              <w:rPr>
                <w:rFonts w:hint="eastAsia" w:ascii="宋体" w:hAnsi="宋体" w:eastAsia="宋体" w:cs="宋体"/>
                <w:color w:val="000000"/>
                <w:kern w:val="0"/>
                <w:sz w:val="24"/>
              </w:rPr>
              <w:t>部门预算项目绩效目标效益指标实施效果</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3</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kern w:val="0"/>
                <w:sz w:val="24"/>
              </w:rPr>
            </w:pPr>
          </w:p>
        </w:tc>
      </w:tr>
      <w:tr>
        <w:tblPrEx>
          <w:tblLayout w:type="fixed"/>
          <w:tblCellMar>
            <w:top w:w="0" w:type="dxa"/>
            <w:left w:w="108" w:type="dxa"/>
            <w:bottom w:w="0" w:type="dxa"/>
            <w:right w:w="108" w:type="dxa"/>
          </w:tblCellMar>
        </w:tblPrEx>
        <w:trPr>
          <w:trHeight w:val="765" w:hRule="atLeast"/>
          <w:jc w:val="center"/>
        </w:trPr>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b/>
                <w:color w:val="000000"/>
                <w:sz w:val="24"/>
              </w:rPr>
            </w:pPr>
            <w:r>
              <w:rPr>
                <w:rFonts w:hint="eastAsia" w:ascii="宋体" w:hAnsi="宋体" w:eastAsia="宋体" w:cs="宋体"/>
                <w:b/>
                <w:color w:val="000000"/>
                <w:kern w:val="0"/>
                <w:sz w:val="24"/>
              </w:rPr>
              <w:t>扣分项</w:t>
            </w:r>
            <w:r>
              <w:rPr>
                <w:rFonts w:hint="eastAsia" w:ascii="宋体" w:hAnsi="宋体" w:eastAsia="宋体" w:cs="宋体"/>
                <w:b/>
                <w:color w:val="000000"/>
                <w:kern w:val="0"/>
                <w:sz w:val="24"/>
              </w:rPr>
              <w:br w:type="textWrapping"/>
            </w:r>
            <w:r>
              <w:rPr>
                <w:rFonts w:hint="eastAsia" w:ascii="宋体" w:hAnsi="宋体" w:eastAsia="宋体" w:cs="宋体"/>
                <w:b/>
                <w:color w:val="000000"/>
                <w:kern w:val="0"/>
                <w:sz w:val="24"/>
              </w:rPr>
              <w:t>（10分）</w:t>
            </w:r>
          </w:p>
        </w:tc>
        <w:tc>
          <w:tcPr>
            <w:tcW w:w="31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rPr>
              <w:t>被评价部门配合度</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rPr>
              <w:t>-</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sz w:val="24"/>
              </w:rPr>
            </w:pPr>
            <w:r>
              <w:rPr>
                <w:rFonts w:hint="eastAsia" w:ascii="宋体" w:hAnsi="宋体" w:eastAsia="宋体" w:cs="宋体"/>
                <w:color w:val="000000"/>
                <w:kern w:val="0"/>
                <w:sz w:val="24"/>
              </w:rPr>
              <w:t>被评价对象工作配合情况</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kern w:val="0"/>
                <w:sz w:val="24"/>
              </w:rPr>
            </w:pP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kern w:val="0"/>
                <w:sz w:val="24"/>
              </w:rPr>
            </w:pPr>
          </w:p>
        </w:tc>
      </w:tr>
    </w:tbl>
    <w:p>
      <w:pPr>
        <w:pStyle w:val="2"/>
        <w:spacing w:line="20" w:lineRule="exact"/>
      </w:pPr>
    </w:p>
    <w:p>
      <w:pPr>
        <w:rPr>
          <w:rFonts w:eastAsia="黑体"/>
        </w:rPr>
      </w:pPr>
      <w:r>
        <w:rPr>
          <w:rFonts w:eastAsia="黑体"/>
        </w:rPr>
        <w:br w:type="page"/>
      </w:r>
    </w:p>
    <w:p>
      <w:pPr>
        <w:spacing w:line="578" w:lineRule="exact"/>
        <w:jc w:val="left"/>
        <w:rPr>
          <w:rFonts w:eastAsia="黑体"/>
        </w:rPr>
      </w:pPr>
      <w:r>
        <w:rPr>
          <w:rFonts w:eastAsia="黑体"/>
        </w:rPr>
        <w:t>附表</w:t>
      </w:r>
      <w:r>
        <w:rPr>
          <w:rFonts w:hint="eastAsia" w:eastAsia="黑体"/>
        </w:rPr>
        <w:t>2</w:t>
      </w:r>
    </w:p>
    <w:tbl>
      <w:tblPr>
        <w:tblStyle w:val="19"/>
        <w:tblW w:w="10560" w:type="dxa"/>
        <w:jc w:val="center"/>
        <w:tblInd w:w="0" w:type="dxa"/>
        <w:tblLayout w:type="fixed"/>
        <w:tblCellMar>
          <w:top w:w="15" w:type="dxa"/>
          <w:left w:w="15" w:type="dxa"/>
          <w:bottom w:w="15" w:type="dxa"/>
          <w:right w:w="15" w:type="dxa"/>
        </w:tblCellMar>
      </w:tblPr>
      <w:tblGrid>
        <w:gridCol w:w="1308"/>
        <w:gridCol w:w="1347"/>
        <w:gridCol w:w="1273"/>
        <w:gridCol w:w="1100"/>
        <w:gridCol w:w="1145"/>
        <w:gridCol w:w="1289"/>
        <w:gridCol w:w="1058"/>
        <w:gridCol w:w="926"/>
        <w:gridCol w:w="1114"/>
      </w:tblGrid>
      <w:tr>
        <w:tblPrEx>
          <w:tblLayout w:type="fixed"/>
          <w:tblCellMar>
            <w:top w:w="15" w:type="dxa"/>
            <w:left w:w="15" w:type="dxa"/>
            <w:bottom w:w="15" w:type="dxa"/>
            <w:right w:w="15" w:type="dxa"/>
          </w:tblCellMar>
        </w:tblPrEx>
        <w:trPr>
          <w:trHeight w:val="762" w:hRule="exact"/>
          <w:jc w:val="center"/>
        </w:trPr>
        <w:tc>
          <w:tcPr>
            <w:tcW w:w="10560" w:type="dxa"/>
            <w:gridSpan w:val="9"/>
            <w:shd w:val="clear" w:color="auto" w:fill="auto"/>
            <w:vAlign w:val="center"/>
          </w:tcPr>
          <w:p>
            <w:pPr>
              <w:widowControl/>
              <w:spacing w:line="600" w:lineRule="exact"/>
              <w:jc w:val="center"/>
              <w:textAlignment w:val="center"/>
              <w:rPr>
                <w:rFonts w:eastAsia="黑体"/>
                <w:color w:val="000000"/>
                <w:sz w:val="28"/>
                <w:szCs w:val="28"/>
              </w:rPr>
            </w:pPr>
            <w:r>
              <w:rPr>
                <w:rFonts w:eastAsia="方正小标宋简体"/>
                <w:color w:val="000000"/>
                <w:kern w:val="0"/>
                <w:sz w:val="44"/>
                <w:szCs w:val="44"/>
              </w:rPr>
              <w:t>部门整体绩效目标完成情况自评表</w:t>
            </w:r>
          </w:p>
        </w:tc>
      </w:tr>
      <w:tr>
        <w:tblPrEx>
          <w:tblLayout w:type="fixed"/>
          <w:tblCellMar>
            <w:top w:w="15" w:type="dxa"/>
            <w:left w:w="15" w:type="dxa"/>
            <w:bottom w:w="15" w:type="dxa"/>
            <w:right w:w="15" w:type="dxa"/>
          </w:tblCellMar>
        </w:tblPrEx>
        <w:trPr>
          <w:trHeight w:val="23" w:hRule="atLeast"/>
          <w:jc w:val="center"/>
        </w:trPr>
        <w:tc>
          <w:tcPr>
            <w:tcW w:w="10560" w:type="dxa"/>
            <w:gridSpan w:val="9"/>
            <w:shd w:val="clear" w:color="auto" w:fill="auto"/>
            <w:vAlign w:val="center"/>
          </w:tcPr>
          <w:p>
            <w:pPr>
              <w:widowControl/>
              <w:spacing w:line="300" w:lineRule="exact"/>
              <w:jc w:val="center"/>
              <w:textAlignment w:val="center"/>
              <w:rPr>
                <w:rFonts w:eastAsia="宋体"/>
                <w:color w:val="000000"/>
                <w:sz w:val="28"/>
                <w:szCs w:val="28"/>
              </w:rPr>
            </w:pPr>
            <w:r>
              <w:rPr>
                <w:rFonts w:eastAsia="宋体"/>
                <w:color w:val="000000"/>
                <w:kern w:val="0"/>
                <w:sz w:val="28"/>
                <w:szCs w:val="28"/>
              </w:rPr>
              <w:t>（202</w:t>
            </w:r>
            <w:r>
              <w:rPr>
                <w:rFonts w:hint="eastAsia" w:eastAsia="宋体"/>
                <w:color w:val="000000"/>
                <w:kern w:val="0"/>
                <w:sz w:val="28"/>
                <w:szCs w:val="28"/>
              </w:rPr>
              <w:t>4</w:t>
            </w:r>
            <w:r>
              <w:rPr>
                <w:rFonts w:eastAsia="宋体"/>
                <w:color w:val="000000"/>
                <w:kern w:val="0"/>
                <w:sz w:val="28"/>
                <w:szCs w:val="28"/>
              </w:rPr>
              <w:t>年度）</w:t>
            </w:r>
          </w:p>
        </w:tc>
      </w:tr>
      <w:tr>
        <w:tblPrEx>
          <w:tblLayout w:type="fixed"/>
          <w:tblCellMar>
            <w:top w:w="15" w:type="dxa"/>
            <w:left w:w="15" w:type="dxa"/>
            <w:bottom w:w="15" w:type="dxa"/>
            <w:right w:w="15" w:type="dxa"/>
          </w:tblCellMar>
        </w:tblPrEx>
        <w:trPr>
          <w:trHeight w:val="23" w:hRule="atLeast"/>
          <w:jc w:val="center"/>
        </w:trPr>
        <w:tc>
          <w:tcPr>
            <w:tcW w:w="10560" w:type="dxa"/>
            <w:gridSpan w:val="9"/>
            <w:tcBorders>
              <w:bottom w:val="single" w:color="000000" w:sz="4" w:space="0"/>
            </w:tcBorders>
            <w:shd w:val="clear" w:color="auto" w:fill="auto"/>
            <w:vAlign w:val="center"/>
          </w:tcPr>
          <w:p>
            <w:pPr>
              <w:widowControl/>
              <w:spacing w:line="300" w:lineRule="exact"/>
              <w:jc w:val="right"/>
              <w:textAlignment w:val="center"/>
              <w:rPr>
                <w:rFonts w:eastAsia="宋体"/>
                <w:color w:val="000000"/>
                <w:sz w:val="21"/>
                <w:szCs w:val="21"/>
              </w:rPr>
            </w:pPr>
            <w:r>
              <w:rPr>
                <w:rFonts w:eastAsia="宋体"/>
                <w:color w:val="000000"/>
                <w:kern w:val="0"/>
                <w:sz w:val="21"/>
                <w:szCs w:val="21"/>
              </w:rPr>
              <w:t>单位：万元</w:t>
            </w:r>
          </w:p>
        </w:tc>
      </w:tr>
      <w:tr>
        <w:tblPrEx>
          <w:tblLayout w:type="fixed"/>
          <w:tblCellMar>
            <w:top w:w="15" w:type="dxa"/>
            <w:left w:w="15" w:type="dxa"/>
            <w:bottom w:w="15" w:type="dxa"/>
            <w:right w:w="15" w:type="dxa"/>
          </w:tblCellMar>
        </w:tblPrEx>
        <w:trPr>
          <w:trHeight w:val="23" w:hRule="atLeast"/>
          <w:jc w:val="center"/>
        </w:trPr>
        <w:tc>
          <w:tcPr>
            <w:tcW w:w="39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eastAsia="宋体"/>
                <w:color w:val="000000"/>
                <w:sz w:val="24"/>
              </w:rPr>
            </w:pPr>
            <w:r>
              <w:rPr>
                <w:rFonts w:eastAsia="宋体"/>
                <w:color w:val="000000"/>
                <w:kern w:val="0"/>
                <w:sz w:val="24"/>
              </w:rPr>
              <w:t>部门名称</w:t>
            </w:r>
          </w:p>
        </w:tc>
        <w:tc>
          <w:tcPr>
            <w:tcW w:w="663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hint="eastAsia" w:eastAsia="宋体"/>
                <w:color w:val="000000"/>
                <w:sz w:val="24"/>
                <w:lang w:eastAsia="zh-CN"/>
              </w:rPr>
            </w:pPr>
            <w:r>
              <w:rPr>
                <w:rFonts w:hint="eastAsia" w:eastAsia="宋体"/>
                <w:color w:val="000000"/>
                <w:kern w:val="0"/>
                <w:sz w:val="24"/>
                <w:lang w:eastAsia="zh-CN"/>
              </w:rPr>
              <w:t>阿坝州成都离休干部休养所（阿坝州驻成都老干部管理服务中心）</w:t>
            </w:r>
          </w:p>
        </w:tc>
      </w:tr>
      <w:tr>
        <w:tblPrEx>
          <w:tblLayout w:type="fixed"/>
          <w:tblCellMar>
            <w:top w:w="15" w:type="dxa"/>
            <w:left w:w="15" w:type="dxa"/>
            <w:bottom w:w="15" w:type="dxa"/>
            <w:right w:w="15" w:type="dxa"/>
          </w:tblCellMar>
        </w:tblPrEx>
        <w:trPr>
          <w:trHeight w:val="23" w:hRule="atLeast"/>
          <w:jc w:val="center"/>
        </w:trPr>
        <w:tc>
          <w:tcPr>
            <w:tcW w:w="13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eastAsia="宋体"/>
                <w:color w:val="000000"/>
                <w:sz w:val="24"/>
              </w:rPr>
            </w:pPr>
            <w:r>
              <w:rPr>
                <w:rFonts w:eastAsia="宋体"/>
                <w:color w:val="000000"/>
                <w:kern w:val="0"/>
                <w:sz w:val="24"/>
              </w:rPr>
              <w:t>年度部门整体支出预算</w:t>
            </w:r>
          </w:p>
        </w:tc>
        <w:tc>
          <w:tcPr>
            <w:tcW w:w="2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eastAsia="宋体"/>
                <w:color w:val="000000"/>
                <w:sz w:val="24"/>
              </w:rPr>
            </w:pPr>
            <w:r>
              <w:rPr>
                <w:rFonts w:eastAsia="宋体"/>
                <w:color w:val="000000"/>
                <w:kern w:val="0"/>
                <w:sz w:val="24"/>
              </w:rPr>
              <w:t>资金总额</w:t>
            </w:r>
          </w:p>
        </w:tc>
        <w:tc>
          <w:tcPr>
            <w:tcW w:w="2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eastAsia="宋体"/>
                <w:color w:val="000000"/>
                <w:sz w:val="24"/>
              </w:rPr>
            </w:pPr>
            <w:r>
              <w:rPr>
                <w:rFonts w:eastAsia="宋体"/>
                <w:color w:val="000000"/>
                <w:kern w:val="0"/>
                <w:sz w:val="24"/>
              </w:rPr>
              <w:t>财政拨款</w:t>
            </w:r>
          </w:p>
        </w:tc>
        <w:tc>
          <w:tcPr>
            <w:tcW w:w="438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eastAsia="宋体"/>
                <w:color w:val="000000"/>
                <w:sz w:val="24"/>
              </w:rPr>
            </w:pPr>
            <w:r>
              <w:rPr>
                <w:rFonts w:eastAsia="宋体"/>
                <w:color w:val="000000"/>
                <w:kern w:val="0"/>
                <w:sz w:val="24"/>
              </w:rPr>
              <w:t>其他资金</w:t>
            </w:r>
          </w:p>
        </w:tc>
      </w:tr>
      <w:tr>
        <w:tblPrEx>
          <w:tblLayout w:type="fixed"/>
          <w:tblCellMar>
            <w:top w:w="15" w:type="dxa"/>
            <w:left w:w="15" w:type="dxa"/>
            <w:bottom w:w="15" w:type="dxa"/>
            <w:right w:w="15" w:type="dxa"/>
          </w:tblCellMar>
        </w:tblPrEx>
        <w:trPr>
          <w:trHeight w:val="23" w:hRule="atLeast"/>
          <w:jc w:val="center"/>
        </w:trPr>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eastAsia="宋体"/>
                <w:color w:val="000000"/>
                <w:sz w:val="24"/>
              </w:rPr>
            </w:pPr>
          </w:p>
        </w:tc>
        <w:tc>
          <w:tcPr>
            <w:tcW w:w="2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hint="default" w:eastAsia="宋体"/>
                <w:color w:val="000000"/>
                <w:sz w:val="24"/>
                <w:lang w:val="en-US" w:eastAsia="zh-CN"/>
              </w:rPr>
            </w:pPr>
            <w:r>
              <w:rPr>
                <w:rFonts w:hint="eastAsia" w:eastAsia="宋体"/>
                <w:color w:val="000000"/>
                <w:kern w:val="0"/>
                <w:sz w:val="24"/>
                <w:lang w:val="en-US" w:eastAsia="zh-CN"/>
              </w:rPr>
              <w:t>378.46</w:t>
            </w:r>
          </w:p>
        </w:tc>
        <w:tc>
          <w:tcPr>
            <w:tcW w:w="2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hint="default" w:eastAsia="宋体"/>
                <w:color w:val="000000"/>
                <w:sz w:val="24"/>
                <w:lang w:val="en-US" w:eastAsia="zh-CN"/>
              </w:rPr>
            </w:pPr>
            <w:r>
              <w:rPr>
                <w:rFonts w:hint="eastAsia" w:eastAsia="宋体"/>
                <w:color w:val="000000"/>
                <w:kern w:val="0"/>
                <w:sz w:val="24"/>
                <w:lang w:val="en-US" w:eastAsia="zh-CN"/>
              </w:rPr>
              <w:t>378.46</w:t>
            </w:r>
          </w:p>
        </w:tc>
        <w:tc>
          <w:tcPr>
            <w:tcW w:w="438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hint="eastAsia" w:eastAsia="宋体"/>
                <w:color w:val="000000"/>
                <w:sz w:val="24"/>
                <w:lang w:eastAsia="zh-CN"/>
              </w:rPr>
            </w:pPr>
            <w:r>
              <w:rPr>
                <w:rFonts w:hint="eastAsia" w:eastAsia="宋体"/>
                <w:color w:val="000000"/>
                <w:kern w:val="0"/>
                <w:sz w:val="24"/>
                <w:lang w:val="en-US" w:eastAsia="zh-CN"/>
              </w:rPr>
              <w:t>0</w:t>
            </w:r>
          </w:p>
        </w:tc>
      </w:tr>
      <w:tr>
        <w:tblPrEx>
          <w:tblLayout w:type="fixed"/>
          <w:tblCellMar>
            <w:top w:w="15" w:type="dxa"/>
            <w:left w:w="15" w:type="dxa"/>
            <w:bottom w:w="15" w:type="dxa"/>
            <w:right w:w="15" w:type="dxa"/>
          </w:tblCellMar>
        </w:tblPrEx>
        <w:trPr>
          <w:trHeight w:val="23" w:hRule="atLeast"/>
          <w:jc w:val="center"/>
        </w:trPr>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eastAsia="宋体"/>
                <w:color w:val="000000"/>
                <w:kern w:val="0"/>
                <w:sz w:val="24"/>
              </w:rPr>
            </w:pPr>
            <w:r>
              <w:rPr>
                <w:rFonts w:eastAsia="宋体"/>
                <w:color w:val="000000"/>
                <w:kern w:val="0"/>
                <w:sz w:val="24"/>
              </w:rPr>
              <w:t>年度总体</w:t>
            </w:r>
          </w:p>
          <w:p>
            <w:pPr>
              <w:widowControl/>
              <w:spacing w:line="300" w:lineRule="exact"/>
              <w:jc w:val="center"/>
              <w:textAlignment w:val="center"/>
              <w:rPr>
                <w:rFonts w:eastAsia="宋体"/>
                <w:color w:val="000000"/>
                <w:sz w:val="24"/>
              </w:rPr>
            </w:pPr>
            <w:r>
              <w:rPr>
                <w:rFonts w:eastAsia="宋体"/>
                <w:color w:val="000000"/>
                <w:kern w:val="0"/>
                <w:sz w:val="24"/>
              </w:rPr>
              <w:t>目标</w:t>
            </w:r>
          </w:p>
        </w:tc>
        <w:tc>
          <w:tcPr>
            <w:tcW w:w="925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rPr>
                <w:rFonts w:eastAsia="宋体"/>
                <w:color w:val="000000"/>
                <w:sz w:val="24"/>
              </w:rPr>
            </w:pPr>
            <w:r>
              <w:rPr>
                <w:rFonts w:hint="eastAsia" w:ascii="仿宋" w:hAnsi="仿宋" w:eastAsia="仿宋"/>
                <w:szCs w:val="32"/>
              </w:rPr>
              <w:t>阿坝州成都离退休干部休养所以习近平新时代中国特色社会主义思想为指导，认真落实全国、全省老干部局长会议精神，按照全州老干部工作部署安排，紧扣离退休干部管理服务工作重点任务，在政治引领、组织建设、作用发挥、服务保障、队伍建设等方面精准发力，推进离退休干部管理服务工作提质增效。</w:t>
            </w:r>
          </w:p>
        </w:tc>
      </w:tr>
      <w:tr>
        <w:tblPrEx>
          <w:tblLayout w:type="fixed"/>
          <w:tblCellMar>
            <w:top w:w="15" w:type="dxa"/>
            <w:left w:w="15" w:type="dxa"/>
            <w:bottom w:w="15" w:type="dxa"/>
            <w:right w:w="15" w:type="dxa"/>
          </w:tblCellMar>
        </w:tblPrEx>
        <w:trPr>
          <w:trHeight w:val="23" w:hRule="atLeast"/>
          <w:jc w:val="center"/>
        </w:trPr>
        <w:tc>
          <w:tcPr>
            <w:tcW w:w="13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eastAsia="宋体"/>
                <w:color w:val="000000"/>
                <w:kern w:val="0"/>
                <w:sz w:val="24"/>
              </w:rPr>
            </w:pPr>
            <w:r>
              <w:rPr>
                <w:rFonts w:eastAsia="宋体"/>
                <w:color w:val="000000"/>
                <w:kern w:val="0"/>
                <w:sz w:val="24"/>
              </w:rPr>
              <w:t>年度主要</w:t>
            </w:r>
          </w:p>
          <w:p>
            <w:pPr>
              <w:widowControl/>
              <w:spacing w:line="300" w:lineRule="exact"/>
              <w:jc w:val="center"/>
              <w:textAlignment w:val="center"/>
              <w:rPr>
                <w:rFonts w:eastAsia="宋体"/>
                <w:color w:val="000000"/>
                <w:sz w:val="24"/>
              </w:rPr>
            </w:pPr>
            <w:r>
              <w:rPr>
                <w:rFonts w:eastAsia="宋体"/>
                <w:color w:val="000000"/>
                <w:kern w:val="0"/>
                <w:sz w:val="24"/>
              </w:rPr>
              <w:t>任务</w:t>
            </w:r>
          </w:p>
        </w:tc>
        <w:tc>
          <w:tcPr>
            <w:tcW w:w="2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eastAsia="宋体"/>
                <w:color w:val="000000"/>
                <w:sz w:val="24"/>
              </w:rPr>
            </w:pPr>
            <w:r>
              <w:rPr>
                <w:rFonts w:eastAsia="宋体"/>
                <w:color w:val="000000"/>
                <w:kern w:val="0"/>
                <w:sz w:val="24"/>
              </w:rPr>
              <w:t>任务名称</w:t>
            </w:r>
          </w:p>
        </w:tc>
        <w:tc>
          <w:tcPr>
            <w:tcW w:w="663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eastAsia="宋体"/>
                <w:color w:val="000000"/>
                <w:sz w:val="24"/>
              </w:rPr>
            </w:pPr>
            <w:r>
              <w:rPr>
                <w:rFonts w:eastAsia="宋体"/>
                <w:color w:val="000000"/>
                <w:kern w:val="0"/>
                <w:sz w:val="24"/>
              </w:rPr>
              <w:t>主要内容</w:t>
            </w:r>
          </w:p>
        </w:tc>
      </w:tr>
      <w:tr>
        <w:tblPrEx>
          <w:tblLayout w:type="fixed"/>
          <w:tblCellMar>
            <w:top w:w="15" w:type="dxa"/>
            <w:left w:w="15" w:type="dxa"/>
            <w:bottom w:w="15" w:type="dxa"/>
            <w:right w:w="15" w:type="dxa"/>
          </w:tblCellMar>
        </w:tblPrEx>
        <w:trPr>
          <w:trHeight w:val="23" w:hRule="atLeast"/>
          <w:jc w:val="center"/>
        </w:trPr>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eastAsia="宋体"/>
                <w:color w:val="000000"/>
                <w:sz w:val="24"/>
              </w:rPr>
            </w:pPr>
          </w:p>
        </w:tc>
        <w:tc>
          <w:tcPr>
            <w:tcW w:w="2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rPr>
                <w:rFonts w:eastAsia="宋体"/>
                <w:color w:val="000000"/>
                <w:sz w:val="24"/>
              </w:rPr>
            </w:pPr>
            <w:r>
              <w:rPr>
                <w:rFonts w:hint="eastAsia" w:eastAsia="宋体"/>
                <w:color w:val="000000"/>
                <w:sz w:val="24"/>
              </w:rPr>
              <w:t>工资、单位缴费、机关基本运转支出</w:t>
            </w:r>
          </w:p>
        </w:tc>
        <w:tc>
          <w:tcPr>
            <w:tcW w:w="663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rPr>
                <w:rFonts w:hint="eastAsia" w:eastAsia="宋体"/>
                <w:color w:val="000000"/>
                <w:sz w:val="24"/>
                <w:lang w:eastAsia="zh-CN"/>
              </w:rPr>
            </w:pPr>
            <w:r>
              <w:rPr>
                <w:rFonts w:hint="eastAsia" w:eastAsia="宋体"/>
                <w:color w:val="000000"/>
                <w:sz w:val="24"/>
              </w:rPr>
              <w:t>工资福利支出202.09万元（其中单位缴费64.05万元），商品和服务支出115.02万元，对个人和家庭的补助21.2万元</w:t>
            </w:r>
            <w:r>
              <w:rPr>
                <w:rFonts w:hint="eastAsia" w:eastAsia="宋体"/>
                <w:color w:val="000000"/>
                <w:sz w:val="24"/>
                <w:lang w:eastAsia="zh-CN"/>
              </w:rPr>
              <w:t>。</w:t>
            </w:r>
          </w:p>
        </w:tc>
      </w:tr>
      <w:tr>
        <w:tblPrEx>
          <w:tblLayout w:type="fixed"/>
          <w:tblCellMar>
            <w:top w:w="15" w:type="dxa"/>
            <w:left w:w="15" w:type="dxa"/>
            <w:bottom w:w="15" w:type="dxa"/>
            <w:right w:w="15" w:type="dxa"/>
          </w:tblCellMar>
        </w:tblPrEx>
        <w:trPr>
          <w:trHeight w:val="23" w:hRule="atLeast"/>
          <w:jc w:val="center"/>
        </w:trPr>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eastAsia="宋体"/>
                <w:color w:val="000000"/>
                <w:sz w:val="24"/>
              </w:rPr>
            </w:pPr>
          </w:p>
        </w:tc>
        <w:tc>
          <w:tcPr>
            <w:tcW w:w="2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rPr>
                <w:rFonts w:eastAsia="宋体"/>
                <w:color w:val="000000"/>
                <w:kern w:val="0"/>
                <w:sz w:val="24"/>
              </w:rPr>
            </w:pPr>
            <w:r>
              <w:rPr>
                <w:rFonts w:hint="eastAsia" w:eastAsia="宋体"/>
                <w:color w:val="000000"/>
                <w:kern w:val="0"/>
                <w:sz w:val="24"/>
              </w:rPr>
              <w:t>老干部活动费、重阳节活动费</w:t>
            </w:r>
          </w:p>
        </w:tc>
        <w:tc>
          <w:tcPr>
            <w:tcW w:w="663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956"/>
              </w:tabs>
              <w:spacing w:line="300" w:lineRule="exact"/>
              <w:jc w:val="left"/>
              <w:textAlignment w:val="center"/>
              <w:rPr>
                <w:rFonts w:hint="eastAsia" w:eastAsia="宋体"/>
                <w:color w:val="000000"/>
                <w:kern w:val="0"/>
                <w:sz w:val="24"/>
                <w:lang w:eastAsia="zh-CN"/>
              </w:rPr>
            </w:pPr>
            <w:r>
              <w:rPr>
                <w:rFonts w:hint="eastAsia" w:eastAsia="宋体"/>
                <w:color w:val="000000"/>
                <w:kern w:val="0"/>
                <w:sz w:val="24"/>
                <w:lang w:eastAsia="zh-CN"/>
              </w:rPr>
              <w:t>组织老干部开展活动（省内静养、外出、支部活动、重阳节等传统节日活动），看望慰问离休干部、厅级退休干部全覆盖。老干部传统节日主题活动及党建活动费，重阳节活动费，老干部管理服务中心费用、营门口活动室等费用。</w:t>
            </w:r>
          </w:p>
        </w:tc>
      </w:tr>
      <w:tr>
        <w:tblPrEx>
          <w:tblLayout w:type="fixed"/>
          <w:tblCellMar>
            <w:top w:w="15" w:type="dxa"/>
            <w:left w:w="15" w:type="dxa"/>
            <w:bottom w:w="15" w:type="dxa"/>
            <w:right w:w="15" w:type="dxa"/>
          </w:tblCellMar>
        </w:tblPrEx>
        <w:trPr>
          <w:trHeight w:val="23" w:hRule="atLeast"/>
          <w:jc w:val="center"/>
        </w:trPr>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eastAsia="宋体"/>
                <w:color w:val="000000"/>
                <w:sz w:val="24"/>
              </w:rPr>
            </w:pPr>
          </w:p>
        </w:tc>
        <w:tc>
          <w:tcPr>
            <w:tcW w:w="2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rPr>
                <w:rFonts w:eastAsia="宋体"/>
                <w:color w:val="000000"/>
                <w:kern w:val="0"/>
                <w:sz w:val="24"/>
              </w:rPr>
            </w:pPr>
            <w:r>
              <w:rPr>
                <w:rFonts w:hint="eastAsia" w:eastAsia="宋体"/>
                <w:color w:val="000000"/>
                <w:kern w:val="0"/>
                <w:sz w:val="24"/>
              </w:rPr>
              <w:t>老年大学教学经费</w:t>
            </w:r>
          </w:p>
        </w:tc>
        <w:tc>
          <w:tcPr>
            <w:tcW w:w="663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rPr>
                <w:rFonts w:eastAsia="宋体"/>
                <w:color w:val="000000"/>
                <w:kern w:val="0"/>
                <w:sz w:val="24"/>
              </w:rPr>
            </w:pPr>
            <w:r>
              <w:rPr>
                <w:rFonts w:hint="eastAsia" w:eastAsia="宋体"/>
                <w:color w:val="000000"/>
                <w:kern w:val="0"/>
                <w:sz w:val="24"/>
              </w:rPr>
              <w:t>老年大学费用7.58万元。</w:t>
            </w:r>
          </w:p>
        </w:tc>
      </w:tr>
      <w:tr>
        <w:tblPrEx>
          <w:tblLayout w:type="fixed"/>
          <w:tblCellMar>
            <w:top w:w="15" w:type="dxa"/>
            <w:left w:w="15" w:type="dxa"/>
            <w:bottom w:w="15" w:type="dxa"/>
            <w:right w:w="15" w:type="dxa"/>
          </w:tblCellMar>
        </w:tblPrEx>
        <w:trPr>
          <w:trHeight w:val="23" w:hRule="atLeast"/>
          <w:jc w:val="center"/>
        </w:trPr>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eastAsia="宋体"/>
                <w:color w:val="000000"/>
                <w:sz w:val="24"/>
              </w:rPr>
            </w:pPr>
          </w:p>
        </w:tc>
        <w:tc>
          <w:tcPr>
            <w:tcW w:w="2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rPr>
                <w:rFonts w:eastAsia="宋体"/>
                <w:color w:val="000000"/>
                <w:kern w:val="0"/>
                <w:sz w:val="24"/>
              </w:rPr>
            </w:pPr>
            <w:r>
              <w:rPr>
                <w:rFonts w:hint="eastAsia" w:eastAsia="宋体"/>
                <w:color w:val="000000"/>
                <w:kern w:val="0"/>
                <w:sz w:val="24"/>
              </w:rPr>
              <w:t>维修维护费用、垃圾清运、发电机费用</w:t>
            </w:r>
          </w:p>
        </w:tc>
        <w:tc>
          <w:tcPr>
            <w:tcW w:w="663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rPr>
                <w:rFonts w:eastAsia="宋体"/>
                <w:color w:val="000000"/>
                <w:kern w:val="0"/>
                <w:sz w:val="24"/>
              </w:rPr>
            </w:pPr>
            <w:r>
              <w:rPr>
                <w:rFonts w:hint="eastAsia" w:eastAsia="宋体"/>
                <w:color w:val="000000"/>
                <w:kern w:val="0"/>
                <w:sz w:val="24"/>
              </w:rPr>
              <w:t>发电机维修费及柴油费，化粪池清理及垃圾清运费，监控、单元门、道闸维修费等2.38万元。</w:t>
            </w:r>
          </w:p>
        </w:tc>
      </w:tr>
      <w:tr>
        <w:tblPrEx>
          <w:tblLayout w:type="fixed"/>
          <w:tblCellMar>
            <w:top w:w="15" w:type="dxa"/>
            <w:left w:w="15" w:type="dxa"/>
            <w:bottom w:w="15" w:type="dxa"/>
            <w:right w:w="15" w:type="dxa"/>
          </w:tblCellMar>
        </w:tblPrEx>
        <w:trPr>
          <w:trHeight w:val="23" w:hRule="atLeast"/>
          <w:jc w:val="center"/>
        </w:trPr>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eastAsia="宋体"/>
                <w:color w:val="000000"/>
                <w:sz w:val="24"/>
              </w:rPr>
            </w:pPr>
          </w:p>
        </w:tc>
        <w:tc>
          <w:tcPr>
            <w:tcW w:w="2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eastAsia="宋体"/>
                <w:color w:val="000000"/>
                <w:sz w:val="24"/>
              </w:rPr>
            </w:pPr>
            <w:r>
              <w:rPr>
                <w:rFonts w:hint="eastAsia" w:eastAsia="宋体"/>
                <w:color w:val="000000"/>
                <w:sz w:val="24"/>
              </w:rPr>
              <w:t>离退休基层党组织活动费</w:t>
            </w:r>
          </w:p>
        </w:tc>
        <w:tc>
          <w:tcPr>
            <w:tcW w:w="663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eastAsia="宋体"/>
                <w:color w:val="000000"/>
                <w:sz w:val="24"/>
              </w:rPr>
            </w:pPr>
            <w:r>
              <w:rPr>
                <w:rFonts w:hint="eastAsia" w:eastAsia="宋体"/>
                <w:color w:val="000000"/>
                <w:sz w:val="24"/>
              </w:rPr>
              <w:t>3个退休支部委员的工作补贴、中心党委及各支部活动费、七一主题活动费。</w:t>
            </w:r>
          </w:p>
        </w:tc>
      </w:tr>
      <w:tr>
        <w:tblPrEx>
          <w:tblLayout w:type="fixed"/>
          <w:tblCellMar>
            <w:top w:w="15" w:type="dxa"/>
            <w:left w:w="15" w:type="dxa"/>
            <w:bottom w:w="15" w:type="dxa"/>
            <w:right w:w="15" w:type="dxa"/>
          </w:tblCellMar>
        </w:tblPrEx>
        <w:trPr>
          <w:trHeight w:val="23" w:hRule="atLeast"/>
          <w:jc w:val="center"/>
        </w:trPr>
        <w:tc>
          <w:tcPr>
            <w:tcW w:w="13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eastAsia="宋体"/>
                <w:color w:val="000000"/>
                <w:kern w:val="0"/>
                <w:sz w:val="24"/>
              </w:rPr>
            </w:pPr>
            <w:r>
              <w:rPr>
                <w:rFonts w:eastAsia="宋体"/>
                <w:color w:val="000000"/>
                <w:kern w:val="0"/>
                <w:sz w:val="24"/>
              </w:rPr>
              <w:t>年度绩效</w:t>
            </w:r>
          </w:p>
          <w:p>
            <w:pPr>
              <w:widowControl/>
              <w:spacing w:line="300" w:lineRule="exact"/>
              <w:jc w:val="center"/>
              <w:textAlignment w:val="center"/>
              <w:rPr>
                <w:rFonts w:eastAsia="宋体"/>
                <w:color w:val="000000"/>
                <w:sz w:val="24"/>
              </w:rPr>
            </w:pPr>
            <w:r>
              <w:rPr>
                <w:rFonts w:eastAsia="宋体"/>
                <w:color w:val="000000"/>
                <w:kern w:val="0"/>
                <w:sz w:val="24"/>
              </w:rPr>
              <w:t>指标</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eastAsia="宋体"/>
                <w:color w:val="000000"/>
                <w:sz w:val="24"/>
              </w:rPr>
            </w:pPr>
            <w:r>
              <w:rPr>
                <w:rFonts w:eastAsia="宋体"/>
                <w:color w:val="000000"/>
                <w:kern w:val="0"/>
                <w:sz w:val="24"/>
              </w:rPr>
              <w:t>一级指标</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eastAsia="宋体"/>
                <w:color w:val="000000"/>
                <w:sz w:val="24"/>
              </w:rPr>
            </w:pPr>
            <w:r>
              <w:rPr>
                <w:rFonts w:eastAsia="宋体"/>
                <w:color w:val="000000"/>
                <w:kern w:val="0"/>
                <w:sz w:val="24"/>
              </w:rPr>
              <w:t>二级指标</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eastAsia="宋体"/>
                <w:color w:val="000000"/>
                <w:sz w:val="24"/>
              </w:rPr>
            </w:pPr>
            <w:r>
              <w:rPr>
                <w:rFonts w:eastAsia="宋体"/>
                <w:color w:val="000000"/>
                <w:kern w:val="0"/>
                <w:sz w:val="24"/>
              </w:rPr>
              <w:t>三级指标</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eastAsia="宋体"/>
                <w:color w:val="000000"/>
                <w:kern w:val="0"/>
                <w:sz w:val="24"/>
              </w:rPr>
            </w:pPr>
            <w:r>
              <w:rPr>
                <w:rFonts w:eastAsia="宋体"/>
                <w:color w:val="000000"/>
                <w:kern w:val="0"/>
                <w:sz w:val="24"/>
              </w:rPr>
              <w:t>绩效指标</w:t>
            </w:r>
          </w:p>
          <w:p>
            <w:pPr>
              <w:widowControl/>
              <w:spacing w:line="300" w:lineRule="exact"/>
              <w:jc w:val="center"/>
              <w:textAlignment w:val="center"/>
              <w:rPr>
                <w:rFonts w:eastAsia="宋体"/>
                <w:color w:val="000000"/>
                <w:sz w:val="24"/>
              </w:rPr>
            </w:pPr>
            <w:r>
              <w:rPr>
                <w:rFonts w:eastAsia="宋体"/>
                <w:color w:val="000000"/>
                <w:kern w:val="0"/>
                <w:sz w:val="24"/>
              </w:rPr>
              <w:t>性质</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eastAsia="宋体"/>
                <w:color w:val="000000"/>
                <w:sz w:val="24"/>
              </w:rPr>
            </w:pPr>
            <w:r>
              <w:rPr>
                <w:rFonts w:eastAsia="宋体"/>
                <w:color w:val="000000"/>
                <w:kern w:val="0"/>
                <w:sz w:val="24"/>
              </w:rPr>
              <w:t>绩效指标值</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eastAsia="宋体"/>
                <w:color w:val="000000"/>
                <w:sz w:val="24"/>
              </w:rPr>
            </w:pPr>
            <w:r>
              <w:rPr>
                <w:rFonts w:eastAsia="宋体"/>
                <w:color w:val="000000"/>
                <w:kern w:val="0"/>
                <w:sz w:val="24"/>
              </w:rPr>
              <w:t>绩效度量单位</w:t>
            </w:r>
          </w:p>
        </w:tc>
        <w:tc>
          <w:tcPr>
            <w:tcW w:w="926" w:type="dxa"/>
            <w:tcBorders>
              <w:top w:val="single" w:color="000000" w:sz="4" w:space="0"/>
              <w:left w:val="single" w:color="000000" w:sz="4" w:space="0"/>
              <w:bottom w:val="single" w:color="000000" w:sz="4" w:space="0"/>
            </w:tcBorders>
            <w:shd w:val="clear" w:color="auto" w:fill="auto"/>
            <w:vAlign w:val="center"/>
          </w:tcPr>
          <w:p>
            <w:pPr>
              <w:widowControl/>
              <w:spacing w:line="300" w:lineRule="exact"/>
              <w:jc w:val="center"/>
              <w:textAlignment w:val="center"/>
              <w:rPr>
                <w:rFonts w:eastAsia="宋体"/>
                <w:color w:val="000000"/>
                <w:sz w:val="24"/>
              </w:rPr>
            </w:pPr>
            <w:r>
              <w:rPr>
                <w:rFonts w:eastAsia="宋体"/>
                <w:color w:val="000000"/>
                <w:kern w:val="0"/>
                <w:sz w:val="24"/>
              </w:rPr>
              <w:t>权重</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eastAsia="宋体"/>
                <w:color w:val="000000"/>
                <w:kern w:val="0"/>
                <w:sz w:val="24"/>
              </w:rPr>
            </w:pPr>
            <w:r>
              <w:rPr>
                <w:rFonts w:eastAsia="宋体"/>
                <w:color w:val="000000"/>
                <w:kern w:val="0"/>
                <w:sz w:val="24"/>
              </w:rPr>
              <w:t>实际完成</w:t>
            </w:r>
          </w:p>
          <w:p>
            <w:pPr>
              <w:widowControl/>
              <w:spacing w:line="300" w:lineRule="exact"/>
              <w:jc w:val="center"/>
              <w:textAlignment w:val="center"/>
              <w:rPr>
                <w:rFonts w:eastAsia="宋体"/>
                <w:color w:val="000000"/>
                <w:sz w:val="24"/>
              </w:rPr>
            </w:pPr>
            <w:r>
              <w:rPr>
                <w:rFonts w:eastAsia="宋体"/>
                <w:color w:val="000000"/>
                <w:kern w:val="0"/>
                <w:sz w:val="24"/>
              </w:rPr>
              <w:t>指标值</w:t>
            </w:r>
          </w:p>
        </w:tc>
      </w:tr>
      <w:tr>
        <w:tblPrEx>
          <w:tblLayout w:type="fixed"/>
          <w:tblCellMar>
            <w:top w:w="15" w:type="dxa"/>
            <w:left w:w="15" w:type="dxa"/>
            <w:bottom w:w="15" w:type="dxa"/>
            <w:right w:w="15" w:type="dxa"/>
          </w:tblCellMar>
        </w:tblPrEx>
        <w:trPr>
          <w:trHeight w:val="23" w:hRule="atLeast"/>
          <w:jc w:val="center"/>
        </w:trPr>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eastAsia="宋体"/>
                <w:color w:val="000000"/>
                <w:sz w:val="24"/>
              </w:rPr>
            </w:pPr>
          </w:p>
        </w:tc>
        <w:tc>
          <w:tcPr>
            <w:tcW w:w="13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eastAsia="宋体"/>
                <w:color w:val="000000"/>
                <w:sz w:val="24"/>
              </w:rPr>
            </w:pPr>
            <w:r>
              <w:rPr>
                <w:rFonts w:eastAsia="宋体"/>
                <w:color w:val="000000"/>
                <w:kern w:val="0"/>
                <w:sz w:val="24"/>
              </w:rPr>
              <w:t>产出指标</w:t>
            </w:r>
          </w:p>
        </w:tc>
        <w:tc>
          <w:tcPr>
            <w:tcW w:w="12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eastAsia="宋体"/>
                <w:color w:val="000000"/>
                <w:sz w:val="24"/>
              </w:rPr>
            </w:pPr>
            <w:r>
              <w:rPr>
                <w:rFonts w:eastAsia="宋体"/>
                <w:color w:val="000000"/>
                <w:kern w:val="0"/>
                <w:sz w:val="24"/>
              </w:rPr>
              <w:t>数量指标</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rPr>
                <w:rFonts w:hint="eastAsia" w:eastAsia="宋体"/>
                <w:color w:val="000000"/>
                <w:sz w:val="24"/>
                <w:lang w:eastAsia="zh-CN"/>
              </w:rPr>
            </w:pPr>
            <w:r>
              <w:rPr>
                <w:rFonts w:hint="eastAsia" w:eastAsia="宋体"/>
                <w:color w:val="000000"/>
                <w:sz w:val="24"/>
                <w:lang w:eastAsia="zh-CN"/>
              </w:rPr>
              <w:t>活动资金</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rPr>
                <w:rFonts w:eastAsia="宋体"/>
                <w:color w:val="000000"/>
                <w:sz w:val="24"/>
              </w:rPr>
            </w:pPr>
            <w:r>
              <w:rPr>
                <w:rFonts w:hint="default" w:ascii="Arial" w:hAnsi="Arial" w:eastAsia="宋体" w:cs="Arial"/>
                <w:color w:val="000000"/>
                <w:kern w:val="0"/>
                <w:sz w:val="24"/>
              </w:rPr>
              <w:t>≤</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rPr>
                <w:rFonts w:hint="default" w:eastAsia="宋体"/>
                <w:color w:val="000000"/>
                <w:sz w:val="24"/>
                <w:lang w:val="en-US" w:eastAsia="zh-CN"/>
              </w:rPr>
            </w:pPr>
            <w:r>
              <w:rPr>
                <w:rFonts w:hint="eastAsia" w:eastAsia="宋体"/>
                <w:color w:val="000000"/>
                <w:sz w:val="24"/>
                <w:lang w:val="en-US" w:eastAsia="zh-CN"/>
              </w:rPr>
              <w:t>42</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rPr>
                <w:rFonts w:hint="eastAsia" w:eastAsia="宋体"/>
                <w:color w:val="000000"/>
                <w:sz w:val="24"/>
                <w:lang w:eastAsia="zh-CN"/>
              </w:rPr>
            </w:pPr>
            <w:r>
              <w:rPr>
                <w:rFonts w:hint="eastAsia" w:eastAsia="宋体"/>
                <w:color w:val="000000"/>
                <w:sz w:val="24"/>
                <w:lang w:eastAsia="zh-CN"/>
              </w:rPr>
              <w:t>万元／年</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rPr>
                <w:rFonts w:eastAsia="宋体"/>
                <w:color w:val="000000"/>
                <w:sz w:val="24"/>
              </w:rPr>
            </w:pPr>
            <w:r>
              <w:rPr>
                <w:rFonts w:hint="eastAsia" w:eastAsia="宋体"/>
                <w:color w:val="000000"/>
                <w:kern w:val="0"/>
                <w:sz w:val="24"/>
                <w:lang w:val="en-US" w:eastAsia="zh-CN"/>
              </w:rPr>
              <w:t>20</w:t>
            </w:r>
            <w:r>
              <w:rPr>
                <w:rFonts w:eastAsia="宋体"/>
                <w:color w:val="000000"/>
                <w:kern w:val="0"/>
                <w:sz w:val="24"/>
              </w:rPr>
              <w:t>%</w:t>
            </w:r>
          </w:p>
        </w:tc>
        <w:tc>
          <w:tcPr>
            <w:tcW w:w="1114" w:type="dxa"/>
            <w:tcBorders>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rPr>
                <w:rFonts w:hint="default" w:eastAsia="宋体"/>
                <w:color w:val="000000"/>
                <w:sz w:val="24"/>
                <w:lang w:val="en-US" w:eastAsia="zh-CN"/>
              </w:rPr>
            </w:pPr>
            <w:r>
              <w:rPr>
                <w:rFonts w:hint="eastAsia" w:eastAsia="宋体"/>
                <w:color w:val="000000"/>
                <w:sz w:val="24"/>
                <w:lang w:val="en-US" w:eastAsia="zh-CN"/>
              </w:rPr>
              <w:t>20%</w:t>
            </w:r>
          </w:p>
        </w:tc>
      </w:tr>
      <w:tr>
        <w:tblPrEx>
          <w:tblLayout w:type="fixed"/>
          <w:tblCellMar>
            <w:top w:w="15" w:type="dxa"/>
            <w:left w:w="15" w:type="dxa"/>
            <w:bottom w:w="15" w:type="dxa"/>
            <w:right w:w="15" w:type="dxa"/>
          </w:tblCellMar>
        </w:tblPrEx>
        <w:trPr>
          <w:trHeight w:val="23" w:hRule="atLeast"/>
          <w:jc w:val="center"/>
        </w:trPr>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eastAsia="宋体"/>
                <w:color w:val="000000"/>
                <w:sz w:val="24"/>
              </w:rPr>
            </w:pPr>
          </w:p>
        </w:tc>
        <w:tc>
          <w:tcPr>
            <w:tcW w:w="13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eastAsia="宋体"/>
                <w:color w:val="000000"/>
                <w:sz w:val="24"/>
              </w:rPr>
            </w:pPr>
          </w:p>
        </w:tc>
        <w:tc>
          <w:tcPr>
            <w:tcW w:w="12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eastAsia="宋体"/>
                <w:color w:val="000000"/>
                <w:sz w:val="24"/>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eastAsia="宋体"/>
                <w:color w:val="000000"/>
                <w:sz w:val="24"/>
              </w:rPr>
            </w:pPr>
            <w:r>
              <w:rPr>
                <w:rFonts w:hint="eastAsia" w:eastAsia="宋体"/>
                <w:color w:val="000000"/>
                <w:sz w:val="24"/>
              </w:rPr>
              <w:t>活动次数</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eastAsia="宋体"/>
                <w:color w:val="000000"/>
                <w:sz w:val="24"/>
              </w:rPr>
            </w:pPr>
            <w:r>
              <w:rPr>
                <w:rFonts w:hint="default" w:ascii="Arial" w:hAnsi="Arial" w:eastAsia="宋体" w:cs="Arial"/>
                <w:color w:val="000000"/>
                <w:sz w:val="24"/>
              </w:rPr>
              <w:t>≥</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hint="default" w:eastAsia="宋体"/>
                <w:color w:val="000000"/>
                <w:sz w:val="24"/>
                <w:lang w:val="en-US" w:eastAsia="zh-CN"/>
              </w:rPr>
            </w:pPr>
            <w:r>
              <w:rPr>
                <w:rFonts w:hint="eastAsia" w:eastAsia="宋体"/>
                <w:color w:val="000000"/>
                <w:sz w:val="24"/>
                <w:lang w:val="en-US" w:eastAsia="zh-CN"/>
              </w:rPr>
              <w:t>12</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hint="eastAsia" w:eastAsia="宋体"/>
                <w:color w:val="000000"/>
                <w:sz w:val="24"/>
                <w:lang w:eastAsia="zh-CN"/>
              </w:rPr>
            </w:pPr>
            <w:r>
              <w:rPr>
                <w:rFonts w:hint="eastAsia" w:eastAsia="宋体"/>
                <w:color w:val="000000"/>
                <w:sz w:val="24"/>
                <w:lang w:eastAsia="zh-CN"/>
              </w:rPr>
              <w:t>次／年</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hint="eastAsia" w:eastAsia="宋体"/>
                <w:color w:val="000000"/>
                <w:sz w:val="24"/>
                <w:lang w:eastAsia="zh-CN"/>
              </w:rPr>
            </w:pPr>
            <w:r>
              <w:rPr>
                <w:rFonts w:hint="eastAsia" w:eastAsia="宋体"/>
                <w:color w:val="000000"/>
                <w:kern w:val="0"/>
                <w:sz w:val="24"/>
                <w:lang w:val="en-US" w:eastAsia="zh-CN"/>
              </w:rPr>
              <w:t>20</w:t>
            </w:r>
            <w:r>
              <w:rPr>
                <w:rFonts w:eastAsia="宋体"/>
                <w:color w:val="000000"/>
                <w:kern w:val="0"/>
                <w:sz w:val="24"/>
              </w:rPr>
              <w:t>%</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hint="default" w:eastAsia="宋体"/>
                <w:color w:val="000000"/>
                <w:sz w:val="24"/>
                <w:lang w:val="en-US" w:eastAsia="zh-CN"/>
              </w:rPr>
            </w:pPr>
            <w:r>
              <w:rPr>
                <w:rFonts w:hint="eastAsia" w:eastAsia="宋体"/>
                <w:color w:val="000000"/>
                <w:sz w:val="24"/>
                <w:lang w:val="en-US" w:eastAsia="zh-CN"/>
              </w:rPr>
              <w:t>20%</w:t>
            </w:r>
          </w:p>
        </w:tc>
      </w:tr>
      <w:tr>
        <w:tblPrEx>
          <w:tblLayout w:type="fixed"/>
          <w:tblCellMar>
            <w:top w:w="15" w:type="dxa"/>
            <w:left w:w="15" w:type="dxa"/>
            <w:bottom w:w="15" w:type="dxa"/>
            <w:right w:w="15" w:type="dxa"/>
          </w:tblCellMar>
        </w:tblPrEx>
        <w:trPr>
          <w:trHeight w:val="23" w:hRule="atLeast"/>
          <w:jc w:val="center"/>
        </w:trPr>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eastAsia="宋体"/>
                <w:color w:val="000000"/>
                <w:sz w:val="24"/>
              </w:rPr>
            </w:pPr>
          </w:p>
        </w:tc>
        <w:tc>
          <w:tcPr>
            <w:tcW w:w="13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eastAsia="宋体"/>
                <w:color w:val="000000"/>
                <w:sz w:val="24"/>
              </w:rPr>
            </w:pP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eastAsia="宋体"/>
                <w:color w:val="000000"/>
                <w:sz w:val="24"/>
              </w:rPr>
            </w:pPr>
            <w:r>
              <w:rPr>
                <w:rFonts w:eastAsia="宋体"/>
                <w:color w:val="000000"/>
                <w:kern w:val="0"/>
                <w:sz w:val="24"/>
              </w:rPr>
              <w:t>时效指标</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hint="eastAsia" w:eastAsia="宋体"/>
                <w:color w:val="000000"/>
                <w:sz w:val="24"/>
                <w:lang w:eastAsia="zh-CN"/>
              </w:rPr>
            </w:pPr>
            <w:r>
              <w:rPr>
                <w:rFonts w:hint="eastAsia" w:eastAsia="宋体"/>
                <w:color w:val="000000"/>
                <w:sz w:val="24"/>
              </w:rPr>
              <w:t>费用支付</w:t>
            </w:r>
            <w:r>
              <w:rPr>
                <w:rFonts w:hint="eastAsia" w:eastAsia="宋体"/>
                <w:color w:val="000000"/>
                <w:sz w:val="24"/>
                <w:lang w:eastAsia="zh-CN"/>
              </w:rPr>
              <w:t>率</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hint="eastAsia" w:ascii="宋体" w:hAnsi="宋体" w:eastAsia="宋体" w:cs="宋体"/>
                <w:color w:val="000000"/>
                <w:sz w:val="24"/>
              </w:rPr>
            </w:pPr>
            <w:r>
              <w:rPr>
                <w:rFonts w:hint="eastAsia" w:ascii="宋体" w:hAnsi="宋体" w:eastAsia="宋体" w:cs="宋体"/>
                <w:color w:val="000000"/>
                <w:sz w:val="24"/>
              </w:rPr>
              <w:t>＞</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hint="default" w:eastAsia="宋体"/>
                <w:color w:val="000000"/>
                <w:sz w:val="24"/>
                <w:lang w:val="en-US" w:eastAsia="zh-CN"/>
              </w:rPr>
            </w:pPr>
            <w:r>
              <w:rPr>
                <w:rFonts w:hint="eastAsia" w:eastAsia="宋体"/>
                <w:color w:val="000000"/>
                <w:sz w:val="24"/>
                <w:lang w:val="en-US" w:eastAsia="zh-CN"/>
              </w:rPr>
              <w:t>100</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hint="eastAsia" w:eastAsia="宋体"/>
                <w:color w:val="000000"/>
                <w:sz w:val="24"/>
                <w:lang w:val="en-US" w:eastAsia="zh-CN"/>
              </w:rPr>
            </w:pPr>
            <w:r>
              <w:rPr>
                <w:rFonts w:hint="eastAsia" w:eastAsia="宋体"/>
                <w:color w:val="000000"/>
                <w:sz w:val="24"/>
                <w:lang w:val="en-US" w:eastAsia="zh-CN"/>
              </w:rPr>
              <w:t>%</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hint="default" w:eastAsia="宋体"/>
                <w:color w:val="000000"/>
                <w:sz w:val="24"/>
                <w:lang w:val="en-US" w:eastAsia="zh-CN"/>
              </w:rPr>
            </w:pPr>
            <w:r>
              <w:rPr>
                <w:rFonts w:hint="eastAsia" w:eastAsia="宋体"/>
                <w:color w:val="000000"/>
                <w:sz w:val="24"/>
                <w:lang w:val="en-US" w:eastAsia="zh-CN"/>
              </w:rPr>
              <w:t>20%</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hint="default" w:eastAsia="宋体"/>
                <w:color w:val="000000"/>
                <w:sz w:val="24"/>
                <w:lang w:val="en-US" w:eastAsia="zh-CN"/>
              </w:rPr>
            </w:pPr>
            <w:r>
              <w:rPr>
                <w:rFonts w:hint="eastAsia" w:eastAsia="宋体"/>
                <w:color w:val="000000"/>
                <w:sz w:val="24"/>
                <w:lang w:val="en-US" w:eastAsia="zh-CN"/>
              </w:rPr>
              <w:t>20%</w:t>
            </w:r>
          </w:p>
        </w:tc>
      </w:tr>
      <w:tr>
        <w:tblPrEx>
          <w:tblLayout w:type="fixed"/>
          <w:tblCellMar>
            <w:top w:w="15" w:type="dxa"/>
            <w:left w:w="15" w:type="dxa"/>
            <w:bottom w:w="15" w:type="dxa"/>
            <w:right w:w="15" w:type="dxa"/>
          </w:tblCellMar>
        </w:tblPrEx>
        <w:trPr>
          <w:trHeight w:val="23" w:hRule="atLeast"/>
          <w:jc w:val="center"/>
        </w:trPr>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eastAsia="宋体"/>
                <w:color w:val="000000"/>
                <w:sz w:val="24"/>
              </w:rPr>
            </w:pP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eastAsia="宋体"/>
                <w:color w:val="000000"/>
                <w:sz w:val="24"/>
              </w:rPr>
            </w:pPr>
            <w:r>
              <w:rPr>
                <w:rFonts w:eastAsia="宋体"/>
                <w:color w:val="000000"/>
                <w:kern w:val="0"/>
                <w:sz w:val="24"/>
              </w:rPr>
              <w:t>满意度指标</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eastAsia="宋体"/>
                <w:color w:val="000000"/>
                <w:sz w:val="24"/>
              </w:rPr>
            </w:pPr>
            <w:r>
              <w:rPr>
                <w:rFonts w:eastAsia="宋体"/>
                <w:color w:val="000000"/>
                <w:kern w:val="0"/>
                <w:sz w:val="24"/>
              </w:rPr>
              <w:t>满意度指标</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hint="eastAsia" w:eastAsia="宋体"/>
                <w:color w:val="000000"/>
                <w:sz w:val="24"/>
                <w:lang w:eastAsia="zh-CN"/>
              </w:rPr>
            </w:pPr>
            <w:r>
              <w:rPr>
                <w:rFonts w:hint="eastAsia" w:eastAsia="宋体"/>
                <w:color w:val="000000"/>
                <w:sz w:val="24"/>
              </w:rPr>
              <w:t>服务对象满意</w:t>
            </w:r>
            <w:r>
              <w:rPr>
                <w:rFonts w:hint="eastAsia" w:eastAsia="宋体"/>
                <w:color w:val="000000"/>
                <w:sz w:val="24"/>
                <w:lang w:eastAsia="zh-CN"/>
              </w:rPr>
              <w:t>率</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eastAsia="宋体"/>
                <w:color w:val="000000"/>
                <w:sz w:val="24"/>
              </w:rPr>
            </w:pPr>
            <w:r>
              <w:rPr>
                <w:rFonts w:hint="eastAsia" w:ascii="宋体" w:hAnsi="宋体" w:eastAsia="宋体" w:cs="宋体"/>
                <w:color w:val="000000"/>
                <w:sz w:val="24"/>
              </w:rPr>
              <w:t>＞</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hint="default" w:eastAsia="宋体"/>
                <w:color w:val="000000"/>
                <w:sz w:val="24"/>
                <w:lang w:val="en-US" w:eastAsia="zh-CN"/>
              </w:rPr>
            </w:pPr>
            <w:r>
              <w:rPr>
                <w:rFonts w:hint="eastAsia" w:eastAsia="宋体"/>
                <w:color w:val="000000"/>
                <w:sz w:val="24"/>
                <w:lang w:val="en-US" w:eastAsia="zh-CN"/>
              </w:rPr>
              <w:t>95</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hint="eastAsia" w:eastAsia="宋体"/>
                <w:color w:val="000000"/>
                <w:sz w:val="24"/>
                <w:lang w:val="en-US" w:eastAsia="zh-CN"/>
              </w:rPr>
            </w:pPr>
            <w:r>
              <w:rPr>
                <w:rFonts w:hint="eastAsia" w:eastAsia="宋体"/>
                <w:color w:val="000000"/>
                <w:sz w:val="24"/>
                <w:lang w:val="en-US" w:eastAsia="zh-CN"/>
              </w:rPr>
              <w:t>%</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hint="default" w:eastAsia="宋体"/>
                <w:color w:val="000000"/>
                <w:sz w:val="24"/>
                <w:lang w:val="en-US" w:eastAsia="zh-CN"/>
              </w:rPr>
            </w:pPr>
            <w:r>
              <w:rPr>
                <w:rFonts w:hint="eastAsia" w:eastAsia="宋体"/>
                <w:color w:val="000000"/>
                <w:sz w:val="24"/>
                <w:lang w:val="en-US" w:eastAsia="zh-CN"/>
              </w:rPr>
              <w:t>30%</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hint="default" w:eastAsia="宋体"/>
                <w:color w:val="000000"/>
                <w:sz w:val="24"/>
                <w:lang w:val="en-US" w:eastAsia="zh-CN"/>
              </w:rPr>
            </w:pPr>
            <w:r>
              <w:rPr>
                <w:rFonts w:hint="eastAsia" w:eastAsia="宋体"/>
                <w:color w:val="000000"/>
                <w:sz w:val="24"/>
                <w:lang w:val="en-US" w:eastAsia="zh-CN"/>
              </w:rPr>
              <w:t>28%</w:t>
            </w:r>
          </w:p>
        </w:tc>
      </w:tr>
    </w:tbl>
    <w:p>
      <w:pPr>
        <w:pStyle w:val="8"/>
        <w:keepNext w:val="0"/>
        <w:keepLines w:val="0"/>
        <w:pageBreakBefore w:val="0"/>
        <w:numPr>
          <w:ilvl w:val="0"/>
          <w:numId w:val="0"/>
        </w:numPr>
        <w:kinsoku/>
        <w:wordWrap/>
        <w:overflowPunct/>
        <w:topLinePunct w:val="0"/>
        <w:autoSpaceDE/>
        <w:autoSpaceDN/>
        <w:bidi w:val="0"/>
        <w:spacing w:line="560" w:lineRule="exact"/>
        <w:textAlignment w:val="auto"/>
        <w:rPr>
          <w:rFonts w:hint="eastAsia" w:ascii="Times New Roman" w:hAnsi="Times New Roman" w:eastAsia="仿宋_GB2312" w:cs="Times New Roman"/>
          <w:kern w:val="2"/>
          <w:sz w:val="32"/>
          <w:szCs w:val="32"/>
          <w:u w:val="none"/>
          <w:lang w:val="zh-CN" w:eastAsia="zh-CN" w:bidi="ar"/>
        </w:rPr>
      </w:pPr>
    </w:p>
    <w:p>
      <w:pPr>
        <w:pStyle w:val="8"/>
        <w:keepNext w:val="0"/>
        <w:keepLines w:val="0"/>
        <w:pageBreakBefore w:val="0"/>
        <w:numPr>
          <w:ilvl w:val="0"/>
          <w:numId w:val="0"/>
        </w:numPr>
        <w:kinsoku/>
        <w:wordWrap/>
        <w:overflowPunct/>
        <w:topLinePunct w:val="0"/>
        <w:autoSpaceDE/>
        <w:autoSpaceDN/>
        <w:bidi w:val="0"/>
        <w:spacing w:line="560" w:lineRule="exact"/>
        <w:textAlignment w:val="auto"/>
        <w:rPr>
          <w:rFonts w:hint="eastAsia" w:ascii="Times New Roman" w:hAnsi="Times New Roman" w:cs="Times New Roman"/>
          <w:sz w:val="32"/>
          <w:szCs w:val="32"/>
          <w:highlight w:val="yellow"/>
          <w:lang w:val="zh-CN" w:eastAsia="zh-CN"/>
        </w:rPr>
      </w:pPr>
    </w:p>
    <w:p>
      <w:pPr>
        <w:pStyle w:val="6"/>
        <w:rPr>
          <w:rFonts w:hint="eastAsia" w:ascii="Times New Roman" w:hAnsi="Times New Roman" w:cs="宋体"/>
          <w:color w:val="FF0000"/>
          <w:kern w:val="0"/>
          <w:sz w:val="32"/>
          <w:szCs w:val="32"/>
          <w:highlight w:val="yellow"/>
          <w:shd w:val="clear" w:color="auto" w:fill="FFFFFF"/>
          <w:lang w:val="zh-CN"/>
        </w:rPr>
      </w:pPr>
    </w:p>
    <w:p>
      <w:pPr>
        <w:rPr>
          <w:rFonts w:hint="eastAsia" w:ascii="Times New Roman" w:hAnsi="Times New Roman" w:eastAsia="黑体" w:cs="黑体"/>
          <w:color w:val="auto"/>
          <w:kern w:val="0"/>
          <w:sz w:val="32"/>
          <w:szCs w:val="32"/>
          <w:highlight w:val="none"/>
          <w:shd w:val="clear" w:color="auto" w:fill="FFFFFF"/>
          <w:lang w:val="zh-CN"/>
        </w:rPr>
      </w:pPr>
      <w:r>
        <w:rPr>
          <w:rFonts w:hint="eastAsia" w:ascii="Times New Roman" w:hAnsi="Times New Roman" w:eastAsia="黑体" w:cs="黑体"/>
          <w:color w:val="auto"/>
          <w:kern w:val="0"/>
          <w:sz w:val="32"/>
          <w:szCs w:val="32"/>
          <w:highlight w:val="none"/>
          <w:shd w:val="clear" w:color="auto" w:fill="FFFFFF"/>
          <w:lang w:val="zh-CN"/>
        </w:rPr>
        <w:br w:type="page"/>
      </w:r>
    </w:p>
    <w:p>
      <w:pPr>
        <w:spacing w:line="578" w:lineRule="exact"/>
        <w:jc w:val="left"/>
        <w:rPr>
          <w:rFonts w:hint="default" w:eastAsia="黑体"/>
          <w:lang w:val="en-US" w:eastAsia="zh-CN"/>
        </w:rPr>
      </w:pPr>
      <w:bookmarkStart w:id="53" w:name="_Toc15396618"/>
      <w:r>
        <w:rPr>
          <w:rFonts w:hint="eastAsia" w:eastAsia="黑体"/>
          <w:lang w:val="en-US" w:eastAsia="zh-CN"/>
        </w:rPr>
        <w:t>附表3</w:t>
      </w:r>
    </w:p>
    <w:p>
      <w:pPr>
        <w:keepNext w:val="0"/>
        <w:keepLines w:val="0"/>
        <w:pageBreakBefore w:val="0"/>
        <w:widowControl w:val="0"/>
        <w:kinsoku/>
        <w:wordWrap/>
        <w:overflowPunct/>
        <w:topLinePunct w:val="0"/>
        <w:autoSpaceDE/>
        <w:autoSpaceDN/>
        <w:bidi w:val="0"/>
        <w:spacing w:line="578" w:lineRule="exact"/>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p>
    <w:tbl>
      <w:tblPr>
        <w:tblStyle w:val="19"/>
        <w:tblW w:w="9915" w:type="dxa"/>
        <w:tblInd w:w="0" w:type="dxa"/>
        <w:shd w:val="clear" w:color="auto" w:fill="auto"/>
        <w:tblLayout w:type="fixed"/>
        <w:tblCellMar>
          <w:top w:w="0" w:type="dxa"/>
          <w:left w:w="0" w:type="dxa"/>
          <w:bottom w:w="0" w:type="dxa"/>
          <w:right w:w="0" w:type="dxa"/>
        </w:tblCellMar>
      </w:tblPr>
      <w:tblGrid>
        <w:gridCol w:w="683"/>
        <w:gridCol w:w="884"/>
        <w:gridCol w:w="1275"/>
        <w:gridCol w:w="1710"/>
        <w:gridCol w:w="521"/>
        <w:gridCol w:w="1335"/>
        <w:gridCol w:w="521"/>
        <w:gridCol w:w="930"/>
        <w:gridCol w:w="505"/>
        <w:gridCol w:w="456"/>
        <w:gridCol w:w="1095"/>
      </w:tblGrid>
      <w:tr>
        <w:tblPrEx>
          <w:shd w:val="clear" w:color="auto" w:fill="auto"/>
          <w:tblLayout w:type="fixed"/>
          <w:tblCellMar>
            <w:top w:w="0" w:type="dxa"/>
            <w:left w:w="0" w:type="dxa"/>
            <w:bottom w:w="0" w:type="dxa"/>
            <w:right w:w="0" w:type="dxa"/>
          </w:tblCellMar>
        </w:tblPrEx>
        <w:trPr>
          <w:trHeight w:val="904" w:hRule="atLeast"/>
        </w:trPr>
        <w:tc>
          <w:tcPr>
            <w:tcW w:w="9915"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部门预算项目支出绩效自评表（2024年度）</w:t>
            </w:r>
          </w:p>
        </w:tc>
      </w:tr>
      <w:tr>
        <w:tblPrEx>
          <w:tblLayout w:type="fixed"/>
          <w:tblCellMar>
            <w:top w:w="0" w:type="dxa"/>
            <w:left w:w="0" w:type="dxa"/>
            <w:bottom w:w="0" w:type="dxa"/>
            <w:right w:w="0" w:type="dxa"/>
          </w:tblCellMar>
        </w:tblPrEx>
        <w:trPr>
          <w:trHeight w:val="286" w:hRule="atLeast"/>
        </w:trPr>
        <w:tc>
          <w:tcPr>
            <w:tcW w:w="15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8348"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51320021T000000063322-老干部活动费、重阳节活动费</w:t>
            </w:r>
          </w:p>
        </w:tc>
      </w:tr>
      <w:tr>
        <w:tblPrEx>
          <w:tblLayout w:type="fixed"/>
          <w:tblCellMar>
            <w:top w:w="0" w:type="dxa"/>
            <w:left w:w="0" w:type="dxa"/>
            <w:bottom w:w="0" w:type="dxa"/>
            <w:right w:w="0" w:type="dxa"/>
          </w:tblCellMar>
        </w:tblPrEx>
        <w:trPr>
          <w:trHeight w:val="512" w:hRule="atLeast"/>
        </w:trPr>
        <w:tc>
          <w:tcPr>
            <w:tcW w:w="15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5362"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州委老干部局部门</w:t>
            </w:r>
          </w:p>
        </w:tc>
        <w:tc>
          <w:tcPr>
            <w:tcW w:w="930"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205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成都干休所</w:t>
            </w:r>
          </w:p>
        </w:tc>
      </w:tr>
      <w:tr>
        <w:tblPrEx>
          <w:tblLayout w:type="fixed"/>
          <w:tblCellMar>
            <w:top w:w="0" w:type="dxa"/>
            <w:left w:w="0" w:type="dxa"/>
            <w:bottom w:w="0" w:type="dxa"/>
            <w:right w:w="0" w:type="dxa"/>
          </w:tblCellMar>
        </w:tblPrEx>
        <w:trPr>
          <w:trHeight w:val="286"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8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5362"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2986"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tblPrEx>
          <w:tblLayout w:type="fixed"/>
          <w:tblCellMar>
            <w:top w:w="0" w:type="dxa"/>
            <w:left w:w="0" w:type="dxa"/>
            <w:bottom w:w="0" w:type="dxa"/>
            <w:right w:w="0" w:type="dxa"/>
          </w:tblCellMar>
        </w:tblPrEx>
        <w:trPr>
          <w:trHeight w:val="904"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362"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组织老干部开展各项学习、参观、考察活动，看望慰问离休干部、厅级退休干部，组织重阳节活动。</w:t>
            </w:r>
            <w:r>
              <w:rPr>
                <w:rFonts w:ascii="宋体" w:hAnsi="宋体" w:eastAsia="宋体" w:cs="宋体"/>
                <w:i w:val="0"/>
                <w:color w:val="000000"/>
                <w:kern w:val="0"/>
                <w:sz w:val="18"/>
                <w:szCs w:val="18"/>
                <w:u w:val="none"/>
                <w:lang w:val="en-US" w:eastAsia="zh-CN" w:bidi="ar"/>
              </w:rPr>
              <w:br w:type="textWrapping"/>
            </w:r>
            <w:r>
              <w:rPr>
                <w:rFonts w:ascii="宋体" w:hAnsi="宋体" w:eastAsia="宋体" w:cs="宋体"/>
                <w:i w:val="0"/>
                <w:color w:val="000000"/>
                <w:kern w:val="0"/>
                <w:sz w:val="18"/>
                <w:szCs w:val="18"/>
                <w:u w:val="none"/>
                <w:lang w:val="en-US" w:eastAsia="zh-CN" w:bidi="ar"/>
              </w:rPr>
              <w:t>营门口、花都财富活动室日常运行。</w:t>
            </w:r>
          </w:p>
        </w:tc>
        <w:tc>
          <w:tcPr>
            <w:tcW w:w="2986"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组织老干部在节假日开展各项活动12次，其中外出参观考察3次，分上、下半年集中看望离休干部，对离休干部、厅级退休干部开展生日慰问和生病慰问，慰问去逝老干部，营门口、花都财富活动日常运行。</w:t>
            </w:r>
          </w:p>
        </w:tc>
      </w:tr>
      <w:tr>
        <w:tblPrEx>
          <w:tblLayout w:type="fixed"/>
          <w:tblCellMar>
            <w:top w:w="0" w:type="dxa"/>
            <w:left w:w="0" w:type="dxa"/>
            <w:bottom w:w="0" w:type="dxa"/>
            <w:right w:w="0" w:type="dxa"/>
          </w:tblCellMar>
        </w:tblPrEx>
        <w:trPr>
          <w:trHeight w:val="693"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8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8348"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组织老干部在节假日开展各项活动12次，其中外出参观考察3次，分上、下半年集中看望离休干部，对离休干部、厅级退休干部开展生日慰问和生病慰问，慰问去逝老干部，营门口、花都财富活动日常运行。</w:t>
            </w:r>
          </w:p>
        </w:tc>
      </w:tr>
      <w:tr>
        <w:tblPrEx>
          <w:tblLayout w:type="fixed"/>
          <w:tblCellMar>
            <w:top w:w="0" w:type="dxa"/>
            <w:left w:w="0" w:type="dxa"/>
            <w:bottom w:w="0" w:type="dxa"/>
            <w:right w:w="0" w:type="dxa"/>
          </w:tblCellMar>
        </w:tblPrEx>
        <w:trPr>
          <w:trHeight w:val="640"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8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237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Layout w:type="fixed"/>
          <w:tblCellMar>
            <w:top w:w="0" w:type="dxa"/>
            <w:left w:w="0" w:type="dxa"/>
            <w:bottom w:w="0" w:type="dxa"/>
            <w:right w:w="0" w:type="dxa"/>
          </w:tblCellMar>
        </w:tblPrEx>
        <w:trPr>
          <w:trHeight w:val="346"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45.27</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30.48</w:t>
            </w:r>
          </w:p>
        </w:tc>
        <w:tc>
          <w:tcPr>
            <w:tcW w:w="237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30.48</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39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45.27</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30.48</w:t>
            </w:r>
          </w:p>
        </w:tc>
        <w:tc>
          <w:tcPr>
            <w:tcW w:w="237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30.48</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407"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37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36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37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37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452"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8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Layout w:type="fixed"/>
          <w:tblCellMar>
            <w:top w:w="0" w:type="dxa"/>
            <w:left w:w="0" w:type="dxa"/>
            <w:bottom w:w="0" w:type="dxa"/>
            <w:right w:w="0" w:type="dxa"/>
          </w:tblCellMar>
        </w:tblPrEx>
        <w:trPr>
          <w:trHeight w:val="452"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活动次数</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12</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次/年</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12</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活动质量</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高</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高</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16</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时效指标</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活动时限</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社会反映</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好</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好</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可持续发展指标</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提升老干部幸福感</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有效提升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有效提升</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blPrEx>
          <w:tblLayout w:type="fixed"/>
          <w:tblCellMar>
            <w:top w:w="0" w:type="dxa"/>
            <w:left w:w="0" w:type="dxa"/>
            <w:bottom w:w="0" w:type="dxa"/>
            <w:right w:w="0" w:type="dxa"/>
          </w:tblCellMar>
        </w:tblPrEx>
        <w:trPr>
          <w:trHeight w:val="452"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服务对象满意度指标</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老干部满意</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高</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高</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blPrEx>
          <w:tblLayout w:type="fixed"/>
          <w:tblCellMar>
            <w:top w:w="0" w:type="dxa"/>
            <w:left w:w="0" w:type="dxa"/>
            <w:bottom w:w="0" w:type="dxa"/>
            <w:right w:w="0" w:type="dxa"/>
          </w:tblCellMar>
        </w:tblPrEx>
        <w:trPr>
          <w:trHeight w:val="904"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成本指标</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经济成本指标</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经济成本</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45.26</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万元/每项目</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30.48</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blPrEx>
          <w:shd w:val="clear" w:color="auto" w:fill="auto"/>
          <w:tblLayout w:type="fixed"/>
          <w:tblCellMar>
            <w:top w:w="0" w:type="dxa"/>
            <w:left w:w="0" w:type="dxa"/>
            <w:bottom w:w="0" w:type="dxa"/>
            <w:right w:w="0" w:type="dxa"/>
          </w:tblCellMar>
        </w:tblPrEx>
        <w:trPr>
          <w:trHeight w:val="286" w:hRule="atLeast"/>
        </w:trPr>
        <w:tc>
          <w:tcPr>
            <w:tcW w:w="7859"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87</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60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9232"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通过开展内容丰富、形式多样的活动，组织老干部开展政治理论学习和各项调研活动，提升老干部获得感、幸福感。</w:t>
            </w:r>
          </w:p>
        </w:tc>
      </w:tr>
      <w:tr>
        <w:tblPrEx>
          <w:tblLayout w:type="fixed"/>
          <w:tblCellMar>
            <w:top w:w="0" w:type="dxa"/>
            <w:left w:w="0" w:type="dxa"/>
            <w:bottom w:w="0" w:type="dxa"/>
            <w:right w:w="0" w:type="dxa"/>
          </w:tblCellMar>
        </w:tblPrEx>
        <w:trPr>
          <w:trHeight w:val="572"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9232"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在现有的基础上，发挥老干部的积极性、主动性还有一定的差距。</w:t>
            </w:r>
          </w:p>
        </w:tc>
      </w:tr>
      <w:tr>
        <w:tblPrEx>
          <w:tblLayout w:type="fixed"/>
          <w:tblCellMar>
            <w:top w:w="0" w:type="dxa"/>
            <w:left w:w="0" w:type="dxa"/>
            <w:bottom w:w="0" w:type="dxa"/>
            <w:right w:w="0" w:type="dxa"/>
          </w:tblCellMar>
        </w:tblPrEx>
        <w:trPr>
          <w:trHeight w:val="63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9232"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下一步，集体研究制定合理方案，加强自身建设，进一步提升老干部获得感、幸福感。</w:t>
            </w:r>
          </w:p>
        </w:tc>
      </w:tr>
      <w:tr>
        <w:tblPrEx>
          <w:tblLayout w:type="fixed"/>
          <w:tblCellMar>
            <w:top w:w="0" w:type="dxa"/>
            <w:left w:w="0" w:type="dxa"/>
            <w:bottom w:w="0" w:type="dxa"/>
            <w:right w:w="0" w:type="dxa"/>
          </w:tblCellMar>
        </w:tblPrEx>
        <w:trPr>
          <w:trHeight w:val="286" w:hRule="atLeast"/>
        </w:trPr>
        <w:tc>
          <w:tcPr>
            <w:tcW w:w="5073"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项目负责人：王蕊</w:t>
            </w:r>
          </w:p>
        </w:tc>
        <w:tc>
          <w:tcPr>
            <w:tcW w:w="4842"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财务负责人：柏露</w:t>
            </w:r>
          </w:p>
        </w:tc>
      </w:tr>
      <w:tr>
        <w:tblPrEx>
          <w:tblLayout w:type="fixed"/>
          <w:tblCellMar>
            <w:top w:w="0" w:type="dxa"/>
            <w:left w:w="0" w:type="dxa"/>
            <w:bottom w:w="0" w:type="dxa"/>
            <w:right w:w="0" w:type="dxa"/>
          </w:tblCellMar>
        </w:tblPrEx>
        <w:trPr>
          <w:trHeight w:val="286" w:hRule="atLeast"/>
        </w:trPr>
        <w:tc>
          <w:tcPr>
            <w:tcW w:w="68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884"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7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710"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2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33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2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930"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0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45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9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904" w:hRule="atLeast"/>
        </w:trPr>
        <w:tc>
          <w:tcPr>
            <w:tcW w:w="9915"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部门预算项目支出绩效自评表（2024年度）</w:t>
            </w:r>
          </w:p>
        </w:tc>
      </w:tr>
      <w:tr>
        <w:tblPrEx>
          <w:tblLayout w:type="fixed"/>
          <w:tblCellMar>
            <w:top w:w="0" w:type="dxa"/>
            <w:left w:w="0" w:type="dxa"/>
            <w:bottom w:w="0" w:type="dxa"/>
            <w:right w:w="0" w:type="dxa"/>
          </w:tblCellMar>
        </w:tblPrEx>
        <w:trPr>
          <w:trHeight w:val="286" w:hRule="atLeast"/>
        </w:trPr>
        <w:tc>
          <w:tcPr>
            <w:tcW w:w="15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8348"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51320021T000000063617-老年大学教学经费</w:t>
            </w:r>
          </w:p>
        </w:tc>
      </w:tr>
      <w:tr>
        <w:tblPrEx>
          <w:tblLayout w:type="fixed"/>
          <w:tblCellMar>
            <w:top w:w="0" w:type="dxa"/>
            <w:left w:w="0" w:type="dxa"/>
            <w:bottom w:w="0" w:type="dxa"/>
            <w:right w:w="0" w:type="dxa"/>
          </w:tblCellMar>
        </w:tblPrEx>
        <w:trPr>
          <w:trHeight w:val="512" w:hRule="atLeast"/>
        </w:trPr>
        <w:tc>
          <w:tcPr>
            <w:tcW w:w="15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5362"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州委老干部局部门</w:t>
            </w:r>
          </w:p>
        </w:tc>
        <w:tc>
          <w:tcPr>
            <w:tcW w:w="930"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205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成都干休所</w:t>
            </w:r>
          </w:p>
        </w:tc>
      </w:tr>
      <w:tr>
        <w:tblPrEx>
          <w:tblLayout w:type="fixed"/>
          <w:tblCellMar>
            <w:top w:w="0" w:type="dxa"/>
            <w:left w:w="0" w:type="dxa"/>
            <w:bottom w:w="0" w:type="dxa"/>
            <w:right w:w="0" w:type="dxa"/>
          </w:tblCellMar>
        </w:tblPrEx>
        <w:trPr>
          <w:trHeight w:val="286"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8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5362"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2986"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tblPrEx>
          <w:tblLayout w:type="fixed"/>
          <w:tblCellMar>
            <w:top w:w="0" w:type="dxa"/>
            <w:left w:w="0" w:type="dxa"/>
            <w:bottom w:w="0" w:type="dxa"/>
            <w:right w:w="0" w:type="dxa"/>
          </w:tblCellMar>
        </w:tblPrEx>
        <w:trPr>
          <w:trHeight w:val="708"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362"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　组织老干部在老年大学学习</w:t>
            </w:r>
          </w:p>
        </w:tc>
        <w:tc>
          <w:tcPr>
            <w:tcW w:w="2986"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组织老干部在老年大学开展学习，合唱、舞蹈学习成果显著。</w:t>
            </w:r>
          </w:p>
        </w:tc>
      </w:tr>
      <w:tr>
        <w:tblPrEx>
          <w:tblLayout w:type="fixed"/>
          <w:tblCellMar>
            <w:top w:w="0" w:type="dxa"/>
            <w:left w:w="0" w:type="dxa"/>
            <w:bottom w:w="0" w:type="dxa"/>
            <w:right w:w="0" w:type="dxa"/>
          </w:tblCellMar>
        </w:tblPrEx>
        <w:trPr>
          <w:trHeight w:val="693"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8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8348"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组织老干部在老年大学开展学习，合唱、舞蹈学习成果显著。</w:t>
            </w:r>
          </w:p>
        </w:tc>
      </w:tr>
      <w:tr>
        <w:tblPrEx>
          <w:tblLayout w:type="fixed"/>
          <w:tblCellMar>
            <w:top w:w="0" w:type="dxa"/>
            <w:left w:w="0" w:type="dxa"/>
            <w:bottom w:w="0" w:type="dxa"/>
            <w:right w:w="0" w:type="dxa"/>
          </w:tblCellMar>
        </w:tblPrEx>
        <w:trPr>
          <w:trHeight w:val="600"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8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237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Layout w:type="fixed"/>
          <w:tblCellMar>
            <w:top w:w="0" w:type="dxa"/>
            <w:left w:w="0" w:type="dxa"/>
            <w:bottom w:w="0" w:type="dxa"/>
            <w:right w:w="0" w:type="dxa"/>
          </w:tblCellMar>
        </w:tblPrEx>
        <w:trPr>
          <w:trHeight w:val="346"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7.58</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4.71</w:t>
            </w:r>
          </w:p>
        </w:tc>
        <w:tc>
          <w:tcPr>
            <w:tcW w:w="237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4.71</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39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7.58</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4.71</w:t>
            </w:r>
          </w:p>
        </w:tc>
        <w:tc>
          <w:tcPr>
            <w:tcW w:w="237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4.71</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407"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37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36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37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37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452"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8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Layout w:type="fixed"/>
          <w:tblCellMar>
            <w:top w:w="0" w:type="dxa"/>
            <w:left w:w="0" w:type="dxa"/>
            <w:bottom w:w="0" w:type="dxa"/>
            <w:right w:w="0" w:type="dxa"/>
          </w:tblCellMar>
        </w:tblPrEx>
        <w:trPr>
          <w:trHeight w:val="452"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服务数量</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个工作日</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5</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18</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服务质量</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高</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高</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blPrEx>
          <w:tblLayout w:type="fixed"/>
          <w:tblCellMar>
            <w:top w:w="0" w:type="dxa"/>
            <w:left w:w="0" w:type="dxa"/>
            <w:bottom w:w="0" w:type="dxa"/>
            <w:right w:w="0" w:type="dxa"/>
          </w:tblCellMar>
        </w:tblPrEx>
        <w:trPr>
          <w:trHeight w:val="452"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时效指标</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服务时效</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个工作日</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5</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社会反映</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好</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好</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可持续发展指标</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提升老干部获得感</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有效提升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有效提升</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blPrEx>
          <w:tblLayout w:type="fixed"/>
          <w:tblCellMar>
            <w:top w:w="0" w:type="dxa"/>
            <w:left w:w="0" w:type="dxa"/>
            <w:bottom w:w="0" w:type="dxa"/>
            <w:right w:w="0" w:type="dxa"/>
          </w:tblCellMar>
        </w:tblPrEx>
        <w:trPr>
          <w:trHeight w:val="452"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服务对象满意度指标</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老干部满意度</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90</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90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blPrEx>
          <w:tblLayout w:type="fixed"/>
          <w:tblCellMar>
            <w:top w:w="0" w:type="dxa"/>
            <w:left w:w="0" w:type="dxa"/>
            <w:bottom w:w="0" w:type="dxa"/>
            <w:right w:w="0" w:type="dxa"/>
          </w:tblCellMar>
        </w:tblPrEx>
        <w:trPr>
          <w:trHeight w:val="904"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成本指标</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经济成本指标</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经济成本</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7.58</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万元/每项目</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4.71</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7</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blPrEx>
          <w:tblLayout w:type="fixed"/>
          <w:tblCellMar>
            <w:top w:w="0" w:type="dxa"/>
            <w:left w:w="0" w:type="dxa"/>
            <w:bottom w:w="0" w:type="dxa"/>
            <w:right w:w="0" w:type="dxa"/>
          </w:tblCellMar>
        </w:tblPrEx>
        <w:trPr>
          <w:trHeight w:val="286" w:hRule="atLeast"/>
        </w:trPr>
        <w:tc>
          <w:tcPr>
            <w:tcW w:w="7859"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91</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60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9232"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组织老干部在老年大学开展学习，合唱、舞蹈学习成果显著。</w:t>
            </w:r>
          </w:p>
        </w:tc>
      </w:tr>
      <w:tr>
        <w:tblPrEx>
          <w:tblLayout w:type="fixed"/>
          <w:tblCellMar>
            <w:top w:w="0" w:type="dxa"/>
            <w:left w:w="0" w:type="dxa"/>
            <w:bottom w:w="0" w:type="dxa"/>
            <w:right w:w="0" w:type="dxa"/>
          </w:tblCellMar>
        </w:tblPrEx>
        <w:trPr>
          <w:trHeight w:val="572"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9232"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因场地和开课规模等原因，学习班型较少。</w:t>
            </w:r>
          </w:p>
        </w:tc>
      </w:tr>
      <w:tr>
        <w:tblPrEx>
          <w:tblLayout w:type="fixed"/>
          <w:tblCellMar>
            <w:top w:w="0" w:type="dxa"/>
            <w:left w:w="0" w:type="dxa"/>
            <w:bottom w:w="0" w:type="dxa"/>
            <w:right w:w="0" w:type="dxa"/>
          </w:tblCellMar>
        </w:tblPrEx>
        <w:trPr>
          <w:trHeight w:val="63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9232"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2025年通过开展党建联建与省开大合作，拓展了班型，拓宽了纬度。</w:t>
            </w:r>
          </w:p>
        </w:tc>
      </w:tr>
      <w:tr>
        <w:tblPrEx>
          <w:tblLayout w:type="fixed"/>
          <w:tblCellMar>
            <w:top w:w="0" w:type="dxa"/>
            <w:left w:w="0" w:type="dxa"/>
            <w:bottom w:w="0" w:type="dxa"/>
            <w:right w:w="0" w:type="dxa"/>
          </w:tblCellMar>
        </w:tblPrEx>
        <w:trPr>
          <w:trHeight w:val="286" w:hRule="atLeast"/>
        </w:trPr>
        <w:tc>
          <w:tcPr>
            <w:tcW w:w="5073"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项目负责人：周丽</w:t>
            </w:r>
          </w:p>
        </w:tc>
        <w:tc>
          <w:tcPr>
            <w:tcW w:w="4842"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财务负责人：柏露</w:t>
            </w:r>
          </w:p>
        </w:tc>
      </w:tr>
      <w:tr>
        <w:tblPrEx>
          <w:tblLayout w:type="fixed"/>
          <w:tblCellMar>
            <w:top w:w="0" w:type="dxa"/>
            <w:left w:w="0" w:type="dxa"/>
            <w:bottom w:w="0" w:type="dxa"/>
            <w:right w:w="0" w:type="dxa"/>
          </w:tblCellMar>
        </w:tblPrEx>
        <w:trPr>
          <w:trHeight w:val="286" w:hRule="atLeast"/>
        </w:trPr>
        <w:tc>
          <w:tcPr>
            <w:tcW w:w="68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884"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7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710"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2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33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2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930"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0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45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9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904" w:hRule="atLeast"/>
        </w:trPr>
        <w:tc>
          <w:tcPr>
            <w:tcW w:w="9915"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部门预算项目支出绩效自评表（2024年度）</w:t>
            </w:r>
          </w:p>
        </w:tc>
      </w:tr>
      <w:tr>
        <w:tblPrEx>
          <w:tblLayout w:type="fixed"/>
          <w:tblCellMar>
            <w:top w:w="0" w:type="dxa"/>
            <w:left w:w="0" w:type="dxa"/>
            <w:bottom w:w="0" w:type="dxa"/>
            <w:right w:w="0" w:type="dxa"/>
          </w:tblCellMar>
        </w:tblPrEx>
        <w:trPr>
          <w:trHeight w:val="286" w:hRule="atLeast"/>
        </w:trPr>
        <w:tc>
          <w:tcPr>
            <w:tcW w:w="15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8348"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51320021T000000063677-维修维护费用、垃圾清运、发电机费用</w:t>
            </w:r>
          </w:p>
        </w:tc>
      </w:tr>
      <w:tr>
        <w:tblPrEx>
          <w:tblLayout w:type="fixed"/>
          <w:tblCellMar>
            <w:top w:w="0" w:type="dxa"/>
            <w:left w:w="0" w:type="dxa"/>
            <w:bottom w:w="0" w:type="dxa"/>
            <w:right w:w="0" w:type="dxa"/>
          </w:tblCellMar>
        </w:tblPrEx>
        <w:trPr>
          <w:trHeight w:val="512" w:hRule="atLeast"/>
        </w:trPr>
        <w:tc>
          <w:tcPr>
            <w:tcW w:w="15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5362"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州委老干部局部门</w:t>
            </w:r>
          </w:p>
        </w:tc>
        <w:tc>
          <w:tcPr>
            <w:tcW w:w="930"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205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成都干休所</w:t>
            </w:r>
          </w:p>
        </w:tc>
      </w:tr>
      <w:tr>
        <w:tblPrEx>
          <w:tblLayout w:type="fixed"/>
          <w:tblCellMar>
            <w:top w:w="0" w:type="dxa"/>
            <w:left w:w="0" w:type="dxa"/>
            <w:bottom w:w="0" w:type="dxa"/>
            <w:right w:w="0" w:type="dxa"/>
          </w:tblCellMar>
        </w:tblPrEx>
        <w:trPr>
          <w:trHeight w:val="286"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8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5362"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2986"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tblPrEx>
          <w:tblLayout w:type="fixed"/>
          <w:tblCellMar>
            <w:top w:w="0" w:type="dxa"/>
            <w:left w:w="0" w:type="dxa"/>
            <w:bottom w:w="0" w:type="dxa"/>
            <w:right w:w="0" w:type="dxa"/>
          </w:tblCellMar>
        </w:tblPrEx>
        <w:trPr>
          <w:trHeight w:val="708"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362"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营门口活动点日常维护，办公点清洁卫生。</w:t>
            </w:r>
          </w:p>
        </w:tc>
        <w:tc>
          <w:tcPr>
            <w:tcW w:w="2986"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营门口活动点及时维修维护，院区环境进一步提升。</w:t>
            </w:r>
          </w:p>
        </w:tc>
      </w:tr>
      <w:tr>
        <w:tblPrEx>
          <w:shd w:val="clear" w:color="auto" w:fill="auto"/>
          <w:tblLayout w:type="fixed"/>
          <w:tblCellMar>
            <w:top w:w="0" w:type="dxa"/>
            <w:left w:w="0" w:type="dxa"/>
            <w:bottom w:w="0" w:type="dxa"/>
            <w:right w:w="0" w:type="dxa"/>
          </w:tblCellMar>
        </w:tblPrEx>
        <w:trPr>
          <w:trHeight w:val="693"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8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8348"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营门口活动点及时维修维护，院区环境进一步提升。</w:t>
            </w:r>
          </w:p>
        </w:tc>
      </w:tr>
      <w:tr>
        <w:tblPrEx>
          <w:tblLayout w:type="fixed"/>
          <w:tblCellMar>
            <w:top w:w="0" w:type="dxa"/>
            <w:left w:w="0" w:type="dxa"/>
            <w:bottom w:w="0" w:type="dxa"/>
            <w:right w:w="0" w:type="dxa"/>
          </w:tblCellMar>
        </w:tblPrEx>
        <w:trPr>
          <w:trHeight w:val="600"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8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237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Layout w:type="fixed"/>
          <w:tblCellMar>
            <w:top w:w="0" w:type="dxa"/>
            <w:left w:w="0" w:type="dxa"/>
            <w:bottom w:w="0" w:type="dxa"/>
            <w:right w:w="0" w:type="dxa"/>
          </w:tblCellMar>
        </w:tblPrEx>
        <w:trPr>
          <w:trHeight w:val="346"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2.38</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2.35</w:t>
            </w:r>
          </w:p>
        </w:tc>
        <w:tc>
          <w:tcPr>
            <w:tcW w:w="237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2.35</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39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2.38</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2.35</w:t>
            </w:r>
          </w:p>
        </w:tc>
        <w:tc>
          <w:tcPr>
            <w:tcW w:w="237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2.35</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407"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37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36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37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37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452"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8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维修数量</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套</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6</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维修质量</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好</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好</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时效指标</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清洁及时率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90</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90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社会反映</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好</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好</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可持续发展指标</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维持单位良好形象</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提升形象</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提升形象</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老干部满意</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90</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90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成本指标</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经济成本指标</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维护清洁成本</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2.38</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万元</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2.35</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blPrEx>
          <w:tblLayout w:type="fixed"/>
          <w:tblCellMar>
            <w:top w:w="0" w:type="dxa"/>
            <w:left w:w="0" w:type="dxa"/>
            <w:bottom w:w="0" w:type="dxa"/>
            <w:right w:w="0" w:type="dxa"/>
          </w:tblCellMar>
        </w:tblPrEx>
        <w:trPr>
          <w:trHeight w:val="286" w:hRule="atLeast"/>
        </w:trPr>
        <w:tc>
          <w:tcPr>
            <w:tcW w:w="7859"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94</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60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9232"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营门口活动点及时维修维护，院区环境进一步提升。</w:t>
            </w:r>
          </w:p>
        </w:tc>
      </w:tr>
      <w:tr>
        <w:tblPrEx>
          <w:tblLayout w:type="fixed"/>
          <w:tblCellMar>
            <w:top w:w="0" w:type="dxa"/>
            <w:left w:w="0" w:type="dxa"/>
            <w:bottom w:w="0" w:type="dxa"/>
            <w:right w:w="0" w:type="dxa"/>
          </w:tblCellMar>
        </w:tblPrEx>
        <w:trPr>
          <w:trHeight w:val="572"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9232"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营门口路面年久需要修缮。</w:t>
            </w:r>
          </w:p>
        </w:tc>
      </w:tr>
      <w:tr>
        <w:tblPrEx>
          <w:tblLayout w:type="fixed"/>
          <w:tblCellMar>
            <w:top w:w="0" w:type="dxa"/>
            <w:left w:w="0" w:type="dxa"/>
            <w:bottom w:w="0" w:type="dxa"/>
            <w:right w:w="0" w:type="dxa"/>
          </w:tblCellMar>
        </w:tblPrEx>
        <w:trPr>
          <w:trHeight w:val="63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9232"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列入2025年预算，路面改造，进一步提升小区形象。</w:t>
            </w:r>
          </w:p>
        </w:tc>
      </w:tr>
      <w:tr>
        <w:tblPrEx>
          <w:tblLayout w:type="fixed"/>
          <w:tblCellMar>
            <w:top w:w="0" w:type="dxa"/>
            <w:left w:w="0" w:type="dxa"/>
            <w:bottom w:w="0" w:type="dxa"/>
            <w:right w:w="0" w:type="dxa"/>
          </w:tblCellMar>
        </w:tblPrEx>
        <w:trPr>
          <w:trHeight w:val="286" w:hRule="atLeast"/>
        </w:trPr>
        <w:tc>
          <w:tcPr>
            <w:tcW w:w="5073"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项目负责人：甲特</w:t>
            </w:r>
          </w:p>
        </w:tc>
        <w:tc>
          <w:tcPr>
            <w:tcW w:w="4842"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财务负责人：柏露</w:t>
            </w:r>
          </w:p>
        </w:tc>
      </w:tr>
      <w:tr>
        <w:tblPrEx>
          <w:tblLayout w:type="fixed"/>
          <w:tblCellMar>
            <w:top w:w="0" w:type="dxa"/>
            <w:left w:w="0" w:type="dxa"/>
            <w:bottom w:w="0" w:type="dxa"/>
            <w:right w:w="0" w:type="dxa"/>
          </w:tblCellMar>
        </w:tblPrEx>
        <w:trPr>
          <w:trHeight w:val="286" w:hRule="atLeast"/>
        </w:trPr>
        <w:tc>
          <w:tcPr>
            <w:tcW w:w="68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884"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7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710"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2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33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2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930"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0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45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9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904" w:hRule="atLeast"/>
        </w:trPr>
        <w:tc>
          <w:tcPr>
            <w:tcW w:w="9915"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部门预算项目支出绩效自评表（2024年度）</w:t>
            </w:r>
          </w:p>
        </w:tc>
      </w:tr>
      <w:tr>
        <w:tblPrEx>
          <w:tblLayout w:type="fixed"/>
          <w:tblCellMar>
            <w:top w:w="0" w:type="dxa"/>
            <w:left w:w="0" w:type="dxa"/>
            <w:bottom w:w="0" w:type="dxa"/>
            <w:right w:w="0" w:type="dxa"/>
          </w:tblCellMar>
        </w:tblPrEx>
        <w:trPr>
          <w:trHeight w:val="286" w:hRule="atLeast"/>
        </w:trPr>
        <w:tc>
          <w:tcPr>
            <w:tcW w:w="15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8348"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51320022T000004821808-办公点物业管理费</w:t>
            </w:r>
          </w:p>
        </w:tc>
      </w:tr>
      <w:tr>
        <w:tblPrEx>
          <w:tblLayout w:type="fixed"/>
          <w:tblCellMar>
            <w:top w:w="0" w:type="dxa"/>
            <w:left w:w="0" w:type="dxa"/>
            <w:bottom w:w="0" w:type="dxa"/>
            <w:right w:w="0" w:type="dxa"/>
          </w:tblCellMar>
        </w:tblPrEx>
        <w:trPr>
          <w:trHeight w:val="512" w:hRule="atLeast"/>
        </w:trPr>
        <w:tc>
          <w:tcPr>
            <w:tcW w:w="15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5362"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州委老干部局部门</w:t>
            </w:r>
          </w:p>
        </w:tc>
        <w:tc>
          <w:tcPr>
            <w:tcW w:w="930"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205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成都干休所</w:t>
            </w:r>
          </w:p>
        </w:tc>
      </w:tr>
      <w:tr>
        <w:tblPrEx>
          <w:tblLayout w:type="fixed"/>
          <w:tblCellMar>
            <w:top w:w="0" w:type="dxa"/>
            <w:left w:w="0" w:type="dxa"/>
            <w:bottom w:w="0" w:type="dxa"/>
            <w:right w:w="0" w:type="dxa"/>
          </w:tblCellMar>
        </w:tblPrEx>
        <w:trPr>
          <w:trHeight w:val="286"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8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5362"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2986"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tblPrEx>
          <w:tblLayout w:type="fixed"/>
          <w:tblCellMar>
            <w:top w:w="0" w:type="dxa"/>
            <w:left w:w="0" w:type="dxa"/>
            <w:bottom w:w="0" w:type="dxa"/>
            <w:right w:w="0" w:type="dxa"/>
          </w:tblCellMar>
        </w:tblPrEx>
        <w:trPr>
          <w:trHeight w:val="708"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362"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营门口、花都财富2个办公点物业管理费。</w:t>
            </w:r>
          </w:p>
        </w:tc>
        <w:tc>
          <w:tcPr>
            <w:tcW w:w="2986"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按期结算营门口、花都财富2个办公点物业管理费，办公点正常运转。</w:t>
            </w:r>
          </w:p>
        </w:tc>
      </w:tr>
      <w:tr>
        <w:tblPrEx>
          <w:tblLayout w:type="fixed"/>
          <w:tblCellMar>
            <w:top w:w="0" w:type="dxa"/>
            <w:left w:w="0" w:type="dxa"/>
            <w:bottom w:w="0" w:type="dxa"/>
            <w:right w:w="0" w:type="dxa"/>
          </w:tblCellMar>
        </w:tblPrEx>
        <w:trPr>
          <w:trHeight w:val="693"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8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8348"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分季度结算营门口、花都财富2个办公点物业管理费，办公点正常运转。</w:t>
            </w:r>
          </w:p>
        </w:tc>
      </w:tr>
      <w:tr>
        <w:tblPrEx>
          <w:tblLayout w:type="fixed"/>
          <w:tblCellMar>
            <w:top w:w="0" w:type="dxa"/>
            <w:left w:w="0" w:type="dxa"/>
            <w:bottom w:w="0" w:type="dxa"/>
            <w:right w:w="0" w:type="dxa"/>
          </w:tblCellMar>
        </w:tblPrEx>
        <w:trPr>
          <w:trHeight w:val="600"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8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237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Layout w:type="fixed"/>
          <w:tblCellMar>
            <w:top w:w="0" w:type="dxa"/>
            <w:left w:w="0" w:type="dxa"/>
            <w:bottom w:w="0" w:type="dxa"/>
            <w:right w:w="0" w:type="dxa"/>
          </w:tblCellMar>
        </w:tblPrEx>
        <w:trPr>
          <w:trHeight w:val="346"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37.20</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36.76</w:t>
            </w:r>
          </w:p>
        </w:tc>
        <w:tc>
          <w:tcPr>
            <w:tcW w:w="237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36.76</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39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37.20</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36.76</w:t>
            </w:r>
          </w:p>
        </w:tc>
        <w:tc>
          <w:tcPr>
            <w:tcW w:w="237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36.76</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407"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37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36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37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37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452"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8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Layout w:type="fixed"/>
          <w:tblCellMar>
            <w:top w:w="0" w:type="dxa"/>
            <w:left w:w="0" w:type="dxa"/>
            <w:bottom w:w="0" w:type="dxa"/>
            <w:right w:w="0" w:type="dxa"/>
          </w:tblCellMar>
        </w:tblPrEx>
        <w:trPr>
          <w:trHeight w:val="452"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结算次数</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次/年</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4</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服务质量</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好</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好</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18</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blPrEx>
          <w:tblLayout w:type="fixed"/>
          <w:tblCellMar>
            <w:top w:w="0" w:type="dxa"/>
            <w:left w:w="0" w:type="dxa"/>
            <w:bottom w:w="0" w:type="dxa"/>
            <w:right w:w="0" w:type="dxa"/>
          </w:tblCellMar>
        </w:tblPrEx>
        <w:trPr>
          <w:trHeight w:val="452"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时效指标</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按时结月</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次/年</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4</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社会评价</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高</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高</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可持续发展指标</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提升物业服务</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提升服务</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提升服务</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干部群众对物业管理满意</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90</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90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成本指标</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经济成本指标</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物业管理成本</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37.2</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万元</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36.76</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blPrEx>
          <w:tblLayout w:type="fixed"/>
          <w:tblCellMar>
            <w:top w:w="0" w:type="dxa"/>
            <w:left w:w="0" w:type="dxa"/>
            <w:bottom w:w="0" w:type="dxa"/>
            <w:right w:w="0" w:type="dxa"/>
          </w:tblCellMar>
        </w:tblPrEx>
        <w:trPr>
          <w:trHeight w:val="286" w:hRule="atLeast"/>
        </w:trPr>
        <w:tc>
          <w:tcPr>
            <w:tcW w:w="7859"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94</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60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9232"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分季度结算营门口、花都财富2个办公点物业管理费，办公点正常运转。</w:t>
            </w:r>
          </w:p>
        </w:tc>
      </w:tr>
      <w:tr>
        <w:tblPrEx>
          <w:tblLayout w:type="fixed"/>
          <w:tblCellMar>
            <w:top w:w="0" w:type="dxa"/>
            <w:left w:w="0" w:type="dxa"/>
            <w:bottom w:w="0" w:type="dxa"/>
            <w:right w:w="0" w:type="dxa"/>
          </w:tblCellMar>
        </w:tblPrEx>
        <w:trPr>
          <w:trHeight w:val="572"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9232"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与物业公司沟通协调不够，解决问题还不够及时。</w:t>
            </w:r>
          </w:p>
        </w:tc>
      </w:tr>
      <w:tr>
        <w:tblPrEx>
          <w:tblLayout w:type="fixed"/>
          <w:tblCellMar>
            <w:top w:w="0" w:type="dxa"/>
            <w:left w:w="0" w:type="dxa"/>
            <w:bottom w:w="0" w:type="dxa"/>
            <w:right w:w="0" w:type="dxa"/>
          </w:tblCellMar>
        </w:tblPrEx>
        <w:trPr>
          <w:trHeight w:val="63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9232"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2025年与物业公司开展沟通协调，及时解决出现的问题。</w:t>
            </w:r>
          </w:p>
        </w:tc>
      </w:tr>
      <w:tr>
        <w:tblPrEx>
          <w:tblLayout w:type="fixed"/>
          <w:tblCellMar>
            <w:top w:w="0" w:type="dxa"/>
            <w:left w:w="0" w:type="dxa"/>
            <w:bottom w:w="0" w:type="dxa"/>
            <w:right w:w="0" w:type="dxa"/>
          </w:tblCellMar>
        </w:tblPrEx>
        <w:trPr>
          <w:trHeight w:val="286" w:hRule="atLeast"/>
        </w:trPr>
        <w:tc>
          <w:tcPr>
            <w:tcW w:w="5073"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项目负责人：甲特</w:t>
            </w:r>
          </w:p>
        </w:tc>
        <w:tc>
          <w:tcPr>
            <w:tcW w:w="4842"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财务负责人：柏露</w:t>
            </w:r>
          </w:p>
        </w:tc>
      </w:tr>
      <w:tr>
        <w:tblPrEx>
          <w:tblLayout w:type="fixed"/>
          <w:tblCellMar>
            <w:top w:w="0" w:type="dxa"/>
            <w:left w:w="0" w:type="dxa"/>
            <w:bottom w:w="0" w:type="dxa"/>
            <w:right w:w="0" w:type="dxa"/>
          </w:tblCellMar>
        </w:tblPrEx>
        <w:trPr>
          <w:trHeight w:val="286" w:hRule="atLeast"/>
        </w:trPr>
        <w:tc>
          <w:tcPr>
            <w:tcW w:w="68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884"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7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710"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2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33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2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930"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0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45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9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904" w:hRule="atLeast"/>
        </w:trPr>
        <w:tc>
          <w:tcPr>
            <w:tcW w:w="9915"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部门预算项目支出绩效自评表（2024年度）</w:t>
            </w:r>
          </w:p>
        </w:tc>
      </w:tr>
      <w:tr>
        <w:tblPrEx>
          <w:shd w:val="clear" w:color="auto" w:fill="auto"/>
          <w:tblLayout w:type="fixed"/>
          <w:tblCellMar>
            <w:top w:w="0" w:type="dxa"/>
            <w:left w:w="0" w:type="dxa"/>
            <w:bottom w:w="0" w:type="dxa"/>
            <w:right w:w="0" w:type="dxa"/>
          </w:tblCellMar>
        </w:tblPrEx>
        <w:trPr>
          <w:trHeight w:val="286" w:hRule="atLeast"/>
        </w:trPr>
        <w:tc>
          <w:tcPr>
            <w:tcW w:w="15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8348"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51320023T000008158579-离退休基层党组织活动费</w:t>
            </w:r>
          </w:p>
        </w:tc>
      </w:tr>
      <w:tr>
        <w:tblPrEx>
          <w:tblLayout w:type="fixed"/>
          <w:tblCellMar>
            <w:top w:w="0" w:type="dxa"/>
            <w:left w:w="0" w:type="dxa"/>
            <w:bottom w:w="0" w:type="dxa"/>
            <w:right w:w="0" w:type="dxa"/>
          </w:tblCellMar>
        </w:tblPrEx>
        <w:trPr>
          <w:trHeight w:val="512" w:hRule="atLeast"/>
        </w:trPr>
        <w:tc>
          <w:tcPr>
            <w:tcW w:w="15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5362"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州委老干部局部门</w:t>
            </w:r>
          </w:p>
        </w:tc>
        <w:tc>
          <w:tcPr>
            <w:tcW w:w="930"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205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成都干休所</w:t>
            </w:r>
          </w:p>
        </w:tc>
      </w:tr>
      <w:tr>
        <w:tblPrEx>
          <w:tblLayout w:type="fixed"/>
          <w:tblCellMar>
            <w:top w:w="0" w:type="dxa"/>
            <w:left w:w="0" w:type="dxa"/>
            <w:bottom w:w="0" w:type="dxa"/>
            <w:right w:w="0" w:type="dxa"/>
          </w:tblCellMar>
        </w:tblPrEx>
        <w:trPr>
          <w:trHeight w:val="286"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8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5362"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2986"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tblPrEx>
          <w:tblLayout w:type="fixed"/>
          <w:tblCellMar>
            <w:top w:w="0" w:type="dxa"/>
            <w:left w:w="0" w:type="dxa"/>
            <w:bottom w:w="0" w:type="dxa"/>
            <w:right w:w="0" w:type="dxa"/>
          </w:tblCellMar>
        </w:tblPrEx>
        <w:trPr>
          <w:trHeight w:val="708"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362"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离退休基层党组织委员工作补贴、离退休基层党组织党建活动</w:t>
            </w:r>
          </w:p>
        </w:tc>
        <w:tc>
          <w:tcPr>
            <w:tcW w:w="2986"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按期结算离退休基层党组织委员工作补贴，组织离退休基层党组织开展党建活动，开展党建联建活动。</w:t>
            </w:r>
          </w:p>
        </w:tc>
      </w:tr>
      <w:tr>
        <w:tblPrEx>
          <w:tblLayout w:type="fixed"/>
          <w:tblCellMar>
            <w:top w:w="0" w:type="dxa"/>
            <w:left w:w="0" w:type="dxa"/>
            <w:bottom w:w="0" w:type="dxa"/>
            <w:right w:w="0" w:type="dxa"/>
          </w:tblCellMar>
        </w:tblPrEx>
        <w:trPr>
          <w:trHeight w:val="693"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8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8348"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每季度结算离退休基层党组织委员工作补贴，每月组织离退休基层党组织开展党建活动，党建联建活动正常推进。</w:t>
            </w:r>
          </w:p>
        </w:tc>
      </w:tr>
      <w:tr>
        <w:tblPrEx>
          <w:tblLayout w:type="fixed"/>
          <w:tblCellMar>
            <w:top w:w="0" w:type="dxa"/>
            <w:left w:w="0" w:type="dxa"/>
            <w:bottom w:w="0" w:type="dxa"/>
            <w:right w:w="0" w:type="dxa"/>
          </w:tblCellMar>
        </w:tblPrEx>
        <w:trPr>
          <w:trHeight w:val="580"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8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237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Layout w:type="fixed"/>
          <w:tblCellMar>
            <w:top w:w="0" w:type="dxa"/>
            <w:left w:w="0" w:type="dxa"/>
            <w:bottom w:w="0" w:type="dxa"/>
            <w:right w:w="0" w:type="dxa"/>
          </w:tblCellMar>
        </w:tblPrEx>
        <w:trPr>
          <w:trHeight w:val="346"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19.72</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14.58</w:t>
            </w:r>
          </w:p>
        </w:tc>
        <w:tc>
          <w:tcPr>
            <w:tcW w:w="237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14.58</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39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19.72</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14.58</w:t>
            </w:r>
          </w:p>
        </w:tc>
        <w:tc>
          <w:tcPr>
            <w:tcW w:w="237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14.58</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407"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37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36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37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37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452"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8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活动次数</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12</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场次</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12</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活动质量</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高</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高</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时效指标</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活动时效</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月</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1</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好</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好</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可持续发展指标</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党员获得感</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获得感强</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获得感强</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党员满意度</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高</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高</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成本指标</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经济成本指标</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开展活动成本</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19.72</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万元</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14.58</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blPrEx>
          <w:tblLayout w:type="fixed"/>
          <w:tblCellMar>
            <w:top w:w="0" w:type="dxa"/>
            <w:left w:w="0" w:type="dxa"/>
            <w:bottom w:w="0" w:type="dxa"/>
            <w:right w:w="0" w:type="dxa"/>
          </w:tblCellMar>
        </w:tblPrEx>
        <w:trPr>
          <w:trHeight w:val="286" w:hRule="atLeast"/>
        </w:trPr>
        <w:tc>
          <w:tcPr>
            <w:tcW w:w="7859"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94</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60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9232"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每季度结算离退休基层党组织委员工作补贴，每月组织离退休基层党组织开展党建活动，党建联建活动正常推进。</w:t>
            </w:r>
          </w:p>
        </w:tc>
      </w:tr>
      <w:tr>
        <w:tblPrEx>
          <w:tblLayout w:type="fixed"/>
          <w:tblCellMar>
            <w:top w:w="0" w:type="dxa"/>
            <w:left w:w="0" w:type="dxa"/>
            <w:bottom w:w="0" w:type="dxa"/>
            <w:right w:w="0" w:type="dxa"/>
          </w:tblCellMar>
        </w:tblPrEx>
        <w:trPr>
          <w:trHeight w:val="572"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9232"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党建联建活动还需进一步加强。</w:t>
            </w:r>
          </w:p>
        </w:tc>
      </w:tr>
      <w:tr>
        <w:tblPrEx>
          <w:tblLayout w:type="fixed"/>
          <w:tblCellMar>
            <w:top w:w="0" w:type="dxa"/>
            <w:left w:w="0" w:type="dxa"/>
            <w:bottom w:w="0" w:type="dxa"/>
            <w:right w:w="0" w:type="dxa"/>
          </w:tblCellMar>
        </w:tblPrEx>
        <w:trPr>
          <w:trHeight w:val="63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9232"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2025年中心党委重点推进党建联建工作。</w:t>
            </w:r>
          </w:p>
        </w:tc>
      </w:tr>
      <w:tr>
        <w:tblPrEx>
          <w:tblLayout w:type="fixed"/>
          <w:tblCellMar>
            <w:top w:w="0" w:type="dxa"/>
            <w:left w:w="0" w:type="dxa"/>
            <w:bottom w:w="0" w:type="dxa"/>
            <w:right w:w="0" w:type="dxa"/>
          </w:tblCellMar>
        </w:tblPrEx>
        <w:trPr>
          <w:trHeight w:val="286" w:hRule="atLeast"/>
        </w:trPr>
        <w:tc>
          <w:tcPr>
            <w:tcW w:w="5073"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项目负责人：柏露</w:t>
            </w:r>
          </w:p>
        </w:tc>
        <w:tc>
          <w:tcPr>
            <w:tcW w:w="4842"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财务负责人：柏露</w:t>
            </w:r>
          </w:p>
        </w:tc>
      </w:tr>
      <w:tr>
        <w:tblPrEx>
          <w:tblLayout w:type="fixed"/>
          <w:tblCellMar>
            <w:top w:w="0" w:type="dxa"/>
            <w:left w:w="0" w:type="dxa"/>
            <w:bottom w:w="0" w:type="dxa"/>
            <w:right w:w="0" w:type="dxa"/>
          </w:tblCellMar>
        </w:tblPrEx>
        <w:trPr>
          <w:trHeight w:val="286" w:hRule="atLeast"/>
        </w:trPr>
        <w:tc>
          <w:tcPr>
            <w:tcW w:w="68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884"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7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710"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2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33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2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930"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0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45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9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bl>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p>
    <w:p>
      <w:pPr>
        <w:widowControl/>
        <w:jc w:val="center"/>
        <w:rPr>
          <w:rFonts w:hint="eastAsia" w:ascii="Times New Roman" w:hAnsi="Times New Roman" w:eastAsia="仿宋_GB2312" w:cs="仿宋_GB2312"/>
          <w:color w:val="auto"/>
          <w:sz w:val="32"/>
          <w:szCs w:val="32"/>
          <w:highlight w:val="none"/>
        </w:rPr>
      </w:pPr>
      <w:r>
        <w:rPr>
          <w:rFonts w:hint="eastAsia" w:ascii="Times New Roman" w:hAnsi="Times New Roman" w:eastAsia="黑体"/>
          <w:color w:val="auto"/>
          <w:sz w:val="44"/>
          <w:szCs w:val="44"/>
          <w:highlight w:val="none"/>
        </w:rPr>
        <w:t>第</w:t>
      </w:r>
      <w:r>
        <w:rPr>
          <w:rStyle w:val="28"/>
          <w:rFonts w:hint="eastAsia" w:ascii="Times New Roman" w:hAnsi="Times New Roman" w:eastAsia="黑体"/>
          <w:b w:val="0"/>
          <w:color w:val="auto"/>
          <w:highlight w:val="none"/>
        </w:rPr>
        <w:t>五部分 附表</w:t>
      </w:r>
      <w:bookmarkEnd w:id="45"/>
      <w:bookmarkEnd w:id="53"/>
      <w:bookmarkStart w:id="54" w:name="_Toc15396619"/>
    </w:p>
    <w:p>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一、收入支出决算总表</w:t>
      </w:r>
      <w:bookmarkEnd w:id="54"/>
    </w:p>
    <w:p>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5" w:name="_Toc15396620"/>
      <w:r>
        <w:rPr>
          <w:rFonts w:hint="eastAsia" w:ascii="Times New Roman" w:hAnsi="Times New Roman" w:eastAsia="仿宋_GB2312" w:cs="仿宋_GB2312"/>
          <w:color w:val="auto"/>
          <w:sz w:val="32"/>
          <w:szCs w:val="32"/>
          <w:highlight w:val="none"/>
        </w:rPr>
        <w:t>二、收入决算表</w:t>
      </w:r>
      <w:bookmarkEnd w:id="55"/>
    </w:p>
    <w:p>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6" w:name="_Toc15396621"/>
      <w:r>
        <w:rPr>
          <w:rFonts w:hint="eastAsia" w:ascii="Times New Roman" w:hAnsi="Times New Roman" w:eastAsia="仿宋_GB2312" w:cs="仿宋_GB2312"/>
          <w:color w:val="auto"/>
          <w:sz w:val="32"/>
          <w:szCs w:val="32"/>
          <w:highlight w:val="none"/>
        </w:rPr>
        <w:t>三、支出决算表</w:t>
      </w:r>
      <w:bookmarkEnd w:id="56"/>
    </w:p>
    <w:p>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7" w:name="_Toc15396622"/>
      <w:r>
        <w:rPr>
          <w:rFonts w:hint="eastAsia" w:ascii="Times New Roman" w:hAnsi="Times New Roman" w:eastAsia="仿宋_GB2312" w:cs="仿宋_GB2312"/>
          <w:color w:val="auto"/>
          <w:sz w:val="32"/>
          <w:szCs w:val="32"/>
          <w:highlight w:val="none"/>
        </w:rPr>
        <w:t>四、财政拨款收入支出决算总表</w:t>
      </w:r>
      <w:bookmarkEnd w:id="57"/>
    </w:p>
    <w:p>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8" w:name="_Toc15396623"/>
      <w:r>
        <w:rPr>
          <w:rFonts w:hint="eastAsia" w:ascii="Times New Roman" w:hAnsi="Times New Roman" w:eastAsia="仿宋_GB2312" w:cs="仿宋_GB2312"/>
          <w:color w:val="auto"/>
          <w:sz w:val="32"/>
          <w:szCs w:val="32"/>
          <w:highlight w:val="none"/>
        </w:rPr>
        <w:t>五、财政拨款支出决算明细表</w:t>
      </w:r>
      <w:bookmarkEnd w:id="58"/>
      <w:bookmarkStart w:id="59" w:name="_Toc15396624"/>
    </w:p>
    <w:p>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六、一般公共预算财政拨款支出决算表</w:t>
      </w:r>
      <w:bookmarkEnd w:id="59"/>
    </w:p>
    <w:p>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0" w:name="_Toc15396625"/>
      <w:r>
        <w:rPr>
          <w:rFonts w:hint="eastAsia" w:ascii="Times New Roman" w:hAnsi="Times New Roman" w:eastAsia="仿宋_GB2312" w:cs="仿宋_GB2312"/>
          <w:color w:val="auto"/>
          <w:sz w:val="32"/>
          <w:szCs w:val="32"/>
          <w:highlight w:val="none"/>
        </w:rPr>
        <w:t>七、一般公共预算财政拨款支出决算明细表</w:t>
      </w:r>
      <w:bookmarkEnd w:id="60"/>
    </w:p>
    <w:p>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1" w:name="_Toc15396626"/>
      <w:r>
        <w:rPr>
          <w:rFonts w:hint="eastAsia" w:ascii="Times New Roman" w:hAnsi="Times New Roman" w:eastAsia="仿宋_GB2312" w:cs="仿宋_GB2312"/>
          <w:color w:val="auto"/>
          <w:sz w:val="32"/>
          <w:szCs w:val="32"/>
          <w:highlight w:val="none"/>
        </w:rPr>
        <w:t>八、一般公共预算财政拨款基本支出决算表</w:t>
      </w:r>
      <w:bookmarkEnd w:id="61"/>
    </w:p>
    <w:p>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2" w:name="_Toc15396627"/>
      <w:r>
        <w:rPr>
          <w:rFonts w:hint="eastAsia" w:ascii="Times New Roman" w:hAnsi="Times New Roman" w:eastAsia="仿宋_GB2312" w:cs="仿宋_GB2312"/>
          <w:color w:val="auto"/>
          <w:sz w:val="32"/>
          <w:szCs w:val="32"/>
          <w:highlight w:val="none"/>
        </w:rPr>
        <w:t>九、一般公共预算财政拨款项目支出决算表</w:t>
      </w:r>
      <w:bookmarkEnd w:id="62"/>
    </w:p>
    <w:p>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3" w:name="_Toc15396628"/>
      <w:r>
        <w:rPr>
          <w:rFonts w:hint="eastAsia" w:ascii="Times New Roman" w:hAnsi="Times New Roman" w:eastAsia="仿宋_GB2312" w:cs="仿宋_GB2312"/>
          <w:color w:val="auto"/>
          <w:sz w:val="32"/>
          <w:szCs w:val="32"/>
          <w:highlight w:val="none"/>
        </w:rPr>
        <w:t>十、</w:t>
      </w:r>
      <w:bookmarkEnd w:id="63"/>
      <w:r>
        <w:rPr>
          <w:rFonts w:hint="eastAsia" w:ascii="Times New Roman" w:hAnsi="Times New Roman" w:eastAsia="仿宋_GB2312" w:cs="仿宋_GB2312"/>
          <w:color w:val="auto"/>
          <w:sz w:val="32"/>
          <w:szCs w:val="32"/>
          <w:highlight w:val="none"/>
        </w:rPr>
        <w:t>政府性基金预算财政拨款收入支出决算表</w:t>
      </w:r>
    </w:p>
    <w:p>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4" w:name="_Toc15396629"/>
      <w:r>
        <w:rPr>
          <w:rFonts w:hint="eastAsia" w:ascii="Times New Roman" w:hAnsi="Times New Roman" w:eastAsia="仿宋_GB2312" w:cs="仿宋_GB2312"/>
          <w:color w:val="auto"/>
          <w:sz w:val="32"/>
          <w:szCs w:val="32"/>
          <w:highlight w:val="none"/>
        </w:rPr>
        <w:t>十一、</w:t>
      </w:r>
      <w:bookmarkEnd w:id="64"/>
      <w:r>
        <w:rPr>
          <w:rFonts w:hint="eastAsia" w:ascii="Times New Roman" w:hAnsi="Times New Roman" w:eastAsia="仿宋_GB2312" w:cs="仿宋_GB2312"/>
          <w:color w:val="auto"/>
          <w:sz w:val="32"/>
          <w:szCs w:val="32"/>
          <w:highlight w:val="none"/>
        </w:rPr>
        <w:t>国有资本经营预算</w:t>
      </w:r>
      <w:r>
        <w:rPr>
          <w:rFonts w:hint="eastAsia" w:ascii="Times New Roman" w:hAnsi="Times New Roman" w:eastAsia="仿宋_GB2312" w:cs="仿宋_GB2312"/>
          <w:color w:val="auto"/>
          <w:sz w:val="32"/>
          <w:szCs w:val="32"/>
          <w:highlight w:val="none"/>
          <w:lang w:eastAsia="zh-CN"/>
        </w:rPr>
        <w:t>财政拨款收入</w:t>
      </w:r>
      <w:r>
        <w:rPr>
          <w:rFonts w:hint="eastAsia" w:ascii="Times New Roman" w:hAnsi="Times New Roman" w:eastAsia="仿宋_GB2312" w:cs="仿宋_GB2312"/>
          <w:color w:val="auto"/>
          <w:sz w:val="32"/>
          <w:szCs w:val="32"/>
          <w:highlight w:val="none"/>
        </w:rPr>
        <w:t>支出决算表</w:t>
      </w:r>
    </w:p>
    <w:p>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5" w:name="_Toc15396630"/>
      <w:r>
        <w:rPr>
          <w:rFonts w:hint="eastAsia" w:ascii="Times New Roman" w:hAnsi="Times New Roman" w:eastAsia="仿宋_GB2312" w:cs="仿宋_GB2312"/>
          <w:color w:val="auto"/>
          <w:sz w:val="32"/>
          <w:szCs w:val="32"/>
          <w:highlight w:val="none"/>
        </w:rPr>
        <w:t>十二、</w:t>
      </w:r>
      <w:bookmarkEnd w:id="65"/>
      <w:r>
        <w:rPr>
          <w:rFonts w:hint="eastAsia" w:ascii="Times New Roman" w:hAnsi="Times New Roman" w:eastAsia="仿宋_GB2312" w:cs="仿宋_GB2312"/>
          <w:color w:val="auto"/>
          <w:sz w:val="32"/>
          <w:szCs w:val="32"/>
          <w:highlight w:val="none"/>
          <w:lang w:eastAsia="zh-CN"/>
        </w:rPr>
        <w:t>国有资本经营预算财政拨款支出决算表</w:t>
      </w:r>
    </w:p>
    <w:p>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lang w:eastAsia="zh-CN"/>
        </w:rPr>
      </w:pPr>
      <w:bookmarkStart w:id="66" w:name="_Toc15396631"/>
      <w:r>
        <w:rPr>
          <w:rFonts w:hint="eastAsia" w:ascii="Times New Roman" w:hAnsi="Times New Roman" w:eastAsia="仿宋_GB2312" w:cs="仿宋_GB2312"/>
          <w:color w:val="auto"/>
          <w:sz w:val="32"/>
          <w:szCs w:val="32"/>
          <w:highlight w:val="none"/>
        </w:rPr>
        <w:t>十三、</w:t>
      </w:r>
      <w:bookmarkEnd w:id="66"/>
      <w:r>
        <w:rPr>
          <w:rFonts w:hint="eastAsia" w:ascii="Times New Roman" w:hAnsi="Times New Roman" w:eastAsia="仿宋_GB2312" w:cs="仿宋_GB2312"/>
          <w:color w:val="auto"/>
          <w:sz w:val="32"/>
          <w:szCs w:val="32"/>
          <w:highlight w:val="none"/>
          <w:lang w:eastAsia="zh-CN"/>
        </w:rPr>
        <w:t>财政拨款“三公”经费支出决算表</w:t>
      </w:r>
    </w:p>
    <w:p>
      <w:pPr>
        <w:rPr>
          <w:rFonts w:hint="eastAsia" w:ascii="Times New Roman" w:hAnsi="Times New Roman"/>
          <w:lang w:eastAsia="zh-CN"/>
        </w:rPr>
      </w:pPr>
    </w:p>
    <w:sectPr>
      <w:footerReference r:id="rId7" w:type="first"/>
      <w:footerReference r:id="rId6" w:type="default"/>
      <w:pgSz w:w="11906" w:h="16838"/>
      <w:pgMar w:top="1440" w:right="1800" w:bottom="1440" w:left="1800" w:header="851" w:footer="992" w:gutter="0"/>
      <w:pgNumType w:fmt="numberInDash"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方正小标宋简体">
    <w:altName w:val="黑体"/>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rPr>
        <w:sz w:val="18"/>
      </w:rPr>
      <mc:AlternateContent>
        <mc:Choice Requires="wps">
          <w:drawing>
            <wp:anchor distT="0" distB="0" distL="114300" distR="114300" simplePos="0" relativeHeight="251667456" behindDoc="0" locked="0" layoutInCell="1" allowOverlap="1">
              <wp:simplePos x="0" y="0"/>
              <wp:positionH relativeFrom="margin">
                <wp:align>left</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- 1 -</w:t>
                    </w:r>
                    <w:r>
                      <w:fldChar w:fldCharType="end"/>
                    </w:r>
                  </w:p>
                </w:txbxContent>
              </v:textbox>
            </v:shape>
          </w:pict>
        </mc:Fallback>
      </mc:AlternateContent>
    </w:r>
  </w:p>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8480" behindDoc="0" locked="0" layoutInCell="1" allowOverlap="1">
              <wp:simplePos x="0" y="0"/>
              <wp:positionH relativeFrom="margin">
                <wp:align>left</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PLFPAVAgAAEwQAAA4AAABkcnMvZTJvRG9jLnhtbK1TTY7TMBTeI3EH&#10;y3uatIhRp2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CPLFPAVAgAAEwQAAA4AAAAAAAAA&#10;AQAgAAAAHwEAAGRycy9lMm9Eb2MueG1sUEsFBgAAAAAGAAYAWQEAAKYFA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rPr>
        <w:sz w:val="18"/>
      </w:rPr>
      <mc:AlternateContent>
        <mc:Choice Requires="wps">
          <w:drawing>
            <wp:anchor distT="0" distB="0" distL="114300" distR="114300" simplePos="0" relativeHeight="251669504" behindDoc="0" locked="0" layoutInCell="1" allowOverlap="1">
              <wp:simplePos x="0" y="0"/>
              <wp:positionH relativeFrom="margin">
                <wp:align>left</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I3F45UVAgAAFQQAAA4AAAAAAAAA&#10;AQAgAAAAHwEAAGRycy9lMm9Eb2MueG1sUEsFBgAAAAAGAAYAWQEAAKYFA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- 2 -</w:t>
                    </w:r>
                    <w:r>
                      <w:fldChar w:fldCharType="end"/>
                    </w:r>
                  </w:p>
                </w:txbxContent>
              </v:textbox>
            </v:shape>
          </w:pict>
        </mc:Fallback>
      </mc:AlternateContent>
    </w:r>
  </w:p>
  <w:p>
    <w:pPr>
      <w:pStyle w:val="1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70528" behindDoc="0" locked="0" layoutInCell="1" allowOverlap="1">
              <wp:simplePos x="0" y="0"/>
              <wp:positionH relativeFrom="margin">
                <wp:align>left</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9tdHoSAgAAFQ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M9tdHoSAgAAFQQAAA4AAAAAAAAAAQAg&#10;AAAAHwEAAGRycy9lMm9Eb2MueG1sUEsFBgAAAAAGAAYAWQEAAKMFA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B33DB89"/>
    <w:multiLevelType w:val="singleLevel"/>
    <w:tmpl w:val="7B33DB89"/>
    <w:lvl w:ilvl="0" w:tentative="0">
      <w:start w:val="1"/>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0602"/>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2FEBE30"/>
    <w:rsid w:val="037B79F7"/>
    <w:rsid w:val="04916F1E"/>
    <w:rsid w:val="061E35DE"/>
    <w:rsid w:val="06301958"/>
    <w:rsid w:val="066E0107"/>
    <w:rsid w:val="06E57385"/>
    <w:rsid w:val="07996F6E"/>
    <w:rsid w:val="07DFD8BA"/>
    <w:rsid w:val="09867E8F"/>
    <w:rsid w:val="0A2032A3"/>
    <w:rsid w:val="0CA8290A"/>
    <w:rsid w:val="0D35B1ED"/>
    <w:rsid w:val="0E254B6B"/>
    <w:rsid w:val="0F98263C"/>
    <w:rsid w:val="101860EC"/>
    <w:rsid w:val="101F47CC"/>
    <w:rsid w:val="10C055FF"/>
    <w:rsid w:val="11694EBD"/>
    <w:rsid w:val="11772AA4"/>
    <w:rsid w:val="118107EC"/>
    <w:rsid w:val="120B3EBE"/>
    <w:rsid w:val="12E24EE2"/>
    <w:rsid w:val="13D50BC4"/>
    <w:rsid w:val="14B17F78"/>
    <w:rsid w:val="14EA425F"/>
    <w:rsid w:val="165E0673"/>
    <w:rsid w:val="16764E3C"/>
    <w:rsid w:val="16B831D5"/>
    <w:rsid w:val="16BB723D"/>
    <w:rsid w:val="17E50567"/>
    <w:rsid w:val="186504BB"/>
    <w:rsid w:val="19A445FC"/>
    <w:rsid w:val="19CC2A66"/>
    <w:rsid w:val="1BE8440E"/>
    <w:rsid w:val="1D155CEE"/>
    <w:rsid w:val="1D1638FE"/>
    <w:rsid w:val="1E312DEB"/>
    <w:rsid w:val="1E740ACF"/>
    <w:rsid w:val="1F141F8D"/>
    <w:rsid w:val="1FF35744"/>
    <w:rsid w:val="1FF6BC77"/>
    <w:rsid w:val="2186353C"/>
    <w:rsid w:val="23860B96"/>
    <w:rsid w:val="240371BF"/>
    <w:rsid w:val="244F3473"/>
    <w:rsid w:val="24C97D99"/>
    <w:rsid w:val="25A718F0"/>
    <w:rsid w:val="25BB59F6"/>
    <w:rsid w:val="260F557C"/>
    <w:rsid w:val="26970054"/>
    <w:rsid w:val="27FD6CF6"/>
    <w:rsid w:val="281408E2"/>
    <w:rsid w:val="29FD04D3"/>
    <w:rsid w:val="2BFF7BC6"/>
    <w:rsid w:val="2C8A61B5"/>
    <w:rsid w:val="2DF04E50"/>
    <w:rsid w:val="2E586DFA"/>
    <w:rsid w:val="2F040D46"/>
    <w:rsid w:val="2F6B035B"/>
    <w:rsid w:val="2FAE5751"/>
    <w:rsid w:val="2FB1A395"/>
    <w:rsid w:val="2FD9A7D8"/>
    <w:rsid w:val="2FDBF714"/>
    <w:rsid w:val="30525EBA"/>
    <w:rsid w:val="30AB6865"/>
    <w:rsid w:val="319F7F4E"/>
    <w:rsid w:val="32BD1EF1"/>
    <w:rsid w:val="3304709D"/>
    <w:rsid w:val="33A773CB"/>
    <w:rsid w:val="34311D01"/>
    <w:rsid w:val="349D6851"/>
    <w:rsid w:val="36AA5135"/>
    <w:rsid w:val="36BE0DA7"/>
    <w:rsid w:val="376B6AA6"/>
    <w:rsid w:val="376D39B2"/>
    <w:rsid w:val="37E16F03"/>
    <w:rsid w:val="37F53A3B"/>
    <w:rsid w:val="389B6C89"/>
    <w:rsid w:val="38D469F0"/>
    <w:rsid w:val="39627CCD"/>
    <w:rsid w:val="397BAF1F"/>
    <w:rsid w:val="3AB79AF3"/>
    <w:rsid w:val="3AE834C0"/>
    <w:rsid w:val="3B7EF35A"/>
    <w:rsid w:val="3B9FDB6C"/>
    <w:rsid w:val="3BF5BC2F"/>
    <w:rsid w:val="3CEBA265"/>
    <w:rsid w:val="3D98207C"/>
    <w:rsid w:val="3DEE7CF3"/>
    <w:rsid w:val="3E740A63"/>
    <w:rsid w:val="3E78745D"/>
    <w:rsid w:val="3EE17838"/>
    <w:rsid w:val="3F55381A"/>
    <w:rsid w:val="3F7F7599"/>
    <w:rsid w:val="3FF4CAE0"/>
    <w:rsid w:val="3FF7B227"/>
    <w:rsid w:val="44E268DA"/>
    <w:rsid w:val="450D13D7"/>
    <w:rsid w:val="45506656"/>
    <w:rsid w:val="486A6C7A"/>
    <w:rsid w:val="4A627F82"/>
    <w:rsid w:val="4B0E749A"/>
    <w:rsid w:val="4B2477C4"/>
    <w:rsid w:val="4B4F25DA"/>
    <w:rsid w:val="4BE068DB"/>
    <w:rsid w:val="4D577224"/>
    <w:rsid w:val="4DBF1CEB"/>
    <w:rsid w:val="4DF0007C"/>
    <w:rsid w:val="4EAB630A"/>
    <w:rsid w:val="4ECE2238"/>
    <w:rsid w:val="4F833267"/>
    <w:rsid w:val="4FE9BD67"/>
    <w:rsid w:val="4FFB052F"/>
    <w:rsid w:val="537E6D0A"/>
    <w:rsid w:val="53F74C96"/>
    <w:rsid w:val="55170BA8"/>
    <w:rsid w:val="553218C9"/>
    <w:rsid w:val="55B961B3"/>
    <w:rsid w:val="563B08DF"/>
    <w:rsid w:val="567E1AA5"/>
    <w:rsid w:val="56E47B74"/>
    <w:rsid w:val="57175D52"/>
    <w:rsid w:val="57BD3DD4"/>
    <w:rsid w:val="5AF92295"/>
    <w:rsid w:val="5B250254"/>
    <w:rsid w:val="5B2C52A0"/>
    <w:rsid w:val="5BDD79E6"/>
    <w:rsid w:val="5BF561CA"/>
    <w:rsid w:val="5BFF5DFC"/>
    <w:rsid w:val="5CD71FC4"/>
    <w:rsid w:val="5D1F11B5"/>
    <w:rsid w:val="5D695134"/>
    <w:rsid w:val="5DAE1B18"/>
    <w:rsid w:val="5DE7D9E5"/>
    <w:rsid w:val="5ECEC941"/>
    <w:rsid w:val="5FBF9FF3"/>
    <w:rsid w:val="5FCD4E2C"/>
    <w:rsid w:val="5FEF394A"/>
    <w:rsid w:val="5FF67715"/>
    <w:rsid w:val="62BF3928"/>
    <w:rsid w:val="6346457F"/>
    <w:rsid w:val="63B3701E"/>
    <w:rsid w:val="647F5392"/>
    <w:rsid w:val="65E66580"/>
    <w:rsid w:val="664B1D71"/>
    <w:rsid w:val="664B4E8E"/>
    <w:rsid w:val="67277B67"/>
    <w:rsid w:val="67AA3209"/>
    <w:rsid w:val="698D0931"/>
    <w:rsid w:val="6A21549A"/>
    <w:rsid w:val="6A7FE5F3"/>
    <w:rsid w:val="6B053271"/>
    <w:rsid w:val="6B84284F"/>
    <w:rsid w:val="6BDD78B3"/>
    <w:rsid w:val="6C4A05C8"/>
    <w:rsid w:val="6C8742B8"/>
    <w:rsid w:val="6DBF5E93"/>
    <w:rsid w:val="6DFF077E"/>
    <w:rsid w:val="6E714EF0"/>
    <w:rsid w:val="6E7E3605"/>
    <w:rsid w:val="6E7FDCC7"/>
    <w:rsid w:val="6ED6A62E"/>
    <w:rsid w:val="6EE00B15"/>
    <w:rsid w:val="6F6FB3EB"/>
    <w:rsid w:val="6F8731EA"/>
    <w:rsid w:val="6FCE6052"/>
    <w:rsid w:val="6FD57C00"/>
    <w:rsid w:val="6FEFFFD8"/>
    <w:rsid w:val="6FF5CC65"/>
    <w:rsid w:val="6FFB47EC"/>
    <w:rsid w:val="6FFF034A"/>
    <w:rsid w:val="70484440"/>
    <w:rsid w:val="712A28F1"/>
    <w:rsid w:val="715C0E4B"/>
    <w:rsid w:val="71992E7C"/>
    <w:rsid w:val="72233669"/>
    <w:rsid w:val="72734D90"/>
    <w:rsid w:val="73160E6D"/>
    <w:rsid w:val="7332FE48"/>
    <w:rsid w:val="73AB61DA"/>
    <w:rsid w:val="73AD73D5"/>
    <w:rsid w:val="73B6EB34"/>
    <w:rsid w:val="73FA497D"/>
    <w:rsid w:val="744731E5"/>
    <w:rsid w:val="74BBD01D"/>
    <w:rsid w:val="74ED5379"/>
    <w:rsid w:val="75DEEEC2"/>
    <w:rsid w:val="75E32345"/>
    <w:rsid w:val="76E3355F"/>
    <w:rsid w:val="76FF5125"/>
    <w:rsid w:val="776F6FFA"/>
    <w:rsid w:val="778769C8"/>
    <w:rsid w:val="77A75DCA"/>
    <w:rsid w:val="77DC22F5"/>
    <w:rsid w:val="783E271A"/>
    <w:rsid w:val="784347E2"/>
    <w:rsid w:val="78616DE9"/>
    <w:rsid w:val="78E875D7"/>
    <w:rsid w:val="79086DAD"/>
    <w:rsid w:val="79D7FD79"/>
    <w:rsid w:val="79EE5BA4"/>
    <w:rsid w:val="7A592736"/>
    <w:rsid w:val="7A894339"/>
    <w:rsid w:val="7AD284E8"/>
    <w:rsid w:val="7AFF7572"/>
    <w:rsid w:val="7B6C7DFB"/>
    <w:rsid w:val="7BBFBED0"/>
    <w:rsid w:val="7BC3E394"/>
    <w:rsid w:val="7C1F3737"/>
    <w:rsid w:val="7CBFC87B"/>
    <w:rsid w:val="7CFE0F48"/>
    <w:rsid w:val="7D272ABC"/>
    <w:rsid w:val="7D7EC23E"/>
    <w:rsid w:val="7E8ADEBF"/>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2"/>
    <w:unhideWhenUsed/>
    <w:qFormat/>
    <w:uiPriority w:val="9"/>
    <w:pPr>
      <w:keepNext/>
      <w:keepLines/>
      <w:spacing w:before="260" w:after="260" w:line="416" w:lineRule="auto"/>
      <w:outlineLvl w:val="2"/>
    </w:pPr>
    <w:rPr>
      <w:b/>
      <w:bCs/>
      <w:sz w:val="32"/>
      <w:szCs w:val="32"/>
    </w:rPr>
  </w:style>
  <w:style w:type="character" w:default="1" w:styleId="16">
    <w:name w:val="Default Paragraph Font"/>
    <w:unhideWhenUsed/>
    <w:qFormat/>
    <w:uiPriority w:val="1"/>
  </w:style>
  <w:style w:type="table" w:default="1" w:styleId="19">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paragraph" w:styleId="6">
    <w:name w:val="Body Text"/>
    <w:basedOn w:val="1"/>
    <w:link w:val="25"/>
    <w:qFormat/>
    <w:uiPriority w:val="99"/>
    <w:pPr>
      <w:spacing w:beforeLines="30"/>
    </w:pPr>
    <w:rPr>
      <w:rFonts w:ascii="仿宋_GB2312" w:eastAsia="仿宋_GB2312"/>
      <w:kern w:val="0"/>
      <w:sz w:val="30"/>
    </w:rPr>
  </w:style>
  <w:style w:type="paragraph" w:styleId="7">
    <w:name w:val="Body Text Indent"/>
    <w:basedOn w:val="1"/>
    <w:next w:val="8"/>
    <w:qFormat/>
    <w:uiPriority w:val="0"/>
    <w:pPr>
      <w:spacing w:after="120"/>
      <w:ind w:leftChars="200"/>
    </w:pPr>
    <w:rPr>
      <w:rFonts w:ascii="仿宋_GB2312"/>
      <w:szCs w:val="32"/>
    </w:rPr>
  </w:style>
  <w:style w:type="paragraph" w:styleId="8">
    <w:name w:val="Body Text First Indent 2"/>
    <w:basedOn w:val="7"/>
    <w:unhideWhenUsed/>
    <w:qFormat/>
    <w:uiPriority w:val="99"/>
    <w:pPr>
      <w:ind w:firstLine="420" w:firstLineChars="200"/>
    </w:pPr>
  </w:style>
  <w:style w:type="paragraph" w:styleId="9">
    <w:name w:val="toc 3"/>
    <w:basedOn w:val="1"/>
    <w:next w:val="1"/>
    <w:unhideWhenUsed/>
    <w:qFormat/>
    <w:uiPriority w:val="39"/>
    <w:pPr>
      <w:tabs>
        <w:tab w:val="right" w:leader="dot" w:pos="8296"/>
      </w:tabs>
      <w:ind w:left="840" w:leftChars="400"/>
    </w:pPr>
  </w:style>
  <w:style w:type="paragraph" w:styleId="10">
    <w:name w:val="Balloon Text"/>
    <w:basedOn w:val="1"/>
    <w:link w:val="31"/>
    <w:semiHidden/>
    <w:unhideWhenUsed/>
    <w:qFormat/>
    <w:uiPriority w:val="99"/>
    <w:rPr>
      <w:sz w:val="18"/>
      <w:szCs w:val="18"/>
    </w:rPr>
  </w:style>
  <w:style w:type="paragraph" w:styleId="11">
    <w:name w:val="footer"/>
    <w:basedOn w:val="1"/>
    <w:link w:val="23"/>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footnote text"/>
    <w:basedOn w:val="1"/>
    <w:next w:val="8"/>
    <w:semiHidden/>
    <w:qFormat/>
    <w:uiPriority w:val="0"/>
    <w:pPr>
      <w:snapToGrid w:val="0"/>
      <w:jc w:val="left"/>
    </w:pPr>
    <w:rPr>
      <w:sz w:val="18"/>
      <w:szCs w:val="18"/>
    </w:rPr>
  </w:style>
  <w:style w:type="paragraph" w:styleId="15">
    <w:name w:val="toc 2"/>
    <w:basedOn w:val="1"/>
    <w:next w:val="1"/>
    <w:unhideWhenUsed/>
    <w:qFormat/>
    <w:uiPriority w:val="39"/>
    <w:pPr>
      <w:tabs>
        <w:tab w:val="right" w:leader="dot" w:pos="8296"/>
      </w:tabs>
      <w:ind w:left="420" w:leftChars="200"/>
    </w:pPr>
  </w:style>
  <w:style w:type="character" w:styleId="17">
    <w:name w:val="Strong"/>
    <w:basedOn w:val="16"/>
    <w:qFormat/>
    <w:uiPriority w:val="99"/>
    <w:rPr>
      <w:b/>
    </w:rPr>
  </w:style>
  <w:style w:type="character" w:styleId="18">
    <w:name w:val="Hyperlink"/>
    <w:basedOn w:val="16"/>
    <w:unhideWhenUsed/>
    <w:qFormat/>
    <w:uiPriority w:val="99"/>
    <w:rPr>
      <w:color w:val="0000FF" w:themeColor="hyperlink"/>
      <w:u w:val="single"/>
      <w14:textFill>
        <w14:solidFill>
          <w14:schemeClr w14:val="hlink"/>
        </w14:solidFill>
      </w14:textFill>
    </w:rPr>
  </w:style>
  <w:style w:type="character" w:customStyle="1" w:styleId="20">
    <w:name w:val="Header Char"/>
    <w:basedOn w:val="16"/>
    <w:semiHidden/>
    <w:qFormat/>
    <w:uiPriority w:val="99"/>
    <w:rPr>
      <w:rFonts w:ascii="Times New Roman" w:hAnsi="Times New Roman"/>
      <w:sz w:val="18"/>
      <w:szCs w:val="18"/>
    </w:rPr>
  </w:style>
  <w:style w:type="character" w:customStyle="1" w:styleId="21">
    <w:name w:val="页眉 Char"/>
    <w:link w:val="12"/>
    <w:semiHidden/>
    <w:qFormat/>
    <w:locked/>
    <w:uiPriority w:val="99"/>
    <w:rPr>
      <w:sz w:val="18"/>
    </w:rPr>
  </w:style>
  <w:style w:type="character" w:customStyle="1" w:styleId="22">
    <w:name w:val="Footer Char"/>
    <w:basedOn w:val="16"/>
    <w:semiHidden/>
    <w:qFormat/>
    <w:uiPriority w:val="99"/>
    <w:rPr>
      <w:rFonts w:ascii="Times New Roman" w:hAnsi="Times New Roman"/>
      <w:sz w:val="18"/>
      <w:szCs w:val="18"/>
    </w:rPr>
  </w:style>
  <w:style w:type="character" w:customStyle="1" w:styleId="23">
    <w:name w:val="页脚 Char"/>
    <w:link w:val="11"/>
    <w:qFormat/>
    <w:locked/>
    <w:uiPriority w:val="99"/>
    <w:rPr>
      <w:sz w:val="18"/>
    </w:rPr>
  </w:style>
  <w:style w:type="character" w:customStyle="1" w:styleId="24">
    <w:name w:val="Body Text Char"/>
    <w:basedOn w:val="16"/>
    <w:semiHidden/>
    <w:qFormat/>
    <w:uiPriority w:val="99"/>
    <w:rPr>
      <w:rFonts w:ascii="Times New Roman" w:hAnsi="Times New Roman"/>
      <w:szCs w:val="24"/>
    </w:rPr>
  </w:style>
  <w:style w:type="character" w:customStyle="1" w:styleId="25">
    <w:name w:val="正文文本 Char"/>
    <w:link w:val="6"/>
    <w:qFormat/>
    <w:locked/>
    <w:uiPriority w:val="99"/>
    <w:rPr>
      <w:rFonts w:ascii="仿宋_GB2312" w:hAnsi="Times New Roman" w:eastAsia="仿宋_GB2312"/>
      <w:sz w:val="24"/>
    </w:rPr>
  </w:style>
  <w:style w:type="paragraph" w:customStyle="1" w:styleId="2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7">
    <w:name w:val="List Paragraph"/>
    <w:basedOn w:val="1"/>
    <w:qFormat/>
    <w:uiPriority w:val="34"/>
    <w:pPr>
      <w:ind w:firstLine="420" w:firstLineChars="200"/>
    </w:pPr>
  </w:style>
  <w:style w:type="character" w:customStyle="1" w:styleId="28">
    <w:name w:val="标题 1 Char"/>
    <w:basedOn w:val="16"/>
    <w:link w:val="3"/>
    <w:qFormat/>
    <w:uiPriority w:val="9"/>
    <w:rPr>
      <w:rFonts w:ascii="Times New Roman" w:hAnsi="Times New Roman"/>
      <w:b/>
      <w:bCs/>
      <w:kern w:val="44"/>
      <w:sz w:val="44"/>
      <w:szCs w:val="44"/>
    </w:rPr>
  </w:style>
  <w:style w:type="character" w:customStyle="1" w:styleId="29">
    <w:name w:val="标题 2 Char"/>
    <w:basedOn w:val="16"/>
    <w:link w:val="4"/>
    <w:qFormat/>
    <w:uiPriority w:val="9"/>
    <w:rPr>
      <w:rFonts w:asciiTheme="majorHAnsi" w:hAnsiTheme="majorHAnsi" w:eastAsiaTheme="majorEastAsia" w:cstheme="majorBidi"/>
      <w:b/>
      <w:bCs/>
      <w:kern w:val="2"/>
      <w:sz w:val="32"/>
      <w:szCs w:val="32"/>
    </w:rPr>
  </w:style>
  <w:style w:type="paragraph" w:customStyle="1" w:styleId="30">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1">
    <w:name w:val="批注框文本 Char"/>
    <w:basedOn w:val="16"/>
    <w:link w:val="10"/>
    <w:semiHidden/>
    <w:qFormat/>
    <w:uiPriority w:val="99"/>
    <w:rPr>
      <w:rFonts w:ascii="Times New Roman" w:hAnsi="Times New Roman"/>
      <w:kern w:val="2"/>
      <w:sz w:val="18"/>
      <w:szCs w:val="18"/>
    </w:rPr>
  </w:style>
  <w:style w:type="character" w:customStyle="1" w:styleId="32">
    <w:name w:val="标题 3 Char"/>
    <w:basedOn w:val="16"/>
    <w:link w:val="5"/>
    <w:qFormat/>
    <w:uiPriority w:val="9"/>
    <w:rPr>
      <w:rFonts w:ascii="Times New Roman" w:hAnsi="Times New Roman"/>
      <w:b/>
      <w:bCs/>
      <w:kern w:val="2"/>
      <w:sz w:val="32"/>
      <w:szCs w:val="32"/>
    </w:rPr>
  </w:style>
  <w:style w:type="paragraph" w:customStyle="1" w:styleId="33">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4">
    <w:name w:val="四号正文"/>
    <w:basedOn w:val="1"/>
    <w:qFormat/>
    <w:uiPriority w:val="0"/>
    <w:pPr>
      <w:spacing w:line="360" w:lineRule="auto"/>
    </w:pPr>
    <w:rPr>
      <w:rFonts w:ascii="??" w:hAnsi="??" w:eastAsia="宋体"/>
      <w:color w:val="000000"/>
      <w:kern w:val="0"/>
      <w:sz w:val="28"/>
      <w:szCs w:val="21"/>
      <w:lang w:val="zh-CN" w:eastAsia="zh-CN"/>
    </w:rPr>
  </w:style>
</w:styles>
</file>

<file path=word/_rels/document.xml.rels><?xml version="1.0" encoding="UTF-8" standalone="yes"?>
<Relationships xmlns="http://schemas.openxmlformats.org/package/2006/relationships"><Relationship Id="rId9" Type="http://schemas.openxmlformats.org/officeDocument/2006/relationships/chart" Target="charts/chart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chart" Target="charts/chart7.xml"/><Relationship Id="rId14" Type="http://schemas.openxmlformats.org/officeDocument/2006/relationships/chart" Target="charts/chart6.xml"/><Relationship Id="rId13" Type="http://schemas.openxmlformats.org/officeDocument/2006/relationships/chart" Target="charts/chart5.xml"/><Relationship Id="rId12" Type="http://schemas.openxmlformats.org/officeDocument/2006/relationships/chart" Target="charts/chart4.xml"/><Relationship Id="rId11" Type="http://schemas.openxmlformats.org/officeDocument/2006/relationships/chart" Target="charts/chart3.xml"/><Relationship Id="rId10" Type="http://schemas.openxmlformats.org/officeDocument/2006/relationships/chart" Target="charts/chart2.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7.xlsx"/></Relationships>
</file>

<file path=word/charts/_rels/chart3.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3866216630868"/>
          <c:y val="0.101757860856648"/>
          <c:w val="0.71478981282602"/>
          <c:h val="0.815548403070067"/>
        </c:manualLayout>
      </c:layout>
      <c:barChart>
        <c:barDir val="col"/>
        <c:grouping val="clustered"/>
        <c:varyColors val="0"/>
        <c:ser>
          <c:idx val="0"/>
          <c:order val="0"/>
          <c:tx>
            <c:strRef>
              <c:f>Sheet1!$B$1</c:f>
              <c:strCache>
                <c:ptCount val="1"/>
                <c:pt idx="0">
                  <c:v>2023年</c:v>
                </c:pt>
              </c:strCache>
            </c:strRef>
          </c:tx>
          <c:invertIfNegative val="0"/>
          <c:dLbls>
            <c:delete val="1"/>
          </c:dLbls>
          <c:cat>
            <c:strRef>
              <c:f>Sheet1!$A$2:$A$3</c:f>
              <c:strCache>
                <c:ptCount val="2"/>
                <c:pt idx="0">
                  <c:v>收入</c:v>
                </c:pt>
                <c:pt idx="1">
                  <c:v>支出</c:v>
                </c:pt>
              </c:strCache>
            </c:strRef>
          </c:cat>
          <c:val>
            <c:numRef>
              <c:f>Sheet1!$B$2:$B$3</c:f>
              <c:numCache>
                <c:formatCode>General</c:formatCode>
                <c:ptCount val="2"/>
                <c:pt idx="0">
                  <c:v>397.02</c:v>
                </c:pt>
                <c:pt idx="1">
                  <c:v>397.02</c:v>
                </c:pt>
              </c:numCache>
            </c:numRef>
          </c:val>
        </c:ser>
        <c:ser>
          <c:idx val="1"/>
          <c:order val="1"/>
          <c:tx>
            <c:strRef>
              <c:f>Sheet1!$C$1</c:f>
              <c:strCache>
                <c:ptCount val="1"/>
                <c:pt idx="0">
                  <c:v>2024年</c:v>
                </c:pt>
              </c:strCache>
            </c:strRef>
          </c:tx>
          <c:invertIfNegative val="0"/>
          <c:dLbls>
            <c:delete val="1"/>
          </c:dLbls>
          <c:cat>
            <c:strRef>
              <c:f>Sheet1!$A$2:$A$3</c:f>
              <c:strCache>
                <c:ptCount val="2"/>
                <c:pt idx="0">
                  <c:v>收入</c:v>
                </c:pt>
                <c:pt idx="1">
                  <c:v>支出</c:v>
                </c:pt>
              </c:strCache>
            </c:strRef>
          </c:cat>
          <c:val>
            <c:numRef>
              <c:f>Sheet1!$C$2:$C$3</c:f>
              <c:numCache>
                <c:formatCode>General</c:formatCode>
                <c:ptCount val="2"/>
                <c:pt idx="0">
                  <c:v>378.46</c:v>
                </c:pt>
                <c:pt idx="1">
                  <c:v>378.46</c:v>
                </c:pt>
              </c:numCache>
            </c:numRef>
          </c:val>
        </c:ser>
        <c:dLbls>
          <c:showLegendKey val="0"/>
          <c:showVal val="0"/>
          <c:showCatName val="0"/>
          <c:showSerName val="0"/>
          <c:showPercent val="0"/>
          <c:showBubbleSize val="0"/>
        </c:dLbls>
        <c:gapWidth val="150"/>
        <c:axId val="140172672"/>
        <c:axId val="139003008"/>
      </c:barChart>
      <c:catAx>
        <c:axId val="140172672"/>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39003008"/>
        <c:crosses val="autoZero"/>
        <c:auto val="1"/>
        <c:lblAlgn val="ctr"/>
        <c:lblOffset val="100"/>
        <c:noMultiLvlLbl val="0"/>
      </c:catAx>
      <c:valAx>
        <c:axId val="139003008"/>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40172672"/>
        <c:crosses val="autoZero"/>
        <c:crossBetween val="between"/>
      </c:valAx>
    </c:plotArea>
    <c:legend>
      <c:legendPos val="r"/>
      <c:layout>
        <c:manualLayout>
          <c:xMode val="edge"/>
          <c:yMode val="edge"/>
          <c:x val="0.840902117213869"/>
          <c:y val="0.415696954691755"/>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manualLayout>
          <c:layoutTarget val="inner"/>
          <c:xMode val="edge"/>
          <c:yMode val="edge"/>
          <c:x val="0.108374943259192"/>
          <c:y val="0.311811960725977"/>
          <c:w val="0.518157058556515"/>
          <c:h val="0.679262124367748"/>
        </c:manualLayout>
      </c:layout>
      <c:pieChart>
        <c:varyColors val="1"/>
        <c:ser>
          <c:idx val="0"/>
          <c:order val="0"/>
          <c:tx>
            <c:strRef>
              <c:f>Sheet1!$B$1</c:f>
              <c:strCache>
                <c:ptCount val="1"/>
                <c:pt idx="0">
                  <c:v>2024年收入</c:v>
                </c:pt>
              </c:strCache>
            </c:strRef>
          </c:tx>
          <c:explosion val="0"/>
          <c:dPt>
            <c:idx val="0"/>
            <c:bubble3D val="0"/>
          </c:dPt>
          <c:dLbls>
            <c:delete val="1"/>
          </c:dLbls>
          <c:cat>
            <c:strRef>
              <c:f>Sheet1!$A$2</c:f>
              <c:strCache>
                <c:ptCount val="1"/>
                <c:pt idx="0">
                  <c:v>一般公共预算</c:v>
                </c:pt>
              </c:strCache>
            </c:strRef>
          </c:cat>
          <c:val>
            <c:numRef>
              <c:f>Sheet1!$B$2</c:f>
              <c:numCache>
                <c:formatCode>General</c:formatCode>
                <c:ptCount val="1"/>
                <c:pt idx="0">
                  <c:v>378.46</c:v>
                </c:pt>
              </c:numCache>
            </c:numRef>
          </c:val>
        </c:ser>
        <c:dLbls>
          <c:showLegendKey val="0"/>
          <c:showVal val="0"/>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chart>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manualLayout>
          <c:layoutTarget val="inner"/>
          <c:xMode val="edge"/>
          <c:yMode val="edge"/>
          <c:x val="0.0248126002625055"/>
          <c:y val="0.299246829268293"/>
          <c:w val="0.663368820183755"/>
          <c:h val="0.694899512195129"/>
        </c:manualLayout>
      </c:layout>
      <c:pieChart>
        <c:varyColors val="1"/>
        <c:ser>
          <c:idx val="0"/>
          <c:order val="0"/>
          <c:tx>
            <c:strRef>
              <c:f>Sheet1!$B$1</c:f>
              <c:strCache>
                <c:ptCount val="1"/>
                <c:pt idx="0">
                  <c:v>2024年支出</c:v>
                </c:pt>
              </c:strCache>
            </c:strRef>
          </c:tx>
          <c:spPr>
            <a:scene3d>
              <a:camera prst="orthographicFront"/>
              <a:lightRig rig="threePt" dir="t"/>
            </a:scene3d>
            <a:sp3d contourW="9525"/>
          </c:spPr>
          <c:explosion val="25"/>
          <c:dPt>
            <c:idx val="0"/>
            <c:bubble3D val="0"/>
            <c:spPr>
              <a:solidFill>
                <a:schemeClr val="accent1"/>
              </a:solidFill>
              <a:ln w="19050">
                <a:solidFill>
                  <a:schemeClr val="bg1"/>
                </a:solidFill>
              </a:ln>
              <a:effectLst/>
            </c:spPr>
          </c:dPt>
          <c:dPt>
            <c:idx val="1"/>
            <c:bubble3D val="0"/>
            <c:spPr>
              <a:solidFill>
                <a:schemeClr val="accent2"/>
              </a:solidFill>
              <a:ln w="19050">
                <a:solidFill>
                  <a:schemeClr val="bg1"/>
                </a:solidFill>
              </a:ln>
              <a:effectLst/>
            </c:spPr>
          </c:dPt>
          <c:dLbls>
            <c:dLbl>
              <c:idx val="0"/>
              <c:layout/>
              <c:numFmt formatCode="General" sourceLinked="1"/>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1"/>
                      </a:solidFill>
                      <a:latin typeface="+mn-lt"/>
                      <a:ea typeface="+mn-ea"/>
                      <a:cs typeface="+mn-cs"/>
                    </a:defRPr>
                  </a:pPr>
                </a:p>
              </c:txPr>
              <c:dLblPos val="outEnd"/>
              <c:showLegendKey val="0"/>
              <c:showVal val="1"/>
              <c:showCatName val="1"/>
              <c:showSerName val="0"/>
              <c:showPercent val="0"/>
              <c:showBubbleSize val="0"/>
              <c:extLst>
                <c:ext xmlns:c15="http://schemas.microsoft.com/office/drawing/2012/chart" uri="{CE6537A1-D6FC-4f65-9D91-7224C49458BB}"/>
              </c:extLst>
            </c:dLbl>
            <c:dLbl>
              <c:idx val="1"/>
              <c:layout/>
              <c:numFmt formatCode="General" sourceLinked="1"/>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2"/>
                      </a:solidFill>
                      <a:latin typeface="+mn-lt"/>
                      <a:ea typeface="+mn-ea"/>
                      <a:cs typeface="+mn-cs"/>
                    </a:defRPr>
                  </a:pPr>
                </a:p>
              </c:txPr>
              <c:dLblPos val="outEnd"/>
              <c:showLegendKey val="0"/>
              <c:showVal val="1"/>
              <c:showCatName val="1"/>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1"/>
                    </a:solidFill>
                    <a:latin typeface="+mn-lt"/>
                    <a:ea typeface="+mn-ea"/>
                    <a:cs typeface="+mn-cs"/>
                  </a:defRPr>
                </a:pPr>
              </a:p>
            </c:txPr>
            <c:dLblPos val="outEnd"/>
            <c:showLegendKey val="0"/>
            <c:showVal val="1"/>
            <c:showCatName val="1"/>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基本支出</c:v>
                </c:pt>
                <c:pt idx="1">
                  <c:v>项目支出</c:v>
                </c:pt>
              </c:strCache>
            </c:strRef>
          </c:cat>
          <c:val>
            <c:numRef>
              <c:f>Sheet1!$B$2:$B$3</c:f>
              <c:numCache>
                <c:formatCode>General</c:formatCode>
                <c:ptCount val="2"/>
                <c:pt idx="0">
                  <c:v>289.58</c:v>
                </c:pt>
                <c:pt idx="1">
                  <c:v>88.89</c:v>
                </c:pt>
              </c:numCache>
            </c:numRef>
          </c:val>
        </c:ser>
        <c:dLbls>
          <c:showLegendKey val="0"/>
          <c:showVal val="1"/>
          <c:showCatName val="0"/>
          <c:showSerName val="0"/>
          <c:showPercent val="0"/>
          <c:showBubbleSize val="0"/>
          <c:showLeaderLines val="1"/>
        </c:dLbls>
        <c:firstSliceAng val="0"/>
      </c:pieChart>
      <c:spPr>
        <a:noFill/>
        <a:ln>
          <a:noFill/>
        </a:ln>
        <a:effectLst/>
      </c:spPr>
    </c:plotArea>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2023年</c:v>
                </c:pt>
              </c:strCache>
            </c:strRef>
          </c:tx>
          <c:invertIfNegative val="0"/>
          <c:dLbls>
            <c:delete val="1"/>
          </c:dLbls>
          <c:cat>
            <c:strRef>
              <c:f>Sheet1!$A$2:$A$3</c:f>
              <c:strCache>
                <c:ptCount val="2"/>
                <c:pt idx="0">
                  <c:v>收入</c:v>
                </c:pt>
                <c:pt idx="1">
                  <c:v>支出</c:v>
                </c:pt>
              </c:strCache>
            </c:strRef>
          </c:cat>
          <c:val>
            <c:numRef>
              <c:f>Sheet1!$B$2:$B$3</c:f>
              <c:numCache>
                <c:formatCode>General</c:formatCode>
                <c:ptCount val="2"/>
                <c:pt idx="0">
                  <c:v>397.02</c:v>
                </c:pt>
                <c:pt idx="1">
                  <c:v>397.02</c:v>
                </c:pt>
              </c:numCache>
            </c:numRef>
          </c:val>
        </c:ser>
        <c:ser>
          <c:idx val="1"/>
          <c:order val="1"/>
          <c:tx>
            <c:strRef>
              <c:f>Sheet1!$C$1</c:f>
              <c:strCache>
                <c:ptCount val="1"/>
                <c:pt idx="0">
                  <c:v>2024年</c:v>
                </c:pt>
              </c:strCache>
            </c:strRef>
          </c:tx>
          <c:invertIfNegative val="0"/>
          <c:dLbls>
            <c:delete val="1"/>
          </c:dLbls>
          <c:cat>
            <c:strRef>
              <c:f>Sheet1!$A$2:$A$3</c:f>
              <c:strCache>
                <c:ptCount val="2"/>
                <c:pt idx="0">
                  <c:v>收入</c:v>
                </c:pt>
                <c:pt idx="1">
                  <c:v>支出</c:v>
                </c:pt>
              </c:strCache>
            </c:strRef>
          </c:cat>
          <c:val>
            <c:numRef>
              <c:f>Sheet1!$C$2:$C$3</c:f>
              <c:numCache>
                <c:formatCode>General</c:formatCode>
                <c:ptCount val="2"/>
                <c:pt idx="0">
                  <c:v>378.46</c:v>
                </c:pt>
                <c:pt idx="1">
                  <c:v>378.46</c:v>
                </c:pt>
              </c:numCache>
            </c:numRef>
          </c:val>
        </c:ser>
        <c:dLbls>
          <c:showLegendKey val="0"/>
          <c:showVal val="0"/>
          <c:showCatName val="0"/>
          <c:showSerName val="0"/>
          <c:showPercent val="0"/>
          <c:showBubbleSize val="0"/>
        </c:dLbls>
        <c:gapWidth val="150"/>
        <c:axId val="139060352"/>
        <c:axId val="139061888"/>
      </c:barChart>
      <c:catAx>
        <c:axId val="139060352"/>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39061888"/>
        <c:crosses val="autoZero"/>
        <c:auto val="1"/>
        <c:lblAlgn val="ctr"/>
        <c:lblOffset val="100"/>
        <c:noMultiLvlLbl val="0"/>
      </c:catAx>
      <c:valAx>
        <c:axId val="139061888"/>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39060352"/>
        <c:crosses val="autoZero"/>
        <c:crossBetween val="between"/>
      </c:valAx>
      <c:spPr>
        <a:solidFill>
          <a:schemeClr val="bg1"/>
        </a:solidFill>
        <a:ln>
          <a:noFill/>
        </a:ln>
        <a:effectLst/>
      </c:spPr>
    </c:plotArea>
    <c:legend>
      <c:legendPos val="r"/>
      <c:layout/>
      <c:overlay val="0"/>
      <c:txPr>
        <a:bodyPr rot="0" spcFirstLastPara="0" vertOverflow="ellipsis" vert="horz" wrap="square" anchor="ctr" anchorCtr="1"/>
        <a:lstStyle/>
        <a:p>
          <a:pPr>
            <a:defRPr lang="zh-CN" sz="1000" b="0" i="0" u="none" strike="noStrike" kern="1200" baseline="0">
              <a:solidFill>
                <a:srgbClr val="FF0000"/>
              </a:solidFill>
              <a:latin typeface="+mn-lt"/>
              <a:ea typeface="+mn-ea"/>
              <a:cs typeface="+mn-cs"/>
            </a:defRPr>
          </a:pPr>
        </a:p>
      </c:txPr>
    </c:legend>
    <c:plotVisOnly val="1"/>
    <c:dispBlanksAs val="gap"/>
    <c:showDLblsOverMax val="0"/>
  </c:chart>
  <c:spPr>
    <a:ln w="6350" cap="flat" cmpd="sng" algn="ctr">
      <a:solidFill>
        <a:schemeClr val="accent1"/>
      </a:solidFill>
      <a:prstDash val="solid"/>
      <a:round/>
    </a:ln>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2584356955381"/>
          <c:y val="0.0648719183699849"/>
          <c:w val="0.72652094488189"/>
          <c:h val="0.850124103844065"/>
        </c:manualLayout>
      </c:layout>
      <c:barChart>
        <c:barDir val="col"/>
        <c:grouping val="clustered"/>
        <c:varyColors val="0"/>
        <c:ser>
          <c:idx val="0"/>
          <c:order val="0"/>
          <c:tx>
            <c:strRef>
              <c:f>Sheet1!$B$1</c:f>
              <c:strCache>
                <c:ptCount val="1"/>
                <c:pt idx="0">
                  <c:v>2023年</c:v>
                </c:pt>
              </c:strCache>
            </c:strRef>
          </c:tx>
          <c:invertIfNegative val="0"/>
          <c:dLbls>
            <c:delete val="1"/>
          </c:dLbls>
          <c:cat>
            <c:strRef>
              <c:f>Sheet1!$A$2:$A$3</c:f>
              <c:strCache>
                <c:ptCount val="2"/>
                <c:pt idx="0">
                  <c:v>支出</c:v>
                </c:pt>
              </c:strCache>
            </c:strRef>
          </c:cat>
          <c:val>
            <c:numRef>
              <c:f>Sheet1!$B$2:$B$3</c:f>
              <c:numCache>
                <c:formatCode>General</c:formatCode>
                <c:ptCount val="2"/>
                <c:pt idx="0">
                  <c:v>397.02</c:v>
                </c:pt>
              </c:numCache>
            </c:numRef>
          </c:val>
        </c:ser>
        <c:ser>
          <c:idx val="1"/>
          <c:order val="1"/>
          <c:tx>
            <c:strRef>
              <c:f>Sheet1!$C$1</c:f>
              <c:strCache>
                <c:ptCount val="1"/>
                <c:pt idx="0">
                  <c:v>2024年</c:v>
                </c:pt>
              </c:strCache>
            </c:strRef>
          </c:tx>
          <c:invertIfNegative val="0"/>
          <c:dLbls>
            <c:delete val="1"/>
          </c:dLbls>
          <c:cat>
            <c:strRef>
              <c:f>Sheet1!$A$2:$A$3</c:f>
              <c:strCache>
                <c:ptCount val="2"/>
                <c:pt idx="0">
                  <c:v>支出</c:v>
                </c:pt>
              </c:strCache>
            </c:strRef>
          </c:cat>
          <c:val>
            <c:numRef>
              <c:f>Sheet1!$C$2:$C$3</c:f>
              <c:numCache>
                <c:formatCode>General</c:formatCode>
                <c:ptCount val="2"/>
                <c:pt idx="0">
                  <c:v>378.46</c:v>
                </c:pt>
              </c:numCache>
            </c:numRef>
          </c:val>
        </c:ser>
        <c:dLbls>
          <c:showLegendKey val="0"/>
          <c:showVal val="0"/>
          <c:showCatName val="0"/>
          <c:showSerName val="0"/>
          <c:showPercent val="0"/>
          <c:showBubbleSize val="0"/>
        </c:dLbls>
        <c:gapWidth val="150"/>
        <c:axId val="167979648"/>
        <c:axId val="167993728"/>
      </c:barChart>
      <c:catAx>
        <c:axId val="167979648"/>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67993728"/>
        <c:crosses val="autoZero"/>
        <c:auto val="1"/>
        <c:lblAlgn val="ctr"/>
        <c:lblOffset val="100"/>
        <c:noMultiLvlLbl val="0"/>
      </c:catAx>
      <c:valAx>
        <c:axId val="167993728"/>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67979648"/>
        <c:crosses val="autoZero"/>
        <c:crossBetween val="between"/>
      </c:valAx>
      <c:spPr>
        <a:solidFill>
          <a:schemeClr val="bg1"/>
        </a:solidFill>
        <a:ln>
          <a:noFill/>
        </a:ln>
        <a:effectLst/>
      </c:spPr>
    </c:plotArea>
    <c:legend>
      <c:legendPos val="r"/>
      <c:layout/>
      <c:overlay val="0"/>
      <c:txPr>
        <a:bodyPr rot="0" spcFirstLastPara="0" vertOverflow="ellipsis" vert="horz" wrap="square" anchor="ctr" anchorCtr="1"/>
        <a:lstStyle/>
        <a:p>
          <a:pPr>
            <a:defRPr lang="zh-CN" sz="1000" b="0" i="0" u="none" strike="noStrike" kern="1200" baseline="0">
              <a:solidFill>
                <a:srgbClr val="FF0000"/>
              </a:solidFill>
              <a:latin typeface="+mn-lt"/>
              <a:ea typeface="+mn-ea"/>
              <a:cs typeface="+mn-cs"/>
            </a:defRPr>
          </a:pPr>
        </a:p>
      </c:txPr>
    </c:legend>
    <c:plotVisOnly val="1"/>
    <c:dispBlanksAs val="gap"/>
    <c:showDLblsOverMax val="0"/>
  </c:chart>
  <c:spPr>
    <a:ln w="6350" cap="flat" cmpd="sng" algn="ctr">
      <a:solidFill>
        <a:schemeClr val="accent1"/>
      </a:solidFill>
      <a:prstDash val="solid"/>
      <a:round/>
    </a:ln>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pieChart>
        <c:varyColors val="1"/>
        <c:ser>
          <c:idx val="0"/>
          <c:order val="0"/>
          <c:tx>
            <c:strRef>
              <c:f>Sheet1!$B$1</c:f>
              <c:strCache>
                <c:ptCount val="1"/>
                <c:pt idx="0">
                  <c:v>2024年支出</c:v>
                </c:pt>
              </c:strCache>
            </c:strRef>
          </c:tx>
          <c:spPr/>
          <c:explosion val="25"/>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一般公共服务（类）</c:v>
                </c:pt>
                <c:pt idx="1">
                  <c:v>社会保障和就业（类）</c:v>
                </c:pt>
                <c:pt idx="2">
                  <c:v>卫生健康支出</c:v>
                </c:pt>
                <c:pt idx="3">
                  <c:v>住房保障支出</c:v>
                </c:pt>
              </c:strCache>
            </c:strRef>
          </c:cat>
          <c:val>
            <c:numRef>
              <c:f>Sheet1!$B$2:$B$5</c:f>
              <c:numCache>
                <c:formatCode>General</c:formatCode>
                <c:ptCount val="4"/>
                <c:pt idx="0">
                  <c:v>315.29</c:v>
                </c:pt>
                <c:pt idx="1">
                  <c:v>31.26</c:v>
                </c:pt>
                <c:pt idx="2">
                  <c:v>14.24</c:v>
                </c:pt>
                <c:pt idx="3">
                  <c:v>17.67</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pieChart>
        <c:varyColors val="1"/>
        <c:ser>
          <c:idx val="0"/>
          <c:order val="0"/>
          <c:tx>
            <c:strRef>
              <c:f>Sheet1!$B$1</c:f>
              <c:strCache>
                <c:ptCount val="1"/>
                <c:pt idx="0">
                  <c:v>2024年“三公”经费财政拔款支出</c:v>
                </c:pt>
              </c:strCache>
            </c:strRef>
          </c:tx>
          <c:explosion val="25"/>
          <c:dPt>
            <c:idx val="0"/>
            <c:bubble3D val="0"/>
          </c:dPt>
          <c:dPt>
            <c:idx val="1"/>
            <c:bubble3D val="0"/>
          </c:dPt>
          <c:dPt>
            <c:idx val="2"/>
            <c:bubble3D val="0"/>
          </c:dPt>
          <c:dPt>
            <c:idx val="3"/>
            <c:bubble3D val="0"/>
          </c:dPt>
          <c:dLbls>
            <c:delete val="1"/>
          </c:dLbls>
          <c:cat>
            <c:strRef>
              <c:f>Sheet1!$A$2:$A$5</c:f>
              <c:strCache>
                <c:ptCount val="4"/>
                <c:pt idx="0">
                  <c:v>因公出国（境）费支出</c:v>
                </c:pt>
                <c:pt idx="1">
                  <c:v>公务用车购置及运行维护费支出</c:v>
                </c:pt>
                <c:pt idx="2">
                  <c:v>公务接待费支出</c:v>
                </c:pt>
              </c:strCache>
            </c:strRef>
          </c:cat>
          <c:val>
            <c:numRef>
              <c:f>Sheet1!$B$2:$B$5</c:f>
              <c:numCache>
                <c:formatCode>General</c:formatCode>
                <c:ptCount val="4"/>
                <c:pt idx="0">
                  <c:v>0</c:v>
                </c:pt>
                <c:pt idx="1">
                  <c:v>8.82</c:v>
                </c:pt>
                <c:pt idx="2">
                  <c:v>0</c:v>
                </c:pt>
              </c:numCache>
            </c:numRef>
          </c:val>
        </c:ser>
        <c:dLbls>
          <c:showLegendKey val="0"/>
          <c:showVal val="0"/>
          <c:showCatName val="0"/>
          <c:showSerName val="0"/>
          <c:showPercent val="0"/>
          <c:showBubbleSize val="0"/>
          <c:showLeaderLines val="1"/>
        </c:dLbls>
        <c:firstSliceAng val="0"/>
      </c:pieChart>
    </c:plotArea>
    <c:legend>
      <c:legendPos val="r"/>
      <c:layout>
        <c:manualLayout>
          <c:xMode val="edge"/>
          <c:yMode val="edge"/>
          <c:x val="0.722172134962944"/>
          <c:y val="0.438111211330784"/>
          <c:w val="0.277827865037056"/>
          <c:h val="0.269522706387266"/>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chart>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acrossLinear" id="2">
  <a:schemeClr val="accent1"/>
  <a:schemeClr val="accent2"/>
  <a:schemeClr val="accent3"/>
  <a:schemeClr val="accent4"/>
  <a:schemeClr val="accent5"/>
  <a:schemeClr val="accent6"/>
</cs:colorStyle>
</file>

<file path=word/charts/colors2.xml><?xml version="1.0" encoding="utf-8"?>
<cs:colorStyle xmlns:cs="http://schemas.microsoft.com/office/drawing/2012/chartStyle" xmlns:a="http://schemas.openxmlformats.org/drawingml/2006/main" meth="acrossLinear" id="2">
  <a:schemeClr val="accent1"/>
  <a:schemeClr val="accent2"/>
  <a:schemeClr val="accent3"/>
  <a:schemeClr val="accent4"/>
  <a:schemeClr val="accent5"/>
  <a:schemeClr val="accent6"/>
</cs:colorStyle>
</file>

<file path=word/charts/style1.xml><?xml version="1.0" encoding="utf-8"?>
<cs:chartStyle xmlns:cs="http://schemas.microsoft.com/office/drawing/2012/chartStyle" xmlns:a="http://schemas.openxmlformats.org/drawingml/2006/main" id="10093">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cs:styleClr val="auto"/>
    </cs:fontRef>
    <cs:defRPr sz="1000" b="1" i="0" u="none" strike="noStrike" kern="1200" spc="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styleClr val="auto"/>
    </cs:lnRef>
    <cs:fillRef idx="1">
      <cs:styleClr val="auto"/>
    </cs:fillRef>
    <cs:effectRef idx="0"/>
    <cs:fontRef idx="minor">
      <a:schemeClr val="dk1"/>
    </cs:fontRef>
    <cs:spPr>
      <a:ln>
        <a:solidFill>
          <a:schemeClr val="bg1"/>
        </a:solidFill>
      </a:ln>
      <a:effectLst/>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83">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32</Pages>
  <Words>7981</Words>
  <Characters>8512</Characters>
  <Lines>61</Lines>
  <Paragraphs>17</Paragraphs>
  <TotalTime>3</TotalTime>
  <ScaleCrop>false</ScaleCrop>
  <LinksUpToDate>false</LinksUpToDate>
  <CharactersWithSpaces>8535</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Administration</cp:lastModifiedBy>
  <cp:lastPrinted>2025-08-06T17:34:00Z</cp:lastPrinted>
  <dcterms:modified xsi:type="dcterms:W3CDTF">2025-09-09T05:21:39Z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87BA21925ACA41F1AE2BDE8952391264_13</vt:lpwstr>
  </property>
  <property fmtid="{D5CDD505-2E9C-101B-9397-08002B2CF9AE}" pid="4" name="KSOTemplateDocerSaveRecord">
    <vt:lpwstr>eyJoZGlkIjoiNjFmY2UwYTYzNzI5YTI1NDUzNjZjNDc0OWFjOTFkNGMiLCJ1c2VySWQiOiIzNzIyMjM3ODcifQ==</vt:lpwstr>
  </property>
</Properties>
</file>