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345FD">
      <w:pPr>
        <w:spacing w:line="600" w:lineRule="exact"/>
        <w:outlineLvl w:val="0"/>
        <w:rPr>
          <w:rFonts w:ascii="仿宋" w:hAnsi="仿宋" w:eastAsia="仿宋"/>
          <w:sz w:val="32"/>
          <w:szCs w:val="32"/>
        </w:rPr>
      </w:pPr>
      <w:bookmarkStart w:id="0" w:name="_Toc15306267"/>
      <w:bookmarkStart w:id="1" w:name="_Toc15377425"/>
      <w:bookmarkStart w:id="2" w:name="_Toc15377193"/>
      <w:bookmarkStart w:id="3" w:name="_Toc15378441"/>
      <w:bookmarkStart w:id="4" w:name="_Toc15396475"/>
      <w:bookmarkStart w:id="5" w:name="_Toc15396597"/>
    </w:p>
    <w:p w14:paraId="3B2A3A2D">
      <w:pPr>
        <w:pStyle w:val="2"/>
        <w:rPr>
          <w:rFonts w:hint="eastAsia"/>
        </w:rPr>
      </w:pPr>
    </w:p>
    <w:p w14:paraId="2C10CC0F">
      <w:pPr>
        <w:adjustRightInd w:val="0"/>
        <w:snapToGrid w:val="0"/>
        <w:spacing w:line="360" w:lineRule="auto"/>
        <w:jc w:val="center"/>
        <w:outlineLvl w:val="0"/>
        <w:rPr>
          <w:rFonts w:hint="eastAsia" w:ascii="黑体" w:hAnsi="黑体" w:eastAsia="黑体" w:cs="方正小标宋简体"/>
          <w:b/>
          <w:bCs/>
          <w:sz w:val="52"/>
          <w:szCs w:val="52"/>
        </w:rPr>
      </w:pPr>
    </w:p>
    <w:p w14:paraId="1B712A6D">
      <w:pPr>
        <w:adjustRightInd w:val="0"/>
        <w:snapToGrid w:val="0"/>
        <w:spacing w:line="360" w:lineRule="auto"/>
        <w:jc w:val="center"/>
        <w:outlineLvl w:val="0"/>
        <w:rPr>
          <w:rFonts w:hint="eastAsia" w:ascii="黑体" w:hAnsi="黑体" w:eastAsia="黑体" w:cs="方正小标宋简体"/>
          <w:b/>
          <w:bCs/>
          <w:sz w:val="52"/>
          <w:szCs w:val="52"/>
        </w:rPr>
      </w:pPr>
    </w:p>
    <w:p w14:paraId="5F755C4E">
      <w:pPr>
        <w:adjustRightInd w:val="0"/>
        <w:snapToGrid w:val="0"/>
        <w:spacing w:line="360" w:lineRule="auto"/>
        <w:jc w:val="center"/>
        <w:outlineLvl w:val="0"/>
        <w:rPr>
          <w:rFonts w:hint="eastAsia" w:ascii="黑体" w:hAnsi="黑体" w:eastAsia="黑体" w:cs="方正小标宋简体"/>
          <w:b/>
          <w:bCs/>
          <w:sz w:val="52"/>
          <w:szCs w:val="52"/>
        </w:rPr>
      </w:pPr>
    </w:p>
    <w:p w14:paraId="34630BD5">
      <w:pPr>
        <w:adjustRightInd w:val="0"/>
        <w:snapToGrid w:val="0"/>
        <w:spacing w:line="360" w:lineRule="auto"/>
        <w:jc w:val="center"/>
        <w:outlineLvl w:val="0"/>
        <w:rPr>
          <w:rFonts w:hint="eastAsia" w:ascii="黑体" w:hAnsi="黑体" w:eastAsia="黑体" w:cs="方正小标宋简体"/>
          <w:b/>
          <w:bCs/>
          <w:sz w:val="52"/>
          <w:szCs w:val="52"/>
        </w:rPr>
      </w:pPr>
      <w:r>
        <w:rPr>
          <w:rFonts w:hint="eastAsia" w:ascii="黑体" w:hAnsi="黑体" w:eastAsia="黑体" w:cs="方正小标宋简体"/>
          <w:b/>
          <w:bCs/>
          <w:sz w:val="52"/>
          <w:szCs w:val="52"/>
        </w:rPr>
        <w:t>2025年度</w:t>
      </w:r>
    </w:p>
    <w:p w14:paraId="56C9A8A5">
      <w:pPr>
        <w:adjustRightInd w:val="0"/>
        <w:snapToGrid w:val="0"/>
        <w:spacing w:line="360" w:lineRule="auto"/>
        <w:jc w:val="center"/>
        <w:outlineLvl w:val="0"/>
        <w:rPr>
          <w:rFonts w:hint="eastAsia" w:ascii="黑体" w:hAnsi="黑体" w:eastAsia="黑体"/>
          <w:b/>
          <w:bCs/>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titlePg/>
          <w:docGrid w:type="lines" w:linePitch="312" w:charSpace="0"/>
        </w:sectPr>
      </w:pPr>
      <w:r>
        <w:rPr>
          <w:rFonts w:hint="eastAsia" w:ascii="黑体" w:hAnsi="黑体" w:eastAsia="黑体" w:cs="方正小标宋简体"/>
          <w:b/>
          <w:bCs/>
          <w:sz w:val="52"/>
          <w:szCs w:val="52"/>
        </w:rPr>
        <w:t>阿坝州州级机关退休干部驻郫都区休养所决算公开</w:t>
      </w:r>
    </w:p>
    <w:bookmarkEnd w:id="0"/>
    <w:bookmarkEnd w:id="1"/>
    <w:bookmarkEnd w:id="2"/>
    <w:bookmarkEnd w:id="3"/>
    <w:bookmarkEnd w:id="4"/>
    <w:bookmarkEnd w:id="5"/>
    <w:p w14:paraId="1157999C">
      <w:pPr>
        <w:widowControl/>
        <w:jc w:val="center"/>
        <w:rPr>
          <w:rFonts w:eastAsia="黑体"/>
          <w:sz w:val="48"/>
          <w:szCs w:val="48"/>
        </w:rPr>
      </w:pPr>
      <w:r>
        <w:rPr>
          <w:rFonts w:hint="eastAsia" w:eastAsia="黑体"/>
          <w:sz w:val="48"/>
          <w:szCs w:val="48"/>
        </w:rPr>
        <w:t>目  录</w:t>
      </w:r>
    </w:p>
    <w:p w14:paraId="68ACBD14">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 9 月 10日</w:t>
      </w:r>
    </w:p>
    <w:p w14:paraId="45DE8613">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04CA70A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一、部门职责.................................................................3</w:t>
      </w:r>
    </w:p>
    <w:p w14:paraId="654F8F4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ab/>
      </w:r>
      <w:r>
        <w:rPr>
          <w:rFonts w:hint="eastAsia" w:eastAsia="仿宋_GB2312" w:cs="仿宋_GB2312"/>
          <w:sz w:val="32"/>
          <w:szCs w:val="32"/>
        </w:rPr>
        <w:t>3</w:t>
      </w:r>
    </w:p>
    <w:p w14:paraId="383878E0">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6981FA4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eastAsia="仿宋_GB2312" w:cs="仿宋_GB2312"/>
          <w:sz w:val="32"/>
          <w:szCs w:val="32"/>
        </w:rPr>
        <w:tab/>
      </w:r>
      <w:r>
        <w:rPr>
          <w:rFonts w:hint="eastAsia" w:eastAsia="仿宋_GB2312" w:cs="仿宋_GB2312"/>
          <w:sz w:val="32"/>
          <w:szCs w:val="32"/>
        </w:rPr>
        <w:t>4</w:t>
      </w:r>
    </w:p>
    <w:p w14:paraId="3A6C160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eastAsia="仿宋_GB2312" w:cs="仿宋_GB2312"/>
          <w:sz w:val="32"/>
          <w:szCs w:val="32"/>
        </w:rPr>
        <w:tab/>
      </w:r>
      <w:r>
        <w:rPr>
          <w:rFonts w:hint="eastAsia" w:eastAsia="仿宋_GB2312" w:cs="仿宋_GB2312"/>
          <w:sz w:val="32"/>
          <w:szCs w:val="32"/>
        </w:rPr>
        <w:t>5</w:t>
      </w:r>
    </w:p>
    <w:p w14:paraId="5F96751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eastAsia="仿宋_GB2312" w:cs="仿宋_GB2312"/>
          <w:sz w:val="32"/>
          <w:szCs w:val="32"/>
        </w:rPr>
        <w:tab/>
      </w:r>
      <w:r>
        <w:rPr>
          <w:rFonts w:hint="eastAsia" w:eastAsia="仿宋_GB2312" w:cs="仿宋_GB2312"/>
          <w:sz w:val="32"/>
          <w:szCs w:val="32"/>
        </w:rPr>
        <w:t>6</w:t>
      </w:r>
    </w:p>
    <w:p w14:paraId="2A15FB8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eastAsia="仿宋_GB2312" w:cs="仿宋_GB2312"/>
          <w:sz w:val="32"/>
          <w:szCs w:val="32"/>
        </w:rPr>
        <w:tab/>
      </w:r>
      <w:r>
        <w:rPr>
          <w:rFonts w:hint="eastAsia" w:eastAsia="仿宋_GB2312" w:cs="仿宋_GB2312"/>
          <w:sz w:val="32"/>
          <w:szCs w:val="32"/>
        </w:rPr>
        <w:t>7</w:t>
      </w:r>
    </w:p>
    <w:p w14:paraId="285FF2B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eastAsia="仿宋_GB2312" w:cs="仿宋_GB2312"/>
          <w:sz w:val="32"/>
          <w:szCs w:val="32"/>
        </w:rPr>
        <w:tab/>
      </w:r>
      <w:r>
        <w:rPr>
          <w:rFonts w:hint="eastAsia" w:eastAsia="仿宋_GB2312" w:cs="仿宋_GB2312"/>
          <w:sz w:val="32"/>
          <w:szCs w:val="32"/>
        </w:rPr>
        <w:t>8</w:t>
      </w:r>
    </w:p>
    <w:p w14:paraId="03EE390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eastAsia="仿宋_GB2312" w:cs="仿宋_GB2312"/>
          <w:sz w:val="32"/>
          <w:szCs w:val="32"/>
        </w:rPr>
        <w:tab/>
      </w:r>
      <w:r>
        <w:rPr>
          <w:rFonts w:hint="eastAsia" w:eastAsia="仿宋_GB2312" w:cs="仿宋_GB2312"/>
          <w:sz w:val="32"/>
          <w:szCs w:val="32"/>
        </w:rPr>
        <w:t>9-10</w:t>
      </w:r>
    </w:p>
    <w:p w14:paraId="650FB63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ab/>
      </w:r>
      <w:r>
        <w:rPr>
          <w:rFonts w:hint="eastAsia" w:eastAsia="仿宋_GB2312" w:cs="仿宋_GB2312"/>
          <w:sz w:val="32"/>
          <w:szCs w:val="32"/>
        </w:rPr>
        <w:t>11-12</w:t>
      </w:r>
    </w:p>
    <w:p w14:paraId="26CF081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ab/>
      </w:r>
      <w:r>
        <w:rPr>
          <w:rFonts w:hint="eastAsia" w:eastAsia="仿宋_GB2312" w:cs="仿宋_GB2312"/>
          <w:sz w:val="32"/>
          <w:szCs w:val="32"/>
        </w:rPr>
        <w:t>12</w:t>
      </w:r>
    </w:p>
    <w:p w14:paraId="6F75601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eastAsia="仿宋_GB2312" w:cs="仿宋_GB2312"/>
          <w:sz w:val="32"/>
          <w:szCs w:val="32"/>
        </w:rPr>
        <w:tab/>
      </w:r>
      <w:r>
        <w:rPr>
          <w:rFonts w:hint="eastAsia" w:eastAsia="仿宋_GB2312" w:cs="仿宋_GB2312"/>
          <w:sz w:val="32"/>
          <w:szCs w:val="32"/>
        </w:rPr>
        <w:t>12</w:t>
      </w:r>
    </w:p>
    <w:p w14:paraId="57329DD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eastAsia="仿宋_GB2312" w:cs="仿宋_GB2312"/>
          <w:sz w:val="32"/>
          <w:szCs w:val="32"/>
        </w:rPr>
        <w:tab/>
      </w:r>
      <w:r>
        <w:rPr>
          <w:rFonts w:hint="eastAsia" w:eastAsia="仿宋_GB2312" w:cs="仿宋_GB2312"/>
          <w:sz w:val="32"/>
          <w:szCs w:val="32"/>
        </w:rPr>
        <w:t>12-13</w:t>
      </w:r>
    </w:p>
    <w:p w14:paraId="013C5C64">
      <w:pPr>
        <w:pStyle w:val="13"/>
        <w:adjustRightInd w:val="0"/>
        <w:snapToGrid w:val="0"/>
        <w:spacing w:before="0" w:line="560" w:lineRule="exact"/>
        <w:rPr>
          <w:rFonts w:ascii="Times New Roman" w:hAnsi="Times New Roman" w:eastAsia="黑体" w:cs="黑体"/>
          <w:sz w:val="32"/>
          <w:szCs w:val="32"/>
        </w:rPr>
      </w:pPr>
      <w:r>
        <w:rPr>
          <w:rFonts w:hint="eastAsia" w:ascii="Times New Roman" w:hAnsi="Times New Roman" w:eastAsia="黑体" w:cs="黑体"/>
          <w:sz w:val="32"/>
          <w:szCs w:val="32"/>
        </w:rPr>
        <w:t>第三部分</w:t>
      </w:r>
    </w:p>
    <w:p w14:paraId="1AF3BE67">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名词解释</w:t>
      </w:r>
      <w:r>
        <w:rPr>
          <w:rFonts w:ascii="Times New Roman" w:hAnsi="Times New Roman" w:eastAsia="黑体" w:cs="黑体"/>
          <w:sz w:val="32"/>
          <w:szCs w:val="32"/>
        </w:rPr>
        <w:tab/>
      </w:r>
      <w:r>
        <w:rPr>
          <w:rFonts w:hint="eastAsia" w:ascii="Times New Roman" w:hAnsi="Times New Roman" w:eastAsia="黑体" w:cs="黑体"/>
          <w:sz w:val="32"/>
          <w:szCs w:val="32"/>
        </w:rPr>
        <w:t>14-17</w:t>
      </w:r>
    </w:p>
    <w:p w14:paraId="015B9C62">
      <w:pPr>
        <w:pStyle w:val="13"/>
        <w:adjustRightInd w:val="0"/>
        <w:snapToGrid w:val="0"/>
        <w:spacing w:before="0" w:line="560" w:lineRule="exact"/>
        <w:jc w:val="left"/>
        <w:rPr>
          <w:rFonts w:ascii="Times New Roman" w:hAnsi="Times New Roman" w:eastAsia="黑体" w:cs="黑体"/>
          <w:sz w:val="32"/>
          <w:szCs w:val="32"/>
        </w:rPr>
      </w:pPr>
    </w:p>
    <w:p w14:paraId="561CBD9B">
      <w:pPr>
        <w:pStyle w:val="13"/>
        <w:adjustRightInd w:val="0"/>
        <w:snapToGrid w:val="0"/>
        <w:spacing w:before="0" w:line="560" w:lineRule="exact"/>
        <w:jc w:val="left"/>
        <w:rPr>
          <w:rFonts w:hint="eastAsia" w:eastAsia="黑体" w:cs="黑体"/>
          <w:sz w:val="32"/>
          <w:szCs w:val="32"/>
        </w:rPr>
      </w:pPr>
      <w:r>
        <w:rPr>
          <w:rFonts w:hint="eastAsia" w:eastAsia="黑体" w:cs="黑体"/>
          <w:sz w:val="32"/>
          <w:szCs w:val="32"/>
        </w:rPr>
        <w:t>第四部分2026年部门预算绩效自评报告</w:t>
      </w:r>
      <w:r>
        <w:rPr>
          <w:rFonts w:eastAsia="黑体" w:cs="黑体"/>
          <w:sz w:val="32"/>
          <w:szCs w:val="32"/>
        </w:rPr>
        <w:tab/>
      </w:r>
      <w:r>
        <w:rPr>
          <w:rFonts w:hint="eastAsia" w:eastAsia="黑体" w:cs="黑体"/>
          <w:sz w:val="32"/>
          <w:szCs w:val="32"/>
        </w:rPr>
        <w:t>18-24</w:t>
      </w:r>
    </w:p>
    <w:p w14:paraId="1BC550E5">
      <w:pPr>
        <w:pStyle w:val="13"/>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ab/>
      </w:r>
      <w:r>
        <w:rPr>
          <w:rFonts w:hint="eastAsia" w:ascii="Times New Roman" w:hAnsi="Times New Roman" w:eastAsia="黑体" w:cs="黑体"/>
          <w:sz w:val="32"/>
          <w:szCs w:val="32"/>
        </w:rPr>
        <w:t>25</w:t>
      </w:r>
    </w:p>
    <w:p w14:paraId="68896B5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cs="仿宋_GB2312"/>
          <w:sz w:val="32"/>
          <w:szCs w:val="32"/>
        </w:rPr>
        <w:tab/>
      </w:r>
      <w:r>
        <w:rPr>
          <w:rFonts w:hint="eastAsia" w:eastAsia="仿宋_GB2312" w:cs="仿宋_GB2312"/>
          <w:sz w:val="32"/>
          <w:szCs w:val="32"/>
        </w:rPr>
        <w:t>1</w:t>
      </w:r>
    </w:p>
    <w:p w14:paraId="7AE8A33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cs="仿宋_GB2312"/>
          <w:sz w:val="32"/>
          <w:szCs w:val="32"/>
        </w:rPr>
        <w:tab/>
      </w:r>
      <w:r>
        <w:rPr>
          <w:rFonts w:hint="eastAsia" w:eastAsia="仿宋_GB2312" w:cs="仿宋_GB2312"/>
          <w:sz w:val="32"/>
          <w:szCs w:val="32"/>
        </w:rPr>
        <w:t>2</w:t>
      </w:r>
    </w:p>
    <w:p w14:paraId="49CADD1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cs="仿宋_GB2312"/>
          <w:sz w:val="32"/>
          <w:szCs w:val="32"/>
        </w:rPr>
        <w:tab/>
      </w:r>
      <w:r>
        <w:rPr>
          <w:rFonts w:hint="eastAsia" w:eastAsia="仿宋_GB2312" w:cs="仿宋_GB2312"/>
          <w:sz w:val="32"/>
          <w:szCs w:val="32"/>
        </w:rPr>
        <w:t>3</w:t>
      </w:r>
    </w:p>
    <w:p w14:paraId="06914A8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cs="仿宋_GB2312"/>
          <w:sz w:val="32"/>
          <w:szCs w:val="32"/>
        </w:rPr>
        <w:tab/>
      </w:r>
      <w:r>
        <w:rPr>
          <w:rFonts w:hint="eastAsia" w:eastAsia="仿宋_GB2312" w:cs="仿宋_GB2312"/>
          <w:sz w:val="32"/>
          <w:szCs w:val="32"/>
        </w:rPr>
        <w:t>4</w:t>
      </w:r>
    </w:p>
    <w:p w14:paraId="0EE4B7D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cs="仿宋_GB2312"/>
          <w:sz w:val="32"/>
          <w:szCs w:val="32"/>
        </w:rPr>
        <w:tab/>
      </w:r>
      <w:r>
        <w:rPr>
          <w:rFonts w:hint="eastAsia" w:eastAsia="仿宋_GB2312" w:cs="仿宋_GB2312"/>
          <w:sz w:val="32"/>
          <w:szCs w:val="32"/>
        </w:rPr>
        <w:t>5</w:t>
      </w:r>
    </w:p>
    <w:p w14:paraId="776E9A8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cs="仿宋_GB2312"/>
          <w:sz w:val="32"/>
          <w:szCs w:val="32"/>
        </w:rPr>
        <w:tab/>
      </w:r>
      <w:r>
        <w:rPr>
          <w:rFonts w:hint="eastAsia" w:eastAsia="仿宋_GB2312" w:cs="仿宋_GB2312"/>
          <w:sz w:val="32"/>
          <w:szCs w:val="32"/>
        </w:rPr>
        <w:t>6</w:t>
      </w:r>
    </w:p>
    <w:p w14:paraId="692B604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cs="仿宋_GB2312"/>
          <w:sz w:val="32"/>
          <w:szCs w:val="32"/>
        </w:rPr>
        <w:tab/>
      </w:r>
      <w:r>
        <w:rPr>
          <w:rFonts w:hint="eastAsia" w:eastAsia="仿宋_GB2312" w:cs="仿宋_GB2312"/>
          <w:sz w:val="32"/>
          <w:szCs w:val="32"/>
        </w:rPr>
        <w:t>7</w:t>
      </w:r>
    </w:p>
    <w:p w14:paraId="4019237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eastAsia="仿宋_GB2312" w:cs="仿宋_GB2312"/>
          <w:sz w:val="32"/>
          <w:szCs w:val="32"/>
        </w:rPr>
        <w:tab/>
      </w:r>
      <w:r>
        <w:rPr>
          <w:rFonts w:hint="eastAsia" w:eastAsia="仿宋_GB2312" w:cs="仿宋_GB2312"/>
          <w:sz w:val="32"/>
          <w:szCs w:val="32"/>
        </w:rPr>
        <w:t>8</w:t>
      </w:r>
    </w:p>
    <w:p w14:paraId="1F7345E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cs="仿宋_GB2312"/>
          <w:sz w:val="32"/>
          <w:szCs w:val="32"/>
        </w:rPr>
        <w:tab/>
      </w:r>
      <w:r>
        <w:rPr>
          <w:rFonts w:hint="eastAsia" w:eastAsia="仿宋_GB2312" w:cs="仿宋_GB2312"/>
          <w:sz w:val="32"/>
          <w:szCs w:val="32"/>
        </w:rPr>
        <w:t>9</w:t>
      </w:r>
    </w:p>
    <w:p w14:paraId="244CAFE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eastAsia="仿宋_GB2312" w:cs="仿宋_GB2312"/>
          <w:sz w:val="32"/>
          <w:szCs w:val="32"/>
        </w:rPr>
        <w:tab/>
      </w:r>
      <w:r>
        <w:rPr>
          <w:rFonts w:hint="eastAsia" w:eastAsia="仿宋_GB2312" w:cs="仿宋_GB2312"/>
          <w:sz w:val="32"/>
          <w:szCs w:val="32"/>
        </w:rPr>
        <w:t>10</w:t>
      </w:r>
    </w:p>
    <w:p w14:paraId="2D05826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eastAsia="仿宋_GB2312" w:cs="仿宋_GB2312"/>
          <w:sz w:val="32"/>
          <w:szCs w:val="32"/>
        </w:rPr>
        <w:tab/>
      </w:r>
      <w:r>
        <w:rPr>
          <w:rFonts w:hint="eastAsia" w:eastAsia="仿宋_GB2312" w:cs="仿宋_GB2312"/>
          <w:sz w:val="32"/>
          <w:szCs w:val="32"/>
        </w:rPr>
        <w:t>11</w:t>
      </w:r>
    </w:p>
    <w:p w14:paraId="4769179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eastAsia="仿宋_GB2312" w:cs="仿宋_GB2312"/>
          <w:sz w:val="32"/>
          <w:szCs w:val="32"/>
        </w:rPr>
        <w:tab/>
      </w:r>
      <w:r>
        <w:rPr>
          <w:rFonts w:hint="eastAsia" w:eastAsia="仿宋_GB2312" w:cs="仿宋_GB2312"/>
          <w:sz w:val="32"/>
          <w:szCs w:val="32"/>
        </w:rPr>
        <w:t>12</w:t>
      </w:r>
    </w:p>
    <w:p w14:paraId="25BBCC9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eastAsia="仿宋_GB2312" w:cs="仿宋_GB2312"/>
          <w:sz w:val="32"/>
          <w:szCs w:val="32"/>
        </w:rPr>
        <w:tab/>
      </w:r>
      <w:r>
        <w:rPr>
          <w:rFonts w:hint="eastAsia" w:eastAsia="仿宋_GB2312" w:cs="仿宋_GB2312"/>
          <w:sz w:val="32"/>
          <w:szCs w:val="32"/>
        </w:rPr>
        <w:t>13</w:t>
      </w:r>
    </w:p>
    <w:p w14:paraId="2B65AD5E">
      <w:pPr>
        <w:widowControl/>
        <w:spacing w:line="560" w:lineRule="exact"/>
        <w:jc w:val="left"/>
        <w:rPr>
          <w:rFonts w:eastAsia="仿宋_GB2312" w:cs="仿宋_GB2312"/>
          <w:bCs/>
          <w:kern w:val="44"/>
          <w:sz w:val="32"/>
          <w:szCs w:val="32"/>
        </w:rPr>
      </w:pPr>
      <w:bookmarkStart w:id="6" w:name="_Toc15396599"/>
      <w:bookmarkStart w:id="7" w:name="_Toc15377196"/>
      <w:r>
        <w:rPr>
          <w:rFonts w:hint="eastAsia" w:eastAsia="仿宋_GB2312" w:cs="仿宋_GB2312"/>
          <w:b/>
          <w:sz w:val="32"/>
          <w:szCs w:val="32"/>
        </w:rPr>
        <w:br w:type="page"/>
      </w:r>
    </w:p>
    <w:p w14:paraId="76B8C430">
      <w:pPr>
        <w:pStyle w:val="5"/>
        <w:jc w:val="center"/>
        <w:rPr>
          <w:rFonts w:eastAsia="方正小标宋简体" w:cs="方正小标宋简体"/>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6"/>
      <w:bookmarkEnd w:id="7"/>
    </w:p>
    <w:p w14:paraId="294B6BDC">
      <w:pPr>
        <w:pStyle w:val="6"/>
        <w:numPr>
          <w:ilvl w:val="0"/>
          <w:numId w:val="1"/>
        </w:numPr>
        <w:rPr>
          <w:rFonts w:ascii="Times New Roman" w:hAnsi="Times New Roman" w:eastAsia="黑体"/>
          <w:b w:val="0"/>
        </w:rPr>
      </w:pPr>
      <w:r>
        <w:rPr>
          <w:rFonts w:hint="eastAsia" w:ascii="Times New Roman" w:hAnsi="Times New Roman" w:eastAsia="黑体"/>
          <w:b w:val="0"/>
        </w:rPr>
        <w:t>部门职责</w:t>
      </w:r>
    </w:p>
    <w:p w14:paraId="4D75ABAA">
      <w:pPr>
        <w:ind w:firstLine="640" w:firstLineChars="200"/>
        <w:rPr>
          <w:rFonts w:hint="eastAsia" w:ascii="仿宋" w:hAnsi="仿宋" w:eastAsia="仿宋"/>
          <w:sz w:val="32"/>
          <w:szCs w:val="32"/>
        </w:rPr>
      </w:pPr>
      <w:r>
        <w:rPr>
          <w:rFonts w:hint="eastAsia" w:ascii="仿宋" w:hAnsi="仿宋" w:eastAsia="仿宋"/>
          <w:sz w:val="32"/>
          <w:szCs w:val="32"/>
        </w:rPr>
        <w:t>单位的主要职能是对退休老干部的管理服务及组织大型活动的开展，贯彻执行州委老干部局对干休所工作的总体安排布署，了解掌握老同志的基本情况，做好老同志的思想工作，组织老同志学习党的有关方针政策。</w:t>
      </w:r>
    </w:p>
    <w:p w14:paraId="3647834F">
      <w:pPr>
        <w:pStyle w:val="6"/>
        <w:numPr>
          <w:ilvl w:val="0"/>
          <w:numId w:val="1"/>
        </w:numPr>
        <w:rPr>
          <w:rFonts w:ascii="Times New Roman" w:hAnsi="Times New Roman" w:eastAsia="黑体"/>
          <w:b w:val="0"/>
        </w:rPr>
      </w:pPr>
      <w:bookmarkStart w:id="8" w:name="_Toc15396601"/>
      <w:bookmarkStart w:id="9" w:name="_Toc15377200"/>
      <w:r>
        <w:rPr>
          <w:rFonts w:hint="eastAsia" w:ascii="Times New Roman" w:hAnsi="Times New Roman" w:eastAsia="黑体"/>
          <w:b w:val="0"/>
        </w:rPr>
        <w:t>机</w:t>
      </w:r>
      <w:r>
        <w:rPr>
          <w:rFonts w:ascii="Times New Roman" w:hAnsi="Times New Roman" w:eastAsia="黑体"/>
          <w:b w:val="0"/>
        </w:rPr>
        <w:t>构设置</w:t>
      </w:r>
      <w:bookmarkEnd w:id="8"/>
      <w:bookmarkEnd w:id="9"/>
    </w:p>
    <w:p w14:paraId="70852C69">
      <w:pPr>
        <w:ind w:firstLine="800" w:firstLineChars="250"/>
        <w:rPr>
          <w:rFonts w:hint="eastAsia" w:ascii="仿宋" w:hAnsi="仿宋" w:eastAsia="仿宋"/>
          <w:sz w:val="32"/>
          <w:szCs w:val="32"/>
        </w:rPr>
      </w:pPr>
      <w:r>
        <w:rPr>
          <w:rFonts w:hint="eastAsia" w:ascii="仿宋" w:hAnsi="仿宋" w:eastAsia="仿宋"/>
          <w:sz w:val="32"/>
          <w:szCs w:val="32"/>
        </w:rPr>
        <w:t>阿坝州州级机关退休干部驻郫都区休养所下属二级预算单位1个，其中，参照公务员法管理的事业单位1个。</w:t>
      </w:r>
    </w:p>
    <w:p w14:paraId="64AA1A26">
      <w:pPr>
        <w:pStyle w:val="5"/>
        <w:jc w:val="center"/>
        <w:rPr>
          <w:rFonts w:hint="eastAsia" w:ascii="仿宋" w:hAnsi="仿宋" w:eastAsia="仿宋"/>
          <w:b w:val="0"/>
          <w:bCs w:val="0"/>
          <w:kern w:val="2"/>
          <w:sz w:val="32"/>
          <w:szCs w:val="32"/>
        </w:rPr>
      </w:pPr>
      <w:bookmarkStart w:id="10" w:name="_Toc15396602"/>
      <w:bookmarkStart w:id="11" w:name="_Toc15377204"/>
    </w:p>
    <w:p w14:paraId="38F65593">
      <w:pPr>
        <w:pStyle w:val="5"/>
        <w:jc w:val="center"/>
        <w:rPr>
          <w:rFonts w:eastAsia="方正小标宋简体" w:cs="方正小标宋简体"/>
          <w:b w:val="0"/>
        </w:rPr>
      </w:pPr>
    </w:p>
    <w:p w14:paraId="567F404B">
      <w:pPr>
        <w:pStyle w:val="5"/>
        <w:jc w:val="center"/>
        <w:rPr>
          <w:rFonts w:eastAsia="方正小标宋简体" w:cs="方正小标宋简体"/>
          <w:b w:val="0"/>
        </w:rPr>
      </w:pPr>
    </w:p>
    <w:p w14:paraId="2349AE52"/>
    <w:p w14:paraId="1752EEFF">
      <w:pPr>
        <w:pStyle w:val="2"/>
      </w:pPr>
    </w:p>
    <w:p w14:paraId="4005B99F">
      <w:pPr>
        <w:pStyle w:val="5"/>
        <w:jc w:val="center"/>
        <w:rPr>
          <w:rFonts w:eastAsia="方正小标宋简体" w:cs="方正小标宋简体"/>
          <w:b w:val="0"/>
        </w:rPr>
      </w:pPr>
      <w:r>
        <w:rPr>
          <w:rFonts w:hint="eastAsia" w:eastAsia="方正小标宋简体" w:cs="方正小标宋简体"/>
          <w:b w:val="0"/>
        </w:rPr>
        <w:t>第二部分  2025年度部门决算情况说明</w:t>
      </w:r>
      <w:bookmarkEnd w:id="10"/>
      <w:bookmarkEnd w:id="11"/>
    </w:p>
    <w:p w14:paraId="36AEDDCE">
      <w:pPr>
        <w:pStyle w:val="28"/>
        <w:spacing w:line="600" w:lineRule="exact"/>
        <w:ind w:firstLine="640"/>
        <w:outlineLvl w:val="1"/>
        <w:rPr>
          <w:rStyle w:val="30"/>
          <w:rFonts w:ascii="Times New Roman" w:hAnsi="Times New Roman" w:eastAsia="黑体"/>
          <w:b w:val="0"/>
        </w:rPr>
      </w:pPr>
      <w:bookmarkStart w:id="12" w:name="_Toc15396603"/>
      <w:bookmarkStart w:id="13" w:name="_Toc15377205"/>
      <w:r>
        <w:rPr>
          <w:rFonts w:hint="eastAsia" w:eastAsia="黑体"/>
          <w:sz w:val="32"/>
          <w:szCs w:val="32"/>
        </w:rPr>
        <w:t>一、收</w:t>
      </w:r>
      <w:r>
        <w:rPr>
          <w:rStyle w:val="30"/>
          <w:rFonts w:hint="eastAsia" w:ascii="Times New Roman" w:hAnsi="Times New Roman" w:eastAsia="黑体"/>
          <w:b w:val="0"/>
        </w:rPr>
        <w:t>入支出决算总体情况说明</w:t>
      </w:r>
      <w:bookmarkEnd w:id="12"/>
      <w:bookmarkEnd w:id="13"/>
    </w:p>
    <w:p w14:paraId="6D8007E4">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133.98</w:t>
      </w:r>
      <w:r>
        <w:rPr>
          <w:rFonts w:hint="eastAsia" w:eastAsia="仿宋_GB2312" w:cs="仿宋_GB2312"/>
          <w:sz w:val="32"/>
          <w:szCs w:val="32"/>
        </w:rPr>
        <w:t>万元。与上年度相比，收入、支出总计各增加6.24万元，增长4.9%。主要变动原因是</w:t>
      </w:r>
      <w:bookmarkStart w:id="14" w:name="OLE_LINK6"/>
      <w:r>
        <w:rPr>
          <w:rFonts w:hint="eastAsia" w:eastAsia="仿宋_GB2312" w:cs="仿宋_GB2312"/>
          <w:sz w:val="32"/>
          <w:szCs w:val="32"/>
        </w:rPr>
        <w:t>增加人员经费，工资正常晋升。</w:t>
      </w:r>
    </w:p>
    <w:bookmarkEnd w:id="14"/>
    <w:p w14:paraId="63BBB0C9">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3279EBB5">
      <w:pPr>
        <w:pStyle w:val="3"/>
        <w:ind w:left="420"/>
      </w:pPr>
      <w:r>
        <w:drawing>
          <wp:inline distT="0" distB="0" distL="0" distR="0">
            <wp:extent cx="5274310" cy="3076575"/>
            <wp:effectExtent l="0" t="0" r="2540" b="9525"/>
            <wp:docPr id="28975955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70A6DB">
      <w:pPr>
        <w:pStyle w:val="28"/>
        <w:spacing w:line="600" w:lineRule="exact"/>
        <w:ind w:firstLine="640"/>
        <w:outlineLvl w:val="1"/>
        <w:rPr>
          <w:rFonts w:eastAsia="黑体"/>
          <w:sz w:val="32"/>
          <w:szCs w:val="32"/>
        </w:rPr>
      </w:pPr>
      <w:bookmarkStart w:id="15" w:name="_Toc15396604"/>
      <w:bookmarkStart w:id="16" w:name="_Toc15377206"/>
    </w:p>
    <w:p w14:paraId="0483FB63">
      <w:pPr>
        <w:pStyle w:val="28"/>
        <w:spacing w:line="600" w:lineRule="exact"/>
        <w:ind w:firstLine="640"/>
        <w:outlineLvl w:val="1"/>
        <w:rPr>
          <w:rFonts w:eastAsia="黑体"/>
          <w:sz w:val="32"/>
          <w:szCs w:val="32"/>
        </w:rPr>
      </w:pPr>
    </w:p>
    <w:p w14:paraId="4A6983F9">
      <w:pPr>
        <w:pStyle w:val="28"/>
        <w:spacing w:line="600" w:lineRule="exact"/>
        <w:ind w:firstLine="640"/>
        <w:outlineLvl w:val="1"/>
        <w:rPr>
          <w:rFonts w:eastAsia="黑体"/>
          <w:sz w:val="32"/>
          <w:szCs w:val="32"/>
        </w:rPr>
      </w:pPr>
    </w:p>
    <w:p w14:paraId="0007DC2C">
      <w:pPr>
        <w:pStyle w:val="28"/>
        <w:spacing w:line="600" w:lineRule="exact"/>
        <w:ind w:firstLine="640"/>
        <w:outlineLvl w:val="1"/>
        <w:rPr>
          <w:rFonts w:eastAsia="黑体"/>
          <w:sz w:val="32"/>
          <w:szCs w:val="32"/>
        </w:rPr>
      </w:pPr>
    </w:p>
    <w:p w14:paraId="43A9F4C2">
      <w:pPr>
        <w:pStyle w:val="28"/>
        <w:spacing w:line="600" w:lineRule="exact"/>
        <w:ind w:firstLine="640"/>
        <w:outlineLvl w:val="1"/>
        <w:rPr>
          <w:rFonts w:eastAsia="黑体"/>
          <w:sz w:val="32"/>
          <w:szCs w:val="32"/>
        </w:rPr>
      </w:pPr>
    </w:p>
    <w:p w14:paraId="0A544CAF">
      <w:pPr>
        <w:pStyle w:val="28"/>
        <w:spacing w:line="600" w:lineRule="exact"/>
        <w:ind w:firstLine="640"/>
        <w:outlineLvl w:val="1"/>
        <w:rPr>
          <w:rFonts w:eastAsia="黑体"/>
          <w:sz w:val="32"/>
          <w:szCs w:val="32"/>
        </w:rPr>
      </w:pPr>
      <w:r>
        <w:rPr>
          <w:rFonts w:hint="eastAsia" w:eastAsia="黑体"/>
          <w:sz w:val="32"/>
          <w:szCs w:val="32"/>
        </w:rPr>
        <w:t>二、收入决算情况说明</w:t>
      </w:r>
      <w:bookmarkEnd w:id="15"/>
      <w:bookmarkEnd w:id="16"/>
    </w:p>
    <w:p w14:paraId="5F0E8574">
      <w:pPr>
        <w:pStyle w:val="28"/>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129.4</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128.7</w:t>
      </w:r>
      <w:r>
        <w:rPr>
          <w:rFonts w:hint="eastAsia" w:eastAsia="仿宋_GB2312" w:cs="仿宋_GB2312"/>
          <w:sz w:val="32"/>
          <w:szCs w:val="32"/>
        </w:rPr>
        <w:t>万元，占</w:t>
      </w:r>
      <w:r>
        <w:rPr>
          <w:rFonts w:hint="eastAsia" w:ascii="仿宋_GB2312" w:hAnsi="仿宋_GB2312" w:eastAsia="仿宋_GB2312" w:cs="仿宋_GB2312"/>
          <w:sz w:val="32"/>
          <w:szCs w:val="32"/>
        </w:rPr>
        <w:t>99.5</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0.69</w:t>
      </w:r>
      <w:r>
        <w:rPr>
          <w:rFonts w:hint="eastAsia" w:eastAsia="仿宋_GB2312" w:cs="仿宋_GB2312"/>
          <w:sz w:val="32"/>
          <w:szCs w:val="32"/>
        </w:rPr>
        <w:t>万元，占</w:t>
      </w:r>
      <w:r>
        <w:rPr>
          <w:rFonts w:hint="eastAsia" w:ascii="仿宋_GB2312" w:hAnsi="仿宋_GB2312" w:eastAsia="仿宋_GB2312" w:cs="仿宋_GB2312"/>
          <w:sz w:val="32"/>
          <w:szCs w:val="32"/>
        </w:rPr>
        <w:t>0.53</w:t>
      </w:r>
      <w:r>
        <w:rPr>
          <w:rFonts w:hint="eastAsia" w:eastAsia="仿宋_GB2312" w:cs="仿宋_GB2312"/>
          <w:sz w:val="32"/>
          <w:szCs w:val="32"/>
        </w:rPr>
        <w:t>%。</w:t>
      </w:r>
      <w:r>
        <w:rPr>
          <w:rFonts w:hint="eastAsia" w:eastAsia="仿宋_GB2312" w:cs="仿宋_GB2312"/>
          <w:b/>
          <w:bCs/>
          <w:sz w:val="32"/>
          <w:szCs w:val="32"/>
        </w:rPr>
        <w:t>（注：仅罗列本部门涉及的收入）</w:t>
      </w:r>
    </w:p>
    <w:p w14:paraId="4B228F9A">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07EBE655">
      <w:pPr>
        <w:ind w:firstLine="525" w:firstLineChars="250"/>
        <w:rPr>
          <w:rFonts w:eastAsia="仿宋_GB2312" w:cs="仿宋_GB2312"/>
          <w:sz w:val="32"/>
          <w:szCs w:val="32"/>
        </w:rPr>
      </w:pPr>
      <w:r>
        <w:drawing>
          <wp:inline distT="0" distB="0" distL="0" distR="0">
            <wp:extent cx="5274310" cy="3076575"/>
            <wp:effectExtent l="0" t="0" r="2540" b="9525"/>
            <wp:docPr id="35459095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F0071E">
      <w:pPr>
        <w:pStyle w:val="2"/>
      </w:pPr>
    </w:p>
    <w:p w14:paraId="4C708F5A">
      <w:pPr>
        <w:pStyle w:val="28"/>
        <w:spacing w:line="600" w:lineRule="exact"/>
        <w:ind w:firstLine="640"/>
        <w:outlineLvl w:val="1"/>
        <w:rPr>
          <w:rFonts w:eastAsia="黑体"/>
          <w:sz w:val="32"/>
          <w:szCs w:val="32"/>
        </w:rPr>
      </w:pPr>
      <w:bookmarkStart w:id="17" w:name="_Toc15396605"/>
      <w:bookmarkStart w:id="18" w:name="_Toc15377207"/>
    </w:p>
    <w:p w14:paraId="29A9729E">
      <w:pPr>
        <w:pStyle w:val="28"/>
        <w:spacing w:line="600" w:lineRule="exact"/>
        <w:ind w:firstLine="640"/>
        <w:outlineLvl w:val="1"/>
        <w:rPr>
          <w:rFonts w:eastAsia="黑体"/>
          <w:sz w:val="32"/>
          <w:szCs w:val="32"/>
        </w:rPr>
      </w:pPr>
    </w:p>
    <w:p w14:paraId="3F23D3A5">
      <w:pPr>
        <w:pStyle w:val="28"/>
        <w:spacing w:line="600" w:lineRule="exact"/>
        <w:ind w:firstLine="640"/>
        <w:outlineLvl w:val="1"/>
        <w:rPr>
          <w:rFonts w:eastAsia="黑体"/>
          <w:sz w:val="32"/>
          <w:szCs w:val="32"/>
        </w:rPr>
      </w:pPr>
    </w:p>
    <w:p w14:paraId="364E0B9A">
      <w:pPr>
        <w:pStyle w:val="28"/>
        <w:spacing w:line="600" w:lineRule="exact"/>
        <w:ind w:firstLine="640"/>
        <w:outlineLvl w:val="1"/>
        <w:rPr>
          <w:rStyle w:val="30"/>
          <w:rFonts w:ascii="Times New Roman" w:hAnsi="Times New Roman" w:eastAsia="黑体"/>
          <w:b w:val="0"/>
        </w:rPr>
      </w:pPr>
      <w:r>
        <w:rPr>
          <w:rFonts w:hint="eastAsia" w:eastAsia="黑体"/>
          <w:sz w:val="32"/>
          <w:szCs w:val="32"/>
        </w:rPr>
        <w:t>三、支</w:t>
      </w:r>
      <w:r>
        <w:rPr>
          <w:rStyle w:val="30"/>
          <w:rFonts w:hint="eastAsia" w:ascii="Times New Roman" w:hAnsi="Times New Roman" w:eastAsia="黑体"/>
          <w:b w:val="0"/>
        </w:rPr>
        <w:t>出决算情况说明</w:t>
      </w:r>
      <w:bookmarkEnd w:id="17"/>
      <w:bookmarkEnd w:id="18"/>
    </w:p>
    <w:p w14:paraId="6B1FD69A">
      <w:pPr>
        <w:pStyle w:val="28"/>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128.7</w:t>
      </w:r>
      <w:r>
        <w:rPr>
          <w:rFonts w:hint="eastAsia" w:eastAsia="仿宋_GB2312" w:cs="仿宋_GB2312"/>
          <w:sz w:val="32"/>
          <w:szCs w:val="32"/>
        </w:rPr>
        <w:t>万元，其中：基本支出</w:t>
      </w:r>
      <w:r>
        <w:rPr>
          <w:rFonts w:hint="eastAsia" w:ascii="仿宋_GB2312" w:hAnsi="仿宋_GB2312" w:eastAsia="仿宋_GB2312" w:cs="仿宋_GB2312"/>
          <w:sz w:val="32"/>
          <w:szCs w:val="32"/>
        </w:rPr>
        <w:t>106</w:t>
      </w:r>
      <w:r>
        <w:rPr>
          <w:rFonts w:hint="eastAsia" w:eastAsia="仿宋_GB2312" w:cs="仿宋_GB2312"/>
          <w:sz w:val="32"/>
          <w:szCs w:val="32"/>
        </w:rPr>
        <w:t>万元，占</w:t>
      </w:r>
      <w:r>
        <w:rPr>
          <w:rFonts w:hint="eastAsia" w:ascii="仿宋_GB2312" w:hAnsi="仿宋_GB2312" w:eastAsia="仿宋_GB2312" w:cs="仿宋_GB2312"/>
          <w:sz w:val="32"/>
          <w:szCs w:val="32"/>
        </w:rPr>
        <w:t>82.3</w:t>
      </w:r>
      <w:r>
        <w:rPr>
          <w:rFonts w:hint="eastAsia" w:eastAsia="仿宋_GB2312" w:cs="仿宋_GB2312"/>
          <w:sz w:val="32"/>
          <w:szCs w:val="32"/>
        </w:rPr>
        <w:t>%；项目支出</w:t>
      </w:r>
      <w:r>
        <w:rPr>
          <w:rFonts w:hint="eastAsia" w:ascii="仿宋_GB2312" w:hAnsi="仿宋_GB2312" w:eastAsia="仿宋_GB2312" w:cs="仿宋_GB2312"/>
          <w:sz w:val="32"/>
          <w:szCs w:val="32"/>
        </w:rPr>
        <w:t>22.7</w:t>
      </w:r>
      <w:r>
        <w:rPr>
          <w:rFonts w:hint="eastAsia" w:eastAsia="仿宋_GB2312" w:cs="仿宋_GB2312"/>
          <w:sz w:val="32"/>
          <w:szCs w:val="32"/>
        </w:rPr>
        <w:t>万元，占</w:t>
      </w:r>
      <w:r>
        <w:rPr>
          <w:rFonts w:hint="eastAsia" w:ascii="仿宋_GB2312" w:hAnsi="仿宋_GB2312" w:eastAsia="仿宋_GB2312" w:cs="仿宋_GB2312"/>
          <w:sz w:val="32"/>
          <w:szCs w:val="32"/>
        </w:rPr>
        <w:t>17.7</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3F78D2F9">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14:paraId="19426C35">
      <w:r>
        <w:rPr>
          <w:rFonts w:hint="eastAsia"/>
        </w:rPr>
        <w:drawing>
          <wp:inline distT="0" distB="0" distL="0" distR="0">
            <wp:extent cx="5274310" cy="3076575"/>
            <wp:effectExtent l="0" t="0" r="2540" b="9525"/>
            <wp:docPr id="46330701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301721E">
      <w:pPr>
        <w:spacing w:line="600" w:lineRule="exact"/>
        <w:ind w:firstLine="640" w:firstLineChars="200"/>
        <w:outlineLvl w:val="1"/>
        <w:rPr>
          <w:rFonts w:eastAsia="黑体"/>
          <w:sz w:val="32"/>
          <w:szCs w:val="32"/>
        </w:rPr>
      </w:pPr>
      <w:bookmarkStart w:id="19" w:name="_Toc15396606"/>
      <w:bookmarkStart w:id="20" w:name="_Toc15377208"/>
    </w:p>
    <w:p w14:paraId="08102C31">
      <w:pPr>
        <w:spacing w:line="600" w:lineRule="exact"/>
        <w:ind w:firstLine="640" w:firstLineChars="200"/>
        <w:outlineLvl w:val="1"/>
        <w:rPr>
          <w:rFonts w:eastAsia="黑体"/>
          <w:sz w:val="32"/>
          <w:szCs w:val="32"/>
        </w:rPr>
      </w:pPr>
    </w:p>
    <w:p w14:paraId="0236173B">
      <w:pPr>
        <w:spacing w:line="600" w:lineRule="exact"/>
        <w:ind w:firstLine="640" w:firstLineChars="200"/>
        <w:outlineLvl w:val="1"/>
        <w:rPr>
          <w:rFonts w:eastAsia="黑体"/>
          <w:sz w:val="32"/>
          <w:szCs w:val="32"/>
        </w:rPr>
      </w:pPr>
    </w:p>
    <w:p w14:paraId="785C740A">
      <w:pPr>
        <w:spacing w:line="600" w:lineRule="exact"/>
        <w:ind w:firstLine="640" w:firstLineChars="200"/>
        <w:outlineLvl w:val="1"/>
        <w:rPr>
          <w:rFonts w:eastAsia="黑体"/>
          <w:sz w:val="32"/>
          <w:szCs w:val="32"/>
        </w:rPr>
      </w:pPr>
    </w:p>
    <w:p w14:paraId="6588CED9">
      <w:pPr>
        <w:spacing w:line="600" w:lineRule="exact"/>
        <w:ind w:firstLine="640" w:firstLineChars="200"/>
        <w:outlineLvl w:val="1"/>
        <w:rPr>
          <w:rFonts w:eastAsia="黑体"/>
          <w:sz w:val="32"/>
          <w:szCs w:val="32"/>
        </w:rPr>
      </w:pPr>
    </w:p>
    <w:p w14:paraId="243DE740">
      <w:pPr>
        <w:spacing w:line="600" w:lineRule="exact"/>
        <w:ind w:firstLine="640" w:firstLineChars="200"/>
        <w:outlineLvl w:val="1"/>
        <w:rPr>
          <w:rStyle w:val="30"/>
          <w:rFonts w:ascii="Times New Roman" w:hAnsi="Times New Roman" w:eastAsia="黑体"/>
          <w:b w:val="0"/>
        </w:rPr>
      </w:pPr>
      <w:r>
        <w:rPr>
          <w:rFonts w:hint="eastAsia" w:eastAsia="黑体"/>
          <w:sz w:val="32"/>
          <w:szCs w:val="32"/>
        </w:rPr>
        <w:t>四、财</w:t>
      </w:r>
      <w:r>
        <w:rPr>
          <w:rStyle w:val="30"/>
          <w:rFonts w:hint="eastAsia" w:ascii="Times New Roman" w:hAnsi="Times New Roman" w:eastAsia="黑体"/>
          <w:b w:val="0"/>
        </w:rPr>
        <w:t>政拨款收入支出决算总体情况说明</w:t>
      </w:r>
      <w:bookmarkEnd w:id="19"/>
      <w:bookmarkEnd w:id="20"/>
    </w:p>
    <w:p w14:paraId="75DD4C5A">
      <w:pPr>
        <w:spacing w:line="600" w:lineRule="exact"/>
        <w:ind w:firstLine="640"/>
        <w:rPr>
          <w:rFonts w:eastAsia="仿宋_GB2312" w:cs="仿宋_GB2312"/>
          <w:sz w:val="32"/>
          <w:szCs w:val="32"/>
        </w:rPr>
      </w:pPr>
      <w:r>
        <w:rPr>
          <w:rFonts w:hint="eastAsia" w:eastAsia="仿宋_GB2312" w:cs="仿宋_GB2312"/>
          <w:sz w:val="32"/>
          <w:szCs w:val="32"/>
        </w:rPr>
        <w:t>2025年度</w:t>
      </w:r>
      <w:bookmarkStart w:id="21" w:name="OLE_LINK5"/>
      <w:r>
        <w:rPr>
          <w:rFonts w:hint="eastAsia" w:eastAsia="仿宋_GB2312" w:cs="仿宋_GB2312"/>
          <w:sz w:val="32"/>
          <w:szCs w:val="32"/>
        </w:rPr>
        <w:t>财政拨款收入、支出总</w:t>
      </w:r>
      <w:bookmarkEnd w:id="21"/>
      <w:r>
        <w:rPr>
          <w:rFonts w:hint="eastAsia" w:eastAsia="仿宋_GB2312" w:cs="仿宋_GB2312"/>
          <w:sz w:val="32"/>
          <w:szCs w:val="32"/>
        </w:rPr>
        <w:t>计均为</w:t>
      </w:r>
      <w:r>
        <w:rPr>
          <w:rFonts w:hint="eastAsia" w:ascii="仿宋_GB2312" w:hAnsi="仿宋_GB2312" w:eastAsia="仿宋_GB2312" w:cs="仿宋_GB2312"/>
          <w:sz w:val="32"/>
          <w:szCs w:val="32"/>
        </w:rPr>
        <w:t>128.7</w:t>
      </w:r>
      <w:r>
        <w:rPr>
          <w:rFonts w:hint="eastAsia" w:eastAsia="仿宋_GB2312" w:cs="仿宋_GB2312"/>
          <w:sz w:val="32"/>
          <w:szCs w:val="32"/>
        </w:rPr>
        <w:t>万元。与上年度相比，财政拨款收入、支出总计各增加0.8万元，增长1%。</w:t>
      </w:r>
      <w:bookmarkStart w:id="22" w:name="OLE_LINK7"/>
      <w:r>
        <w:rPr>
          <w:rFonts w:hint="eastAsia" w:eastAsia="仿宋_GB2312" w:cs="仿宋_GB2312"/>
          <w:sz w:val="32"/>
          <w:szCs w:val="32"/>
        </w:rPr>
        <w:t>与上年持平。</w:t>
      </w:r>
      <w:bookmarkEnd w:id="22"/>
    </w:p>
    <w:p w14:paraId="45C70B30">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0004F8E6">
      <w:pPr>
        <w:pStyle w:val="2"/>
      </w:pPr>
      <w:r>
        <w:drawing>
          <wp:inline distT="0" distB="0" distL="0" distR="0">
            <wp:extent cx="5274310" cy="3076575"/>
            <wp:effectExtent l="0" t="0" r="2540" b="9525"/>
            <wp:docPr id="57149859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45DF6E">
      <w:pPr>
        <w:spacing w:line="600" w:lineRule="exact"/>
        <w:ind w:firstLine="640" w:firstLineChars="200"/>
        <w:outlineLvl w:val="1"/>
        <w:rPr>
          <w:rFonts w:eastAsia="黑体"/>
          <w:sz w:val="32"/>
          <w:szCs w:val="32"/>
        </w:rPr>
      </w:pPr>
      <w:bookmarkStart w:id="23" w:name="_Toc15396607"/>
      <w:bookmarkStart w:id="24" w:name="_Toc15377209"/>
    </w:p>
    <w:p w14:paraId="6E321CB6">
      <w:pPr>
        <w:spacing w:line="600" w:lineRule="exact"/>
        <w:ind w:firstLine="640" w:firstLineChars="200"/>
        <w:outlineLvl w:val="1"/>
        <w:rPr>
          <w:rFonts w:eastAsia="黑体"/>
          <w:sz w:val="32"/>
          <w:szCs w:val="32"/>
        </w:rPr>
      </w:pPr>
    </w:p>
    <w:p w14:paraId="5B3C644C">
      <w:pPr>
        <w:spacing w:line="600" w:lineRule="exact"/>
        <w:ind w:firstLine="640" w:firstLineChars="200"/>
        <w:outlineLvl w:val="1"/>
        <w:rPr>
          <w:rFonts w:eastAsia="黑体"/>
          <w:sz w:val="32"/>
          <w:szCs w:val="32"/>
        </w:rPr>
      </w:pPr>
    </w:p>
    <w:p w14:paraId="60585906">
      <w:pPr>
        <w:spacing w:line="600" w:lineRule="exact"/>
        <w:ind w:firstLine="640" w:firstLineChars="200"/>
        <w:outlineLvl w:val="1"/>
        <w:rPr>
          <w:rFonts w:eastAsia="黑体"/>
          <w:sz w:val="32"/>
          <w:szCs w:val="32"/>
        </w:rPr>
      </w:pPr>
    </w:p>
    <w:p w14:paraId="44425D14">
      <w:pPr>
        <w:spacing w:line="600" w:lineRule="exact"/>
        <w:ind w:firstLine="640" w:firstLineChars="200"/>
        <w:outlineLvl w:val="1"/>
        <w:rPr>
          <w:rFonts w:eastAsia="黑体"/>
          <w:sz w:val="32"/>
          <w:szCs w:val="32"/>
        </w:rPr>
      </w:pPr>
    </w:p>
    <w:p w14:paraId="220D36D5">
      <w:pPr>
        <w:spacing w:line="600" w:lineRule="exact"/>
        <w:outlineLvl w:val="1"/>
        <w:rPr>
          <w:rFonts w:eastAsia="黑体"/>
          <w:sz w:val="32"/>
          <w:szCs w:val="32"/>
        </w:rPr>
      </w:pPr>
    </w:p>
    <w:p w14:paraId="59CD3578">
      <w:pPr>
        <w:spacing w:line="600" w:lineRule="exact"/>
        <w:ind w:firstLine="640" w:firstLineChars="200"/>
        <w:outlineLvl w:val="1"/>
        <w:rPr>
          <w:rStyle w:val="30"/>
          <w:rFonts w:ascii="Times New Roman" w:hAnsi="Times New Roman" w:eastAsia="黑体"/>
          <w:b w:val="0"/>
        </w:rPr>
      </w:pPr>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3"/>
      <w:bookmarkEnd w:id="24"/>
    </w:p>
    <w:p w14:paraId="308912FD">
      <w:pPr>
        <w:spacing w:line="600" w:lineRule="exact"/>
        <w:ind w:firstLine="643" w:firstLineChars="200"/>
        <w:outlineLvl w:val="2"/>
        <w:rPr>
          <w:rFonts w:eastAsia="楷体_GB2312" w:cs="楷体_GB2312"/>
          <w:b/>
          <w:sz w:val="32"/>
          <w:szCs w:val="32"/>
        </w:rPr>
      </w:pPr>
      <w:bookmarkStart w:id="25" w:name="_Toc15377210"/>
      <w:r>
        <w:rPr>
          <w:rFonts w:hint="eastAsia" w:eastAsia="楷体_GB2312" w:cs="楷体_GB2312"/>
          <w:b/>
          <w:sz w:val="32"/>
          <w:szCs w:val="32"/>
        </w:rPr>
        <w:t>（一）一般公共预算财政拨款支出决算总体情况</w:t>
      </w:r>
      <w:bookmarkEnd w:id="25"/>
    </w:p>
    <w:p w14:paraId="15AA45CF">
      <w:pPr>
        <w:pStyle w:val="28"/>
        <w:spacing w:line="600" w:lineRule="exact"/>
        <w:ind w:left="420" w:firstLine="640"/>
        <w:outlineLvl w:val="1"/>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128.7</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%。与上年度相比，一般公共预算财政拨款支出增加0.8万元，增长1%。与上年持平。</w:t>
      </w:r>
    </w:p>
    <w:p w14:paraId="4044DE21">
      <w:pPr>
        <w:pStyle w:val="28"/>
        <w:spacing w:line="600" w:lineRule="exact"/>
        <w:ind w:left="420" w:firstLine="640"/>
        <w:outlineLvl w:val="1"/>
        <w:rPr>
          <w:rFonts w:eastAsia="仿宋_GB2312" w:cs="仿宋_GB2312"/>
          <w:sz w:val="32"/>
          <w:szCs w:val="32"/>
        </w:rPr>
      </w:pPr>
      <w:r>
        <w:rPr>
          <w:rFonts w:hint="eastAsia" w:eastAsia="仿宋_GB2312" w:cs="仿宋_GB2312"/>
          <w:sz w:val="32"/>
          <w:szCs w:val="32"/>
        </w:rPr>
        <w:t>（图5：一般公共预算财政拨款支出决算变动情况）（柱状图）</w:t>
      </w:r>
    </w:p>
    <w:p w14:paraId="2D0A8037">
      <w:r>
        <w:drawing>
          <wp:inline distT="0" distB="0" distL="0" distR="0">
            <wp:extent cx="5274310" cy="3076575"/>
            <wp:effectExtent l="0" t="0" r="2540" b="9525"/>
            <wp:docPr id="205745382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Start w:id="26" w:name="_Toc15377211"/>
    </w:p>
    <w:p w14:paraId="6586BC04">
      <w:pPr>
        <w:spacing w:line="600" w:lineRule="exact"/>
        <w:ind w:firstLine="643" w:firstLineChars="200"/>
        <w:outlineLvl w:val="2"/>
        <w:rPr>
          <w:rFonts w:eastAsia="楷体_GB2312" w:cs="楷体_GB2312"/>
          <w:b/>
          <w:sz w:val="32"/>
          <w:szCs w:val="32"/>
        </w:rPr>
      </w:pPr>
    </w:p>
    <w:p w14:paraId="643D53EA">
      <w:pPr>
        <w:spacing w:line="600" w:lineRule="exact"/>
        <w:ind w:firstLine="643" w:firstLineChars="200"/>
        <w:outlineLvl w:val="2"/>
        <w:rPr>
          <w:rFonts w:eastAsia="楷体_GB2312" w:cs="楷体_GB2312"/>
          <w:b/>
          <w:sz w:val="32"/>
          <w:szCs w:val="32"/>
        </w:rPr>
      </w:pPr>
    </w:p>
    <w:p w14:paraId="0025FEDA">
      <w:pPr>
        <w:spacing w:line="600" w:lineRule="exact"/>
        <w:ind w:firstLine="643" w:firstLineChars="200"/>
        <w:outlineLvl w:val="2"/>
        <w:rPr>
          <w:rFonts w:eastAsia="楷体_GB2312" w:cs="楷体_GB2312"/>
          <w:b/>
          <w:sz w:val="32"/>
          <w:szCs w:val="32"/>
        </w:rPr>
      </w:pPr>
    </w:p>
    <w:p w14:paraId="63A26423">
      <w:pPr>
        <w:spacing w:line="600" w:lineRule="exact"/>
        <w:ind w:firstLine="643" w:firstLineChars="200"/>
        <w:outlineLvl w:val="2"/>
        <w:rPr>
          <w:rFonts w:eastAsia="楷体_GB2312" w:cs="楷体_GB2312"/>
          <w:b/>
          <w:sz w:val="32"/>
          <w:szCs w:val="32"/>
        </w:rPr>
      </w:pPr>
    </w:p>
    <w:p w14:paraId="06E58ADC">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bookmarkEnd w:id="26"/>
    </w:p>
    <w:p w14:paraId="2F0CDB56">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128.7</w:t>
      </w:r>
      <w:r>
        <w:rPr>
          <w:rFonts w:hint="eastAsia" w:eastAsia="仿宋_GB2312" w:cs="仿宋_GB2312"/>
          <w:sz w:val="32"/>
          <w:szCs w:val="32"/>
        </w:rPr>
        <w:t>万元，主要用于以下方面：</w:t>
      </w:r>
      <w:bookmarkStart w:id="27" w:name="OLE_LINK8"/>
      <w:r>
        <w:rPr>
          <w:rFonts w:hint="eastAsia" w:eastAsia="仿宋_GB2312" w:cs="仿宋_GB2312"/>
          <w:sz w:val="32"/>
          <w:szCs w:val="32"/>
        </w:rPr>
        <w:t>一般公共服务支出</w:t>
      </w:r>
      <w:bookmarkEnd w:id="27"/>
      <w:r>
        <w:rPr>
          <w:rFonts w:hint="eastAsia" w:eastAsia="仿宋_GB2312" w:cs="仿宋_GB2312"/>
          <w:sz w:val="32"/>
          <w:szCs w:val="32"/>
        </w:rPr>
        <w:t>103.4万元，占80.3%；社会保障和就业支出12.1元，占9.4%；</w:t>
      </w:r>
      <w:bookmarkStart w:id="28" w:name="OLE_LINK9"/>
      <w:r>
        <w:rPr>
          <w:rFonts w:hint="eastAsia" w:eastAsia="仿宋_GB2312" w:cs="仿宋_GB2312"/>
          <w:sz w:val="32"/>
          <w:szCs w:val="32"/>
        </w:rPr>
        <w:t>卫生健康支出</w:t>
      </w:r>
      <w:bookmarkEnd w:id="28"/>
      <w:r>
        <w:rPr>
          <w:rFonts w:hint="eastAsia" w:eastAsia="仿宋_GB2312" w:cs="仿宋_GB2312"/>
          <w:sz w:val="32"/>
          <w:szCs w:val="32"/>
        </w:rPr>
        <w:t>5.1万元，占3.9%；住房保障支出8.2万元，占6.3%；</w:t>
      </w:r>
    </w:p>
    <w:p w14:paraId="1B473BAD">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（注：仅罗列本部门涉及的全部功能分类科目，至类级）</w:t>
      </w:r>
    </w:p>
    <w:p w14:paraId="16C90FA0">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3A69344F">
      <w:pPr>
        <w:pStyle w:val="2"/>
      </w:pPr>
      <w:r>
        <w:drawing>
          <wp:inline distT="0" distB="0" distL="0" distR="0">
            <wp:extent cx="5274310" cy="3076575"/>
            <wp:effectExtent l="0" t="0" r="2540" b="9525"/>
            <wp:docPr id="132918659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08839A">
      <w:pPr>
        <w:spacing w:line="600" w:lineRule="exact"/>
        <w:ind w:firstLine="643" w:firstLineChars="200"/>
        <w:outlineLvl w:val="2"/>
        <w:rPr>
          <w:rFonts w:eastAsia="楷体_GB2312" w:cs="楷体_GB2312"/>
          <w:b/>
          <w:sz w:val="32"/>
          <w:szCs w:val="32"/>
        </w:rPr>
      </w:pPr>
      <w:bookmarkStart w:id="29" w:name="_Toc15377212"/>
      <w:r>
        <w:rPr>
          <w:rFonts w:hint="eastAsia" w:eastAsia="楷体_GB2312" w:cs="楷体_GB2312"/>
          <w:b/>
          <w:sz w:val="32"/>
          <w:szCs w:val="32"/>
        </w:rPr>
        <w:t>（三）一般公共预算财政拨款支出决算具体情况</w:t>
      </w:r>
      <w:bookmarkEnd w:id="29"/>
    </w:p>
    <w:p w14:paraId="6EADA108">
      <w:pPr>
        <w:spacing w:line="600" w:lineRule="exact"/>
        <w:ind w:firstLine="640"/>
        <w:rPr>
          <w:rFonts w:eastAsia="仿宋_GB2312" w:cs="仿宋_GB2312"/>
          <w:sz w:val="32"/>
          <w:szCs w:val="32"/>
        </w:rPr>
      </w:pPr>
      <w:bookmarkStart w:id="30" w:name="_Toc15378460"/>
      <w:bookmarkStart w:id="31" w:name="_Toc15377213"/>
      <w:bookmarkStart w:id="32" w:name="_Toc15377444"/>
      <w:r>
        <w:rPr>
          <w:rFonts w:hint="eastAsia" w:eastAsia="仿宋_GB2312" w:cs="仿宋_GB2312"/>
          <w:sz w:val="32"/>
          <w:szCs w:val="32"/>
        </w:rPr>
        <w:t>2025年度一般公共预算支出决算数为128.7万元，完成预算100%。其中：</w:t>
      </w:r>
      <w:bookmarkEnd w:id="30"/>
      <w:bookmarkEnd w:id="31"/>
      <w:bookmarkEnd w:id="32"/>
    </w:p>
    <w:p w14:paraId="160793F0">
      <w:pPr>
        <w:spacing w:line="600" w:lineRule="exact"/>
        <w:ind w:firstLine="640"/>
        <w:rPr>
          <w:rFonts w:hint="eastAsia" w:asciiTheme="majorEastAsia" w:hAnsiTheme="majorEastAsia" w:eastAsiaTheme="majorEastAsia"/>
          <w:sz w:val="32"/>
          <w:szCs w:val="32"/>
        </w:rPr>
      </w:pPr>
      <w:r>
        <w:rPr>
          <w:rFonts w:asciiTheme="majorEastAsia" w:hAnsiTheme="majorEastAsia" w:eastAsiaTheme="majorEastAsia"/>
          <w:sz w:val="32"/>
          <w:szCs w:val="32"/>
        </w:rPr>
        <w:t xml:space="preserve">1.一般公共服务201（类）36（款）01（项）: </w:t>
      </w:r>
      <w:r>
        <w:rPr>
          <w:rFonts w:cs="仿宋_GB2312" w:asciiTheme="majorEastAsia" w:hAnsiTheme="majorEastAsia" w:eastAsiaTheme="majorEastAsia"/>
          <w:sz w:val="32"/>
          <w:szCs w:val="32"/>
        </w:rPr>
        <w:t>支出决算为</w:t>
      </w:r>
      <w:r>
        <w:rPr>
          <w:rFonts w:hint="eastAsia" w:asciiTheme="majorEastAsia" w:hAnsiTheme="majorEastAsia" w:eastAsiaTheme="majorEastAsia"/>
          <w:sz w:val="32"/>
          <w:szCs w:val="32"/>
        </w:rPr>
        <w:t>128.7</w:t>
      </w:r>
      <w:r>
        <w:rPr>
          <w:rFonts w:asciiTheme="majorEastAsia" w:hAnsiTheme="majorEastAsia" w:eastAsiaTheme="majorEastAsia"/>
          <w:sz w:val="32"/>
          <w:szCs w:val="32"/>
        </w:rPr>
        <w:t xml:space="preserve">万元，完成预算100%。 </w:t>
      </w:r>
    </w:p>
    <w:p w14:paraId="3BC3248C">
      <w:pPr>
        <w:spacing w:line="600" w:lineRule="exact"/>
        <w:ind w:firstLine="640" w:firstLineChars="200"/>
        <w:rPr>
          <w:rFonts w:hint="eastAsia" w:ascii="仿宋" w:hAnsi="仿宋" w:eastAsia="仿宋"/>
          <w:sz w:val="32"/>
          <w:szCs w:val="32"/>
        </w:rPr>
      </w:pPr>
      <w:r>
        <w:rPr>
          <w:rStyle w:val="18"/>
          <w:rFonts w:hint="eastAsia" w:ascii="仿宋" w:hAnsi="仿宋" w:eastAsia="仿宋"/>
          <w:b w:val="0"/>
          <w:sz w:val="32"/>
          <w:szCs w:val="32"/>
        </w:rPr>
        <w:t>2</w:t>
      </w:r>
      <w:r>
        <w:rPr>
          <w:rStyle w:val="18"/>
          <w:rFonts w:ascii="仿宋" w:hAnsi="仿宋" w:eastAsia="仿宋"/>
          <w:b w:val="0"/>
          <w:sz w:val="32"/>
          <w:szCs w:val="32"/>
        </w:rPr>
        <w:t>.</w:t>
      </w:r>
      <w:r>
        <w:rPr>
          <w:rStyle w:val="18"/>
          <w:rFonts w:hint="eastAsia" w:ascii="仿宋" w:hAnsi="仿宋" w:eastAsia="仿宋"/>
          <w:b w:val="0"/>
          <w:sz w:val="32"/>
          <w:szCs w:val="32"/>
        </w:rPr>
        <w:t>社会保障和就业208（类）05（款）05（项），208（类）05（款）06（项）</w:t>
      </w:r>
      <w:r>
        <w:rPr>
          <w:rStyle w:val="18"/>
          <w:rFonts w:ascii="仿宋" w:hAnsi="仿宋" w:eastAsia="仿宋"/>
          <w:b w:val="0"/>
          <w:sz w:val="32"/>
          <w:szCs w:val="32"/>
        </w:rPr>
        <w:t xml:space="preserve">: </w:t>
      </w:r>
      <w:r>
        <w:rPr>
          <w:rStyle w:val="18"/>
          <w:rFonts w:hint="eastAsia" w:ascii="仿宋" w:hAnsi="仿宋" w:eastAsia="仿宋"/>
          <w:b w:val="0"/>
          <w:sz w:val="32"/>
          <w:szCs w:val="32"/>
        </w:rPr>
        <w:t>支出决算为12.13万元，完成预算100</w:t>
      </w:r>
      <w:r>
        <w:rPr>
          <w:rStyle w:val="18"/>
          <w:rFonts w:ascii="仿宋" w:hAnsi="仿宋" w:eastAsia="仿宋"/>
          <w:b w:val="0"/>
          <w:sz w:val="32"/>
          <w:szCs w:val="32"/>
        </w:rPr>
        <w:t>%</w:t>
      </w:r>
      <w:r>
        <w:rPr>
          <w:rStyle w:val="18"/>
          <w:rFonts w:hint="eastAsia" w:ascii="仿宋" w:hAnsi="仿宋" w:eastAsia="仿宋"/>
          <w:b w:val="0"/>
          <w:sz w:val="32"/>
          <w:szCs w:val="32"/>
        </w:rPr>
        <w:t>。</w:t>
      </w:r>
    </w:p>
    <w:p w14:paraId="485DD7D7">
      <w:pPr>
        <w:spacing w:line="600" w:lineRule="exact"/>
        <w:ind w:firstLine="640" w:firstLineChars="200"/>
        <w:rPr>
          <w:rStyle w:val="18"/>
          <w:rFonts w:hint="eastAsia" w:ascii="仿宋" w:hAnsi="仿宋" w:eastAsia="仿宋"/>
          <w:b w:val="0"/>
          <w:sz w:val="32"/>
          <w:szCs w:val="32"/>
        </w:rPr>
      </w:pPr>
      <w:r>
        <w:rPr>
          <w:rStyle w:val="18"/>
          <w:rFonts w:hint="eastAsia" w:ascii="仿宋" w:hAnsi="仿宋" w:eastAsia="仿宋"/>
          <w:b w:val="0"/>
          <w:sz w:val="32"/>
          <w:szCs w:val="32"/>
        </w:rPr>
        <w:t>3</w:t>
      </w:r>
      <w:r>
        <w:rPr>
          <w:rStyle w:val="18"/>
          <w:rFonts w:ascii="仿宋" w:hAnsi="仿宋" w:eastAsia="仿宋"/>
          <w:b w:val="0"/>
          <w:sz w:val="32"/>
          <w:szCs w:val="32"/>
        </w:rPr>
        <w:t>.</w:t>
      </w:r>
      <w:r>
        <w:rPr>
          <w:rFonts w:hint="eastAsia" w:ascii="仿宋" w:hAnsi="仿宋" w:eastAsia="仿宋"/>
          <w:sz w:val="32"/>
          <w:szCs w:val="32"/>
        </w:rPr>
        <w:t>卫生健康210</w:t>
      </w:r>
      <w:r>
        <w:rPr>
          <w:rStyle w:val="18"/>
          <w:rFonts w:hint="eastAsia" w:ascii="仿宋" w:hAnsi="仿宋" w:eastAsia="仿宋"/>
          <w:b w:val="0"/>
          <w:sz w:val="32"/>
          <w:szCs w:val="32"/>
        </w:rPr>
        <w:t>（类）11（款）01（项），210（类）11（款）03（项）</w:t>
      </w:r>
      <w:r>
        <w:rPr>
          <w:rStyle w:val="18"/>
          <w:rFonts w:ascii="仿宋" w:hAnsi="仿宋" w:eastAsia="仿宋"/>
          <w:b w:val="0"/>
          <w:sz w:val="32"/>
          <w:szCs w:val="32"/>
        </w:rPr>
        <w:t>:</w:t>
      </w:r>
      <w:r>
        <w:rPr>
          <w:rStyle w:val="18"/>
          <w:rFonts w:hint="eastAsia" w:ascii="仿宋" w:hAnsi="仿宋" w:eastAsia="仿宋"/>
          <w:b w:val="0"/>
          <w:sz w:val="32"/>
          <w:szCs w:val="32"/>
        </w:rPr>
        <w:t>支出决算为5.06万元，完成预算100</w:t>
      </w:r>
      <w:r>
        <w:rPr>
          <w:rStyle w:val="18"/>
          <w:rFonts w:ascii="仿宋" w:hAnsi="仿宋" w:eastAsia="仿宋"/>
          <w:b w:val="0"/>
          <w:sz w:val="32"/>
          <w:szCs w:val="32"/>
        </w:rPr>
        <w:t>%</w:t>
      </w:r>
      <w:r>
        <w:rPr>
          <w:rStyle w:val="18"/>
          <w:rFonts w:hint="eastAsia" w:ascii="仿宋" w:hAnsi="仿宋" w:eastAsia="仿宋"/>
          <w:b w:val="0"/>
          <w:sz w:val="32"/>
          <w:szCs w:val="32"/>
        </w:rPr>
        <w:t>。</w:t>
      </w:r>
    </w:p>
    <w:p w14:paraId="532E29CC">
      <w:pPr>
        <w:pStyle w:val="2"/>
        <w:ind w:firstLine="960" w:firstLineChars="300"/>
      </w:pPr>
      <w:r>
        <w:rPr>
          <w:rFonts w:hint="eastAsia" w:ascii="仿宋" w:hAnsi="仿宋" w:eastAsia="仿宋"/>
          <w:sz w:val="32"/>
          <w:szCs w:val="32"/>
        </w:rPr>
        <w:t>4、住房公积保障221（类）02款）01（项）：支出</w:t>
      </w:r>
      <w:r>
        <w:rPr>
          <w:rFonts w:hint="eastAsia" w:eastAsia="仿宋_GB2312" w:cs="仿宋_GB2312"/>
          <w:sz w:val="32"/>
          <w:szCs w:val="32"/>
        </w:rPr>
        <w:t>决算为8.2万元，完成预算100%。</w:t>
      </w:r>
    </w:p>
    <w:p w14:paraId="400ACA72">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bookmarkStart w:id="33" w:name="_Toc15396608"/>
      <w:bookmarkStart w:id="34" w:name="_Toc15377214"/>
    </w:p>
    <w:p w14:paraId="67452179">
      <w:pPr>
        <w:tabs>
          <w:tab w:val="right" w:pos="8306"/>
        </w:tabs>
        <w:spacing w:line="600" w:lineRule="exact"/>
        <w:ind w:firstLine="640"/>
        <w:outlineLvl w:val="1"/>
        <w:rPr>
          <w:rStyle w:val="30"/>
          <w:rFonts w:ascii="Times New Roman" w:hAnsi="Times New Roman"/>
        </w:rPr>
      </w:pPr>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3"/>
      <w:bookmarkEnd w:id="34"/>
      <w:r>
        <w:rPr>
          <w:rStyle w:val="30"/>
          <w:rFonts w:ascii="Times New Roman" w:hAnsi="Times New Roman" w:eastAsia="黑体"/>
          <w:b w:val="0"/>
        </w:rPr>
        <w:tab/>
      </w:r>
    </w:p>
    <w:p w14:paraId="622203CF">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106</w:t>
      </w:r>
      <w:r>
        <w:rPr>
          <w:rFonts w:hint="eastAsia" w:eastAsia="仿宋_GB2312" w:cs="仿宋_GB2312"/>
          <w:sz w:val="32"/>
          <w:szCs w:val="32"/>
        </w:rPr>
        <w:t>万元，其中：</w:t>
      </w:r>
    </w:p>
    <w:p w14:paraId="4DF908C5">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95.6</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万元，主要包括：基本工资、津贴补贴、奖金、伙食补助费、绩效工资、机关事业单位基本养老保险缴费、职业年金缴费、其他社会保障缴费、其他工资福利支出、医疗费补助、奖励金、住房公积金等。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10.4</w:t>
      </w:r>
      <w:r>
        <w:rPr>
          <w:rFonts w:hint="eastAsia" w:eastAsia="仿宋_GB2312" w:cs="仿宋_GB2312"/>
          <w:sz w:val="32"/>
          <w:szCs w:val="32"/>
        </w:rPr>
        <w:t>万元，主要包括：办公费、手续费、水费、电费、邮电费、物业管理费、差旅费、维修（护）费、租赁费、培训费、劳务费、委托业务费、工会经费、福利费、其他交通费、税金及附加费用、其他商品和服务支出等。</w:t>
      </w:r>
    </w:p>
    <w:p w14:paraId="170F5E11">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bookmarkStart w:id="35" w:name="_Toc15396609"/>
      <w:bookmarkStart w:id="36" w:name="_Toc15377215"/>
    </w:p>
    <w:p w14:paraId="502C8564">
      <w:pPr>
        <w:spacing w:line="600" w:lineRule="exact"/>
        <w:ind w:firstLine="640"/>
        <w:outlineLvl w:val="1"/>
        <w:rPr>
          <w:rStyle w:val="30"/>
          <w:rFonts w:ascii="Times New Roman" w:hAnsi="Times New Roman" w:eastAsia="黑体"/>
          <w:b w:val="0"/>
        </w:rPr>
      </w:pPr>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35"/>
      <w:bookmarkEnd w:id="36"/>
    </w:p>
    <w:p w14:paraId="57062C7C">
      <w:pPr>
        <w:spacing w:line="600" w:lineRule="exact"/>
        <w:ind w:firstLine="643" w:firstLineChars="200"/>
        <w:outlineLvl w:val="2"/>
        <w:rPr>
          <w:rFonts w:eastAsia="楷体_GB2312" w:cs="楷体_GB2312"/>
          <w:b/>
          <w:sz w:val="32"/>
          <w:szCs w:val="32"/>
        </w:rPr>
      </w:pPr>
      <w:bookmarkStart w:id="37" w:name="_Toc15377216"/>
      <w:r>
        <w:rPr>
          <w:rFonts w:hint="eastAsia" w:eastAsia="楷体_GB2312" w:cs="楷体_GB2312"/>
          <w:b/>
          <w:sz w:val="32"/>
          <w:szCs w:val="32"/>
        </w:rPr>
        <w:t>（一）财政拨款“三公”经费支出决算总体情况说明</w:t>
      </w:r>
      <w:bookmarkEnd w:id="37"/>
    </w:p>
    <w:p w14:paraId="22E5851D">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0</w:t>
      </w:r>
      <w:r>
        <w:rPr>
          <w:rFonts w:hint="eastAsia" w:eastAsia="仿宋_GB2312" w:cs="仿宋_GB2312"/>
          <w:sz w:val="32"/>
          <w:szCs w:val="32"/>
        </w:rPr>
        <w:t>万元，完成预算</w:t>
      </w:r>
      <w:r>
        <w:rPr>
          <w:rFonts w:hint="eastAsia" w:ascii="仿宋_GB2312" w:hAnsi="仿宋_GB2312" w:eastAsia="仿宋_GB2312" w:cs="仿宋_GB2312"/>
          <w:sz w:val="32"/>
          <w:szCs w:val="32"/>
        </w:rPr>
        <w:t>0</w:t>
      </w:r>
      <w:r>
        <w:rPr>
          <w:rFonts w:hint="eastAsia" w:eastAsia="仿宋_GB2312" w:cs="仿宋_GB2312"/>
          <w:sz w:val="32"/>
          <w:szCs w:val="32"/>
        </w:rPr>
        <w:t>%。</w:t>
      </w:r>
    </w:p>
    <w:p w14:paraId="5A306ADF">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（注：上述“预算”口径为全年预算数，包括一般公共预算和政府性基金预算财政拨款支出决算情况，与预算数持平可以不写原因）</w:t>
      </w:r>
    </w:p>
    <w:p w14:paraId="0E80D5D7">
      <w:pPr>
        <w:spacing w:line="600" w:lineRule="exact"/>
        <w:ind w:firstLine="643" w:firstLineChars="200"/>
        <w:outlineLvl w:val="2"/>
        <w:rPr>
          <w:rFonts w:eastAsia="楷体_GB2312" w:cs="楷体_GB2312"/>
          <w:b/>
          <w:sz w:val="32"/>
          <w:szCs w:val="32"/>
        </w:rPr>
      </w:pPr>
      <w:bookmarkStart w:id="38" w:name="_Toc15377217"/>
      <w:r>
        <w:rPr>
          <w:rFonts w:hint="eastAsia" w:eastAsia="楷体_GB2312" w:cs="楷体_GB2312"/>
          <w:b/>
          <w:sz w:val="32"/>
          <w:szCs w:val="32"/>
        </w:rPr>
        <w:t>（二）财政拨款“三公”经费支出决算具体情况说明</w:t>
      </w:r>
      <w:bookmarkEnd w:id="38"/>
    </w:p>
    <w:p w14:paraId="7F985100">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万元，占0%；公务用车购置及运行维护费支出决算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万元，占0%；公务接待费支出决算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万元，占0%。具体情况如下：</w:t>
      </w:r>
    </w:p>
    <w:p w14:paraId="11685A2C">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6B58167C">
      <w:pPr>
        <w:numPr>
          <w:ilvl w:val="0"/>
          <w:numId w:val="2"/>
        </w:numPr>
        <w:spacing w:line="600" w:lineRule="exact"/>
        <w:ind w:firstLine="640"/>
        <w:rPr>
          <w:rFonts w:eastAsia="仿宋_GB2312" w:cs="仿宋_GB2312"/>
          <w:sz w:val="32"/>
          <w:szCs w:val="32"/>
        </w:rPr>
      </w:pPr>
      <w:r>
        <w:rPr>
          <w:rFonts w:hint="eastAsia" w:eastAsia="仿宋_GB2312" w:cs="仿宋_GB2312"/>
          <w:b/>
          <w:bCs/>
          <w:sz w:val="32"/>
          <w:szCs w:val="32"/>
        </w:rPr>
        <w:t>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w:t>
      </w:r>
    </w:p>
    <w:p w14:paraId="2D637E58">
      <w:pPr>
        <w:spacing w:line="600" w:lineRule="exact"/>
        <w:ind w:firstLine="321" w:firstLineChars="10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p>
    <w:p w14:paraId="5CF2D401">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万元。截至2025年12月31日，单位共有公务用车0辆。</w:t>
      </w:r>
    </w:p>
    <w:p w14:paraId="6ABC02A0">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0</w:t>
      </w:r>
      <w:r>
        <w:rPr>
          <w:rFonts w:hint="eastAsia" w:eastAsia="仿宋_GB2312" w:cs="仿宋_GB2312"/>
          <w:sz w:val="32"/>
          <w:szCs w:val="32"/>
        </w:rPr>
        <w:t>万元。</w:t>
      </w:r>
    </w:p>
    <w:p w14:paraId="49BDB347">
      <w:pPr>
        <w:numPr>
          <w:ilvl w:val="0"/>
          <w:numId w:val="2"/>
        </w:numPr>
        <w:spacing w:line="600" w:lineRule="exact"/>
        <w:ind w:firstLine="640"/>
        <w:rPr>
          <w:rFonts w:eastAsia="仿宋_GB2312" w:cs="仿宋_GB2312"/>
          <w:b/>
          <w:bCs/>
          <w:sz w:val="32"/>
          <w:szCs w:val="32"/>
        </w:rPr>
      </w:pPr>
      <w:r>
        <w:rPr>
          <w:rFonts w:hint="eastAsia" w:eastAsia="仿宋_GB2312" w:cs="仿宋_GB2312"/>
          <w:b/>
          <w:bCs/>
          <w:sz w:val="32"/>
          <w:szCs w:val="32"/>
        </w:rPr>
        <w:t>公务接待费支出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p>
    <w:p w14:paraId="23787960">
      <w:pPr>
        <w:spacing w:line="600" w:lineRule="exact"/>
        <w:ind w:left="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万元。外事接待支出</w:t>
      </w:r>
      <w:r>
        <w:rPr>
          <w:rFonts w:hint="eastAsia" w:ascii="仿宋_GB2312" w:hAnsi="仿宋_GB2312" w:eastAsia="仿宋_GB2312" w:cs="仿宋_GB2312"/>
          <w:sz w:val="32"/>
          <w:szCs w:val="32"/>
        </w:rPr>
        <w:t>0</w:t>
      </w:r>
      <w:r>
        <w:rPr>
          <w:rFonts w:hint="eastAsia" w:eastAsia="仿宋_GB2312" w:cs="仿宋_GB2312"/>
          <w:sz w:val="32"/>
          <w:szCs w:val="32"/>
        </w:rPr>
        <w:t>万元。</w:t>
      </w:r>
      <w:bookmarkStart w:id="39" w:name="_Toc15396610"/>
      <w:bookmarkStart w:id="40" w:name="_Toc15377218"/>
    </w:p>
    <w:p w14:paraId="7AE30FC6">
      <w:pPr>
        <w:spacing w:line="600" w:lineRule="exact"/>
        <w:ind w:firstLine="640"/>
        <w:outlineLvl w:val="1"/>
        <w:rPr>
          <w:rStyle w:val="30"/>
          <w:rFonts w:ascii="Times New Roman" w:hAnsi="Times New Roman" w:eastAsia="黑体"/>
        </w:rPr>
      </w:pPr>
      <w:r>
        <w:rPr>
          <w:rFonts w:hint="eastAsia" w:eastAsia="黑体"/>
          <w:sz w:val="32"/>
          <w:szCs w:val="32"/>
        </w:rPr>
        <w:t>八、</w:t>
      </w:r>
      <w:r>
        <w:rPr>
          <w:rStyle w:val="30"/>
          <w:rFonts w:hint="eastAsia" w:ascii="Times New Roman" w:hAnsi="Times New Roman" w:eastAsia="黑体"/>
          <w:b w:val="0"/>
        </w:rPr>
        <w:t>政府性基金预算支出决算情况说明</w:t>
      </w:r>
      <w:bookmarkEnd w:id="39"/>
      <w:bookmarkEnd w:id="40"/>
    </w:p>
    <w:p w14:paraId="73E12AD1">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w:t>
      </w:r>
    </w:p>
    <w:p w14:paraId="203498ED">
      <w:pPr>
        <w:spacing w:line="600" w:lineRule="exact"/>
        <w:ind w:left="630"/>
        <w:outlineLvl w:val="1"/>
        <w:rPr>
          <w:rStyle w:val="30"/>
          <w:rFonts w:ascii="Times New Roman" w:hAnsi="Times New Roman" w:eastAsia="黑体"/>
          <w:b w:val="0"/>
        </w:rPr>
      </w:pPr>
      <w:bookmarkStart w:id="41" w:name="_Toc15396611"/>
      <w:bookmarkStart w:id="42" w:name="_Toc15377219"/>
      <w:r>
        <w:rPr>
          <w:rStyle w:val="30"/>
          <w:rFonts w:hint="eastAsia" w:ascii="Times New Roman" w:hAnsi="Times New Roman" w:eastAsia="黑体"/>
          <w:b w:val="0"/>
        </w:rPr>
        <w:t>九、国有资本经营预算支出决算情况说明</w:t>
      </w:r>
      <w:bookmarkEnd w:id="41"/>
      <w:bookmarkEnd w:id="42"/>
    </w:p>
    <w:p w14:paraId="1CDB7F76">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w:t>
      </w:r>
    </w:p>
    <w:p w14:paraId="2BB590A9">
      <w:pPr>
        <w:spacing w:line="600" w:lineRule="exact"/>
        <w:ind w:left="630"/>
        <w:outlineLvl w:val="1"/>
        <w:rPr>
          <w:rStyle w:val="30"/>
          <w:rFonts w:ascii="Times New Roman" w:hAnsi="Times New Roman" w:eastAsia="黑体"/>
          <w:b w:val="0"/>
        </w:rPr>
      </w:pPr>
      <w:bookmarkStart w:id="43" w:name="_Toc15377221"/>
      <w:bookmarkStart w:id="44" w:name="_Toc15396612"/>
      <w:r>
        <w:rPr>
          <w:rStyle w:val="30"/>
          <w:rFonts w:hint="eastAsia" w:ascii="Times New Roman" w:hAnsi="Times New Roman" w:eastAsia="黑体"/>
          <w:b w:val="0"/>
        </w:rPr>
        <w:t>十、其他重要事项的情况说明</w:t>
      </w:r>
      <w:bookmarkEnd w:id="43"/>
      <w:bookmarkEnd w:id="44"/>
    </w:p>
    <w:p w14:paraId="6F7B5F1C">
      <w:pPr>
        <w:spacing w:line="600" w:lineRule="exact"/>
        <w:ind w:firstLine="643" w:firstLineChars="200"/>
        <w:outlineLvl w:val="2"/>
        <w:rPr>
          <w:rFonts w:eastAsia="楷体_GB2312" w:cs="楷体_GB2312"/>
          <w:b/>
          <w:sz w:val="32"/>
          <w:szCs w:val="32"/>
        </w:rPr>
      </w:pPr>
      <w:bookmarkStart w:id="45" w:name="_Toc15377222"/>
      <w:r>
        <w:rPr>
          <w:rFonts w:hint="eastAsia" w:eastAsia="楷体_GB2312" w:cs="楷体_GB2312"/>
          <w:b/>
          <w:sz w:val="32"/>
          <w:szCs w:val="32"/>
        </w:rPr>
        <w:t>（一）机关运行经费支出情况</w:t>
      </w:r>
      <w:bookmarkEnd w:id="45"/>
    </w:p>
    <w:p w14:paraId="6AFCAC75">
      <w:pPr>
        <w:spacing w:line="600" w:lineRule="exact"/>
        <w:ind w:firstLine="640"/>
        <w:rPr>
          <w:rFonts w:hint="eastAsia" w:ascii="仿宋" w:hAnsi="仿宋" w:eastAsia="仿宋"/>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阿坝州州级机关退休干部驻郫都区休养所</w:t>
      </w:r>
      <w:r>
        <w:rPr>
          <w:rFonts w:hint="eastAsia" w:eastAsia="仿宋_GB2312" w:cs="仿宋_GB2312"/>
          <w:sz w:val="32"/>
          <w:szCs w:val="32"/>
        </w:rPr>
        <w:t>机关运行经费支出</w:t>
      </w:r>
      <w:r>
        <w:rPr>
          <w:rFonts w:hint="eastAsia" w:ascii="仿宋_GB2312" w:hAnsi="仿宋_GB2312" w:eastAsia="仿宋_GB2312" w:cs="仿宋_GB2312"/>
          <w:sz w:val="32"/>
          <w:szCs w:val="32"/>
        </w:rPr>
        <w:t>10.4</w:t>
      </w:r>
      <w:r>
        <w:rPr>
          <w:rFonts w:hint="eastAsia" w:eastAsia="仿宋_GB2312" w:cs="仿宋_GB2312"/>
          <w:sz w:val="32"/>
          <w:szCs w:val="32"/>
        </w:rPr>
        <w:t>万元，比上年度增加1.2万元，增长27.2 %（或与上年度决算数持平）。主要原因是</w:t>
      </w:r>
      <w:r>
        <w:rPr>
          <w:rFonts w:hint="eastAsia" w:ascii="仿宋" w:hAnsi="仿宋" w:eastAsia="仿宋"/>
          <w:sz w:val="32"/>
          <w:szCs w:val="32"/>
        </w:rPr>
        <w:t>是差旅费和办公费有所增加</w:t>
      </w:r>
      <w:r>
        <w:rPr>
          <w:rFonts w:hint="eastAsia" w:eastAsia="仿宋_GB2312" w:cs="仿宋_GB2312"/>
          <w:sz w:val="32"/>
          <w:szCs w:val="32"/>
        </w:rPr>
        <w:t>。</w:t>
      </w:r>
    </w:p>
    <w:p w14:paraId="11AF3403">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（注：数据来源于财决附</w:t>
      </w:r>
      <w:r>
        <w:rPr>
          <w:rFonts w:ascii="仿宋" w:hAnsi="仿宋" w:eastAsia="仿宋"/>
          <w:sz w:val="32"/>
          <w:szCs w:val="32"/>
        </w:rPr>
        <w:t>03</w:t>
      </w:r>
      <w:r>
        <w:rPr>
          <w:rFonts w:hint="eastAsia" w:ascii="仿宋" w:hAnsi="仿宋" w:eastAsia="仿宋"/>
          <w:sz w:val="32"/>
          <w:szCs w:val="32"/>
        </w:rPr>
        <w:t>表）</w:t>
      </w:r>
      <w:bookmarkStart w:id="46" w:name="_Toc15377223"/>
    </w:p>
    <w:p w14:paraId="580B9C55">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46"/>
    </w:p>
    <w:p w14:paraId="50795E4A">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阿坝州州级机关退休干部驻郫都区休养所</w:t>
      </w:r>
      <w:r>
        <w:rPr>
          <w:rFonts w:hint="eastAsia" w:eastAsia="仿宋_GB2312" w:cs="仿宋_GB2312"/>
          <w:sz w:val="32"/>
          <w:szCs w:val="32"/>
        </w:rPr>
        <w:t>政府采购支出总额</w:t>
      </w:r>
      <w:r>
        <w:rPr>
          <w:rFonts w:hint="eastAsia" w:ascii="仿宋_GB2312" w:hAnsi="仿宋_GB2312" w:eastAsia="仿宋_GB2312" w:cs="仿宋_GB2312"/>
          <w:sz w:val="32"/>
          <w:szCs w:val="32"/>
        </w:rPr>
        <w:t>0.5</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0.5</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0</w:t>
      </w:r>
      <w:r>
        <w:rPr>
          <w:rFonts w:hint="eastAsia" w:eastAsia="仿宋_GB2312" w:cs="仿宋_GB2312"/>
          <w:sz w:val="32"/>
          <w:szCs w:val="32"/>
        </w:rPr>
        <w:t>万元。主要用于办公室日常文档处理（具体工作）。授予中小企业合同金额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98</w:t>
      </w:r>
      <w:r>
        <w:rPr>
          <w:rFonts w:hint="eastAsia" w:eastAsia="仿宋_GB2312" w:cs="仿宋_GB2312"/>
          <w:sz w:val="32"/>
          <w:szCs w:val="32"/>
        </w:rPr>
        <w:t>%。</w:t>
      </w:r>
    </w:p>
    <w:p w14:paraId="5B232EEC">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（注：数据来源于财决附</w:t>
      </w:r>
      <w:r>
        <w:rPr>
          <w:rFonts w:ascii="仿宋" w:hAnsi="仿宋" w:eastAsia="仿宋"/>
          <w:sz w:val="32"/>
          <w:szCs w:val="32"/>
        </w:rPr>
        <w:t>03</w:t>
      </w:r>
      <w:r>
        <w:rPr>
          <w:rFonts w:hint="eastAsia" w:ascii="仿宋" w:hAnsi="仿宋" w:eastAsia="仿宋"/>
          <w:sz w:val="32"/>
          <w:szCs w:val="32"/>
        </w:rPr>
        <w:t>表）</w:t>
      </w:r>
    </w:p>
    <w:p w14:paraId="6FCBFF1B">
      <w:pPr>
        <w:spacing w:line="600" w:lineRule="exact"/>
        <w:ind w:firstLine="643" w:firstLineChars="200"/>
        <w:outlineLvl w:val="2"/>
        <w:rPr>
          <w:rFonts w:eastAsia="楷体_GB2312" w:cs="楷体_GB2312"/>
          <w:b/>
          <w:sz w:val="32"/>
          <w:szCs w:val="32"/>
        </w:rPr>
      </w:pPr>
      <w:bookmarkStart w:id="47" w:name="_Toc15377224"/>
      <w:r>
        <w:rPr>
          <w:rFonts w:hint="eastAsia" w:eastAsia="楷体_GB2312" w:cs="楷体_GB2312"/>
          <w:b/>
          <w:sz w:val="32"/>
          <w:szCs w:val="32"/>
        </w:rPr>
        <w:t>（三）国有资产占有使用情况</w:t>
      </w:r>
      <w:bookmarkEnd w:id="47"/>
    </w:p>
    <w:p w14:paraId="000693D1">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阿坝州州级机关退休干部驻郫都区休养所</w:t>
      </w:r>
      <w:r>
        <w:rPr>
          <w:rFonts w:hint="eastAsia" w:eastAsia="仿宋_GB2312" w:cs="仿宋_GB2312"/>
          <w:sz w:val="32"/>
          <w:szCs w:val="32"/>
        </w:rPr>
        <w:t>共有车辆</w:t>
      </w:r>
      <w:r>
        <w:rPr>
          <w:rFonts w:hint="eastAsia" w:ascii="仿宋_GB2312" w:hAnsi="仿宋_GB2312" w:eastAsia="仿宋_GB2312" w:cs="仿宋_GB2312"/>
          <w:sz w:val="32"/>
          <w:szCs w:val="32"/>
        </w:rPr>
        <w:t>0</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176166B6">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0EAE06EC">
      <w:pPr>
        <w:spacing w:line="600" w:lineRule="exact"/>
        <w:ind w:firstLine="640" w:firstLineChars="200"/>
        <w:rPr>
          <w:rFonts w:hint="eastAsia" w:ascii="仿宋" w:hAnsi="仿宋" w:eastAsia="仿宋"/>
          <w:sz w:val="32"/>
          <w:szCs w:val="32"/>
        </w:rPr>
      </w:pPr>
      <w:r>
        <w:rPr>
          <w:rFonts w:hint="eastAsia" w:eastAsia="仿宋_GB2312" w:cs="仿宋_GB2312"/>
          <w:sz w:val="32"/>
          <w:szCs w:val="32"/>
        </w:rPr>
        <w:t>根据预算绩效管理要求，本单位在2025年度，组织对</w:t>
      </w:r>
      <w:r>
        <w:rPr>
          <w:rFonts w:hint="eastAsia" w:ascii="仿宋" w:hAnsi="仿宋" w:eastAsia="仿宋"/>
          <w:sz w:val="32"/>
          <w:szCs w:val="32"/>
        </w:rPr>
        <w:t>金财网络维护费、院内维修维护、政府购买物业管理费、老干部（党员）活动费。）等4个</w:t>
      </w:r>
      <w:r>
        <w:rPr>
          <w:rFonts w:hint="eastAsia" w:eastAsia="仿宋_GB2312" w:cs="仿宋_GB2312"/>
          <w:sz w:val="32"/>
          <w:szCs w:val="32"/>
        </w:rPr>
        <w:t>项目涉及金额22.7万元开展了事前绩效评估，</w:t>
      </w:r>
      <w:r>
        <w:rPr>
          <w:rFonts w:hint="eastAsia" w:ascii="仿宋" w:hAnsi="仿宋" w:eastAsia="仿宋"/>
          <w:sz w:val="32"/>
          <w:szCs w:val="32"/>
        </w:rPr>
        <w:t>对5个项目编制了绩效目标，预算执行过程中，选取4个项目开展绩效监控，组织对4个项目开展绩效自评，绩效自评表详见第四部分附件。</w:t>
      </w:r>
    </w:p>
    <w:p w14:paraId="454C52B6"/>
    <w:p w14:paraId="1C0DE2A2">
      <w:pPr>
        <w:pStyle w:val="3"/>
        <w:ind w:left="420"/>
      </w:pPr>
    </w:p>
    <w:p w14:paraId="5BBC324C">
      <w:pPr>
        <w:spacing w:line="600" w:lineRule="exact"/>
        <w:jc w:val="center"/>
        <w:outlineLvl w:val="0"/>
        <w:rPr>
          <w:rFonts w:eastAsia="黑体"/>
          <w:sz w:val="44"/>
          <w:szCs w:val="44"/>
        </w:rPr>
      </w:pPr>
      <w:bookmarkStart w:id="48" w:name="_Toc15377225"/>
      <w:bookmarkStart w:id="49" w:name="_Toc15396613"/>
      <w:r>
        <w:rPr>
          <w:rFonts w:hint="eastAsia" w:eastAsia="黑体"/>
          <w:sz w:val="44"/>
          <w:szCs w:val="44"/>
        </w:rPr>
        <w:t>第三部分  名词解释</w:t>
      </w:r>
      <w:bookmarkEnd w:id="48"/>
      <w:bookmarkEnd w:id="49"/>
    </w:p>
    <w:p w14:paraId="5DE27875">
      <w:pPr>
        <w:pStyle w:val="2"/>
      </w:pPr>
    </w:p>
    <w:p w14:paraId="5433FB17">
      <w:pPr>
        <w:pStyle w:val="27"/>
        <w:spacing w:line="560" w:lineRule="exact"/>
        <w:ind w:firstLine="320" w:firstLineChars="100"/>
        <w:rPr>
          <w:rFonts w:hint="eastAsia" w:hAnsi="仿宋"/>
          <w:color w:val="auto"/>
          <w:sz w:val="32"/>
          <w:szCs w:val="32"/>
        </w:rPr>
      </w:pPr>
      <w:r>
        <w:rPr>
          <w:rFonts w:hint="eastAsia" w:eastAsia="仿宋_GB2312" w:cs="仿宋_GB2312"/>
          <w:sz w:val="32"/>
          <w:szCs w:val="32"/>
        </w:rPr>
        <w:t>1.财政拨款收入：</w:t>
      </w:r>
      <w:r>
        <w:rPr>
          <w:rFonts w:hint="eastAsia" w:hAnsi="仿宋"/>
          <w:color w:val="auto"/>
          <w:sz w:val="32"/>
          <w:szCs w:val="32"/>
        </w:rPr>
        <w:t>指单位从同级财政部门取得的财政预算资金。</w:t>
      </w:r>
    </w:p>
    <w:p w14:paraId="69349258">
      <w:pPr>
        <w:spacing w:line="600" w:lineRule="exact"/>
        <w:rPr>
          <w:rFonts w:eastAsia="仿宋_GB2312" w:cs="仿宋_GB2312"/>
          <w:sz w:val="32"/>
          <w:szCs w:val="32"/>
        </w:rPr>
      </w:pPr>
      <w:r>
        <w:rPr>
          <w:rFonts w:hint="eastAsia" w:eastAsia="仿宋_GB2312" w:cs="仿宋_GB2312"/>
          <w:sz w:val="32"/>
          <w:szCs w:val="32"/>
        </w:rPr>
        <w:t>2.事业收入：指事业单位开展专业业务活动及辅助活动取得的收入。如……（二级预算单位事业收入情况）等。</w:t>
      </w:r>
    </w:p>
    <w:p w14:paraId="20DF36E0">
      <w:pPr>
        <w:spacing w:line="600" w:lineRule="exact"/>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3.经营收入：指事业单位在专业业务活动及其辅助活动之外开展非独立核算经营活动取得的收入。如……（二级预算单位经营收入情况）等。</w:t>
      </w:r>
    </w:p>
    <w:p w14:paraId="2E490159">
      <w:pPr>
        <w:spacing w:line="600" w:lineRule="exact"/>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14:paraId="41C5823B">
      <w:pPr>
        <w:spacing w:line="600" w:lineRule="exact"/>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5121F589">
      <w:pPr>
        <w:spacing w:line="600" w:lineRule="exact"/>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1ED57C63">
      <w:pPr>
        <w:spacing w:line="600" w:lineRule="exact"/>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7F119FDA">
      <w:pPr>
        <w:spacing w:line="600" w:lineRule="exact"/>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622E6FBF">
      <w:pPr>
        <w:ind w:firstLine="640" w:firstLineChars="200"/>
        <w:rPr>
          <w:rFonts w:hint="eastAsia" w:ascii="仿宋" w:hAnsi="仿宋" w:eastAsia="仿宋"/>
          <w:sz w:val="32"/>
          <w:szCs w:val="32"/>
        </w:rPr>
      </w:pPr>
      <w:r>
        <w:rPr>
          <w:rFonts w:hint="eastAsia" w:eastAsia="仿宋_GB2312" w:cs="仿宋_GB2312"/>
          <w:sz w:val="32"/>
          <w:szCs w:val="32"/>
        </w:rPr>
        <w:t>9.一般公共服务</w:t>
      </w:r>
      <w:r>
        <w:rPr>
          <w:rFonts w:hint="eastAsia" w:ascii="仿宋" w:hAnsi="仿宋" w:eastAsia="仿宋"/>
          <w:sz w:val="32"/>
          <w:szCs w:val="32"/>
        </w:rPr>
        <w:t>201（类）36（款01（项）行政运行：指反映行政单位（包括实行公务员管理的事业单位）的基本支出。</w:t>
      </w:r>
    </w:p>
    <w:p w14:paraId="2A81CE7A">
      <w:pPr>
        <w:ind w:firstLine="640" w:firstLineChars="200"/>
        <w:rPr>
          <w:rFonts w:hint="eastAsia" w:ascii="仿宋" w:hAnsi="仿宋" w:eastAsia="仿宋"/>
          <w:sz w:val="32"/>
          <w:szCs w:val="32"/>
        </w:rPr>
      </w:pPr>
      <w:r>
        <w:rPr>
          <w:rFonts w:hint="eastAsia" w:ascii="仿宋" w:hAnsi="仿宋" w:eastAsia="仿宋"/>
          <w:sz w:val="32"/>
          <w:szCs w:val="32"/>
        </w:rPr>
        <w:t>10</w:t>
      </w:r>
      <w:r>
        <w:rPr>
          <w:rFonts w:ascii="仿宋" w:hAnsi="仿宋" w:eastAsia="仿宋"/>
          <w:sz w:val="32"/>
          <w:szCs w:val="32"/>
        </w:rPr>
        <w:t>.</w:t>
      </w:r>
      <w:r>
        <w:rPr>
          <w:rFonts w:hint="eastAsia" w:ascii="仿宋" w:hAnsi="仿宋" w:eastAsia="仿宋"/>
          <w:sz w:val="32"/>
          <w:szCs w:val="32"/>
        </w:rPr>
        <w:t>社会保障和就业208（类）05（款）05（项）机关事业单位基本养老保险缴费支出：指反映机关事业单位实施养老保险制度由单位缴纳的基本养老保险费支出。208（类）05（款）06（项）机关事业单位职业年金缴费支出指反映机关事业单位实施养老保险制度由单位实际缴纳的职业年金费支出。</w:t>
      </w:r>
    </w:p>
    <w:p w14:paraId="50DADADD">
      <w:pPr>
        <w:ind w:firstLine="640" w:firstLineChars="200"/>
        <w:rPr>
          <w:rFonts w:hint="eastAsia" w:ascii="仿宋" w:hAnsi="仿宋" w:eastAsia="仿宋"/>
          <w:sz w:val="32"/>
          <w:szCs w:val="32"/>
        </w:rPr>
      </w:pPr>
      <w:r>
        <w:rPr>
          <w:rFonts w:hint="eastAsia" w:ascii="仿宋" w:hAnsi="仿宋" w:eastAsia="仿宋"/>
          <w:sz w:val="32"/>
          <w:szCs w:val="32"/>
        </w:rPr>
        <w:t>11</w:t>
      </w:r>
      <w:r>
        <w:rPr>
          <w:rFonts w:ascii="仿宋" w:hAnsi="仿宋" w:eastAsia="仿宋"/>
          <w:sz w:val="32"/>
          <w:szCs w:val="32"/>
        </w:rPr>
        <w:t>.</w:t>
      </w:r>
      <w:r>
        <w:rPr>
          <w:rFonts w:hint="eastAsia" w:ascii="仿宋" w:hAnsi="仿宋" w:eastAsia="仿宋"/>
          <w:sz w:val="32"/>
          <w:szCs w:val="32"/>
        </w:rPr>
        <w:t>卫生健康210（类）11（款）01（项）行政单位医疗：指反映财政部门安排的行政单位（包括实行公务员管理的事业单位）基本医疗保险缴费经费，未参加医疗保险的行政单位的公费医疗经费，按国家规定享受离休人员、红军老战士待遇人员的医疗经费。210（类）11（款）03（项）公务员医疗补助指反映财政部门安排的公务员医疗补助经费。</w:t>
      </w:r>
    </w:p>
    <w:p w14:paraId="770B2121">
      <w:pPr>
        <w:ind w:firstLine="640" w:firstLineChars="200"/>
        <w:rPr>
          <w:rFonts w:hint="eastAsia" w:ascii="仿宋" w:hAnsi="仿宋" w:eastAsia="仿宋"/>
          <w:sz w:val="32"/>
          <w:szCs w:val="32"/>
        </w:rPr>
      </w:pPr>
      <w:r>
        <w:rPr>
          <w:rFonts w:hint="eastAsia" w:ascii="仿宋" w:hAnsi="仿宋" w:eastAsia="仿宋"/>
          <w:sz w:val="32"/>
          <w:szCs w:val="32"/>
        </w:rPr>
        <w:t>12</w:t>
      </w:r>
      <w:r>
        <w:rPr>
          <w:rFonts w:ascii="仿宋" w:hAnsi="仿宋" w:eastAsia="仿宋"/>
          <w:sz w:val="32"/>
          <w:szCs w:val="32"/>
        </w:rPr>
        <w:t>.</w:t>
      </w:r>
      <w:r>
        <w:rPr>
          <w:rFonts w:hint="eastAsia" w:ascii="仿宋" w:hAnsi="仿宋" w:eastAsia="仿宋"/>
          <w:sz w:val="32"/>
          <w:szCs w:val="32"/>
        </w:rPr>
        <w:t>住房保障221（类）02（款）01（项）住房公积金：指反映行政事业单位按人力资源和社会保障部、财政部规定的基本工资和津贴补贴以及规定比例为职工缴纳的住房公积金。</w:t>
      </w:r>
    </w:p>
    <w:p w14:paraId="0102EED2">
      <w:pPr>
        <w:spacing w:line="600" w:lineRule="exact"/>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（注：解释本部门决算报表中涉及的全部功能分类科目至项级，不涉及的科目请自行删除。请参照《2025年政府收支分类科目》增减内容）</w:t>
      </w:r>
    </w:p>
    <w:p w14:paraId="68909D44">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0EEE35A4">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638C7DC9">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1FC2847A">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4610AD9">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9E9E819">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032A63CA">
      <w:r>
        <w:br w:type="page"/>
      </w:r>
    </w:p>
    <w:p w14:paraId="138D75D7">
      <w:pPr>
        <w:spacing w:line="600" w:lineRule="exact"/>
        <w:jc w:val="center"/>
        <w:rPr>
          <w:rFonts w:hint="eastAsia" w:ascii="方正小标宋简体" w:hAnsi="方正小标宋简体" w:eastAsia="方正小标宋简体" w:cs="方正小标宋简体"/>
          <w:sz w:val="44"/>
          <w:szCs w:val="44"/>
        </w:rPr>
      </w:pPr>
      <w:bookmarkStart w:id="50" w:name="_Toc15377226"/>
      <w:r>
        <w:rPr>
          <w:rFonts w:ascii="仿宋" w:hAnsi="仿宋" w:eastAsia="仿宋"/>
          <w:sz w:val="32"/>
          <w:szCs w:val="32"/>
        </w:rPr>
        <w:t xml:space="preserve">  </w:t>
      </w:r>
      <w:r>
        <w:rPr>
          <w:rFonts w:hint="eastAsia" w:ascii="方正小标宋简体" w:hAnsi="方正小标宋简体" w:eastAsia="方正小标宋简体" w:cs="方正小标宋简体"/>
          <w:sz w:val="44"/>
          <w:szCs w:val="44"/>
        </w:rPr>
        <w:t>阿坝州州级机关退休干部驻郫都区休养所</w:t>
      </w:r>
    </w:p>
    <w:p w14:paraId="34EE8768">
      <w:pPr>
        <w:spacing w:line="600" w:lineRule="exact"/>
        <w:jc w:val="center"/>
        <w:rPr>
          <w:rFonts w:hint="eastAsia" w:ascii="方正小标宋简体" w:hAnsi="方正小标宋简体" w:eastAsia="方正小标宋简体" w:cs="方正小标宋简体"/>
          <w:sz w:val="44"/>
          <w:szCs w:val="44"/>
        </w:rPr>
      </w:pPr>
      <w:bookmarkStart w:id="51" w:name="OLE_LINK3"/>
      <w:r>
        <w:rPr>
          <w:rFonts w:hint="eastAsia" w:ascii="方正小标宋简体" w:hAnsi="方正小标宋简体" w:eastAsia="方正小标宋简体" w:cs="方正小标宋简体"/>
          <w:sz w:val="44"/>
          <w:szCs w:val="44"/>
        </w:rPr>
        <w:t>2026年部门预算绩效自评报告</w:t>
      </w:r>
    </w:p>
    <w:bookmarkEnd w:id="51"/>
    <w:p w14:paraId="392AFDF3">
      <w:pPr>
        <w:spacing w:line="540" w:lineRule="exact"/>
        <w:ind w:firstLine="640" w:firstLineChars="200"/>
        <w:rPr>
          <w:rFonts w:hint="eastAsia" w:ascii="仿宋" w:hAnsi="仿宋" w:eastAsia="仿宋" w:cs="仿宋"/>
          <w:sz w:val="32"/>
          <w:szCs w:val="32"/>
        </w:rPr>
      </w:pPr>
    </w:p>
    <w:p w14:paraId="0DD4E3B9">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阿坝州财政局《关于开展2026年州级部门绩效自评工作的通知》（阿州财监绩[2026]3号）文的要求，郫退所高度重视，成立了自评工作领导小组，及时进行了安排部署，认真对2025年度整体绩效情况和专项预算使用管理绩效情况进行了自评，现将自评情况报告如下：</w:t>
      </w:r>
    </w:p>
    <w:p w14:paraId="3B30EB1A">
      <w:pPr>
        <w:pStyle w:val="28"/>
        <w:spacing w:line="576" w:lineRule="exact"/>
        <w:ind w:left="420" w:firstLine="0" w:firstLineChars="0"/>
        <w:rPr>
          <w:rFonts w:hint="eastAsia" w:ascii="仿宋" w:hAnsi="仿宋" w:eastAsia="仿宋" w:cs="仿宋"/>
          <w:b/>
          <w:sz w:val="32"/>
          <w:szCs w:val="32"/>
        </w:rPr>
      </w:pPr>
      <w:r>
        <w:rPr>
          <w:rFonts w:hint="eastAsia" w:ascii="仿宋" w:hAnsi="仿宋" w:eastAsia="仿宋" w:cs="仿宋"/>
          <w:b/>
          <w:sz w:val="32"/>
          <w:szCs w:val="32"/>
        </w:rPr>
        <w:t>一、单位部门概况</w:t>
      </w:r>
    </w:p>
    <w:p w14:paraId="5EB81571">
      <w:pPr>
        <w:pStyle w:val="28"/>
        <w:spacing w:line="576" w:lineRule="exact"/>
        <w:ind w:left="420" w:firstLine="0" w:firstLineChars="0"/>
        <w:rPr>
          <w:rFonts w:hint="eastAsia" w:ascii="仿宋" w:hAnsi="仿宋" w:eastAsia="仿宋" w:cs="仿宋"/>
          <w:b/>
          <w:sz w:val="32"/>
          <w:szCs w:val="32"/>
        </w:rPr>
      </w:pPr>
      <w:r>
        <w:rPr>
          <w:rFonts w:hint="eastAsia" w:ascii="仿宋" w:hAnsi="仿宋" w:eastAsia="仿宋" w:cs="仿宋"/>
          <w:b/>
          <w:sz w:val="32"/>
          <w:szCs w:val="32"/>
        </w:rPr>
        <w:t>（一）机构组成和人员概况</w:t>
      </w:r>
    </w:p>
    <w:p w14:paraId="571B7773">
      <w:pPr>
        <w:ind w:left="285" w:firstLine="640" w:firstLineChars="200"/>
        <w:rPr>
          <w:rFonts w:hint="eastAsia" w:ascii="仿宋" w:hAnsi="仿宋" w:eastAsia="仿宋" w:cs="仿宋"/>
          <w:sz w:val="32"/>
          <w:szCs w:val="32"/>
        </w:rPr>
      </w:pPr>
      <w:r>
        <w:rPr>
          <w:rFonts w:hint="eastAsia" w:ascii="仿宋" w:hAnsi="仿宋" w:eastAsia="仿宋" w:cs="仿宋"/>
          <w:sz w:val="32"/>
          <w:szCs w:val="32"/>
        </w:rPr>
        <w:t>郫退所正科级机构，内设科室有1个，总编制4名，行政编制3名，工勤编制1名。在职人员总3名，其中：行政人员2名，工勤人员 1 名,退休人员3人。</w:t>
      </w:r>
    </w:p>
    <w:p w14:paraId="53C26A17">
      <w:pPr>
        <w:pStyle w:val="28"/>
        <w:spacing w:line="576" w:lineRule="exact"/>
        <w:ind w:left="420" w:firstLine="0" w:firstLineChars="0"/>
        <w:rPr>
          <w:rFonts w:hint="eastAsia" w:ascii="仿宋" w:hAnsi="仿宋" w:eastAsia="仿宋" w:cs="仿宋"/>
          <w:b/>
          <w:sz w:val="32"/>
          <w:szCs w:val="32"/>
        </w:rPr>
      </w:pPr>
      <w:r>
        <w:rPr>
          <w:rFonts w:hint="eastAsia" w:ascii="仿宋" w:hAnsi="仿宋" w:eastAsia="仿宋" w:cs="仿宋"/>
          <w:b/>
          <w:sz w:val="32"/>
          <w:szCs w:val="32"/>
        </w:rPr>
        <w:t>（二）机构职能</w:t>
      </w:r>
    </w:p>
    <w:p w14:paraId="646CE319">
      <w:pPr>
        <w:ind w:left="285" w:firstLine="640" w:firstLineChars="200"/>
        <w:rPr>
          <w:rFonts w:hint="eastAsia" w:ascii="仿宋" w:hAnsi="仿宋" w:eastAsia="仿宋" w:cs="仿宋"/>
          <w:sz w:val="32"/>
          <w:szCs w:val="32"/>
        </w:rPr>
      </w:pPr>
      <w:r>
        <w:rPr>
          <w:rFonts w:hint="eastAsia" w:ascii="仿宋" w:hAnsi="仿宋" w:eastAsia="仿宋" w:cs="仿宋"/>
          <w:sz w:val="32"/>
          <w:szCs w:val="32"/>
        </w:rPr>
        <w:t>郫退所是在州委老干部局的主管下负责管理退休干部的职能部门。主要职能：</w:t>
      </w:r>
      <w:r>
        <w:rPr>
          <w:rFonts w:hint="eastAsia" w:ascii="仿宋" w:hAnsi="仿宋" w:eastAsia="仿宋" w:cs="仿宋"/>
          <w:b/>
          <w:bCs/>
          <w:sz w:val="32"/>
          <w:szCs w:val="32"/>
        </w:rPr>
        <w:t>一是</w:t>
      </w:r>
      <w:r>
        <w:rPr>
          <w:rFonts w:hint="eastAsia" w:ascii="仿宋" w:hAnsi="仿宋" w:eastAsia="仿宋" w:cs="仿宋"/>
          <w:sz w:val="32"/>
          <w:szCs w:val="32"/>
        </w:rPr>
        <w:t>贯彻执行中共中央、国务院和省州党委、政府关于老干部工作的方针、政策和指示。</w:t>
      </w:r>
      <w:r>
        <w:rPr>
          <w:rFonts w:hint="eastAsia" w:ascii="仿宋" w:hAnsi="仿宋" w:eastAsia="仿宋" w:cs="仿宋"/>
          <w:b/>
          <w:bCs/>
          <w:sz w:val="32"/>
          <w:szCs w:val="32"/>
        </w:rPr>
        <w:t>二是</w:t>
      </w:r>
      <w:r>
        <w:rPr>
          <w:rFonts w:hint="eastAsia" w:ascii="仿宋" w:hAnsi="仿宋" w:eastAsia="仿宋" w:cs="仿宋"/>
          <w:sz w:val="32"/>
          <w:szCs w:val="32"/>
        </w:rPr>
        <w:t>制定或参与制定全州老干部工作的具体政策和决定，对老干部工作中出现的新情况和新问题进行调查研究，并及时向上级部门提出意见和建议。</w:t>
      </w:r>
      <w:r>
        <w:rPr>
          <w:rFonts w:hint="eastAsia" w:ascii="仿宋" w:hAnsi="仿宋" w:eastAsia="仿宋" w:cs="仿宋"/>
          <w:b/>
          <w:bCs/>
          <w:sz w:val="32"/>
          <w:szCs w:val="32"/>
        </w:rPr>
        <w:t>三是</w:t>
      </w:r>
      <w:r>
        <w:rPr>
          <w:rFonts w:hint="eastAsia" w:ascii="仿宋" w:hAnsi="仿宋" w:eastAsia="仿宋" w:cs="仿宋"/>
          <w:sz w:val="32"/>
          <w:szCs w:val="32"/>
        </w:rPr>
        <w:t>抓好老干部政治待遇的落实，切实从政治上关心老干部。</w:t>
      </w:r>
      <w:r>
        <w:rPr>
          <w:rFonts w:hint="eastAsia" w:ascii="仿宋" w:hAnsi="仿宋" w:eastAsia="仿宋" w:cs="仿宋"/>
          <w:b/>
          <w:bCs/>
          <w:sz w:val="32"/>
          <w:szCs w:val="32"/>
        </w:rPr>
        <w:t>四是</w:t>
      </w:r>
      <w:r>
        <w:rPr>
          <w:rFonts w:hint="eastAsia" w:ascii="仿宋" w:hAnsi="仿宋" w:eastAsia="仿宋" w:cs="仿宋"/>
          <w:sz w:val="32"/>
          <w:szCs w:val="32"/>
        </w:rPr>
        <w:t>抓好老干部生活待遇的落实，对老干部生活待遇方面出现的新情况、新问题，及时汇报、研究，采取措施加以解决。</w:t>
      </w:r>
      <w:r>
        <w:rPr>
          <w:rFonts w:hint="eastAsia" w:ascii="仿宋" w:hAnsi="仿宋" w:eastAsia="仿宋" w:cs="仿宋"/>
          <w:b/>
          <w:bCs/>
          <w:sz w:val="32"/>
          <w:szCs w:val="32"/>
        </w:rPr>
        <w:t>五是</w:t>
      </w:r>
      <w:r>
        <w:rPr>
          <w:rFonts w:hint="eastAsia" w:ascii="仿宋" w:hAnsi="仿宋" w:eastAsia="仿宋" w:cs="仿宋"/>
          <w:sz w:val="32"/>
          <w:szCs w:val="32"/>
        </w:rPr>
        <w:t>负责接待和处理老干部来信来访。六</w:t>
      </w:r>
      <w:r>
        <w:rPr>
          <w:rFonts w:hint="eastAsia" w:ascii="仿宋" w:hAnsi="仿宋" w:eastAsia="仿宋" w:cs="仿宋"/>
          <w:b/>
          <w:bCs/>
          <w:sz w:val="32"/>
          <w:szCs w:val="32"/>
        </w:rPr>
        <w:t>是</w:t>
      </w:r>
      <w:r>
        <w:rPr>
          <w:rFonts w:hint="eastAsia" w:ascii="仿宋" w:hAnsi="仿宋" w:eastAsia="仿宋" w:cs="仿宋"/>
          <w:sz w:val="32"/>
          <w:szCs w:val="32"/>
        </w:rPr>
        <w:t>抓好干休所的建设、管理和服务工作，抓好自身建设。七</w:t>
      </w:r>
      <w:r>
        <w:rPr>
          <w:rFonts w:hint="eastAsia" w:ascii="仿宋" w:hAnsi="仿宋" w:eastAsia="仿宋" w:cs="仿宋"/>
          <w:b/>
          <w:bCs/>
          <w:sz w:val="32"/>
          <w:szCs w:val="32"/>
        </w:rPr>
        <w:t>是</w:t>
      </w:r>
      <w:r>
        <w:rPr>
          <w:rFonts w:hint="eastAsia" w:ascii="仿宋" w:hAnsi="仿宋" w:eastAsia="仿宋" w:cs="仿宋"/>
          <w:sz w:val="32"/>
          <w:szCs w:val="32"/>
        </w:rPr>
        <w:t>处理好老干部的丧事和善后工作。八</w:t>
      </w:r>
      <w:r>
        <w:rPr>
          <w:rFonts w:hint="eastAsia" w:ascii="仿宋" w:hAnsi="仿宋" w:eastAsia="仿宋" w:cs="仿宋"/>
          <w:b/>
          <w:bCs/>
          <w:sz w:val="32"/>
          <w:szCs w:val="32"/>
        </w:rPr>
        <w:t>是</w:t>
      </w:r>
      <w:r>
        <w:rPr>
          <w:rFonts w:hint="eastAsia" w:ascii="仿宋" w:hAnsi="仿宋" w:eastAsia="仿宋" w:cs="仿宋"/>
          <w:sz w:val="32"/>
          <w:szCs w:val="32"/>
        </w:rPr>
        <w:t>负责完成上级部门交办的其他工作任务。</w:t>
      </w:r>
    </w:p>
    <w:p w14:paraId="405121C1">
      <w:pPr>
        <w:pStyle w:val="28"/>
        <w:spacing w:line="576" w:lineRule="exact"/>
        <w:ind w:left="420" w:firstLine="0" w:firstLineChars="0"/>
        <w:rPr>
          <w:rFonts w:hint="eastAsia" w:ascii="仿宋" w:hAnsi="仿宋" w:eastAsia="仿宋" w:cs="仿宋"/>
          <w:sz w:val="32"/>
          <w:szCs w:val="32"/>
        </w:rPr>
      </w:pPr>
      <w:r>
        <w:rPr>
          <w:rFonts w:hint="eastAsia" w:ascii="仿宋" w:hAnsi="仿宋" w:eastAsia="仿宋" w:cs="仿宋"/>
          <w:sz w:val="32"/>
          <w:szCs w:val="32"/>
        </w:rPr>
        <w:t>二、单位部门财政资金收支情况</w:t>
      </w:r>
    </w:p>
    <w:p w14:paraId="0388C3A1">
      <w:pPr>
        <w:pStyle w:val="28"/>
        <w:spacing w:line="576" w:lineRule="exact"/>
        <w:ind w:left="420" w:firstLine="0" w:firstLineChars="0"/>
        <w:rPr>
          <w:rFonts w:hint="eastAsia" w:ascii="仿宋" w:hAnsi="仿宋" w:eastAsia="仿宋" w:cs="仿宋"/>
          <w:b/>
          <w:sz w:val="32"/>
          <w:szCs w:val="32"/>
        </w:rPr>
      </w:pPr>
      <w:r>
        <w:rPr>
          <w:rFonts w:hint="eastAsia" w:ascii="仿宋" w:hAnsi="仿宋" w:eastAsia="仿宋" w:cs="仿宋"/>
          <w:b/>
          <w:sz w:val="32"/>
          <w:szCs w:val="32"/>
        </w:rPr>
        <w:t>（一）2025年财政资金收入、支出情况</w:t>
      </w:r>
    </w:p>
    <w:p w14:paraId="30C5BB26">
      <w:pPr>
        <w:ind w:firstLine="640" w:firstLineChars="200"/>
        <w:rPr>
          <w:rFonts w:hint="eastAsia" w:ascii="仿宋" w:hAnsi="仿宋" w:eastAsia="仿宋" w:cs="仿宋"/>
          <w:sz w:val="32"/>
          <w:szCs w:val="32"/>
        </w:rPr>
      </w:pPr>
      <w:r>
        <w:rPr>
          <w:rFonts w:hint="eastAsia" w:ascii="仿宋" w:hAnsi="仿宋" w:eastAsia="仿宋" w:cs="仿宋"/>
          <w:sz w:val="32"/>
          <w:szCs w:val="32"/>
        </w:rPr>
        <w:t>本单位本年度总收入为</w:t>
      </w:r>
      <w:r>
        <w:rPr>
          <w:rFonts w:ascii="仿宋" w:hAnsi="仿宋" w:eastAsia="仿宋" w:cs="仿宋"/>
          <w:sz w:val="32"/>
          <w:szCs w:val="32"/>
        </w:rPr>
        <w:t>1</w:t>
      </w:r>
      <w:r>
        <w:rPr>
          <w:rFonts w:hint="eastAsia" w:ascii="仿宋" w:hAnsi="仿宋" w:eastAsia="仿宋" w:cs="仿宋"/>
          <w:sz w:val="32"/>
          <w:szCs w:val="32"/>
        </w:rPr>
        <w:t>29.4万元。其中：一般公共预算财政拨款收入为</w:t>
      </w:r>
      <w:r>
        <w:rPr>
          <w:rFonts w:ascii="仿宋" w:hAnsi="仿宋" w:eastAsia="仿宋" w:cs="仿宋"/>
          <w:sz w:val="32"/>
          <w:szCs w:val="32"/>
        </w:rPr>
        <w:t>128.7</w:t>
      </w:r>
      <w:r>
        <w:rPr>
          <w:rFonts w:hint="eastAsia" w:ascii="仿宋" w:hAnsi="仿宋" w:eastAsia="仿宋" w:cs="仿宋"/>
          <w:sz w:val="32"/>
          <w:szCs w:val="32"/>
        </w:rPr>
        <w:t>万元，占比99.45；其他收入为0.69万元，占比0.53%。本年度总支出为128.7万元。其中：一般公共服务支出为</w:t>
      </w:r>
      <w:r>
        <w:rPr>
          <w:rFonts w:ascii="仿宋" w:hAnsi="仿宋" w:eastAsia="仿宋" w:cs="仿宋"/>
          <w:sz w:val="32"/>
          <w:szCs w:val="32"/>
        </w:rPr>
        <w:t>103.35</w:t>
      </w:r>
      <w:r>
        <w:rPr>
          <w:rFonts w:hint="eastAsia" w:ascii="仿宋" w:hAnsi="仿宋" w:eastAsia="仿宋" w:cs="仿宋"/>
          <w:sz w:val="32"/>
          <w:szCs w:val="32"/>
        </w:rPr>
        <w:t>万元，占80.3%；社会保障和就业支出为12.13万元，占比9.42%；卫生健康支出5.06万元，占比3.9%；住房保障支出为8.15万元，占比6.3%。</w:t>
      </w:r>
    </w:p>
    <w:p w14:paraId="2CA97B78">
      <w:pPr>
        <w:ind w:firstLine="640" w:firstLineChars="200"/>
        <w:rPr>
          <w:rFonts w:hint="eastAsia" w:ascii="仿宋" w:hAnsi="仿宋" w:eastAsia="仿宋" w:cs="仿宋"/>
          <w:sz w:val="32"/>
          <w:szCs w:val="32"/>
        </w:rPr>
      </w:pPr>
      <w:r>
        <w:rPr>
          <w:rFonts w:hint="eastAsia" w:ascii="仿宋" w:hAnsi="仿宋" w:eastAsia="仿宋" w:cs="仿宋"/>
          <w:sz w:val="32"/>
          <w:szCs w:val="32"/>
        </w:rPr>
        <w:t>本年度一般公共预算财政拨款收入相比上年度增加2.73万元，主要原因为老干部活动费收入减少。本年度总支出比2024年增加0.8万元，主要原因是公用经费比2024年有所增加，委托业务费、劳务费有所增加。</w:t>
      </w:r>
    </w:p>
    <w:p w14:paraId="7CF27C30">
      <w:pPr>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b/>
          <w:bCs/>
          <w:sz w:val="32"/>
          <w:szCs w:val="32"/>
        </w:rPr>
        <w:t>二）结余分配和结转结余情况</w:t>
      </w:r>
    </w:p>
    <w:p w14:paraId="7D933638">
      <w:pPr>
        <w:ind w:firstLine="640" w:firstLineChars="200"/>
        <w:rPr>
          <w:rFonts w:hint="eastAsia" w:ascii="仿宋" w:hAnsi="仿宋" w:eastAsia="仿宋" w:cs="仿宋"/>
          <w:sz w:val="32"/>
          <w:szCs w:val="32"/>
        </w:rPr>
      </w:pPr>
      <w:r>
        <w:rPr>
          <w:rFonts w:hint="eastAsia" w:ascii="仿宋" w:hAnsi="仿宋" w:eastAsia="仿宋" w:cs="仿宋"/>
          <w:sz w:val="32"/>
          <w:szCs w:val="32"/>
        </w:rPr>
        <w:t>年未结转结余为5.27万元，其中基本支出结转0万元，基本支出财政拨款结转是0万元，项目支出结转5.27万元，项目支出财政拨款结转是0万元。结转结余主要是收各单位老干部活动费（年底才收回），未能支出结转下年。</w:t>
      </w:r>
    </w:p>
    <w:p w14:paraId="1393FB0E">
      <w:pPr>
        <w:rPr>
          <w:rFonts w:hint="eastAsia" w:ascii="仿宋" w:hAnsi="仿宋" w:eastAsia="仿宋" w:cs="仿宋"/>
          <w:sz w:val="32"/>
          <w:szCs w:val="32"/>
        </w:rPr>
      </w:pPr>
      <w:r>
        <w:rPr>
          <w:rFonts w:hint="eastAsia" w:ascii="仿宋" w:hAnsi="仿宋" w:eastAsia="仿宋" w:cs="仿宋"/>
          <w:sz w:val="32"/>
          <w:szCs w:val="32"/>
        </w:rPr>
        <w:t xml:space="preserve">  本年的项目结转结余属老干部活动费收入，2025年的结转结余全部为项目支出结转结余，已缴财政代管将用于下年老干部活动支出。</w:t>
      </w:r>
    </w:p>
    <w:p w14:paraId="2F13138A">
      <w:pPr>
        <w:widowControl/>
        <w:adjustRightInd w:val="0"/>
        <w:snapToGrid w:val="0"/>
        <w:spacing w:line="580" w:lineRule="exact"/>
        <w:contextualSpacing/>
        <w:jc w:val="left"/>
        <w:rPr>
          <w:rFonts w:hint="eastAsia" w:ascii="仿宋" w:hAnsi="仿宋" w:eastAsia="仿宋" w:cs="仿宋"/>
          <w:b/>
          <w:sz w:val="32"/>
          <w:szCs w:val="32"/>
        </w:rPr>
      </w:pPr>
      <w:r>
        <w:rPr>
          <w:rFonts w:hint="eastAsia" w:ascii="仿宋" w:hAnsi="仿宋" w:eastAsia="仿宋" w:cs="仿宋"/>
          <w:b/>
          <w:sz w:val="32"/>
          <w:szCs w:val="32"/>
        </w:rPr>
        <w:t>三、部门预算绩效分析</w:t>
      </w:r>
    </w:p>
    <w:p w14:paraId="09E16B9B">
      <w:pPr>
        <w:widowControl/>
        <w:adjustRightInd w:val="0"/>
        <w:snapToGrid w:val="0"/>
        <w:spacing w:line="580" w:lineRule="exact"/>
        <w:contextualSpacing/>
        <w:jc w:val="left"/>
        <w:rPr>
          <w:rFonts w:hint="eastAsia" w:ascii="仿宋" w:hAnsi="仿宋" w:eastAsia="仿宋" w:cs="仿宋"/>
          <w:b/>
          <w:sz w:val="32"/>
          <w:szCs w:val="32"/>
          <w:lang w:val="zh-CN"/>
        </w:rPr>
      </w:pPr>
      <w:r>
        <w:rPr>
          <w:rFonts w:hint="eastAsia" w:ascii="仿宋" w:hAnsi="仿宋" w:eastAsia="仿宋" w:cs="仿宋"/>
          <w:b/>
          <w:sz w:val="32"/>
          <w:szCs w:val="32"/>
        </w:rPr>
        <w:t xml:space="preserve">   </w:t>
      </w:r>
      <w:r>
        <w:rPr>
          <w:rFonts w:hint="eastAsia" w:ascii="仿宋" w:hAnsi="仿宋" w:eastAsia="仿宋" w:cs="仿宋"/>
          <w:b/>
          <w:sz w:val="32"/>
          <w:szCs w:val="32"/>
          <w:lang w:val="zh-CN"/>
        </w:rPr>
        <w:t>（一）部门预算管理。</w:t>
      </w:r>
    </w:p>
    <w:p w14:paraId="27E9BDF3">
      <w:pPr>
        <w:pStyle w:val="37"/>
        <w:spacing w:line="576" w:lineRule="exact"/>
        <w:ind w:left="420"/>
        <w:rPr>
          <w:rFonts w:hint="eastAsia" w:ascii="仿宋" w:hAnsi="仿宋" w:eastAsia="仿宋" w:cs="仿宋"/>
          <w:sz w:val="32"/>
          <w:szCs w:val="32"/>
        </w:rPr>
      </w:pPr>
      <w:r>
        <w:rPr>
          <w:rFonts w:hint="eastAsia" w:ascii="仿宋" w:hAnsi="仿宋" w:eastAsia="仿宋" w:cs="仿宋"/>
          <w:sz w:val="32"/>
          <w:szCs w:val="32"/>
        </w:rPr>
        <w:t xml:space="preserve">   严格按照预决算编制工作的相关要求，结合年度工作任务认真编制年度部门预算，按时报送了单位部门预算、决算，并顺利通过了财政局的审核，没有出现反复调整的情况。对绩效目标进行季度梳理和年度分析，及时上报相关报表；对特定项目预算进行细化，分科目上报。</w:t>
      </w:r>
    </w:p>
    <w:p w14:paraId="4D28E64C">
      <w:pPr>
        <w:pStyle w:val="37"/>
        <w:spacing w:line="576" w:lineRule="exact"/>
        <w:ind w:left="420" w:firstLine="640" w:firstLineChars="200"/>
        <w:rPr>
          <w:rFonts w:hint="eastAsia" w:ascii="仿宋" w:hAnsi="仿宋" w:eastAsia="仿宋" w:cs="仿宋"/>
          <w:sz w:val="32"/>
          <w:szCs w:val="32"/>
        </w:rPr>
      </w:pPr>
      <w:r>
        <w:rPr>
          <w:rFonts w:hint="eastAsia" w:ascii="仿宋" w:hAnsi="仿宋" w:eastAsia="仿宋" w:cs="仿宋"/>
          <w:sz w:val="32"/>
          <w:szCs w:val="32"/>
        </w:rPr>
        <w:t>常年项目绩效分析。该类项目总数 5个，涉及预算总金额 25.27 万元，1至12月预算执行总体进度为 97%，其中：预算结余率大于10%的项目共计  0 个。</w:t>
      </w:r>
    </w:p>
    <w:p w14:paraId="3517D557">
      <w:pPr>
        <w:pStyle w:val="37"/>
        <w:spacing w:line="576" w:lineRule="exact"/>
        <w:ind w:left="420" w:firstLine="640" w:firstLineChars="200"/>
        <w:rPr>
          <w:rFonts w:hint="eastAsia" w:ascii="仿宋" w:hAnsi="仿宋" w:eastAsia="仿宋" w:cs="仿宋"/>
          <w:sz w:val="32"/>
          <w:szCs w:val="32"/>
        </w:rPr>
      </w:pPr>
      <w:r>
        <w:rPr>
          <w:rFonts w:hint="eastAsia" w:ascii="仿宋" w:hAnsi="仿宋" w:eastAsia="仿宋" w:cs="仿宋"/>
          <w:sz w:val="32"/>
          <w:szCs w:val="32"/>
        </w:rPr>
        <w:t xml:space="preserve">阶段（含一次性）项目绩效分析。该类项目总数 0  个，涉及预算总金额 0万元。 </w:t>
      </w:r>
    </w:p>
    <w:p w14:paraId="6E603B60">
      <w:pPr>
        <w:snapToGrid w:val="0"/>
        <w:spacing w:line="520" w:lineRule="exact"/>
        <w:ind w:firstLine="640" w:firstLineChars="200"/>
        <w:rPr>
          <w:rFonts w:hint="eastAsia" w:ascii="仿宋" w:hAnsi="仿宋" w:eastAsia="仿宋" w:cs="仿宋"/>
          <w:bCs/>
          <w:sz w:val="32"/>
          <w:szCs w:val="32"/>
        </w:rPr>
      </w:pPr>
      <w:r>
        <w:rPr>
          <w:rFonts w:hint="eastAsia" w:ascii="仿宋" w:hAnsi="仿宋" w:eastAsia="仿宋" w:cs="仿宋"/>
          <w:sz w:val="32"/>
          <w:szCs w:val="32"/>
        </w:rPr>
        <w:t>2025年6月财政支出执行进度为66.47</w:t>
      </w:r>
      <w:r>
        <w:rPr>
          <w:rFonts w:hint="eastAsia" w:ascii="仿宋" w:hAnsi="仿宋" w:eastAsia="仿宋" w:cs="仿宋"/>
          <w:bCs/>
          <w:sz w:val="32"/>
          <w:szCs w:val="32"/>
        </w:rPr>
        <w:t>%</w:t>
      </w:r>
      <w:r>
        <w:rPr>
          <w:rFonts w:hint="eastAsia" w:ascii="仿宋" w:hAnsi="仿宋" w:eastAsia="仿宋" w:cs="仿宋"/>
          <w:sz w:val="32"/>
          <w:szCs w:val="32"/>
        </w:rPr>
        <w:t>，9月财政支出执行进度为93.97%，11月底财政支出执行进度为100%，总体进度良好。对于人员类和运转类项目的执行情况主要是：</w:t>
      </w:r>
      <w:r>
        <w:rPr>
          <w:rFonts w:hint="eastAsia" w:ascii="仿宋" w:hAnsi="仿宋" w:eastAsia="仿宋" w:cs="仿宋"/>
          <w:bCs/>
          <w:sz w:val="32"/>
          <w:szCs w:val="32"/>
        </w:rPr>
        <w:t>追加了地方津贴、基本工资、年终奖金、职业年金和医疗保险等工资性支出。每年预算指标都在按计划执行。一直以来我单位没有因公出国（境）人员，不存在因公出国（境）支出情况；公务用车运行维护费严格按照要求报销（因单位无公车，活动等开支只能租车，在其他交通费里做账），没有任何违规现象。</w:t>
      </w:r>
    </w:p>
    <w:p w14:paraId="7CD2CABB">
      <w:pPr>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加强财务管理方面，我单位逐步完善了财务管理制度、“三重一大”决策制度、财务报账审核制度、以及公用房屋及财产管理规定等。严格遵守《预算法》、《会计法》《政府采购法》等财政法律法规，严格履行报批手续，无计划安排不报账，无领导审批不报账，无经手人签字不报账，不符合财务规定的发票、票据不报账。决算工作没有出现应编未编、错误列编、虚假混编等导致重新调整决算资金的情况，每年按时完成了决算工作。</w:t>
      </w:r>
    </w:p>
    <w:p w14:paraId="3DB867B0">
      <w:pPr>
        <w:pStyle w:val="37"/>
        <w:spacing w:line="576" w:lineRule="exact"/>
        <w:ind w:left="420" w:firstLine="800" w:firstLineChars="250"/>
        <w:rPr>
          <w:rFonts w:hint="eastAsia" w:ascii="仿宋" w:hAnsi="仿宋" w:eastAsia="仿宋" w:cs="仿宋"/>
          <w:sz w:val="32"/>
          <w:szCs w:val="32"/>
        </w:rPr>
      </w:pPr>
      <w:r>
        <w:rPr>
          <w:rFonts w:hint="eastAsia" w:ascii="仿宋" w:hAnsi="仿宋" w:eastAsia="仿宋" w:cs="仿宋"/>
          <w:sz w:val="32"/>
          <w:szCs w:val="32"/>
        </w:rPr>
        <w:t>做好信息公开工作，今年在规定的时限内，对2025年单位预、决算，机关三公经费支出情况在政府网站进行了公示，没有收到任何不良反应。</w:t>
      </w:r>
    </w:p>
    <w:p w14:paraId="666E993C">
      <w:pPr>
        <w:pStyle w:val="37"/>
        <w:spacing w:line="576" w:lineRule="exact"/>
        <w:ind w:left="420" w:firstLine="800" w:firstLineChars="250"/>
        <w:rPr>
          <w:rFonts w:hint="eastAsia" w:ascii="仿宋" w:hAnsi="仿宋" w:eastAsia="仿宋" w:cs="仿宋"/>
          <w:sz w:val="32"/>
          <w:szCs w:val="32"/>
        </w:rPr>
      </w:pPr>
      <w:r>
        <w:rPr>
          <w:rFonts w:hint="eastAsia" w:ascii="仿宋" w:hAnsi="仿宋" w:eastAsia="仿宋" w:cs="仿宋"/>
          <w:sz w:val="32"/>
          <w:szCs w:val="32"/>
        </w:rPr>
        <w:t>制定了资产管理，合同管理，收支业务管理，政府采购业务管理预算业务管理内控制度 。进一步规范和加强国有资产管理</w:t>
      </w:r>
      <w:r>
        <w:rPr>
          <w:rFonts w:hint="eastAsia" w:ascii="仿宋" w:hAnsi="仿宋" w:eastAsia="仿宋" w:cs="仿宋"/>
          <w:sz w:val="32"/>
          <w:szCs w:val="32"/>
          <w:shd w:val="clear" w:color="auto" w:fill="FFFFFF"/>
        </w:rPr>
        <w:t>，维护国有资产的安全完整，合理配置和有效利用国有资产，</w:t>
      </w:r>
      <w:r>
        <w:rPr>
          <w:rFonts w:hint="eastAsia" w:ascii="仿宋" w:hAnsi="仿宋" w:eastAsia="仿宋" w:cs="仿宋"/>
          <w:sz w:val="32"/>
          <w:szCs w:val="32"/>
        </w:rPr>
        <w:t>有效防控资产管理活动风险，提高资产使用效益；规范合同管理，基本建设财务管理和监督，提高投资效益；加强和规范收支管理内部控制，强化廉政风险防控机制建设，提高单位管理水平；规范预算管理，提高资金使用效益； 进一步规范所采购行为，加强采购管理工作，有效防控采购业务活动风险，提高采购业务的规范性、科学性和准确性。</w:t>
      </w:r>
    </w:p>
    <w:p w14:paraId="3BF98BE2">
      <w:pPr>
        <w:pStyle w:val="38"/>
        <w:spacing w:before="93"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项目绩效目标执行进度为98%，总体进度良好。严格按照预决算编制工作的相关要求，结合年度工作任务认真编制年度目标预算，按时报送了项目预算、决算，并顺利通过了财政局的审核，没有出现反复调整的情况。对绩效目标进行季度梳理和年度分析，及时上报相关报表；对专项预算进行细化，分科目上报。</w:t>
      </w:r>
    </w:p>
    <w:p w14:paraId="6F7824F5">
      <w:pPr>
        <w:snapToGrid w:val="0"/>
        <w:spacing w:line="520" w:lineRule="exact"/>
        <w:ind w:firstLine="640" w:firstLineChars="200"/>
        <w:rPr>
          <w:rFonts w:hint="eastAsia" w:ascii="仿宋" w:hAnsi="仿宋" w:eastAsia="仿宋" w:cs="仿宋"/>
          <w:color w:val="000000"/>
          <w:sz w:val="32"/>
          <w:szCs w:val="32"/>
        </w:rPr>
      </w:pPr>
      <w:r>
        <w:rPr>
          <w:rFonts w:hint="eastAsia" w:ascii="仿宋" w:hAnsi="仿宋" w:eastAsia="仿宋" w:cs="仿宋"/>
          <w:sz w:val="32"/>
          <w:szCs w:val="32"/>
        </w:rPr>
        <w:t>本单位整体支出绩效目标实现情况。</w:t>
      </w:r>
      <w:r>
        <w:rPr>
          <w:rFonts w:hint="eastAsia" w:ascii="仿宋" w:hAnsi="仿宋" w:eastAsia="仿宋" w:cs="仿宋"/>
          <w:color w:val="000000"/>
          <w:spacing w:val="5"/>
          <w:sz w:val="32"/>
          <w:szCs w:val="32"/>
        </w:rPr>
        <w:t>坚持以习近平新时代中国特色社会主义思想和党的二十</w:t>
      </w:r>
      <w:r>
        <w:rPr>
          <w:rFonts w:hint="eastAsia" w:ascii="仿宋" w:hAnsi="仿宋" w:eastAsia="仿宋" w:cs="仿宋"/>
          <w:color w:val="000000"/>
          <w:spacing w:val="5"/>
          <w:sz w:val="32"/>
          <w:szCs w:val="32"/>
          <w:lang w:val="en-US" w:eastAsia="zh-CN"/>
        </w:rPr>
        <w:t>届</w:t>
      </w:r>
      <w:bookmarkStart w:id="66" w:name="_GoBack"/>
      <w:bookmarkEnd w:id="66"/>
      <w:r>
        <w:rPr>
          <w:rFonts w:hint="eastAsia" w:ascii="仿宋" w:hAnsi="仿宋" w:eastAsia="仿宋" w:cs="仿宋"/>
          <w:color w:val="000000"/>
          <w:spacing w:val="5"/>
          <w:sz w:val="32"/>
          <w:szCs w:val="32"/>
        </w:rPr>
        <w:t>四中全会精神为指导，全面落实新时代党的建设</w:t>
      </w:r>
      <w:r>
        <w:rPr>
          <w:rFonts w:hint="eastAsia" w:ascii="仿宋" w:hAnsi="仿宋" w:eastAsia="仿宋" w:cs="仿宋"/>
          <w:color w:val="000000"/>
          <w:spacing w:val="-4"/>
          <w:sz w:val="32"/>
          <w:szCs w:val="32"/>
        </w:rPr>
        <w:t>总要求，认真贯彻落实州委、州政府关于老干部工作的方针政策，进一步加强退休干部政治建设、思想建设和党组织建设，加强修养所干部队伍能力素质建设，推进老干部学习活动阵地规范化建设，用心用情做好</w:t>
      </w:r>
      <w:r>
        <w:rPr>
          <w:rFonts w:hint="eastAsia" w:ascii="仿宋" w:hAnsi="仿宋" w:eastAsia="仿宋" w:cs="仿宋"/>
          <w:color w:val="000000"/>
          <w:spacing w:val="8"/>
          <w:sz w:val="32"/>
          <w:szCs w:val="32"/>
        </w:rPr>
        <w:t>老干部服务工作，引导老干部为党和人民事业增添正能</w:t>
      </w:r>
      <w:r>
        <w:rPr>
          <w:rFonts w:hint="eastAsia" w:ascii="仿宋" w:hAnsi="仿宋" w:eastAsia="仿宋" w:cs="仿宋"/>
          <w:color w:val="000000"/>
          <w:sz w:val="32"/>
          <w:szCs w:val="32"/>
        </w:rPr>
        <w:t>量，努力推动我所老干部工作取得新成绩。</w:t>
      </w:r>
    </w:p>
    <w:p w14:paraId="6F2EAC42">
      <w:pPr>
        <w:snapToGrid w:val="0"/>
        <w:spacing w:line="520" w:lineRule="exact"/>
        <w:rPr>
          <w:rFonts w:hint="eastAsia" w:ascii="仿宋" w:hAnsi="仿宋" w:eastAsia="仿宋" w:cs="仿宋"/>
          <w:b/>
          <w:sz w:val="32"/>
          <w:szCs w:val="32"/>
          <w:lang w:val="zh-CN"/>
        </w:rPr>
      </w:pPr>
      <w:r>
        <w:rPr>
          <w:rFonts w:hint="eastAsia" w:ascii="仿宋" w:hAnsi="仿宋" w:eastAsia="仿宋" w:cs="仿宋"/>
          <w:b/>
          <w:sz w:val="32"/>
          <w:szCs w:val="32"/>
          <w:lang w:val="zh-CN"/>
        </w:rPr>
        <w:t>（二）结果应用情况。</w:t>
      </w:r>
    </w:p>
    <w:p w14:paraId="6C93577C">
      <w:pPr>
        <w:pStyle w:val="15"/>
        <w:shd w:val="clear" w:color="auto" w:fill="FFFFFF"/>
        <w:spacing w:line="576" w:lineRule="exact"/>
        <w:ind w:firstLine="720"/>
        <w:rPr>
          <w:rFonts w:hint="eastAsia" w:ascii="仿宋" w:hAnsi="仿宋" w:eastAsia="仿宋" w:cs="仿宋"/>
          <w:color w:val="000000"/>
          <w:sz w:val="32"/>
          <w:szCs w:val="32"/>
          <w:u w:color="000000"/>
        </w:rPr>
      </w:pPr>
      <w:r>
        <w:rPr>
          <w:rFonts w:hint="eastAsia" w:ascii="仿宋" w:hAnsi="仿宋" w:eastAsia="仿宋" w:cs="仿宋"/>
          <w:color w:val="000000"/>
          <w:sz w:val="32"/>
          <w:szCs w:val="32"/>
          <w:shd w:val="clear" w:color="auto" w:fill="FFFFFF"/>
        </w:rPr>
        <w:t>按要求将部门整体绩效自评情况和自行组织的评价向社会公开；针对绩效管理过程中（包括绩效目标核查、绩效监控核查和重点绩效评价）提出的问题进行整改，将绩效管理结果应用于完善政策、改进管理、预算挂钩等；经集体研究决策后在“预算一体化系统”绩效模块中完成上报，并同步报送财政局归口联系部门科室和财政监督与绩效管理科。</w:t>
      </w:r>
      <w:r>
        <w:rPr>
          <w:rFonts w:hint="eastAsia" w:ascii="仿宋" w:hAnsi="仿宋" w:eastAsia="仿宋" w:cs="仿宋"/>
          <w:color w:val="000000"/>
          <w:sz w:val="32"/>
          <w:szCs w:val="32"/>
          <w:u w:color="000000"/>
        </w:rPr>
        <w:t>绩效管理严格按照上级部门要求，开展自评工作，对评价结果及时总结上报，用于指导下一步工作的开展。</w:t>
      </w:r>
    </w:p>
    <w:p w14:paraId="6B902575">
      <w:pPr>
        <w:numPr>
          <w:ilvl w:val="0"/>
          <w:numId w:val="3"/>
        </w:numPr>
        <w:snapToGrid w:val="0"/>
        <w:spacing w:after="0" w:line="520" w:lineRule="exact"/>
        <w:rPr>
          <w:rFonts w:hint="eastAsia" w:ascii="仿宋" w:hAnsi="仿宋" w:eastAsia="仿宋" w:cs="仿宋"/>
          <w:b/>
          <w:sz w:val="32"/>
          <w:szCs w:val="32"/>
          <w:lang w:val="zh-CN"/>
        </w:rPr>
      </w:pPr>
      <w:r>
        <w:rPr>
          <w:rFonts w:hint="eastAsia" w:ascii="仿宋" w:hAnsi="仿宋" w:eastAsia="仿宋" w:cs="仿宋"/>
          <w:b/>
          <w:sz w:val="32"/>
          <w:szCs w:val="32"/>
          <w:lang w:val="zh-CN"/>
        </w:rPr>
        <w:t>评价结论及建议</w:t>
      </w:r>
    </w:p>
    <w:p w14:paraId="13F9EB9F">
      <w:pPr>
        <w:numPr>
          <w:ilvl w:val="0"/>
          <w:numId w:val="4"/>
        </w:numPr>
        <w:snapToGrid w:val="0"/>
        <w:spacing w:after="0" w:line="520" w:lineRule="exact"/>
        <w:rPr>
          <w:rFonts w:hint="eastAsia" w:ascii="仿宋" w:hAnsi="仿宋" w:eastAsia="仿宋" w:cs="仿宋"/>
          <w:b/>
          <w:sz w:val="32"/>
          <w:szCs w:val="32"/>
          <w:lang w:val="zh-CN"/>
        </w:rPr>
      </w:pPr>
      <w:r>
        <w:rPr>
          <w:rFonts w:hint="eastAsia" w:ascii="仿宋" w:hAnsi="仿宋" w:eastAsia="仿宋" w:cs="仿宋"/>
          <w:b/>
          <w:sz w:val="32"/>
          <w:szCs w:val="32"/>
          <w:lang w:val="zh-CN"/>
        </w:rPr>
        <w:t>评价结论。</w:t>
      </w:r>
    </w:p>
    <w:p w14:paraId="75D0FED0">
      <w:pPr>
        <w:snapToGrid w:val="0"/>
        <w:spacing w:line="520" w:lineRule="exact"/>
        <w:rPr>
          <w:rFonts w:hint="eastAsia" w:ascii="仿宋" w:hAnsi="仿宋" w:eastAsia="仿宋" w:cs="仿宋"/>
          <w:color w:val="000000"/>
          <w:sz w:val="32"/>
          <w:szCs w:val="32"/>
          <w:u w:color="000000"/>
        </w:rPr>
      </w:pPr>
      <w:r>
        <w:rPr>
          <w:rFonts w:hint="eastAsia" w:ascii="仿宋" w:hAnsi="仿宋" w:eastAsia="仿宋" w:cs="仿宋"/>
          <w:color w:val="000000"/>
          <w:sz w:val="32"/>
          <w:szCs w:val="32"/>
          <w:u w:color="000000"/>
        </w:rPr>
        <w:t xml:space="preserve"> 郫退所部门预算执行情况良好，无不良记录及违规违纪行为，预算支出和决算支出情况相符，对每个特定项目单独进行了自评打分，总体情况都比较好，执行率都达到了90%以上，基本都完成了预算年度目标。2025年接受了州财政局对我单位绩效评价工作的抽查，工作被评为优秀。</w:t>
      </w:r>
    </w:p>
    <w:p w14:paraId="6DCC5969">
      <w:pPr>
        <w:widowControl/>
        <w:adjustRightInd w:val="0"/>
        <w:snapToGrid w:val="0"/>
        <w:spacing w:line="580" w:lineRule="exact"/>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rPr>
        <w:t xml:space="preserve"> </w:t>
      </w:r>
      <w:r>
        <w:rPr>
          <w:rFonts w:hint="eastAsia" w:ascii="仿宋" w:hAnsi="仿宋" w:eastAsia="仿宋" w:cs="仿宋"/>
          <w:b/>
          <w:sz w:val="32"/>
          <w:szCs w:val="32"/>
          <w:lang w:val="zh-CN"/>
        </w:rPr>
        <w:t>（二）存在问题</w:t>
      </w:r>
    </w:p>
    <w:p w14:paraId="538F080E">
      <w:pPr>
        <w:pStyle w:val="15"/>
        <w:shd w:val="clear" w:color="auto" w:fill="FFFFFF"/>
        <w:spacing w:line="540" w:lineRule="exact"/>
        <w:ind w:firstLine="640" w:firstLineChars="200"/>
        <w:rPr>
          <w:rFonts w:hint="eastAsia" w:ascii="仿宋" w:hAnsi="仿宋" w:eastAsia="仿宋" w:cs="仿宋"/>
          <w:color w:val="000000"/>
          <w:sz w:val="32"/>
          <w:szCs w:val="32"/>
          <w:u w:color="000000"/>
        </w:rPr>
      </w:pPr>
      <w:r>
        <w:rPr>
          <w:rFonts w:hint="eastAsia" w:ascii="仿宋" w:hAnsi="仿宋" w:eastAsia="仿宋" w:cs="仿宋"/>
          <w:color w:val="000000"/>
          <w:sz w:val="32"/>
          <w:szCs w:val="32"/>
          <w:u w:color="000000"/>
        </w:rPr>
        <w:t>存在问题。一是预算经费支出功能科目与支出功能科目存在差异，存在支付更正现象；二是部分资金未严格按项目资金用途使用资金，存在科目调剂，主要是因为我单位无公务用车，但看望生病住院老同志，开展活动等需要租车，必须将公务用车经费调整使用；三是部分资金使用执行率虽然达到了90%以上，但部分项目资金略有结余。</w:t>
      </w:r>
    </w:p>
    <w:p w14:paraId="3134E51E">
      <w:pPr>
        <w:widowControl/>
        <w:adjustRightInd w:val="0"/>
        <w:snapToGrid w:val="0"/>
        <w:spacing w:line="580" w:lineRule="exact"/>
        <w:contextualSpacing/>
        <w:jc w:val="left"/>
        <w:rPr>
          <w:rFonts w:hint="eastAsia" w:ascii="仿宋" w:hAnsi="仿宋" w:eastAsia="仿宋" w:cs="仿宋"/>
          <w:b/>
          <w:sz w:val="32"/>
          <w:szCs w:val="32"/>
          <w:lang w:val="zh-CN"/>
        </w:rPr>
      </w:pPr>
      <w:r>
        <w:rPr>
          <w:rFonts w:hint="eastAsia" w:ascii="仿宋" w:hAnsi="仿宋" w:eastAsia="仿宋" w:cs="仿宋"/>
          <w:b/>
          <w:sz w:val="32"/>
          <w:szCs w:val="32"/>
          <w:lang w:val="zh-CN"/>
        </w:rPr>
        <w:t>（三）改进建议。</w:t>
      </w:r>
    </w:p>
    <w:p w14:paraId="5546762E">
      <w:pPr>
        <w:pStyle w:val="37"/>
        <w:spacing w:line="576" w:lineRule="exact"/>
        <w:ind w:left="420"/>
        <w:rPr>
          <w:rFonts w:hint="eastAsia" w:ascii="仿宋" w:hAnsi="仿宋" w:eastAsia="仿宋" w:cs="仿宋"/>
          <w:sz w:val="32"/>
          <w:szCs w:val="32"/>
        </w:rPr>
      </w:pPr>
      <w:r>
        <w:rPr>
          <w:rFonts w:hint="eastAsia" w:ascii="仿宋" w:hAnsi="仿宋" w:eastAsia="仿宋" w:cs="仿宋"/>
          <w:sz w:val="32"/>
          <w:szCs w:val="32"/>
        </w:rPr>
        <w:t xml:space="preserve">   严格遵守《预算法》、《会计法》《政府采购法》等财政法律法规，严格履行报批手续，无计划安排不报账，无领导审批不报账，无经手人签字不报账，不符合财务规定的发票、票据不报账，避免经费打捆使用，加强预算管理，减少科目调整调剂，提高资金的使用执行率。</w:t>
      </w:r>
    </w:p>
    <w:p w14:paraId="0B30AB17">
      <w:pPr>
        <w:pStyle w:val="15"/>
        <w:shd w:val="clear" w:color="auto" w:fill="FFFFFF"/>
        <w:spacing w:line="540" w:lineRule="exact"/>
        <w:ind w:firstLine="640" w:firstLineChars="200"/>
        <w:rPr>
          <w:rFonts w:hint="eastAsia" w:ascii="仿宋" w:hAnsi="仿宋" w:eastAsia="仿宋" w:cs="仿宋"/>
          <w:sz w:val="32"/>
          <w:szCs w:val="32"/>
        </w:rPr>
      </w:pPr>
      <w:r>
        <w:rPr>
          <w:rFonts w:hint="eastAsia" w:ascii="仿宋" w:hAnsi="仿宋" w:eastAsia="仿宋" w:cs="仿宋"/>
          <w:color w:val="000000"/>
          <w:sz w:val="32"/>
          <w:szCs w:val="32"/>
          <w:u w:color="000000"/>
        </w:rPr>
        <w:t>单位</w:t>
      </w:r>
      <w:r>
        <w:rPr>
          <w:rFonts w:hint="eastAsia" w:ascii="仿宋" w:hAnsi="仿宋" w:eastAsia="仿宋" w:cs="仿宋"/>
          <w:sz w:val="32"/>
          <w:szCs w:val="32"/>
        </w:rPr>
        <w:t>财政资金切实保障了老干部工作的顺利开展、高效运行，发挥了突出作用。我们将不断探索创新科学有效的管理办法，在离退休干部服务管理、阵地建设、活动开展等方面加大经费保障，同时要坚持历行节约的原则，不浪费一分钱，</w:t>
      </w:r>
      <w:r>
        <w:rPr>
          <w:rFonts w:hint="eastAsia" w:ascii="仿宋" w:hAnsi="仿宋" w:eastAsia="仿宋" w:cs="仿宋"/>
          <w:color w:val="000000"/>
          <w:sz w:val="32"/>
          <w:szCs w:val="32"/>
          <w:u w:color="000000"/>
        </w:rPr>
        <w:t>进一步完善相应制度建设和规范账务管理，</w:t>
      </w:r>
      <w:r>
        <w:rPr>
          <w:rFonts w:hint="eastAsia" w:ascii="仿宋" w:hAnsi="仿宋" w:eastAsia="仿宋" w:cs="仿宋"/>
          <w:sz w:val="32"/>
          <w:szCs w:val="32"/>
        </w:rPr>
        <w:t>确保老干部工作更好地为党和人民事业增添正能量，为党委政府分忧。</w:t>
      </w:r>
    </w:p>
    <w:p w14:paraId="652045CE">
      <w:pPr>
        <w:pStyle w:val="15"/>
        <w:shd w:val="clear" w:color="auto" w:fill="FFFFFF"/>
        <w:spacing w:line="576" w:lineRule="exact"/>
        <w:ind w:firstLine="720"/>
        <w:rPr>
          <w:rFonts w:hint="eastAsia" w:ascii="仿宋" w:hAnsi="仿宋" w:eastAsia="仿宋" w:cs="仿宋"/>
          <w:sz w:val="32"/>
          <w:szCs w:val="32"/>
        </w:rPr>
      </w:pPr>
      <w:r>
        <w:rPr>
          <w:rFonts w:hint="eastAsia" w:ascii="仿宋" w:hAnsi="仿宋" w:eastAsia="仿宋" w:cs="仿宋"/>
          <w:sz w:val="32"/>
          <w:szCs w:val="32"/>
        </w:rPr>
        <w:t xml:space="preserve"> </w:t>
      </w:r>
    </w:p>
    <w:p w14:paraId="2222CF5F">
      <w:pPr>
        <w:pStyle w:val="15"/>
        <w:shd w:val="clear" w:color="auto" w:fill="FFFFFF"/>
        <w:spacing w:line="576" w:lineRule="exact"/>
        <w:ind w:firstLine="720"/>
        <w:rPr>
          <w:rFonts w:hint="eastAsia" w:ascii="仿宋" w:hAnsi="仿宋" w:eastAsia="仿宋" w:cs="仿宋"/>
          <w:sz w:val="32"/>
          <w:szCs w:val="32"/>
        </w:rPr>
      </w:pPr>
    </w:p>
    <w:p w14:paraId="2C7A39B1">
      <w:pPr>
        <w:pStyle w:val="15"/>
        <w:shd w:val="clear" w:color="auto" w:fill="FFFFFF"/>
        <w:spacing w:line="576" w:lineRule="exact"/>
        <w:ind w:firstLine="720"/>
        <w:rPr>
          <w:rFonts w:hint="eastAsia" w:ascii="仿宋" w:hAnsi="仿宋" w:eastAsia="仿宋" w:cs="仿宋"/>
          <w:sz w:val="32"/>
          <w:szCs w:val="32"/>
        </w:rPr>
      </w:pPr>
      <w:r>
        <w:rPr>
          <w:rFonts w:hint="eastAsia" w:ascii="仿宋" w:hAnsi="仿宋" w:eastAsia="仿宋" w:cs="仿宋"/>
          <w:sz w:val="32"/>
          <w:szCs w:val="32"/>
        </w:rPr>
        <w:t xml:space="preserve">         </w:t>
      </w:r>
    </w:p>
    <w:p w14:paraId="68040E65">
      <w:pPr>
        <w:pStyle w:val="15"/>
        <w:shd w:val="clear" w:color="auto" w:fill="FFFFFF"/>
        <w:spacing w:line="576" w:lineRule="exact"/>
        <w:ind w:firstLine="720"/>
        <w:jc w:val="right"/>
        <w:rPr>
          <w:rFonts w:hint="eastAsia" w:ascii="仿宋" w:hAnsi="仿宋" w:eastAsia="仿宋" w:cs="仿宋"/>
          <w:sz w:val="32"/>
          <w:szCs w:val="32"/>
        </w:rPr>
      </w:pPr>
    </w:p>
    <w:p w14:paraId="4761F1FE">
      <w:pPr>
        <w:pStyle w:val="15"/>
        <w:shd w:val="clear" w:color="auto" w:fill="FFFFFF"/>
        <w:spacing w:line="576" w:lineRule="exact"/>
        <w:jc w:val="right"/>
        <w:rPr>
          <w:rFonts w:hint="eastAsia" w:ascii="仿宋" w:hAnsi="仿宋" w:eastAsia="仿宋" w:cs="仿宋"/>
          <w:sz w:val="32"/>
          <w:szCs w:val="32"/>
        </w:rPr>
      </w:pPr>
      <w:r>
        <w:rPr>
          <w:rFonts w:hint="eastAsia" w:ascii="仿宋" w:hAnsi="仿宋" w:eastAsia="仿宋" w:cs="仿宋"/>
          <w:sz w:val="32"/>
          <w:szCs w:val="32"/>
        </w:rPr>
        <w:t xml:space="preserve">阿坝州州级机关退休干部驻郫都区休养所  </w:t>
      </w:r>
    </w:p>
    <w:p w14:paraId="046B7F1D">
      <w:pPr>
        <w:spacing w:before="93" w:beforeLines="30"/>
        <w:jc w:val="right"/>
        <w:rPr>
          <w:rFonts w:hint="eastAsia" w:ascii="仿宋" w:hAnsi="仿宋" w:eastAsia="仿宋" w:cs="仿宋"/>
          <w:kern w:val="0"/>
          <w:sz w:val="32"/>
          <w:szCs w:val="32"/>
        </w:rPr>
      </w:pPr>
      <w:r>
        <w:rPr>
          <w:rFonts w:ascii="仿宋" w:hAnsi="仿宋" w:eastAsia="仿宋"/>
          <w:sz w:val="32"/>
          <w:szCs w:val="32"/>
        </w:rPr>
        <w:t>2025年9月9日</w:t>
      </w:r>
    </w:p>
    <w:p w14:paraId="2AF83F59">
      <w:pPr>
        <w:pStyle w:val="8"/>
        <w:spacing w:before="93"/>
        <w:rPr>
          <w:rFonts w:ascii="Times New Roman" w:cs="宋体"/>
          <w:color w:val="FF0000"/>
          <w:sz w:val="32"/>
          <w:szCs w:val="32"/>
          <w:highlight w:val="yellow"/>
          <w:shd w:val="clear" w:color="auto" w:fill="FFFFFF"/>
          <w:lang w:val="zh-CN"/>
        </w:rPr>
      </w:pPr>
    </w:p>
    <w:p w14:paraId="4435CADD">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330C46E7">
      <w:pPr>
        <w:widowControl/>
        <w:jc w:val="center"/>
        <w:rPr>
          <w:rFonts w:eastAsia="仿宋"/>
        </w:rPr>
      </w:pPr>
      <w:bookmarkStart w:id="52" w:name="_Toc15396618"/>
      <w:r>
        <w:rPr>
          <w:rStyle w:val="29"/>
          <w:rFonts w:hint="eastAsia" w:eastAsia="黑体"/>
          <w:b w:val="0"/>
        </w:rPr>
        <w:t>分 附表</w:t>
      </w:r>
      <w:bookmarkEnd w:id="50"/>
      <w:bookmarkEnd w:id="52"/>
      <w:bookmarkStart w:id="53" w:name="_Toc15396619"/>
    </w:p>
    <w:p w14:paraId="7908E920">
      <w:pPr>
        <w:pStyle w:val="14"/>
        <w:adjustRightInd w:val="0"/>
        <w:snapToGrid w:val="0"/>
        <w:spacing w:line="560" w:lineRule="exact"/>
        <w:jc w:val="left"/>
        <w:rPr>
          <w:rFonts w:eastAsia="仿宋_GB2312" w:cs="仿宋_GB2312"/>
          <w:sz w:val="32"/>
          <w:szCs w:val="32"/>
        </w:rPr>
      </w:pPr>
    </w:p>
    <w:p w14:paraId="65E46F54">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3"/>
    </w:p>
    <w:p w14:paraId="078FC95A">
      <w:pPr>
        <w:pStyle w:val="14"/>
        <w:adjustRightInd w:val="0"/>
        <w:snapToGrid w:val="0"/>
        <w:spacing w:line="560" w:lineRule="exact"/>
        <w:jc w:val="left"/>
        <w:rPr>
          <w:rFonts w:eastAsia="仿宋_GB2312" w:cs="仿宋_GB2312"/>
          <w:sz w:val="32"/>
          <w:szCs w:val="32"/>
        </w:rPr>
      </w:pPr>
      <w:bookmarkStart w:id="54" w:name="_Toc15396620"/>
      <w:r>
        <w:rPr>
          <w:rFonts w:hint="eastAsia" w:eastAsia="仿宋_GB2312" w:cs="仿宋_GB2312"/>
          <w:sz w:val="32"/>
          <w:szCs w:val="32"/>
        </w:rPr>
        <w:t>二、收入决算表</w:t>
      </w:r>
      <w:bookmarkEnd w:id="54"/>
    </w:p>
    <w:p w14:paraId="322C4163">
      <w:pPr>
        <w:pStyle w:val="14"/>
        <w:adjustRightInd w:val="0"/>
        <w:snapToGrid w:val="0"/>
        <w:spacing w:line="560" w:lineRule="exact"/>
        <w:jc w:val="left"/>
        <w:rPr>
          <w:rFonts w:eastAsia="仿宋_GB2312" w:cs="仿宋_GB2312"/>
          <w:sz w:val="32"/>
          <w:szCs w:val="32"/>
        </w:rPr>
      </w:pPr>
      <w:bookmarkStart w:id="55" w:name="_Toc15396621"/>
      <w:r>
        <w:rPr>
          <w:rFonts w:hint="eastAsia" w:eastAsia="仿宋_GB2312" w:cs="仿宋_GB2312"/>
          <w:sz w:val="32"/>
          <w:szCs w:val="32"/>
        </w:rPr>
        <w:t>三、支出决算表</w:t>
      </w:r>
      <w:bookmarkEnd w:id="55"/>
    </w:p>
    <w:p w14:paraId="66D53593">
      <w:pPr>
        <w:pStyle w:val="14"/>
        <w:adjustRightInd w:val="0"/>
        <w:snapToGrid w:val="0"/>
        <w:spacing w:line="560" w:lineRule="exact"/>
        <w:jc w:val="left"/>
        <w:rPr>
          <w:rFonts w:eastAsia="仿宋_GB2312" w:cs="仿宋_GB2312"/>
          <w:sz w:val="32"/>
          <w:szCs w:val="32"/>
        </w:rPr>
      </w:pPr>
      <w:bookmarkStart w:id="56" w:name="_Toc15396622"/>
      <w:r>
        <w:rPr>
          <w:rFonts w:hint="eastAsia" w:eastAsia="仿宋_GB2312" w:cs="仿宋_GB2312"/>
          <w:sz w:val="32"/>
          <w:szCs w:val="32"/>
        </w:rPr>
        <w:t>四、财政拨款收入支出决算总表</w:t>
      </w:r>
      <w:bookmarkEnd w:id="56"/>
    </w:p>
    <w:p w14:paraId="1C75349A">
      <w:pPr>
        <w:pStyle w:val="14"/>
        <w:adjustRightInd w:val="0"/>
        <w:snapToGrid w:val="0"/>
        <w:spacing w:line="560" w:lineRule="exact"/>
        <w:jc w:val="left"/>
        <w:rPr>
          <w:rFonts w:eastAsia="仿宋_GB2312" w:cs="仿宋_GB2312"/>
          <w:sz w:val="32"/>
          <w:szCs w:val="32"/>
        </w:rPr>
      </w:pPr>
      <w:bookmarkStart w:id="57" w:name="_Toc15396623"/>
      <w:r>
        <w:rPr>
          <w:rFonts w:hint="eastAsia" w:eastAsia="仿宋_GB2312" w:cs="仿宋_GB2312"/>
          <w:sz w:val="32"/>
          <w:szCs w:val="32"/>
        </w:rPr>
        <w:t>五、财政拨款支出决算明细表</w:t>
      </w:r>
      <w:bookmarkEnd w:id="57"/>
      <w:bookmarkStart w:id="58" w:name="_Toc15396624"/>
    </w:p>
    <w:p w14:paraId="576FB682">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8"/>
    </w:p>
    <w:p w14:paraId="73B98CC3">
      <w:pPr>
        <w:pStyle w:val="14"/>
        <w:adjustRightInd w:val="0"/>
        <w:snapToGrid w:val="0"/>
        <w:spacing w:line="560" w:lineRule="exact"/>
        <w:jc w:val="left"/>
        <w:rPr>
          <w:rFonts w:eastAsia="仿宋_GB2312" w:cs="仿宋_GB2312"/>
          <w:sz w:val="32"/>
          <w:szCs w:val="32"/>
        </w:rPr>
      </w:pPr>
      <w:bookmarkStart w:id="59" w:name="_Toc15396625"/>
      <w:r>
        <w:rPr>
          <w:rFonts w:hint="eastAsia" w:eastAsia="仿宋_GB2312" w:cs="仿宋_GB2312"/>
          <w:sz w:val="32"/>
          <w:szCs w:val="32"/>
        </w:rPr>
        <w:t>七、一般公共预算财政拨款支出决算明细表</w:t>
      </w:r>
      <w:bookmarkEnd w:id="59"/>
    </w:p>
    <w:p w14:paraId="305A187D">
      <w:pPr>
        <w:pStyle w:val="14"/>
        <w:adjustRightInd w:val="0"/>
        <w:snapToGrid w:val="0"/>
        <w:spacing w:line="560" w:lineRule="exact"/>
        <w:jc w:val="left"/>
        <w:rPr>
          <w:rFonts w:eastAsia="仿宋_GB2312" w:cs="仿宋_GB2312"/>
          <w:sz w:val="32"/>
          <w:szCs w:val="32"/>
        </w:rPr>
      </w:pPr>
      <w:bookmarkStart w:id="60" w:name="_Toc15396626"/>
      <w:r>
        <w:rPr>
          <w:rFonts w:hint="eastAsia" w:eastAsia="仿宋_GB2312" w:cs="仿宋_GB2312"/>
          <w:sz w:val="32"/>
          <w:szCs w:val="32"/>
        </w:rPr>
        <w:t>八、一般公共预算财政拨款基本支出决算表</w:t>
      </w:r>
      <w:bookmarkEnd w:id="60"/>
    </w:p>
    <w:p w14:paraId="0B6A52CC">
      <w:pPr>
        <w:pStyle w:val="14"/>
        <w:adjustRightInd w:val="0"/>
        <w:snapToGrid w:val="0"/>
        <w:spacing w:line="560" w:lineRule="exact"/>
        <w:jc w:val="left"/>
        <w:rPr>
          <w:rFonts w:eastAsia="仿宋_GB2312" w:cs="仿宋_GB2312"/>
          <w:sz w:val="32"/>
          <w:szCs w:val="32"/>
        </w:rPr>
      </w:pPr>
      <w:bookmarkStart w:id="61" w:name="_Toc15396627"/>
      <w:r>
        <w:rPr>
          <w:rFonts w:hint="eastAsia" w:eastAsia="仿宋_GB2312" w:cs="仿宋_GB2312"/>
          <w:sz w:val="32"/>
          <w:szCs w:val="32"/>
        </w:rPr>
        <w:t>九、一般公共预算财政拨款项目支出决算表</w:t>
      </w:r>
      <w:bookmarkEnd w:id="61"/>
    </w:p>
    <w:p w14:paraId="08F7185B">
      <w:pPr>
        <w:pStyle w:val="14"/>
        <w:adjustRightInd w:val="0"/>
        <w:snapToGrid w:val="0"/>
        <w:spacing w:line="560" w:lineRule="exact"/>
        <w:jc w:val="left"/>
        <w:rPr>
          <w:rFonts w:eastAsia="仿宋_GB2312" w:cs="仿宋_GB2312"/>
          <w:sz w:val="32"/>
          <w:szCs w:val="32"/>
        </w:rPr>
      </w:pPr>
      <w:bookmarkStart w:id="62" w:name="_Toc15396628"/>
      <w:r>
        <w:rPr>
          <w:rFonts w:hint="eastAsia" w:eastAsia="仿宋_GB2312" w:cs="仿宋_GB2312"/>
          <w:sz w:val="32"/>
          <w:szCs w:val="32"/>
        </w:rPr>
        <w:t>十、</w:t>
      </w:r>
      <w:bookmarkEnd w:id="62"/>
      <w:r>
        <w:rPr>
          <w:rFonts w:hint="eastAsia" w:eastAsia="仿宋_GB2312" w:cs="仿宋_GB2312"/>
          <w:sz w:val="32"/>
          <w:szCs w:val="32"/>
        </w:rPr>
        <w:t>政府性基金预算财政拨款收入支出决算表</w:t>
      </w:r>
    </w:p>
    <w:p w14:paraId="0A6E1009">
      <w:pPr>
        <w:pStyle w:val="14"/>
        <w:adjustRightInd w:val="0"/>
        <w:snapToGrid w:val="0"/>
        <w:spacing w:line="560" w:lineRule="exact"/>
        <w:jc w:val="left"/>
        <w:rPr>
          <w:rFonts w:eastAsia="仿宋_GB2312" w:cs="仿宋_GB2312"/>
          <w:sz w:val="32"/>
          <w:szCs w:val="32"/>
        </w:rPr>
      </w:pPr>
      <w:bookmarkStart w:id="63" w:name="_Toc15396629"/>
      <w:r>
        <w:rPr>
          <w:rFonts w:hint="eastAsia" w:eastAsia="仿宋_GB2312" w:cs="仿宋_GB2312"/>
          <w:sz w:val="32"/>
          <w:szCs w:val="32"/>
        </w:rPr>
        <w:t>十一、</w:t>
      </w:r>
      <w:bookmarkEnd w:id="63"/>
      <w:r>
        <w:rPr>
          <w:rFonts w:hint="eastAsia" w:eastAsia="仿宋_GB2312" w:cs="仿宋_GB2312"/>
          <w:sz w:val="32"/>
          <w:szCs w:val="32"/>
        </w:rPr>
        <w:t>国有资本经营预算财政拨款收入支出决算表</w:t>
      </w:r>
    </w:p>
    <w:p w14:paraId="3B69ECDB">
      <w:pPr>
        <w:pStyle w:val="14"/>
        <w:adjustRightInd w:val="0"/>
        <w:snapToGrid w:val="0"/>
        <w:spacing w:line="560" w:lineRule="exact"/>
        <w:jc w:val="left"/>
        <w:rPr>
          <w:rFonts w:eastAsia="仿宋_GB2312" w:cs="仿宋_GB2312"/>
          <w:sz w:val="32"/>
          <w:szCs w:val="32"/>
        </w:rPr>
      </w:pPr>
      <w:bookmarkStart w:id="64" w:name="_Toc15396630"/>
      <w:r>
        <w:rPr>
          <w:rFonts w:hint="eastAsia" w:eastAsia="仿宋_GB2312" w:cs="仿宋_GB2312"/>
          <w:sz w:val="32"/>
          <w:szCs w:val="32"/>
        </w:rPr>
        <w:t>十二、</w:t>
      </w:r>
      <w:bookmarkEnd w:id="64"/>
      <w:r>
        <w:rPr>
          <w:rFonts w:hint="eastAsia" w:eastAsia="仿宋_GB2312" w:cs="仿宋_GB2312"/>
          <w:sz w:val="32"/>
          <w:szCs w:val="32"/>
        </w:rPr>
        <w:t>国有资本经营预算财政拨款支出决算表</w:t>
      </w:r>
    </w:p>
    <w:p w14:paraId="69B06140">
      <w:pPr>
        <w:pStyle w:val="14"/>
        <w:adjustRightInd w:val="0"/>
        <w:snapToGrid w:val="0"/>
        <w:spacing w:line="560" w:lineRule="exact"/>
        <w:jc w:val="left"/>
        <w:rPr>
          <w:rFonts w:eastAsia="仿宋_GB2312" w:cs="仿宋_GB2312"/>
          <w:sz w:val="32"/>
          <w:szCs w:val="32"/>
        </w:rPr>
      </w:pPr>
      <w:bookmarkStart w:id="65" w:name="_Toc15396631"/>
      <w:r>
        <w:rPr>
          <w:rFonts w:hint="eastAsia" w:eastAsia="仿宋_GB2312" w:cs="仿宋_GB2312"/>
          <w:sz w:val="32"/>
          <w:szCs w:val="32"/>
        </w:rPr>
        <w:t>十三、</w:t>
      </w:r>
      <w:bookmarkEnd w:id="65"/>
      <w:r>
        <w:rPr>
          <w:rFonts w:hint="eastAsia" w:eastAsia="仿宋_GB2312" w:cs="仿宋_GB2312"/>
          <w:sz w:val="32"/>
          <w:szCs w:val="32"/>
        </w:rPr>
        <w:t>财政拨款“三公”经费支出决算表</w:t>
      </w:r>
    </w:p>
    <w:p w14:paraId="2E8FD055"/>
    <w:sectPr>
      <w:footerReference r:id="rId12" w:type="first"/>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1D446">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ECE0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36ECE0D">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169516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67DAA">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B8D7C">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28E4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7828E4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7202405"/>
      <w:docPartObj>
        <w:docPartGallery w:val="AutoText"/>
      </w:docPartObj>
    </w:sdtPr>
    <w:sdtContent>
      <w:p w14:paraId="0EA6EB45">
        <w:pPr>
          <w:pStyle w:val="11"/>
          <w:jc w:val="center"/>
        </w:pPr>
        <w:r>
          <w:fldChar w:fldCharType="begin"/>
        </w:r>
        <w:r>
          <w:instrText xml:space="preserve">PAGE   \* MERGEFORMAT</w:instrText>
        </w:r>
        <w:r>
          <w:fldChar w:fldCharType="separate"/>
        </w:r>
        <w:r>
          <w:rPr>
            <w:lang w:val="zh-CN"/>
          </w:rPr>
          <w:t>2</w:t>
        </w:r>
        <w:r>
          <w:fldChar w:fldCharType="end"/>
        </w:r>
      </w:p>
    </w:sdtContent>
  </w:sdt>
  <w:p w14:paraId="2417A03C">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9CB37">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8A9AE">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308A9AE">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67CD5">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48A80">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C16D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5427D6"/>
    <w:multiLevelType w:val="multilevel"/>
    <w:tmpl w:val="2D5427D6"/>
    <w:lvl w:ilvl="0" w:tentative="0">
      <w:start w:val="1"/>
      <w:numFmt w:val="japaneseCounting"/>
      <w:lvlText w:val="%1、"/>
      <w:lvlJc w:val="left"/>
      <w:pPr>
        <w:ind w:left="630" w:hanging="63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135E67A"/>
    <w:multiLevelType w:val="singleLevel"/>
    <w:tmpl w:val="5135E67A"/>
    <w:lvl w:ilvl="0" w:tentative="0">
      <w:start w:val="1"/>
      <w:numFmt w:val="decimal"/>
      <w:lvlText w:val="%1."/>
      <w:lvlJc w:val="left"/>
      <w:pPr>
        <w:tabs>
          <w:tab w:val="left" w:pos="312"/>
        </w:tabs>
      </w:pPr>
    </w:lvl>
  </w:abstractNum>
  <w:abstractNum w:abstractNumId="2">
    <w:nsid w:val="62F47D3E"/>
    <w:multiLevelType w:val="singleLevel"/>
    <w:tmpl w:val="62F47D3E"/>
    <w:lvl w:ilvl="0" w:tentative="0">
      <w:start w:val="4"/>
      <w:numFmt w:val="chineseCounting"/>
      <w:suff w:val="nothing"/>
      <w:lvlText w:val="%1、"/>
      <w:lvlJc w:val="left"/>
    </w:lvl>
  </w:abstractNum>
  <w:abstractNum w:abstractNumId="3">
    <w:nsid w:val="62FDA2A9"/>
    <w:multiLevelType w:val="singleLevel"/>
    <w:tmpl w:val="62FDA2A9"/>
    <w:lvl w:ilvl="0" w:tentative="0">
      <w:start w:val="1"/>
      <w:numFmt w:val="chineseCounting"/>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26E7E"/>
    <w:rsid w:val="000468DB"/>
    <w:rsid w:val="0006487A"/>
    <w:rsid w:val="00065F8F"/>
    <w:rsid w:val="00070A43"/>
    <w:rsid w:val="000768F2"/>
    <w:rsid w:val="0009184B"/>
    <w:rsid w:val="00094236"/>
    <w:rsid w:val="0009593C"/>
    <w:rsid w:val="00097322"/>
    <w:rsid w:val="000A150D"/>
    <w:rsid w:val="000A6A92"/>
    <w:rsid w:val="000B047F"/>
    <w:rsid w:val="000B5923"/>
    <w:rsid w:val="000B5A48"/>
    <w:rsid w:val="000B6FF3"/>
    <w:rsid w:val="000C3467"/>
    <w:rsid w:val="000C3CA6"/>
    <w:rsid w:val="000D1267"/>
    <w:rsid w:val="000D1D50"/>
    <w:rsid w:val="000D5782"/>
    <w:rsid w:val="000E6613"/>
    <w:rsid w:val="000E7119"/>
    <w:rsid w:val="00114E9B"/>
    <w:rsid w:val="001254C3"/>
    <w:rsid w:val="001267E9"/>
    <w:rsid w:val="00142216"/>
    <w:rsid w:val="00144D6A"/>
    <w:rsid w:val="0014729F"/>
    <w:rsid w:val="00151B13"/>
    <w:rsid w:val="00157BAB"/>
    <w:rsid w:val="00163205"/>
    <w:rsid w:val="001654D1"/>
    <w:rsid w:val="00174518"/>
    <w:rsid w:val="0018106D"/>
    <w:rsid w:val="001877A7"/>
    <w:rsid w:val="00191536"/>
    <w:rsid w:val="00196687"/>
    <w:rsid w:val="001C0962"/>
    <w:rsid w:val="001D7531"/>
    <w:rsid w:val="001E737D"/>
    <w:rsid w:val="001F0592"/>
    <w:rsid w:val="001F0A25"/>
    <w:rsid w:val="001F22FF"/>
    <w:rsid w:val="001F7506"/>
    <w:rsid w:val="002006CD"/>
    <w:rsid w:val="00202B36"/>
    <w:rsid w:val="00204B7A"/>
    <w:rsid w:val="00204CDE"/>
    <w:rsid w:val="00207276"/>
    <w:rsid w:val="0021101A"/>
    <w:rsid w:val="00220536"/>
    <w:rsid w:val="00235629"/>
    <w:rsid w:val="00260C38"/>
    <w:rsid w:val="002615E1"/>
    <w:rsid w:val="002616C0"/>
    <w:rsid w:val="00265372"/>
    <w:rsid w:val="002654C5"/>
    <w:rsid w:val="002662AA"/>
    <w:rsid w:val="002729D9"/>
    <w:rsid w:val="00280496"/>
    <w:rsid w:val="002822B6"/>
    <w:rsid w:val="00294DC9"/>
    <w:rsid w:val="00295495"/>
    <w:rsid w:val="002A31DE"/>
    <w:rsid w:val="002B2613"/>
    <w:rsid w:val="002D6D05"/>
    <w:rsid w:val="002F1818"/>
    <w:rsid w:val="002F567B"/>
    <w:rsid w:val="00317218"/>
    <w:rsid w:val="003216A9"/>
    <w:rsid w:val="00330ADF"/>
    <w:rsid w:val="00335A74"/>
    <w:rsid w:val="00361B07"/>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6F59"/>
    <w:rsid w:val="00487E5D"/>
    <w:rsid w:val="004A01F5"/>
    <w:rsid w:val="004A711F"/>
    <w:rsid w:val="004B0485"/>
    <w:rsid w:val="004B199D"/>
    <w:rsid w:val="004B4690"/>
    <w:rsid w:val="004D2937"/>
    <w:rsid w:val="004D5CD9"/>
    <w:rsid w:val="004E0A2D"/>
    <w:rsid w:val="004E206B"/>
    <w:rsid w:val="004E395F"/>
    <w:rsid w:val="004E6DF7"/>
    <w:rsid w:val="004F0FBD"/>
    <w:rsid w:val="00505A47"/>
    <w:rsid w:val="00512FDA"/>
    <w:rsid w:val="00520DA0"/>
    <w:rsid w:val="0052736B"/>
    <w:rsid w:val="005664BB"/>
    <w:rsid w:val="00566FFA"/>
    <w:rsid w:val="0057481D"/>
    <w:rsid w:val="005839B4"/>
    <w:rsid w:val="0058486E"/>
    <w:rsid w:val="00585B33"/>
    <w:rsid w:val="0059014D"/>
    <w:rsid w:val="00591061"/>
    <w:rsid w:val="005B5C64"/>
    <w:rsid w:val="005C5337"/>
    <w:rsid w:val="005C6BD0"/>
    <w:rsid w:val="005D1C8B"/>
    <w:rsid w:val="005D468D"/>
    <w:rsid w:val="005D5CED"/>
    <w:rsid w:val="005F1A4C"/>
    <w:rsid w:val="00605688"/>
    <w:rsid w:val="00605B3B"/>
    <w:rsid w:val="006070AF"/>
    <w:rsid w:val="00607E6C"/>
    <w:rsid w:val="006101B1"/>
    <w:rsid w:val="006140FD"/>
    <w:rsid w:val="00614E44"/>
    <w:rsid w:val="00620133"/>
    <w:rsid w:val="0062270A"/>
    <w:rsid w:val="00622830"/>
    <w:rsid w:val="00623DA0"/>
    <w:rsid w:val="00630AEF"/>
    <w:rsid w:val="00631DDC"/>
    <w:rsid w:val="006325F8"/>
    <w:rsid w:val="00633463"/>
    <w:rsid w:val="00634C9A"/>
    <w:rsid w:val="0064146E"/>
    <w:rsid w:val="006440E4"/>
    <w:rsid w:val="0066343B"/>
    <w:rsid w:val="00664777"/>
    <w:rsid w:val="006748A4"/>
    <w:rsid w:val="00681A31"/>
    <w:rsid w:val="00683E73"/>
    <w:rsid w:val="006A3141"/>
    <w:rsid w:val="006A5E34"/>
    <w:rsid w:val="006B2422"/>
    <w:rsid w:val="006B2B9A"/>
    <w:rsid w:val="006B7C86"/>
    <w:rsid w:val="006C1937"/>
    <w:rsid w:val="006D0E58"/>
    <w:rsid w:val="006E488D"/>
    <w:rsid w:val="006F020C"/>
    <w:rsid w:val="007127B7"/>
    <w:rsid w:val="0071798E"/>
    <w:rsid w:val="0072539A"/>
    <w:rsid w:val="007352EB"/>
    <w:rsid w:val="007416B6"/>
    <w:rsid w:val="00746F48"/>
    <w:rsid w:val="0075404D"/>
    <w:rsid w:val="0076182A"/>
    <w:rsid w:val="00762BE7"/>
    <w:rsid w:val="00767B7E"/>
    <w:rsid w:val="0077675E"/>
    <w:rsid w:val="007770C3"/>
    <w:rsid w:val="00784D24"/>
    <w:rsid w:val="00785FBA"/>
    <w:rsid w:val="00786E4A"/>
    <w:rsid w:val="007875EB"/>
    <w:rsid w:val="0079426B"/>
    <w:rsid w:val="00796A8B"/>
    <w:rsid w:val="007A1103"/>
    <w:rsid w:val="007C429A"/>
    <w:rsid w:val="007C7044"/>
    <w:rsid w:val="007D1682"/>
    <w:rsid w:val="007D312A"/>
    <w:rsid w:val="007D3F19"/>
    <w:rsid w:val="007E23B0"/>
    <w:rsid w:val="007E23E5"/>
    <w:rsid w:val="007E5AAD"/>
    <w:rsid w:val="007F1991"/>
    <w:rsid w:val="007F2C2F"/>
    <w:rsid w:val="007F55FC"/>
    <w:rsid w:val="007F5665"/>
    <w:rsid w:val="00800112"/>
    <w:rsid w:val="00802A47"/>
    <w:rsid w:val="00810941"/>
    <w:rsid w:val="00813348"/>
    <w:rsid w:val="008253BB"/>
    <w:rsid w:val="0083706E"/>
    <w:rsid w:val="008408F6"/>
    <w:rsid w:val="008423A5"/>
    <w:rsid w:val="00850625"/>
    <w:rsid w:val="00853718"/>
    <w:rsid w:val="00855221"/>
    <w:rsid w:val="00860645"/>
    <w:rsid w:val="00871F71"/>
    <w:rsid w:val="00872FD8"/>
    <w:rsid w:val="00885AF4"/>
    <w:rsid w:val="00893043"/>
    <w:rsid w:val="008939CD"/>
    <w:rsid w:val="008B768C"/>
    <w:rsid w:val="008C0BB4"/>
    <w:rsid w:val="008C4DB1"/>
    <w:rsid w:val="008C4EAF"/>
    <w:rsid w:val="008C4F67"/>
    <w:rsid w:val="008C5176"/>
    <w:rsid w:val="008C7FD0"/>
    <w:rsid w:val="008E1DE7"/>
    <w:rsid w:val="008E4B14"/>
    <w:rsid w:val="008E707C"/>
    <w:rsid w:val="00900B08"/>
    <w:rsid w:val="00902155"/>
    <w:rsid w:val="00902FA3"/>
    <w:rsid w:val="00903BB5"/>
    <w:rsid w:val="00904318"/>
    <w:rsid w:val="00920642"/>
    <w:rsid w:val="00923564"/>
    <w:rsid w:val="0092392E"/>
    <w:rsid w:val="00925564"/>
    <w:rsid w:val="009315F9"/>
    <w:rsid w:val="00933499"/>
    <w:rsid w:val="00935C98"/>
    <w:rsid w:val="00946945"/>
    <w:rsid w:val="00951248"/>
    <w:rsid w:val="0095152F"/>
    <w:rsid w:val="00954C49"/>
    <w:rsid w:val="00955E37"/>
    <w:rsid w:val="0097099F"/>
    <w:rsid w:val="00970A58"/>
    <w:rsid w:val="00971997"/>
    <w:rsid w:val="00971FFC"/>
    <w:rsid w:val="0098660A"/>
    <w:rsid w:val="00990F48"/>
    <w:rsid w:val="009931C3"/>
    <w:rsid w:val="009A4466"/>
    <w:rsid w:val="009B2C43"/>
    <w:rsid w:val="009B4EAE"/>
    <w:rsid w:val="009B7573"/>
    <w:rsid w:val="009C22F4"/>
    <w:rsid w:val="009C2A4B"/>
    <w:rsid w:val="009C2E98"/>
    <w:rsid w:val="009D3447"/>
    <w:rsid w:val="009D4711"/>
    <w:rsid w:val="009E4A47"/>
    <w:rsid w:val="009F1185"/>
    <w:rsid w:val="009F18CD"/>
    <w:rsid w:val="009F2A13"/>
    <w:rsid w:val="009F3543"/>
    <w:rsid w:val="009F7527"/>
    <w:rsid w:val="00A04EB0"/>
    <w:rsid w:val="00A13CC1"/>
    <w:rsid w:val="00A16847"/>
    <w:rsid w:val="00A237D8"/>
    <w:rsid w:val="00A2470E"/>
    <w:rsid w:val="00A268C4"/>
    <w:rsid w:val="00A307CD"/>
    <w:rsid w:val="00A31CBB"/>
    <w:rsid w:val="00A331C8"/>
    <w:rsid w:val="00A3400B"/>
    <w:rsid w:val="00A40A00"/>
    <w:rsid w:val="00A4142F"/>
    <w:rsid w:val="00A422EB"/>
    <w:rsid w:val="00A45BB7"/>
    <w:rsid w:val="00A56DF2"/>
    <w:rsid w:val="00A56E6E"/>
    <w:rsid w:val="00A67AB5"/>
    <w:rsid w:val="00A733B2"/>
    <w:rsid w:val="00A741C2"/>
    <w:rsid w:val="00A90575"/>
    <w:rsid w:val="00A90596"/>
    <w:rsid w:val="00A91760"/>
    <w:rsid w:val="00A9277E"/>
    <w:rsid w:val="00A93B00"/>
    <w:rsid w:val="00A93C21"/>
    <w:rsid w:val="00AB64C9"/>
    <w:rsid w:val="00AC3C6A"/>
    <w:rsid w:val="00AD5620"/>
    <w:rsid w:val="00AD656B"/>
    <w:rsid w:val="00AD7C1B"/>
    <w:rsid w:val="00AE16BA"/>
    <w:rsid w:val="00AE1EBE"/>
    <w:rsid w:val="00AF6959"/>
    <w:rsid w:val="00AF6DC5"/>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7424"/>
    <w:rsid w:val="00B944D6"/>
    <w:rsid w:val="00BA3A56"/>
    <w:rsid w:val="00BB4DF0"/>
    <w:rsid w:val="00BC289F"/>
    <w:rsid w:val="00BC2D50"/>
    <w:rsid w:val="00BC5361"/>
    <w:rsid w:val="00BC5460"/>
    <w:rsid w:val="00BC6B50"/>
    <w:rsid w:val="00BD0E25"/>
    <w:rsid w:val="00BF5BD6"/>
    <w:rsid w:val="00BF6FEF"/>
    <w:rsid w:val="00C03E31"/>
    <w:rsid w:val="00C12FC1"/>
    <w:rsid w:val="00C2187D"/>
    <w:rsid w:val="00C3223F"/>
    <w:rsid w:val="00C33546"/>
    <w:rsid w:val="00C33E72"/>
    <w:rsid w:val="00C354B2"/>
    <w:rsid w:val="00C35554"/>
    <w:rsid w:val="00C40DE8"/>
    <w:rsid w:val="00C42709"/>
    <w:rsid w:val="00C533CC"/>
    <w:rsid w:val="00C55D08"/>
    <w:rsid w:val="00C5751C"/>
    <w:rsid w:val="00C57CC8"/>
    <w:rsid w:val="00C61BFC"/>
    <w:rsid w:val="00C62B85"/>
    <w:rsid w:val="00C65438"/>
    <w:rsid w:val="00C87FD8"/>
    <w:rsid w:val="00C91381"/>
    <w:rsid w:val="00C91CBB"/>
    <w:rsid w:val="00CB4E70"/>
    <w:rsid w:val="00CC09B6"/>
    <w:rsid w:val="00CC666F"/>
    <w:rsid w:val="00CD1E3F"/>
    <w:rsid w:val="00CE44F6"/>
    <w:rsid w:val="00CE49DA"/>
    <w:rsid w:val="00CE7B61"/>
    <w:rsid w:val="00CF38C2"/>
    <w:rsid w:val="00CF551B"/>
    <w:rsid w:val="00D00095"/>
    <w:rsid w:val="00D114F0"/>
    <w:rsid w:val="00D12442"/>
    <w:rsid w:val="00D20620"/>
    <w:rsid w:val="00D254F7"/>
    <w:rsid w:val="00D26091"/>
    <w:rsid w:val="00D2685C"/>
    <w:rsid w:val="00D34E7C"/>
    <w:rsid w:val="00D35489"/>
    <w:rsid w:val="00D36AFE"/>
    <w:rsid w:val="00D418E8"/>
    <w:rsid w:val="00D51276"/>
    <w:rsid w:val="00D7035F"/>
    <w:rsid w:val="00DA634F"/>
    <w:rsid w:val="00DA65AC"/>
    <w:rsid w:val="00DB1913"/>
    <w:rsid w:val="00DC410D"/>
    <w:rsid w:val="00DC5A81"/>
    <w:rsid w:val="00DC68CA"/>
    <w:rsid w:val="00DC7CBA"/>
    <w:rsid w:val="00DD73B7"/>
    <w:rsid w:val="00DF28BC"/>
    <w:rsid w:val="00DF34B9"/>
    <w:rsid w:val="00DF4B2C"/>
    <w:rsid w:val="00E01053"/>
    <w:rsid w:val="00E07ACF"/>
    <w:rsid w:val="00E145E3"/>
    <w:rsid w:val="00E331A1"/>
    <w:rsid w:val="00E33202"/>
    <w:rsid w:val="00E336A9"/>
    <w:rsid w:val="00E472B1"/>
    <w:rsid w:val="00E50624"/>
    <w:rsid w:val="00E54633"/>
    <w:rsid w:val="00E568DF"/>
    <w:rsid w:val="00E64269"/>
    <w:rsid w:val="00E82267"/>
    <w:rsid w:val="00E853CE"/>
    <w:rsid w:val="00E867B6"/>
    <w:rsid w:val="00EA010F"/>
    <w:rsid w:val="00EA4117"/>
    <w:rsid w:val="00ED1B63"/>
    <w:rsid w:val="00ED3C1F"/>
    <w:rsid w:val="00ED4085"/>
    <w:rsid w:val="00ED420E"/>
    <w:rsid w:val="00ED6FBE"/>
    <w:rsid w:val="00EE2F57"/>
    <w:rsid w:val="00EF4C34"/>
    <w:rsid w:val="00EF77C6"/>
    <w:rsid w:val="00F009F8"/>
    <w:rsid w:val="00F05438"/>
    <w:rsid w:val="00F06F93"/>
    <w:rsid w:val="00F1361C"/>
    <w:rsid w:val="00F156F0"/>
    <w:rsid w:val="00F160C7"/>
    <w:rsid w:val="00F2408F"/>
    <w:rsid w:val="00F240E9"/>
    <w:rsid w:val="00F246F3"/>
    <w:rsid w:val="00F36D8F"/>
    <w:rsid w:val="00F417B1"/>
    <w:rsid w:val="00F45853"/>
    <w:rsid w:val="00F602DF"/>
    <w:rsid w:val="00F60344"/>
    <w:rsid w:val="00F74C99"/>
    <w:rsid w:val="00F754A1"/>
    <w:rsid w:val="00F81FD9"/>
    <w:rsid w:val="00F841AA"/>
    <w:rsid w:val="00F84A94"/>
    <w:rsid w:val="00F87E96"/>
    <w:rsid w:val="00F92D2C"/>
    <w:rsid w:val="00FA0330"/>
    <w:rsid w:val="00FA23E8"/>
    <w:rsid w:val="00FC0639"/>
    <w:rsid w:val="00FD3CC1"/>
    <w:rsid w:val="00FF1E02"/>
    <w:rsid w:val="00FF30B4"/>
    <w:rsid w:val="015975B8"/>
    <w:rsid w:val="01A23516"/>
    <w:rsid w:val="02317B1B"/>
    <w:rsid w:val="02445961"/>
    <w:rsid w:val="02FEBE30"/>
    <w:rsid w:val="061E35DE"/>
    <w:rsid w:val="066E0107"/>
    <w:rsid w:val="06EF0205"/>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7D0ADD"/>
    <w:rsid w:val="4EAB630A"/>
    <w:rsid w:val="4ECE2238"/>
    <w:rsid w:val="4F833267"/>
    <w:rsid w:val="4FE9BD67"/>
    <w:rsid w:val="4FFB052F"/>
    <w:rsid w:val="50C3336F"/>
    <w:rsid w:val="52674A05"/>
    <w:rsid w:val="53083A92"/>
    <w:rsid w:val="537E6D0A"/>
    <w:rsid w:val="53AF27A2"/>
    <w:rsid w:val="53F74C96"/>
    <w:rsid w:val="56E47B74"/>
    <w:rsid w:val="57BD3DD4"/>
    <w:rsid w:val="59B355AC"/>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widowControl/>
      <w:spacing w:after="0" w:line="240" w:lineRule="auto"/>
      <w:jc w:val="left"/>
    </w:pPr>
    <w:rPr>
      <w:rFonts w:ascii="宋体" w:hAnsi="宋体" w:cs="宋体"/>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spacing w:after="160" w:line="278" w:lineRule="auto"/>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5"/>
    <w:qFormat/>
    <w:uiPriority w:val="9"/>
    <w:rPr>
      <w:rFonts w:ascii="Times New Roman" w:hAnsi="Times New Roman"/>
      <w:b/>
      <w:bCs/>
      <w:kern w:val="44"/>
      <w:sz w:val="44"/>
      <w:szCs w:val="44"/>
    </w:rPr>
  </w:style>
  <w:style w:type="character" w:customStyle="1" w:styleId="30">
    <w:name w:val="标题 2 字符"/>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0"/>
    <w:semiHidden/>
    <w:qFormat/>
    <w:uiPriority w:val="99"/>
    <w:rPr>
      <w:rFonts w:ascii="Times New Roman" w:hAnsi="Times New Roman"/>
      <w:kern w:val="2"/>
      <w:sz w:val="18"/>
      <w:szCs w:val="18"/>
    </w:rPr>
  </w:style>
  <w:style w:type="character" w:customStyle="1" w:styleId="33">
    <w:name w:val="标题 3 字符"/>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Unresolved Mention"/>
    <w:basedOn w:val="17"/>
    <w:semiHidden/>
    <w:unhideWhenUsed/>
    <w:qFormat/>
    <w:uiPriority w:val="99"/>
    <w:rPr>
      <w:color w:val="605E5C"/>
      <w:shd w:val="clear" w:color="auto" w:fill="E1DFDD"/>
    </w:rPr>
  </w:style>
  <w:style w:type="paragraph" w:styleId="37">
    <w:name w:val="No Spacing"/>
    <w:qFormat/>
    <w:uiPriority w:val="1"/>
    <w:pPr>
      <w:jc w:val="both"/>
      <w:textAlignment w:val="baseline"/>
    </w:pPr>
    <w:rPr>
      <w:rFonts w:ascii="Times New Roman" w:hAnsi="Times New Roman" w:eastAsia="宋体" w:cs="Times New Roman"/>
      <w:color w:val="000000"/>
      <w:sz w:val="21"/>
      <w:u w:color="000000"/>
      <w:lang w:val="en-US" w:eastAsia="zh-CN" w:bidi="ar-SA"/>
    </w:rPr>
  </w:style>
  <w:style w:type="paragraph" w:customStyle="1" w:styleId="38">
    <w:name w:val="_Style 2"/>
    <w:qFormat/>
    <w:uiPriority w:val="1"/>
    <w:pPr>
      <w:jc w:val="both"/>
      <w:textAlignment w:val="baseline"/>
    </w:pPr>
    <w:rPr>
      <w:rFonts w:ascii="Times New Roman" w:hAnsi="Times New Roman" w:eastAsia="宋体" w:cs="Times New Roman"/>
      <w:color w:val="000000"/>
      <w:sz w:val="21"/>
      <w:szCs w:val="22"/>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686952416524626"/>
          <c:y val="0.1453044375645"/>
          <c:w val="0.90481788139112"/>
          <c:h val="0.649170912459472"/>
        </c:manualLayout>
      </c:layout>
      <c:barChart>
        <c:barDir val="col"/>
        <c:grouping val="clustered"/>
        <c:varyColors val="0"/>
        <c:ser>
          <c:idx val="0"/>
          <c:order val="0"/>
          <c:tx>
            <c:strRef>
              <c:f>Sheet1!$B$1</c:f>
              <c:strCache>
                <c:ptCount val="1"/>
                <c:pt idx="0">
                  <c:v>收入支出决算数</c:v>
                </c:pt>
              </c:strCache>
            </c:strRef>
          </c:tx>
          <c:spPr>
            <a:solidFill>
              <a:schemeClr val="accent1"/>
            </a:solidFill>
            <a:ln>
              <a:noFill/>
            </a:ln>
            <a:effectLst/>
          </c:spPr>
          <c:invertIfNegative val="0"/>
          <c:dLbls>
            <c:delete val="1"/>
          </c:dLbls>
          <c:cat>
            <c:strRef>
              <c:f>Sheet1!$A$2:$A$5</c:f>
              <c:strCache>
                <c:ptCount val="2"/>
                <c:pt idx="0">
                  <c:v>2024年度</c:v>
                </c:pt>
                <c:pt idx="1">
                  <c:v>2025年度</c:v>
                </c:pt>
              </c:strCache>
            </c:strRef>
          </c:cat>
          <c:val>
            <c:numRef>
              <c:f>Sheet1!$B$2:$B$5</c:f>
              <c:numCache>
                <c:formatCode>General</c:formatCode>
                <c:ptCount val="4"/>
                <c:pt idx="0">
                  <c:v>127.74</c:v>
                </c:pt>
                <c:pt idx="1">
                  <c:v>133.98</c:v>
                </c:pt>
              </c:numCache>
            </c:numRef>
          </c:val>
        </c:ser>
        <c:ser>
          <c:idx val="1"/>
          <c:order val="1"/>
          <c:tx>
            <c:strRef>
              <c:f>Sheet1!$C$1</c:f>
              <c:strCache>
                <c:ptCount val="1"/>
                <c:pt idx="0">
                  <c:v>列2</c:v>
                </c:pt>
              </c:strCache>
            </c:strRef>
          </c:tx>
          <c:spPr>
            <a:solidFill>
              <a:schemeClr val="accent2"/>
            </a:solidFill>
            <a:ln>
              <a:noFill/>
            </a:ln>
            <a:effectLst/>
          </c:spPr>
          <c:invertIfNegative val="0"/>
          <c:dLbls>
            <c:delete val="1"/>
          </c:dLbls>
          <c:cat>
            <c:strRef>
              <c:f>Sheet1!$A$2:$A$5</c:f>
              <c:strCache>
                <c:ptCount val="2"/>
                <c:pt idx="0">
                  <c:v>2024年度</c:v>
                </c:pt>
                <c:pt idx="1">
                  <c:v>2025年度</c:v>
                </c:pt>
              </c:strCache>
            </c:strRef>
          </c:cat>
          <c:val>
            <c:numRef>
              <c:f>Sheet1!$C$2:$C$5</c:f>
              <c:numCache>
                <c:formatCode>General</c:formatCode>
                <c:ptCount val="4"/>
              </c:numCache>
            </c:numRef>
          </c:val>
        </c:ser>
        <c:ser>
          <c:idx val="2"/>
          <c:order val="2"/>
          <c:tx>
            <c:strRef>
              <c:f>Sheet1!$D$1</c:f>
              <c:strCache>
                <c:ptCount val="1"/>
                <c:pt idx="0">
                  <c:v>列1</c:v>
                </c:pt>
              </c:strCache>
            </c:strRef>
          </c:tx>
          <c:spPr>
            <a:solidFill>
              <a:schemeClr val="accent3"/>
            </a:solidFill>
            <a:ln>
              <a:noFill/>
            </a:ln>
            <a:effectLst/>
          </c:spPr>
          <c:invertIfNegative val="0"/>
          <c:dLbls>
            <c:delete val="1"/>
          </c:dLbls>
          <c:cat>
            <c:strRef>
              <c:f>Sheet1!$A$2:$A$5</c:f>
              <c:strCache>
                <c:ptCount val="2"/>
                <c:pt idx="0">
                  <c:v>2024年度</c:v>
                </c:pt>
                <c:pt idx="1">
                  <c:v>2025年度</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835090559"/>
        <c:axId val="1532718719"/>
      </c:barChart>
      <c:catAx>
        <c:axId val="1835090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2718719"/>
        <c:crosses val="autoZero"/>
        <c:auto val="1"/>
        <c:lblAlgn val="ctr"/>
        <c:lblOffset val="100"/>
        <c:noMultiLvlLbl val="0"/>
      </c:catAx>
      <c:valAx>
        <c:axId val="15327187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509055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91f50f-b3ac-490e-a114-570917b8648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2025年度本年收入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2"/>
                <c:pt idx="0">
                  <c:v>一般公共预算财政拨款收入</c:v>
                </c:pt>
                <c:pt idx="1">
                  <c:v>其他收入</c:v>
                </c:pt>
              </c:strCache>
            </c:strRef>
          </c:cat>
          <c:val>
            <c:numRef>
              <c:f>Sheet1!$B$2:$B$5</c:f>
              <c:numCache>
                <c:formatCode>General</c:formatCode>
                <c:ptCount val="4"/>
                <c:pt idx="0">
                  <c:v>129.4</c:v>
                </c:pt>
                <c:pt idx="1">
                  <c:v>0.69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9c8681-186c-4777-a50a-b27bb9574ce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2025年度本年支出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2"/>
                <c:pt idx="0">
                  <c:v>基本支出</c:v>
                </c:pt>
                <c:pt idx="1">
                  <c:v>项目支出</c:v>
                </c:pt>
              </c:strCache>
            </c:strRef>
          </c:cat>
          <c:val>
            <c:numRef>
              <c:f>Sheet1!$B$2:$B$5</c:f>
              <c:numCache>
                <c:formatCode>General</c:formatCode>
                <c:ptCount val="4"/>
                <c:pt idx="0">
                  <c:v>105.96</c:v>
                </c:pt>
                <c:pt idx="1">
                  <c:v>22.74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33cafbe-ba6d-466c-95cf-43af96b2f3c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财政拨款收入、支出总数</c:v>
                </c:pt>
              </c:strCache>
            </c:strRef>
          </c:tx>
          <c:spPr>
            <a:solidFill>
              <a:schemeClr val="accent1"/>
            </a:solidFill>
            <a:ln>
              <a:noFill/>
            </a:ln>
            <a:effectLst/>
          </c:spPr>
          <c:invertIfNegative val="0"/>
          <c:dLbls>
            <c:delete val="1"/>
          </c:dLbls>
          <c:cat>
            <c:strRef>
              <c:f>Sheet1!$A$2:$A$5</c:f>
              <c:strCache>
                <c:ptCount val="2"/>
                <c:pt idx="0">
                  <c:v>2024年度</c:v>
                </c:pt>
                <c:pt idx="1">
                  <c:v>2025年度</c:v>
                </c:pt>
              </c:strCache>
            </c:strRef>
          </c:cat>
          <c:val>
            <c:numRef>
              <c:f>Sheet1!$B$2:$B$5</c:f>
              <c:numCache>
                <c:formatCode>General</c:formatCode>
                <c:ptCount val="4"/>
                <c:pt idx="0">
                  <c:v>127.94</c:v>
                </c:pt>
                <c:pt idx="1">
                  <c:v>128.71</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2"/>
                <c:pt idx="0">
                  <c:v>2024年度</c:v>
                </c:pt>
                <c:pt idx="1">
                  <c:v>2025年度</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2"/>
                <c:pt idx="0">
                  <c:v>2024年度</c:v>
                </c:pt>
                <c:pt idx="1">
                  <c:v>2025年度</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896350799"/>
        <c:axId val="1532725439"/>
      </c:barChart>
      <c:catAx>
        <c:axId val="1896350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2725439"/>
        <c:crosses val="autoZero"/>
        <c:auto val="1"/>
        <c:lblAlgn val="ctr"/>
        <c:lblOffset val="100"/>
        <c:noMultiLvlLbl val="0"/>
      </c:catAx>
      <c:valAx>
        <c:axId val="1532725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635079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528b7e6-4a71-4411-bb02-65e750f0d9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一般公共预算财政拨款支出决算总体情况</c:v>
                </c:pt>
              </c:strCache>
            </c:strRef>
          </c:tx>
          <c:spPr>
            <a:solidFill>
              <a:schemeClr val="accent1"/>
            </a:solidFill>
            <a:ln>
              <a:noFill/>
            </a:ln>
            <a:effectLst/>
          </c:spPr>
          <c:invertIfNegative val="0"/>
          <c:dLbls>
            <c:delete val="1"/>
          </c:dLbls>
          <c:cat>
            <c:strRef>
              <c:f>Sheet1!$A$2:$A$5</c:f>
              <c:strCache>
                <c:ptCount val="2"/>
                <c:pt idx="0">
                  <c:v>2024年度</c:v>
                </c:pt>
                <c:pt idx="1">
                  <c:v>2025年度</c:v>
                </c:pt>
              </c:strCache>
            </c:strRef>
          </c:cat>
          <c:val>
            <c:numRef>
              <c:f>Sheet1!$B$2:$B$5</c:f>
              <c:numCache>
                <c:formatCode>General</c:formatCode>
                <c:ptCount val="4"/>
                <c:pt idx="0">
                  <c:v>127.94</c:v>
                </c:pt>
                <c:pt idx="1">
                  <c:v>128.71</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2"/>
                <c:pt idx="0">
                  <c:v>2024年度</c:v>
                </c:pt>
                <c:pt idx="1">
                  <c:v>2025年度</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2"/>
                <c:pt idx="0">
                  <c:v>2024年度</c:v>
                </c:pt>
                <c:pt idx="1">
                  <c:v>2025年度</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927116319"/>
        <c:axId val="1532754239"/>
      </c:barChart>
      <c:catAx>
        <c:axId val="1927116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2754239"/>
        <c:crosses val="autoZero"/>
        <c:auto val="1"/>
        <c:lblAlgn val="ctr"/>
        <c:lblOffset val="100"/>
        <c:noMultiLvlLbl val="0"/>
      </c:catAx>
      <c:valAx>
        <c:axId val="15327542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711631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03292c-732f-4813-a07b-d6136d36e88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103.36</c:v>
                </c:pt>
                <c:pt idx="1">
                  <c:v>12.13</c:v>
                </c:pt>
                <c:pt idx="2">
                  <c:v>5.06</c:v>
                </c:pt>
                <c:pt idx="3">
                  <c:v>8.15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4e40ba-fd8b-4372-abf7-df9402ff20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26</Pages>
  <Words>7675</Words>
  <Characters>8220</Characters>
  <Lines>244</Lines>
  <Paragraphs>185</Paragraphs>
  <TotalTime>632</TotalTime>
  <ScaleCrop>false</ScaleCrop>
  <LinksUpToDate>false</LinksUpToDate>
  <CharactersWithSpaces>8316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一个笨蛋</cp:lastModifiedBy>
  <cp:lastPrinted>2026-09-10T02:59:00Z</cp:lastPrinted>
  <dcterms:modified xsi:type="dcterms:W3CDTF">2026-09-15T00:55:13Z</dcterms:modified>
  <dc:title>四川省***</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eyJoZGlkIjoiYjllZGNkZWEzYjg0NDNmNTQ5MjkzNjk0ODlhNmVkYzAiLCJ1c2VySWQiOiI0MTAxMDQ4MDkifQ==</vt:lpwstr>
  </property>
</Properties>
</file>