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14797">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96597"/>
      <w:bookmarkStart w:id="3" w:name="_Toc15396475"/>
      <w:bookmarkStart w:id="4" w:name="_Toc15377425"/>
      <w:bookmarkStart w:id="5" w:name="_Toc15306267"/>
    </w:p>
    <w:p w14:paraId="05C2290F">
      <w:pPr>
        <w:pStyle w:val="2"/>
        <w:rPr>
          <w:rFonts w:hint="eastAsia" w:ascii="Times New Roman" w:hAnsi="Times New Roman" w:eastAsia="方正小标宋简体" w:cs="Times New Roman"/>
          <w:color w:val="auto"/>
          <w:kern w:val="2"/>
          <w:sz w:val="72"/>
          <w:szCs w:val="72"/>
          <w:highlight w:val="none"/>
          <w:lang w:val="en-US" w:eastAsia="zh-CN" w:bidi="ar-SA"/>
        </w:rPr>
      </w:pPr>
    </w:p>
    <w:p w14:paraId="07D71592">
      <w:pPr>
        <w:pStyle w:val="2"/>
        <w:rPr>
          <w:rFonts w:hint="eastAsia" w:ascii="Times New Roman" w:hAnsi="Times New Roman" w:eastAsia="方正小标宋简体" w:cs="Times New Roman"/>
          <w:color w:val="auto"/>
          <w:kern w:val="2"/>
          <w:sz w:val="72"/>
          <w:szCs w:val="72"/>
          <w:highlight w:val="none"/>
          <w:lang w:val="en-US" w:eastAsia="zh-CN" w:bidi="ar-SA"/>
        </w:rPr>
      </w:pPr>
    </w:p>
    <w:p w14:paraId="3BAB8A46">
      <w:pPr>
        <w:pStyle w:val="2"/>
        <w:rPr>
          <w:rFonts w:hint="eastAsia" w:ascii="Times New Roman" w:hAnsi="Times New Roman" w:eastAsia="方正小标宋简体" w:cs="Times New Roman"/>
          <w:color w:val="auto"/>
          <w:kern w:val="2"/>
          <w:sz w:val="72"/>
          <w:szCs w:val="72"/>
          <w:highlight w:val="none"/>
          <w:lang w:val="en-US" w:eastAsia="zh-CN" w:bidi="ar-SA"/>
        </w:rPr>
      </w:pPr>
    </w:p>
    <w:p w14:paraId="017A22A0">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2025年度州</w:t>
      </w:r>
      <w:r>
        <w:rPr>
          <w:rFonts w:hint="eastAsia" w:ascii="Times New Roman" w:hAnsi="Times New Roman" w:eastAsia="方正小标宋简体" w:cs="Times New Roman"/>
          <w:color w:val="auto"/>
          <w:kern w:val="2"/>
          <w:sz w:val="44"/>
          <w:szCs w:val="44"/>
          <w:highlight w:val="none"/>
          <w:lang w:val="en-US" w:eastAsia="zh-CN" w:bidi="ar-SA"/>
        </w:rPr>
        <w:t>级部门（</w:t>
      </w:r>
      <w:r>
        <w:rPr>
          <w:rFonts w:hint="eastAsia" w:ascii="Times New Roman" w:eastAsia="方正小标宋简体" w:cs="Times New Roman"/>
          <w:color w:val="auto"/>
          <w:kern w:val="2"/>
          <w:sz w:val="44"/>
          <w:szCs w:val="44"/>
          <w:highlight w:val="none"/>
          <w:lang w:val="en-US" w:eastAsia="zh-CN" w:bidi="ar-SA"/>
        </w:rPr>
        <w:t>阿坝州成都离退休干部休养所(阿坝州驻成都老干部管理服务中心）</w:t>
      </w:r>
      <w:r>
        <w:rPr>
          <w:rFonts w:hint="eastAsia" w:ascii="Times New Roman" w:hAnsi="Times New Roman" w:eastAsia="方正小标宋简体" w:cs="Times New Roman"/>
          <w:color w:val="auto"/>
          <w:kern w:val="2"/>
          <w:sz w:val="44"/>
          <w:szCs w:val="44"/>
          <w:highlight w:val="none"/>
          <w:lang w:val="en-US" w:eastAsia="zh-CN" w:bidi="ar-SA"/>
        </w:rPr>
        <w:t>）决算公开文字说明</w:t>
      </w:r>
      <w:r>
        <w:rPr>
          <w:rFonts w:hint="eastAsia" w:ascii="Times New Roman" w:eastAsia="方正小标宋简体" w:cs="Times New Roman"/>
          <w:color w:val="auto"/>
          <w:kern w:val="2"/>
          <w:sz w:val="44"/>
          <w:szCs w:val="44"/>
          <w:highlight w:val="none"/>
          <w:lang w:val="en-US" w:eastAsia="zh-CN" w:bidi="ar-SA"/>
        </w:rPr>
        <w:t>及表格</w:t>
      </w:r>
    </w:p>
    <w:p w14:paraId="28A7CA98">
      <w:pPr>
        <w:spacing w:line="600" w:lineRule="exact"/>
        <w:jc w:val="center"/>
        <w:outlineLvl w:val="0"/>
        <w:rPr>
          <w:rFonts w:ascii="Times New Roman" w:hAnsi="Times New Roman" w:eastAsia="方正小标宋简体"/>
          <w:color w:val="auto"/>
          <w:sz w:val="72"/>
          <w:szCs w:val="72"/>
          <w:highlight w:val="none"/>
        </w:rPr>
      </w:pPr>
    </w:p>
    <w:p w14:paraId="361B42BF">
      <w:pPr>
        <w:pStyle w:val="20"/>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AA74D01">
      <w:pPr>
        <w:rPr>
          <w:rFonts w:ascii="Times New Roman" w:hAnsi="Times New Roman"/>
        </w:rPr>
      </w:pPr>
    </w:p>
    <w:p w14:paraId="164895C7">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244BE00C">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4673B31D">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021EA977">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07585EF">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96598"/>
      <w:bookmarkStart w:id="8" w:name="_Toc15396476"/>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成都离退休干部休养所(阿坝州驻成都老干部管理服务中心)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12F865A">
      <w:pPr>
        <w:widowControl/>
        <w:jc w:val="center"/>
        <w:rPr>
          <w:rFonts w:hint="eastAsia" w:ascii="Times New Roman" w:hAnsi="Times New Roman" w:eastAsia="黑体"/>
          <w:color w:val="auto"/>
          <w:sz w:val="48"/>
          <w:szCs w:val="48"/>
          <w:highlight w:val="none"/>
        </w:rPr>
      </w:pPr>
    </w:p>
    <w:p w14:paraId="1087354F">
      <w:pPr>
        <w:widowControl/>
        <w:jc w:val="center"/>
        <w:rPr>
          <w:rFonts w:hint="eastAsia" w:ascii="Times New Roman" w:hAnsi="Times New Roman" w:eastAsia="黑体"/>
          <w:color w:val="auto"/>
          <w:sz w:val="48"/>
          <w:szCs w:val="48"/>
          <w:highlight w:val="none"/>
        </w:rPr>
      </w:pPr>
    </w:p>
    <w:p w14:paraId="7F9856A4">
      <w:pPr>
        <w:widowControl/>
        <w:jc w:val="center"/>
        <w:rPr>
          <w:rFonts w:hint="eastAsia" w:ascii="Times New Roman" w:hAnsi="Times New Roman" w:eastAsia="黑体"/>
          <w:color w:val="auto"/>
          <w:sz w:val="48"/>
          <w:szCs w:val="48"/>
          <w:highlight w:val="none"/>
        </w:rPr>
      </w:pPr>
    </w:p>
    <w:p w14:paraId="703C581F">
      <w:pPr>
        <w:widowControl/>
        <w:jc w:val="center"/>
        <w:rPr>
          <w:rFonts w:hint="eastAsia" w:ascii="Times New Roman" w:hAnsi="Times New Roman" w:eastAsia="黑体"/>
          <w:color w:val="auto"/>
          <w:sz w:val="48"/>
          <w:szCs w:val="48"/>
          <w:highlight w:val="none"/>
        </w:rPr>
      </w:pPr>
    </w:p>
    <w:p w14:paraId="5F4B8116">
      <w:pPr>
        <w:pStyle w:val="13"/>
        <w:rPr>
          <w:rFonts w:hint="eastAsia" w:ascii="Times New Roman" w:hAnsi="Times New Roman" w:eastAsia="黑体"/>
          <w:color w:val="auto"/>
          <w:sz w:val="48"/>
          <w:szCs w:val="48"/>
          <w:highlight w:val="none"/>
        </w:rPr>
      </w:pPr>
    </w:p>
    <w:p w14:paraId="486F2600">
      <w:pPr>
        <w:pStyle w:val="7"/>
        <w:rPr>
          <w:rFonts w:hint="eastAsia" w:ascii="Times New Roman" w:hAnsi="Times New Roman" w:eastAsia="黑体"/>
          <w:color w:val="auto"/>
          <w:sz w:val="48"/>
          <w:szCs w:val="48"/>
          <w:highlight w:val="none"/>
        </w:rPr>
      </w:pPr>
    </w:p>
    <w:p w14:paraId="38ADA19B">
      <w:pPr>
        <w:rPr>
          <w:rFonts w:hint="eastAsia" w:ascii="Times New Roman" w:hAnsi="Times New Roman" w:eastAsia="黑体"/>
          <w:color w:val="auto"/>
          <w:sz w:val="48"/>
          <w:szCs w:val="48"/>
          <w:highlight w:val="none"/>
        </w:rPr>
      </w:pPr>
    </w:p>
    <w:p w14:paraId="16B2959D">
      <w:pPr>
        <w:pStyle w:val="13"/>
        <w:rPr>
          <w:rFonts w:hint="eastAsia" w:ascii="Times New Roman" w:hAnsi="Times New Roman" w:eastAsia="黑体"/>
          <w:color w:val="auto"/>
          <w:sz w:val="48"/>
          <w:szCs w:val="48"/>
          <w:highlight w:val="none"/>
        </w:rPr>
      </w:pPr>
    </w:p>
    <w:p w14:paraId="69CA78CE">
      <w:pPr>
        <w:pStyle w:val="7"/>
        <w:rPr>
          <w:rFonts w:hint="eastAsia" w:ascii="Times New Roman" w:hAnsi="Times New Roman" w:eastAsia="黑体"/>
          <w:color w:val="auto"/>
          <w:sz w:val="48"/>
          <w:szCs w:val="48"/>
          <w:highlight w:val="none"/>
        </w:rPr>
      </w:pPr>
    </w:p>
    <w:p w14:paraId="34D1362F">
      <w:pPr>
        <w:rPr>
          <w:rFonts w:hint="eastAsia" w:ascii="Times New Roman" w:hAnsi="Times New Roman" w:eastAsia="黑体"/>
          <w:color w:val="auto"/>
          <w:sz w:val="48"/>
          <w:szCs w:val="48"/>
          <w:highlight w:val="none"/>
        </w:rPr>
      </w:pPr>
    </w:p>
    <w:p w14:paraId="51DA843D">
      <w:pPr>
        <w:pStyle w:val="13"/>
        <w:rPr>
          <w:rFonts w:hint="eastAsia" w:ascii="Times New Roman" w:hAnsi="Times New Roman" w:eastAsia="黑体"/>
          <w:color w:val="auto"/>
          <w:sz w:val="48"/>
          <w:szCs w:val="48"/>
          <w:highlight w:val="none"/>
        </w:rPr>
      </w:pPr>
    </w:p>
    <w:p w14:paraId="69AAA429">
      <w:pPr>
        <w:pStyle w:val="7"/>
        <w:rPr>
          <w:rFonts w:hint="eastAsia" w:ascii="Times New Roman" w:hAnsi="Times New Roman" w:eastAsia="黑体"/>
          <w:color w:val="auto"/>
          <w:sz w:val="48"/>
          <w:szCs w:val="48"/>
          <w:highlight w:val="none"/>
        </w:rPr>
      </w:pPr>
    </w:p>
    <w:p w14:paraId="7632CAF1">
      <w:pPr>
        <w:rPr>
          <w:rFonts w:hint="eastAsia" w:ascii="Times New Roman" w:hAnsi="Times New Roman" w:eastAsia="黑体"/>
          <w:color w:val="auto"/>
          <w:sz w:val="48"/>
          <w:szCs w:val="48"/>
          <w:highlight w:val="none"/>
        </w:rPr>
      </w:pPr>
    </w:p>
    <w:p w14:paraId="06C896D2">
      <w:pPr>
        <w:pStyle w:val="13"/>
        <w:rPr>
          <w:rFonts w:hint="eastAsia"/>
        </w:rPr>
      </w:pPr>
    </w:p>
    <w:p w14:paraId="1460995A">
      <w:pPr>
        <w:widowControl/>
        <w:jc w:val="center"/>
        <w:rPr>
          <w:rFonts w:hint="eastAsia" w:ascii="Times New Roman" w:hAnsi="Times New Roman" w:eastAsia="黑体"/>
          <w:color w:val="auto"/>
          <w:sz w:val="48"/>
          <w:szCs w:val="48"/>
          <w:highlight w:val="none"/>
        </w:rPr>
      </w:pPr>
    </w:p>
    <w:p w14:paraId="32BE559C">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D3B6955">
      <w:pPr>
        <w:widowControl/>
        <w:jc w:val="center"/>
        <w:rPr>
          <w:rFonts w:ascii="Times New Roman" w:hAnsi="Times New Roman" w:eastAsia="黑体" w:cstheme="minorBidi"/>
          <w:color w:val="auto"/>
          <w:sz w:val="28"/>
          <w:szCs w:val="28"/>
          <w:highlight w:val="none"/>
        </w:rPr>
      </w:pPr>
    </w:p>
    <w:p w14:paraId="1FD05E4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320AA84D">
      <w:pPr>
        <w:rPr>
          <w:rFonts w:ascii="Times New Roman" w:hAnsi="Times New Roman"/>
          <w:color w:val="auto"/>
          <w:highlight w:val="none"/>
        </w:rPr>
      </w:pPr>
    </w:p>
    <w:p w14:paraId="2ED67F9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tab/>
      </w:r>
      <w:r>
        <w:rPr>
          <w:rFonts w:hint="eastAsia"/>
          <w:lang w:val="en-US" w:eastAsia="zh-CN"/>
        </w:rPr>
        <w:t>4</w:t>
      </w:r>
    </w:p>
    <w:p w14:paraId="5266C6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tab/>
      </w:r>
      <w:r>
        <w:rPr>
          <w:rFonts w:hint="eastAsia"/>
          <w:lang w:val="en-US" w:eastAsia="zh-CN"/>
        </w:rPr>
        <w:t>4</w:t>
      </w:r>
    </w:p>
    <w:p w14:paraId="3B0FB3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tab/>
      </w:r>
      <w:r>
        <w:rPr>
          <w:rFonts w:hint="eastAsia"/>
          <w:lang w:val="en-US" w:eastAsia="zh-CN"/>
        </w:rPr>
        <w:t>4</w:t>
      </w:r>
    </w:p>
    <w:p w14:paraId="56B80DB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tab/>
      </w:r>
      <w:r>
        <w:rPr>
          <w:rFonts w:hint="eastAsia"/>
          <w:lang w:val="en-US" w:eastAsia="zh-CN"/>
        </w:rPr>
        <w:t>5</w:t>
      </w:r>
    </w:p>
    <w:p w14:paraId="07C7BD9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tab/>
      </w:r>
      <w:r>
        <w:rPr>
          <w:rFonts w:hint="eastAsia"/>
          <w:lang w:val="en-US" w:eastAsia="zh-CN"/>
        </w:rPr>
        <w:t>5</w:t>
      </w:r>
    </w:p>
    <w:p w14:paraId="09FDB70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tab/>
      </w:r>
      <w:r>
        <w:rPr>
          <w:rFonts w:hint="eastAsia"/>
          <w:lang w:val="en-US" w:eastAsia="zh-CN"/>
        </w:rPr>
        <w:t>5</w:t>
      </w:r>
    </w:p>
    <w:p w14:paraId="59FF85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tab/>
      </w:r>
      <w:r>
        <w:rPr>
          <w:rFonts w:hint="eastAsia"/>
          <w:lang w:val="en-US" w:eastAsia="zh-CN"/>
        </w:rPr>
        <w:t>6</w:t>
      </w:r>
    </w:p>
    <w:p w14:paraId="4A98541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tab/>
      </w:r>
      <w:r>
        <w:rPr>
          <w:rFonts w:hint="eastAsia"/>
          <w:lang w:val="en-US" w:eastAsia="zh-CN"/>
        </w:rPr>
        <w:t>7</w:t>
      </w:r>
    </w:p>
    <w:p w14:paraId="39FB41B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tab/>
      </w:r>
      <w:r>
        <w:rPr>
          <w:rFonts w:hint="eastAsia"/>
          <w:lang w:val="en-US" w:eastAsia="zh-CN"/>
        </w:rPr>
        <w:t>7</w:t>
      </w:r>
    </w:p>
    <w:p w14:paraId="4125F7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tab/>
      </w:r>
      <w:r>
        <w:rPr>
          <w:rFonts w:hint="eastAsia"/>
          <w:lang w:val="en-US" w:eastAsia="zh-CN"/>
        </w:rPr>
        <w:t>10</w:t>
      </w:r>
    </w:p>
    <w:p w14:paraId="28D016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tab/>
      </w:r>
      <w:r>
        <w:rPr>
          <w:rFonts w:hint="eastAsia"/>
          <w:lang w:val="en-US" w:eastAsia="zh-CN"/>
        </w:rPr>
        <w:t>10</w:t>
      </w:r>
    </w:p>
    <w:p w14:paraId="1CF58C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tab/>
      </w:r>
      <w:r>
        <w:rPr>
          <w:rFonts w:hint="eastAsia"/>
          <w:lang w:val="en-US" w:eastAsia="zh-CN"/>
        </w:rPr>
        <w:t>13</w:t>
      </w:r>
    </w:p>
    <w:p w14:paraId="53D631D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tab/>
      </w:r>
      <w:r>
        <w:rPr>
          <w:rFonts w:hint="eastAsia"/>
          <w:lang w:val="en-US" w:eastAsia="zh-CN"/>
        </w:rPr>
        <w:t>13</w:t>
      </w:r>
    </w:p>
    <w:p w14:paraId="0CA73C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tab/>
      </w:r>
      <w:r>
        <w:rPr>
          <w:rFonts w:hint="eastAsia"/>
          <w:lang w:val="en-US" w:eastAsia="zh-CN"/>
        </w:rPr>
        <w:t>13</w:t>
      </w:r>
    </w:p>
    <w:p w14:paraId="3A111DE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tab/>
      </w:r>
      <w:r>
        <w:rPr>
          <w:rFonts w:hint="eastAsia"/>
          <w:lang w:val="en-US" w:eastAsia="zh-CN"/>
        </w:rPr>
        <w:t>15</w:t>
      </w:r>
    </w:p>
    <w:p w14:paraId="09DD60D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tab/>
      </w:r>
      <w:r>
        <w:rPr>
          <w:rFonts w:hint="eastAsia"/>
          <w:lang w:val="en-US" w:eastAsia="zh-CN"/>
        </w:rPr>
        <w:t>19</w:t>
      </w:r>
    </w:p>
    <w:p w14:paraId="6DE3D89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tab/>
      </w:r>
      <w:r>
        <w:rPr>
          <w:rFonts w:hint="eastAsia"/>
          <w:lang w:val="en-US" w:eastAsia="zh-CN"/>
        </w:rPr>
        <w:t>30</w:t>
      </w:r>
    </w:p>
    <w:p w14:paraId="38A08A9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tab/>
      </w:r>
      <w:r>
        <w:rPr>
          <w:rFonts w:hint="eastAsia"/>
          <w:lang w:val="en-US" w:eastAsia="zh-CN"/>
        </w:rPr>
        <w:t>30</w:t>
      </w:r>
    </w:p>
    <w:p w14:paraId="7D282E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tab/>
      </w:r>
      <w:r>
        <w:rPr>
          <w:rFonts w:hint="eastAsia"/>
          <w:lang w:val="en-US" w:eastAsia="zh-CN"/>
        </w:rPr>
        <w:t>30</w:t>
      </w:r>
    </w:p>
    <w:p w14:paraId="55DB0F7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tab/>
      </w:r>
      <w:r>
        <w:rPr>
          <w:rFonts w:hint="eastAsia"/>
          <w:lang w:val="en-US" w:eastAsia="zh-CN"/>
        </w:rPr>
        <w:t>30</w:t>
      </w:r>
    </w:p>
    <w:p w14:paraId="33CFEBE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tab/>
      </w:r>
      <w:r>
        <w:rPr>
          <w:rFonts w:hint="eastAsia"/>
          <w:lang w:val="en-US" w:eastAsia="zh-CN"/>
        </w:rPr>
        <w:t>30</w:t>
      </w:r>
    </w:p>
    <w:p w14:paraId="1687ED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tab/>
      </w:r>
      <w:r>
        <w:rPr>
          <w:rFonts w:hint="eastAsia"/>
          <w:lang w:val="en-US" w:eastAsia="zh-CN"/>
        </w:rPr>
        <w:t>30</w:t>
      </w:r>
    </w:p>
    <w:p w14:paraId="041A033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tab/>
      </w:r>
      <w:r>
        <w:rPr>
          <w:rFonts w:hint="eastAsia"/>
          <w:lang w:val="en-US" w:eastAsia="zh-CN"/>
        </w:rPr>
        <w:t>30</w:t>
      </w:r>
    </w:p>
    <w:p w14:paraId="2F4D691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tab/>
      </w:r>
      <w:r>
        <w:rPr>
          <w:rFonts w:hint="eastAsia"/>
          <w:lang w:val="en-US" w:eastAsia="zh-CN"/>
        </w:rPr>
        <w:t>30</w:t>
      </w:r>
    </w:p>
    <w:p w14:paraId="2719D6D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tab/>
      </w:r>
      <w:r>
        <w:rPr>
          <w:rFonts w:hint="eastAsia"/>
          <w:lang w:val="en-US" w:eastAsia="zh-CN"/>
        </w:rPr>
        <w:t>30</w:t>
      </w:r>
    </w:p>
    <w:p w14:paraId="7ABEAE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tab/>
      </w:r>
      <w:r>
        <w:rPr>
          <w:rFonts w:hint="eastAsia"/>
          <w:lang w:val="en-US" w:eastAsia="zh-CN"/>
        </w:rPr>
        <w:t>30</w:t>
      </w:r>
    </w:p>
    <w:p w14:paraId="1AC6325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tab/>
      </w:r>
      <w:r>
        <w:rPr>
          <w:rFonts w:hint="eastAsia"/>
          <w:lang w:val="en-US" w:eastAsia="zh-CN"/>
        </w:rPr>
        <w:t>30</w:t>
      </w:r>
    </w:p>
    <w:p w14:paraId="6E4686E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tab/>
      </w:r>
      <w:r>
        <w:rPr>
          <w:rFonts w:hint="eastAsia"/>
          <w:lang w:val="en-US" w:eastAsia="zh-CN"/>
        </w:rPr>
        <w:t>30</w:t>
      </w:r>
    </w:p>
    <w:p w14:paraId="7DBA4A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tab/>
      </w:r>
      <w:r>
        <w:rPr>
          <w:rFonts w:hint="eastAsia"/>
          <w:lang w:val="en-US" w:eastAsia="zh-CN"/>
        </w:rPr>
        <w:t>30</w:t>
      </w:r>
    </w:p>
    <w:p w14:paraId="231D65B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tab/>
      </w:r>
      <w:r>
        <w:rPr>
          <w:rFonts w:hint="eastAsia"/>
          <w:lang w:val="en-US" w:eastAsia="zh-CN"/>
        </w:rPr>
        <w:t>30</w:t>
      </w:r>
    </w:p>
    <w:p w14:paraId="319C914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565C0CE0">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64BE923D">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12"/>
      <w:bookmarkEnd w:id="13"/>
    </w:p>
    <w:p w14:paraId="1366EC23">
      <w:pPr>
        <w:widowControl/>
        <w:jc w:val="left"/>
        <w:rPr>
          <w:rFonts w:ascii="Times New Roman" w:hAnsi="Times New Roman" w:eastAsia="黑体"/>
          <w:color w:val="auto"/>
          <w:sz w:val="32"/>
          <w:szCs w:val="32"/>
          <w:highlight w:val="none"/>
        </w:rPr>
      </w:pPr>
    </w:p>
    <w:p w14:paraId="301DFD62">
      <w:pPr>
        <w:pStyle w:val="4"/>
        <w:numPr>
          <w:ilvl w:val="0"/>
          <w:numId w:val="1"/>
        </w:numPr>
        <w:rPr>
          <w:rFonts w:hint="eastAsia"/>
          <w:lang w:eastAsia="zh-CN"/>
        </w:rPr>
      </w:pPr>
      <w:r>
        <w:rPr>
          <w:rFonts w:hint="eastAsia" w:ascii="Times New Roman" w:hAnsi="Times New Roman" w:eastAsia="黑体"/>
          <w:b w:val="0"/>
          <w:color w:val="auto"/>
          <w:highlight w:val="none"/>
          <w:lang w:eastAsia="zh-CN"/>
        </w:rPr>
        <w:t>部门职责</w:t>
      </w:r>
    </w:p>
    <w:p w14:paraId="1861A0DE">
      <w:pPr>
        <w:adjustRightInd/>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认真贯彻执行党和国家有关老干部工作的方针、政策，贯彻执行州委老干部局对干休所工作的总体安排布署，为离退休老干部和老干部工作服务，引导老干部发挥自身特点和优势，围绕工作大局，为党和人民的事业增添正能量，积极稳妥推进离退休干部工作转型发展。</w:t>
      </w:r>
    </w:p>
    <w:p w14:paraId="5F4A0A1D">
      <w:pPr>
        <w:rPr>
          <w:rFonts w:hint="eastAsia"/>
          <w:lang w:eastAsia="zh-CN"/>
        </w:rPr>
      </w:pPr>
    </w:p>
    <w:p w14:paraId="1B7A84E4">
      <w:pPr>
        <w:pStyle w:val="4"/>
        <w:rPr>
          <w:rStyle w:val="32"/>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4"/>
      <w:bookmarkEnd w:id="15"/>
    </w:p>
    <w:p w14:paraId="57C1BF74">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阿坝州成都离退休干部休养所（阿坝州驻成都老干部管理服务中心）</w:t>
      </w:r>
      <w:r>
        <w:rPr>
          <w:rFonts w:hint="eastAsia" w:ascii="Times New Roman" w:hAnsi="Times New Roman" w:eastAsia="仿宋_GB2312" w:cs="仿宋_GB2312"/>
          <w:color w:val="auto"/>
          <w:sz w:val="32"/>
          <w:szCs w:val="32"/>
          <w:highlight w:val="none"/>
        </w:rPr>
        <w:t>属</w:t>
      </w:r>
      <w:r>
        <w:rPr>
          <w:rFonts w:hint="eastAsia" w:eastAsia="仿宋_GB2312" w:cs="仿宋_GB2312"/>
          <w:color w:val="auto"/>
          <w:sz w:val="32"/>
          <w:szCs w:val="32"/>
          <w:highlight w:val="none"/>
          <w:lang w:eastAsia="zh-CN"/>
        </w:rPr>
        <w:t>于中共阿坝州委老干局的</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ascii="仿宋" w:hAnsi="仿宋" w:eastAsia="仿宋" w:cs="仿宋"/>
          <w:sz w:val="32"/>
          <w:szCs w:val="32"/>
        </w:rPr>
        <w:t>本单位本年度纳入本套决算编制范围的独立编制机构数共1个，独立核算机构数共1个，</w:t>
      </w:r>
      <w:r>
        <w:rPr>
          <w:rFonts w:ascii="仿宋" w:hAnsi="仿宋" w:eastAsia="仿宋" w:cs="仿宋"/>
          <w:sz w:val="32"/>
          <w:szCs w:val="32"/>
        </w:rPr>
        <w:t>总编制</w:t>
      </w:r>
      <w:r>
        <w:rPr>
          <w:rFonts w:hint="eastAsia" w:ascii="仿宋" w:hAnsi="仿宋" w:eastAsia="仿宋" w:cs="仿宋"/>
          <w:sz w:val="32"/>
          <w:szCs w:val="32"/>
        </w:rPr>
        <w:t>10</w:t>
      </w:r>
      <w:r>
        <w:rPr>
          <w:rFonts w:ascii="仿宋" w:hAnsi="仿宋" w:eastAsia="仿宋" w:cs="仿宋"/>
          <w:sz w:val="32"/>
          <w:szCs w:val="32"/>
        </w:rPr>
        <w:t>名，参照公务员法管理的事业编制</w:t>
      </w:r>
      <w:r>
        <w:rPr>
          <w:rFonts w:hint="eastAsia" w:ascii="仿宋" w:hAnsi="仿宋" w:eastAsia="仿宋" w:cs="仿宋"/>
          <w:sz w:val="32"/>
          <w:szCs w:val="32"/>
        </w:rPr>
        <w:t>7</w:t>
      </w:r>
      <w:r>
        <w:rPr>
          <w:rFonts w:ascii="仿宋" w:hAnsi="仿宋" w:eastAsia="仿宋" w:cs="仿宋"/>
          <w:sz w:val="32"/>
          <w:szCs w:val="32"/>
        </w:rPr>
        <w:t>名，工勤编制</w:t>
      </w:r>
      <w:r>
        <w:rPr>
          <w:rFonts w:hint="eastAsia" w:ascii="仿宋" w:hAnsi="仿宋" w:eastAsia="仿宋" w:cs="仿宋"/>
          <w:sz w:val="32"/>
          <w:szCs w:val="32"/>
        </w:rPr>
        <w:t>3</w:t>
      </w:r>
      <w:r>
        <w:rPr>
          <w:rFonts w:ascii="仿宋" w:hAnsi="仿宋" w:eastAsia="仿宋" w:cs="仿宋"/>
          <w:sz w:val="32"/>
          <w:szCs w:val="32"/>
        </w:rPr>
        <w:t>名。在职人员总数</w:t>
      </w:r>
      <w:r>
        <w:rPr>
          <w:rFonts w:hint="eastAsia" w:ascii="仿宋" w:hAnsi="仿宋" w:eastAsia="仿宋" w:cs="仿宋"/>
          <w:sz w:val="32"/>
          <w:szCs w:val="32"/>
        </w:rPr>
        <w:t>10</w:t>
      </w:r>
      <w:r>
        <w:rPr>
          <w:rFonts w:ascii="仿宋" w:hAnsi="仿宋" w:eastAsia="仿宋" w:cs="仿宋"/>
          <w:sz w:val="32"/>
          <w:szCs w:val="32"/>
        </w:rPr>
        <w:t>名，其中：参照公务员法管理的事业人员</w:t>
      </w:r>
      <w:r>
        <w:rPr>
          <w:rFonts w:hint="eastAsia" w:ascii="仿宋" w:hAnsi="仿宋" w:eastAsia="仿宋" w:cs="仿宋"/>
          <w:sz w:val="32"/>
          <w:szCs w:val="32"/>
        </w:rPr>
        <w:t>7</w:t>
      </w:r>
      <w:r>
        <w:rPr>
          <w:rFonts w:ascii="仿宋" w:hAnsi="仿宋" w:eastAsia="仿宋" w:cs="仿宋"/>
          <w:sz w:val="32"/>
          <w:szCs w:val="32"/>
        </w:rPr>
        <w:t>名，工勤人员</w:t>
      </w:r>
      <w:r>
        <w:rPr>
          <w:rFonts w:hint="eastAsia" w:ascii="仿宋" w:hAnsi="仿宋" w:eastAsia="仿宋" w:cs="仿宋"/>
          <w:sz w:val="32"/>
          <w:szCs w:val="32"/>
        </w:rPr>
        <w:t>3</w:t>
      </w:r>
      <w:r>
        <w:rPr>
          <w:rFonts w:ascii="仿宋" w:hAnsi="仿宋" w:eastAsia="仿宋" w:cs="仿宋"/>
          <w:sz w:val="32"/>
          <w:szCs w:val="32"/>
        </w:rPr>
        <w:t>名</w:t>
      </w:r>
      <w:r>
        <w:rPr>
          <w:rFonts w:hint="eastAsia" w:ascii="仿宋" w:hAnsi="仿宋" w:eastAsia="仿宋" w:cs="仿宋"/>
          <w:sz w:val="32"/>
          <w:szCs w:val="32"/>
        </w:rPr>
        <w:t>。</w:t>
      </w:r>
      <w:r>
        <w:rPr>
          <w:rFonts w:ascii="仿宋" w:hAnsi="仿宋" w:eastAsia="仿宋" w:cs="仿宋"/>
          <w:sz w:val="32"/>
          <w:szCs w:val="32"/>
        </w:rPr>
        <w:t>退休人员</w:t>
      </w:r>
      <w:r>
        <w:rPr>
          <w:rFonts w:hint="eastAsia" w:ascii="仿宋" w:hAnsi="仿宋" w:eastAsia="仿宋" w:cs="仿宋"/>
          <w:sz w:val="32"/>
          <w:szCs w:val="32"/>
        </w:rPr>
        <w:t>7</w:t>
      </w:r>
      <w:r>
        <w:rPr>
          <w:rFonts w:ascii="仿宋" w:hAnsi="仿宋" w:eastAsia="仿宋" w:cs="仿宋"/>
          <w:sz w:val="32"/>
          <w:szCs w:val="32"/>
        </w:rPr>
        <w:t>人。</w:t>
      </w:r>
      <w:r>
        <w:rPr>
          <w:rFonts w:hint="eastAsia" w:eastAsia="仿宋_GB2312" w:cs="仿宋_GB2312"/>
          <w:color w:val="auto"/>
          <w:sz w:val="32"/>
          <w:szCs w:val="32"/>
          <w:highlight w:val="none"/>
          <w:lang w:eastAsia="zh-CN"/>
        </w:rPr>
        <w:t>本单位</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24A07903">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7713A8F7">
      <w:pPr>
        <w:rPr>
          <w:rFonts w:ascii="Times New Roman" w:hAnsi="Times New Roman"/>
          <w:color w:val="auto"/>
          <w:highlight w:val="none"/>
        </w:rPr>
      </w:pPr>
    </w:p>
    <w:p w14:paraId="7ABE6F5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8"/>
      <w:bookmarkEnd w:id="19"/>
    </w:p>
    <w:p w14:paraId="4F5E7797">
      <w:pPr>
        <w:snapToGrid w:val="0"/>
        <w:spacing w:line="520" w:lineRule="exact"/>
        <w:ind w:firstLine="640" w:firstLineChars="20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442.52万元。与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64.06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16.9</w:t>
      </w:r>
      <w:r>
        <w:rPr>
          <w:rFonts w:hint="eastAsia" w:ascii="Times New Roman" w:hAnsi="Times New Roman" w:eastAsia="仿宋_GB2312" w:cs="仿宋_GB2312"/>
          <w:color w:val="auto"/>
          <w:sz w:val="32"/>
          <w:szCs w:val="32"/>
          <w:highlight w:val="none"/>
        </w:rPr>
        <w:t>%。主要变动原因是</w:t>
      </w:r>
      <w:r>
        <w:rPr>
          <w:rFonts w:hint="eastAsia" w:ascii="仿宋_GB2312" w:hAnsi="仿宋" w:eastAsia="仿宋_GB2312"/>
          <w:sz w:val="32"/>
          <w:szCs w:val="32"/>
          <w:highlight w:val="none"/>
          <w:lang w:val="en-US" w:eastAsia="zh-CN"/>
        </w:rPr>
        <w:t>为增加了改造费用和设施设备采购</w:t>
      </w:r>
      <w:r>
        <w:rPr>
          <w:rFonts w:hint="eastAsia" w:ascii="仿宋_GB2312" w:hAnsi="仿宋" w:eastAsia="仿宋_GB2312"/>
          <w:sz w:val="32"/>
          <w:szCs w:val="32"/>
          <w:highlight w:val="none"/>
        </w:rPr>
        <w:t>。</w:t>
      </w:r>
    </w:p>
    <w:p w14:paraId="67DE84A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ABFE60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1" locked="0" layoutInCell="1" allowOverlap="1">
            <wp:simplePos x="0" y="0"/>
            <wp:positionH relativeFrom="column">
              <wp:posOffset>473075</wp:posOffset>
            </wp:positionH>
            <wp:positionV relativeFrom="paragraph">
              <wp:posOffset>102870</wp:posOffset>
            </wp:positionV>
            <wp:extent cx="4572000" cy="2743200"/>
            <wp:effectExtent l="4445" t="4445" r="14605" b="14605"/>
            <wp:wrapNone/>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D2469D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0D92BF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C0722C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F58C4C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690043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B9C14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D8FE72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p>
    <w:p w14:paraId="7CD1905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0"/>
      <w:bookmarkEnd w:id="21"/>
    </w:p>
    <w:p w14:paraId="1826D20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 w:hAnsi="仿宋" w:eastAsia="仿宋"/>
          <w:sz w:val="32"/>
          <w:szCs w:val="32"/>
          <w:lang w:val="en-US" w:eastAsia="zh-CN"/>
        </w:rPr>
        <w:t>442.52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 w:hAnsi="仿宋" w:eastAsia="仿宋"/>
          <w:sz w:val="32"/>
          <w:szCs w:val="32"/>
          <w:lang w:val="en-US" w:eastAsia="zh-CN"/>
        </w:rPr>
        <w:t>442.52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73A815A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3360" behindDoc="1" locked="0" layoutInCell="1" allowOverlap="1">
            <wp:simplePos x="0" y="0"/>
            <wp:positionH relativeFrom="column">
              <wp:posOffset>160020</wp:posOffset>
            </wp:positionH>
            <wp:positionV relativeFrom="paragraph">
              <wp:posOffset>351155</wp:posOffset>
            </wp:positionV>
            <wp:extent cx="4589145" cy="2726055"/>
            <wp:effectExtent l="4445" t="5080" r="16510" b="1206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09EA744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0E0778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E57E76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06280C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66A8BE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90D713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C8F86B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32C7915">
      <w:pPr>
        <w:rPr>
          <w:rFonts w:hint="eastAsia" w:ascii="Times New Roman" w:hAnsi="Times New Roman" w:eastAsia="仿宋_GB2312" w:cs="仿宋_GB2312"/>
          <w:color w:val="auto"/>
          <w:sz w:val="32"/>
          <w:szCs w:val="32"/>
          <w:highlight w:val="none"/>
          <w:lang w:eastAsia="zh-CN"/>
        </w:rPr>
      </w:pPr>
    </w:p>
    <w:p w14:paraId="52F53EB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2"/>
      <w:bookmarkEnd w:id="23"/>
    </w:p>
    <w:p w14:paraId="02A09BA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 w:hAnsi="仿宋" w:eastAsia="仿宋"/>
          <w:sz w:val="32"/>
          <w:szCs w:val="32"/>
          <w:lang w:val="en-US" w:eastAsia="zh-CN"/>
        </w:rPr>
        <w:t>442.52</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289.65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65.5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152.87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34.5</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548F42C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010239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1" locked="0" layoutInCell="1" allowOverlap="1">
            <wp:simplePos x="0" y="0"/>
            <wp:positionH relativeFrom="column">
              <wp:posOffset>541020</wp:posOffset>
            </wp:positionH>
            <wp:positionV relativeFrom="paragraph">
              <wp:posOffset>107950</wp:posOffset>
            </wp:positionV>
            <wp:extent cx="4621530" cy="3108960"/>
            <wp:effectExtent l="4445" t="4445" r="22225" b="1079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D518AD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413296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2FB93A4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710D93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7D8903E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B711A1F">
      <w:pPr>
        <w:rPr>
          <w:rFonts w:hint="eastAsia" w:ascii="Times New Roman" w:hAnsi="Times New Roman" w:eastAsia="仿宋_GB2312" w:cs="仿宋_GB2312"/>
          <w:color w:val="auto"/>
          <w:sz w:val="32"/>
          <w:szCs w:val="32"/>
          <w:highlight w:val="none"/>
          <w:lang w:eastAsia="zh-CN"/>
        </w:rPr>
      </w:pPr>
    </w:p>
    <w:p w14:paraId="4DBFD116">
      <w:pPr>
        <w:spacing w:line="600" w:lineRule="exact"/>
        <w:ind w:firstLine="640" w:firstLineChars="200"/>
        <w:outlineLvl w:val="1"/>
        <w:rPr>
          <w:rStyle w:val="32"/>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4"/>
      <w:bookmarkEnd w:id="25"/>
    </w:p>
    <w:p w14:paraId="11A6DCF9">
      <w:pPr>
        <w:snapToGrid w:val="0"/>
        <w:spacing w:line="52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 w:hAnsi="仿宋" w:eastAsia="仿宋"/>
          <w:sz w:val="32"/>
          <w:szCs w:val="32"/>
          <w:lang w:val="en-US" w:eastAsia="zh-CN"/>
        </w:rPr>
        <w:t>442.52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64.06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16.9</w:t>
      </w:r>
      <w:r>
        <w:rPr>
          <w:rFonts w:hint="eastAsia" w:ascii="Times New Roman" w:hAnsi="Times New Roman" w:eastAsia="仿宋_GB2312" w:cs="仿宋_GB2312"/>
          <w:color w:val="auto"/>
          <w:sz w:val="32"/>
          <w:szCs w:val="32"/>
          <w:highlight w:val="none"/>
        </w:rPr>
        <w:t>%。主要变动原因是</w:t>
      </w:r>
      <w:r>
        <w:rPr>
          <w:rFonts w:hint="eastAsia" w:ascii="仿宋_GB2312" w:hAnsi="仿宋" w:eastAsia="仿宋_GB2312"/>
          <w:sz w:val="32"/>
          <w:szCs w:val="32"/>
          <w:highlight w:val="none"/>
          <w:lang w:val="en-US" w:eastAsia="zh-CN"/>
        </w:rPr>
        <w:t>为增加了改造费用和设施设备采购</w:t>
      </w:r>
      <w:r>
        <w:rPr>
          <w:rFonts w:hint="eastAsia" w:ascii="仿宋_GB2312" w:hAnsi="仿宋" w:eastAsia="仿宋_GB2312"/>
          <w:sz w:val="32"/>
          <w:szCs w:val="32"/>
          <w:highlight w:val="none"/>
        </w:rPr>
        <w:t>。</w:t>
      </w:r>
    </w:p>
    <w:p w14:paraId="1176032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4E9A5E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6432" behindDoc="1" locked="0" layoutInCell="1" allowOverlap="1">
            <wp:simplePos x="0" y="0"/>
            <wp:positionH relativeFrom="column">
              <wp:posOffset>436880</wp:posOffset>
            </wp:positionH>
            <wp:positionV relativeFrom="paragraph">
              <wp:posOffset>109855</wp:posOffset>
            </wp:positionV>
            <wp:extent cx="4572000" cy="2751455"/>
            <wp:effectExtent l="4445" t="4445" r="14605" b="6350"/>
            <wp:wrapNone/>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drawing>
          <wp:anchor distT="0" distB="0" distL="114300" distR="114300" simplePos="0" relativeHeight="251665408" behindDoc="1" locked="0" layoutInCell="1" allowOverlap="1">
            <wp:simplePos x="0" y="0"/>
            <wp:positionH relativeFrom="column">
              <wp:posOffset>1607185</wp:posOffset>
            </wp:positionH>
            <wp:positionV relativeFrom="paragraph">
              <wp:posOffset>7712075</wp:posOffset>
            </wp:positionV>
            <wp:extent cx="4572000" cy="2743200"/>
            <wp:effectExtent l="4445" t="4445" r="14605" b="1460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F207A61">
      <w:pPr>
        <w:pStyle w:val="21"/>
        <w:rPr>
          <w:rFonts w:hint="eastAsia" w:ascii="Times New Roman" w:hAnsi="Times New Roman" w:eastAsia="仿宋_GB2312" w:cs="仿宋_GB2312"/>
          <w:color w:val="auto"/>
          <w:kern w:val="2"/>
          <w:sz w:val="32"/>
          <w:szCs w:val="32"/>
          <w:highlight w:val="none"/>
          <w:lang w:val="en-US" w:eastAsia="zh-CN" w:bidi="ar-SA"/>
        </w:rPr>
      </w:pPr>
    </w:p>
    <w:p w14:paraId="4C531C73">
      <w:pPr>
        <w:rPr>
          <w:rFonts w:hint="eastAsia" w:ascii="Times New Roman" w:hAnsi="Times New Roman" w:eastAsia="仿宋_GB2312" w:cs="仿宋_GB2312"/>
          <w:color w:val="auto"/>
          <w:kern w:val="2"/>
          <w:sz w:val="32"/>
          <w:szCs w:val="32"/>
          <w:highlight w:val="none"/>
          <w:lang w:val="en-US" w:eastAsia="zh-CN" w:bidi="ar-SA"/>
        </w:rPr>
      </w:pPr>
    </w:p>
    <w:p w14:paraId="3291B614">
      <w:pPr>
        <w:pStyle w:val="21"/>
        <w:rPr>
          <w:rFonts w:hint="eastAsia" w:ascii="Times New Roman" w:hAnsi="Times New Roman" w:eastAsia="仿宋_GB2312" w:cs="仿宋_GB2312"/>
          <w:color w:val="auto"/>
          <w:kern w:val="2"/>
          <w:sz w:val="32"/>
          <w:szCs w:val="32"/>
          <w:highlight w:val="none"/>
          <w:lang w:val="en-US" w:eastAsia="zh-CN" w:bidi="ar-SA"/>
        </w:rPr>
      </w:pPr>
    </w:p>
    <w:p w14:paraId="38CD2475">
      <w:pPr>
        <w:rPr>
          <w:rFonts w:hint="eastAsia"/>
          <w:lang w:val="en-US" w:eastAsia="zh-CN"/>
        </w:rPr>
      </w:pPr>
    </w:p>
    <w:p w14:paraId="0BC17F54">
      <w:pPr>
        <w:pStyle w:val="21"/>
        <w:rPr>
          <w:rFonts w:hint="eastAsia" w:ascii="Times New Roman" w:hAnsi="Times New Roman" w:eastAsia="仿宋_GB2312" w:cs="仿宋_GB2312"/>
          <w:color w:val="auto"/>
          <w:kern w:val="2"/>
          <w:sz w:val="32"/>
          <w:szCs w:val="32"/>
          <w:highlight w:val="none"/>
          <w:lang w:val="en-US" w:eastAsia="zh-CN" w:bidi="ar-SA"/>
        </w:rPr>
      </w:pPr>
    </w:p>
    <w:p w14:paraId="77575421">
      <w:pPr>
        <w:rPr>
          <w:rFonts w:hint="eastAsia" w:ascii="Times New Roman" w:hAnsi="Times New Roman" w:eastAsia="仿宋_GB2312" w:cs="仿宋_GB2312"/>
          <w:color w:val="auto"/>
          <w:kern w:val="2"/>
          <w:sz w:val="32"/>
          <w:szCs w:val="32"/>
          <w:highlight w:val="none"/>
          <w:lang w:val="en-US" w:eastAsia="zh-CN" w:bidi="ar-SA"/>
        </w:rPr>
      </w:pPr>
    </w:p>
    <w:p w14:paraId="04CC83C8">
      <w:pPr>
        <w:pStyle w:val="21"/>
        <w:rPr>
          <w:rFonts w:hint="eastAsia"/>
          <w:lang w:val="en-US" w:eastAsia="zh-CN"/>
        </w:rPr>
      </w:pPr>
    </w:p>
    <w:p w14:paraId="19D2EFBF">
      <w:pPr>
        <w:spacing w:line="600" w:lineRule="exact"/>
        <w:ind w:firstLine="640" w:firstLineChars="200"/>
        <w:outlineLvl w:val="1"/>
        <w:rPr>
          <w:rFonts w:hint="eastAsia" w:ascii="Times New Roman" w:hAnsi="Times New Roman" w:eastAsia="黑体"/>
          <w:color w:val="auto"/>
          <w:sz w:val="32"/>
          <w:szCs w:val="32"/>
          <w:highlight w:val="none"/>
        </w:rPr>
      </w:pPr>
      <w:bookmarkStart w:id="26" w:name="_Toc15377209"/>
      <w:bookmarkStart w:id="27" w:name="_Toc15396607"/>
    </w:p>
    <w:p w14:paraId="334D38BD">
      <w:pPr>
        <w:spacing w:line="600"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6"/>
      <w:bookmarkEnd w:id="27"/>
    </w:p>
    <w:p w14:paraId="493972C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586C288E">
      <w:pPr>
        <w:snapToGrid w:val="0"/>
        <w:spacing w:line="52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 w:hAnsi="仿宋" w:eastAsia="仿宋"/>
          <w:sz w:val="32"/>
          <w:szCs w:val="32"/>
          <w:lang w:val="en-US" w:eastAsia="zh-CN"/>
        </w:rPr>
        <w:t>442.52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sz w:val="32"/>
          <w:szCs w:val="32"/>
          <w:highlight w:val="none"/>
          <w:lang w:val="en-US" w:eastAsia="zh-CN"/>
        </w:rPr>
        <w:t>64.06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16.9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 w:eastAsia="仿宋_GB2312"/>
          <w:sz w:val="32"/>
          <w:szCs w:val="32"/>
          <w:highlight w:val="none"/>
          <w:lang w:val="en-US" w:eastAsia="zh-CN"/>
        </w:rPr>
        <w:t>为增加了改造费用和设施设备采购</w:t>
      </w:r>
      <w:r>
        <w:rPr>
          <w:rFonts w:hint="eastAsia" w:ascii="仿宋_GB2312" w:hAnsi="仿宋" w:eastAsia="仿宋_GB2312"/>
          <w:sz w:val="32"/>
          <w:szCs w:val="32"/>
          <w:highlight w:val="none"/>
        </w:rPr>
        <w:t>。</w:t>
      </w:r>
    </w:p>
    <w:p w14:paraId="570AE8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B4A0E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FA17CF">
      <w:pPr>
        <w:pStyle w:val="21"/>
        <w:rPr>
          <w:rFonts w:hint="eastAsia" w:ascii="Times New Roman" w:hAnsi="Times New Roman" w:eastAsia="仿宋_GB2312" w:cs="仿宋_GB2312"/>
          <w:color w:val="auto"/>
          <w:kern w:val="2"/>
          <w:sz w:val="32"/>
          <w:szCs w:val="32"/>
          <w:highlight w:val="none"/>
          <w:lang w:val="en-US" w:eastAsia="zh-CN" w:bidi="ar-SA"/>
        </w:rPr>
      </w:pPr>
    </w:p>
    <w:p w14:paraId="71F97BE5">
      <w:pPr>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7456" behindDoc="1" locked="0" layoutInCell="1" allowOverlap="1">
            <wp:simplePos x="0" y="0"/>
            <wp:positionH relativeFrom="column">
              <wp:posOffset>259715</wp:posOffset>
            </wp:positionH>
            <wp:positionV relativeFrom="paragraph">
              <wp:posOffset>-213360</wp:posOffset>
            </wp:positionV>
            <wp:extent cx="4572000" cy="2751455"/>
            <wp:effectExtent l="4445" t="4445" r="14605" b="6350"/>
            <wp:wrapNone/>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45BAC95">
      <w:pPr>
        <w:pStyle w:val="21"/>
        <w:rPr>
          <w:rFonts w:hint="eastAsia" w:ascii="Times New Roman" w:hAnsi="Times New Roman" w:eastAsia="仿宋_GB2312" w:cs="仿宋_GB2312"/>
          <w:color w:val="auto"/>
          <w:kern w:val="2"/>
          <w:sz w:val="32"/>
          <w:szCs w:val="32"/>
          <w:highlight w:val="none"/>
          <w:lang w:val="en-US" w:eastAsia="zh-CN" w:bidi="ar-SA"/>
        </w:rPr>
      </w:pPr>
    </w:p>
    <w:p w14:paraId="4C9EB673">
      <w:pPr>
        <w:rPr>
          <w:rFonts w:hint="eastAsia" w:ascii="Times New Roman" w:hAnsi="Times New Roman" w:eastAsia="仿宋_GB2312" w:cs="仿宋_GB2312"/>
          <w:color w:val="auto"/>
          <w:kern w:val="2"/>
          <w:sz w:val="32"/>
          <w:szCs w:val="32"/>
          <w:highlight w:val="none"/>
          <w:lang w:val="en-US" w:eastAsia="zh-CN" w:bidi="ar-SA"/>
        </w:rPr>
      </w:pPr>
    </w:p>
    <w:p w14:paraId="2D41B8DF">
      <w:pPr>
        <w:pStyle w:val="21"/>
        <w:rPr>
          <w:rFonts w:hint="eastAsia" w:ascii="Times New Roman" w:hAnsi="Times New Roman" w:eastAsia="仿宋_GB2312" w:cs="仿宋_GB2312"/>
          <w:color w:val="auto"/>
          <w:kern w:val="2"/>
          <w:sz w:val="32"/>
          <w:szCs w:val="32"/>
          <w:highlight w:val="none"/>
          <w:lang w:val="en-US" w:eastAsia="zh-CN" w:bidi="ar-SA"/>
        </w:rPr>
      </w:pPr>
    </w:p>
    <w:p w14:paraId="3419DF0F">
      <w:pPr>
        <w:rPr>
          <w:rFonts w:hint="eastAsia" w:ascii="Times New Roman" w:hAnsi="Times New Roman" w:eastAsia="仿宋_GB2312" w:cs="仿宋_GB2312"/>
          <w:color w:val="auto"/>
          <w:kern w:val="2"/>
          <w:sz w:val="32"/>
          <w:szCs w:val="32"/>
          <w:highlight w:val="none"/>
          <w:lang w:val="en-US" w:eastAsia="zh-CN" w:bidi="ar-SA"/>
        </w:rPr>
      </w:pPr>
    </w:p>
    <w:p w14:paraId="2B06418B">
      <w:pPr>
        <w:pStyle w:val="21"/>
        <w:rPr>
          <w:rFonts w:hint="eastAsia" w:ascii="Times New Roman" w:hAnsi="Times New Roman" w:eastAsia="仿宋_GB2312" w:cs="仿宋_GB2312"/>
          <w:color w:val="auto"/>
          <w:kern w:val="2"/>
          <w:sz w:val="32"/>
          <w:szCs w:val="32"/>
          <w:highlight w:val="none"/>
          <w:lang w:val="en-US" w:eastAsia="zh-CN" w:bidi="ar-SA"/>
        </w:rPr>
      </w:pPr>
    </w:p>
    <w:p w14:paraId="30E51403">
      <w:pPr>
        <w:rPr>
          <w:rFonts w:hint="eastAsia"/>
          <w:lang w:val="en-US" w:eastAsia="zh-CN"/>
        </w:rPr>
      </w:pPr>
    </w:p>
    <w:p w14:paraId="60C6DEA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0CBB517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 w:hAnsi="仿宋" w:eastAsia="仿宋"/>
          <w:sz w:val="32"/>
          <w:szCs w:val="32"/>
          <w:lang w:val="en-US" w:eastAsia="zh-CN"/>
        </w:rPr>
        <w:t>442.52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ascii="仿宋" w:hAnsi="仿宋" w:eastAsia="仿宋"/>
          <w:sz w:val="32"/>
          <w:szCs w:val="32"/>
          <w:lang w:val="en-US" w:eastAsia="zh-CN"/>
        </w:rPr>
        <w:t>381.58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86.2</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仿宋" w:hAnsi="仿宋" w:eastAsia="仿宋"/>
          <w:sz w:val="32"/>
          <w:szCs w:val="32"/>
          <w:lang w:val="en-US" w:eastAsia="zh-CN"/>
        </w:rPr>
        <w:t>30.43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 w:hAnsi="仿宋" w:eastAsia="仿宋"/>
          <w:sz w:val="32"/>
          <w:szCs w:val="32"/>
          <w:lang w:val="en-US" w:eastAsia="zh-CN"/>
        </w:rPr>
        <w:t>12.93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仿宋" w:hAnsi="仿宋" w:eastAsia="仿宋"/>
          <w:sz w:val="32"/>
          <w:szCs w:val="32"/>
        </w:rPr>
        <w:t>17.</w:t>
      </w:r>
      <w:r>
        <w:rPr>
          <w:rFonts w:hint="eastAsia" w:ascii="仿宋" w:hAnsi="仿宋" w:eastAsia="仿宋"/>
          <w:sz w:val="32"/>
          <w:szCs w:val="32"/>
          <w:lang w:val="en-US" w:eastAsia="zh-CN"/>
        </w:rPr>
        <w:t>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2DEFA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388D9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31D72F3">
      <w:pPr>
        <w:pStyle w:val="21"/>
        <w:rPr>
          <w:rFonts w:hint="eastAsia" w:ascii="Times New Roman" w:hAnsi="Times New Roman" w:eastAsia="仿宋_GB2312" w:cs="仿宋_GB2312"/>
          <w:color w:val="auto"/>
          <w:kern w:val="2"/>
          <w:sz w:val="32"/>
          <w:szCs w:val="32"/>
          <w:highlight w:val="none"/>
          <w:lang w:val="en-US" w:eastAsia="zh-CN" w:bidi="ar-SA"/>
        </w:rPr>
      </w:pPr>
    </w:p>
    <w:p w14:paraId="3B568E59">
      <w:pP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008755" cy="2405380"/>
            <wp:effectExtent l="4445" t="4445" r="6350" b="9525"/>
            <wp:docPr id="13" name="图表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C170D67">
      <w:pPr>
        <w:rPr>
          <w:rFonts w:hint="eastAsia" w:ascii="Times New Roman" w:hAnsi="Times New Roman" w:eastAsia="仿宋_GB2312" w:cs="仿宋_GB2312"/>
          <w:color w:val="auto"/>
          <w:kern w:val="2"/>
          <w:sz w:val="32"/>
          <w:szCs w:val="32"/>
          <w:highlight w:val="none"/>
          <w:lang w:val="en-US" w:eastAsia="zh-CN" w:bidi="ar-SA"/>
        </w:rPr>
      </w:pPr>
    </w:p>
    <w:p w14:paraId="40F6C9CA">
      <w:pPr>
        <w:pStyle w:val="21"/>
        <w:rPr>
          <w:rFonts w:hint="eastAsia"/>
          <w:lang w:val="en-US" w:eastAsia="zh-CN"/>
        </w:rPr>
      </w:pPr>
    </w:p>
    <w:p w14:paraId="17EAF9A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16CDB7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 w:hAnsi="仿宋" w:eastAsia="仿宋"/>
          <w:sz w:val="32"/>
          <w:szCs w:val="32"/>
          <w:lang w:val="en-US" w:eastAsia="zh-CN"/>
        </w:rPr>
        <w:t>442.52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7FE35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 w:hAnsi="仿宋" w:eastAsia="仿宋"/>
          <w:sz w:val="32"/>
          <w:szCs w:val="32"/>
          <w:lang w:val="en-US" w:eastAsia="zh-CN"/>
        </w:rPr>
        <w:t>228.71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（项）：支出决算为</w:t>
      </w:r>
      <w:r>
        <w:rPr>
          <w:rFonts w:hint="eastAsia" w:ascii="仿宋" w:hAnsi="仿宋" w:eastAsia="仿宋"/>
          <w:sz w:val="32"/>
          <w:szCs w:val="32"/>
          <w:lang w:val="en-US" w:eastAsia="zh-CN"/>
        </w:rPr>
        <w:t>152.87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3DE090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20.29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10.14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7910A9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9.94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6C8E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3673D653">
      <w:pPr>
        <w:tabs>
          <w:tab w:val="right" w:pos="8306"/>
        </w:tabs>
        <w:spacing w:line="600" w:lineRule="exact"/>
        <w:ind w:firstLine="640"/>
        <w:outlineLvl w:val="1"/>
        <w:rPr>
          <w:rStyle w:val="32"/>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4"/>
      <w:bookmarkEnd w:id="35"/>
      <w:r>
        <w:rPr>
          <w:rStyle w:val="32"/>
          <w:rFonts w:ascii="Times New Roman" w:hAnsi="Times New Roman" w:eastAsia="黑体"/>
          <w:b w:val="0"/>
          <w:color w:val="auto"/>
          <w:highlight w:val="none"/>
        </w:rPr>
        <w:tab/>
      </w:r>
    </w:p>
    <w:p w14:paraId="17027E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289.65</w:t>
      </w:r>
      <w:r>
        <w:rPr>
          <w:rFonts w:hint="eastAsia" w:ascii="Times New Roman" w:hAnsi="Times New Roman" w:eastAsia="仿宋_GB2312" w:cs="仿宋_GB2312"/>
          <w:color w:val="auto"/>
          <w:kern w:val="2"/>
          <w:sz w:val="32"/>
          <w:szCs w:val="32"/>
          <w:highlight w:val="none"/>
          <w:lang w:val="en-US" w:eastAsia="zh-CN" w:bidi="ar-SA"/>
        </w:rPr>
        <w:t>万元，其中：</w:t>
      </w:r>
    </w:p>
    <w:p w14:paraId="57AFD9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249.76</w:t>
      </w:r>
      <w:r>
        <w:rPr>
          <w:rFonts w:hint="eastAsia" w:ascii="Times New Roman" w:hAnsi="Times New Roman" w:eastAsia="仿宋_GB2312" w:cs="仿宋_GB2312"/>
          <w:color w:val="auto"/>
          <w:kern w:val="2"/>
          <w:sz w:val="32"/>
          <w:szCs w:val="32"/>
          <w:highlight w:val="none"/>
          <w:lang w:val="en-US" w:eastAsia="zh-CN" w:bidi="ar-SA"/>
        </w:rPr>
        <w:t>万元，主要包括：基本工资55.95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、津贴补贴47.08</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、奖金49.06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、机关事业单位基本养老保险缴费20.29</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、职业年金缴费10.14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职工基本医疗保险缴费9.94万元、公务员医疗补助缴费2.99万元、</w:t>
      </w:r>
      <w:r>
        <w:rPr>
          <w:rFonts w:hint="eastAsia" w:ascii="Times New Roman" w:hAnsi="Times New Roman" w:eastAsia="仿宋_GB2312" w:cs="仿宋_GB2312"/>
          <w:color w:val="auto"/>
          <w:kern w:val="2"/>
          <w:sz w:val="32"/>
          <w:szCs w:val="32"/>
          <w:highlight w:val="none"/>
          <w:lang w:val="en-US" w:eastAsia="zh-CN" w:bidi="ar-SA"/>
        </w:rPr>
        <w:t>其他社会保障缴费2.36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、住房公积金17.58</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其他工资福利</w:t>
      </w:r>
      <w:r>
        <w:rPr>
          <w:rFonts w:hint="eastAsia" w:ascii="Times New Roman" w:hAnsi="Times New Roman" w:eastAsia="仿宋_GB2312" w:cs="仿宋_GB2312"/>
          <w:color w:val="auto"/>
          <w:kern w:val="2"/>
          <w:sz w:val="32"/>
          <w:szCs w:val="32"/>
          <w:highlight w:val="none"/>
          <w:lang w:val="en-US" w:eastAsia="zh-CN" w:bidi="ar-SA"/>
        </w:rPr>
        <w:t>9.57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其他对个人和家庭的补助支出24.8</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39.89万</w:t>
      </w:r>
      <w:r>
        <w:rPr>
          <w:rFonts w:hint="eastAsia" w:ascii="Times New Roman" w:hAnsi="Times New Roman" w:eastAsia="仿宋_GB2312" w:cs="仿宋_GB2312"/>
          <w:color w:val="auto"/>
          <w:kern w:val="2"/>
          <w:sz w:val="32"/>
          <w:szCs w:val="32"/>
          <w:highlight w:val="none"/>
          <w:lang w:val="en-US" w:eastAsia="zh-CN" w:bidi="ar-SA"/>
        </w:rPr>
        <w:t>元，主要包括：办公费2.46</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元、水费0.32</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元、电费0.31</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元、邮电费3.22</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元、差旅费9.91</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元、维修（护）费0.72</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元、工会经费5.26</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元、福利费2.28</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元、公务用车运行维护费10.6</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元、其他商品和服务支出0.66</w:t>
      </w:r>
      <w:r>
        <w:rPr>
          <w:rFonts w:hint="eastAsia"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元、办公设备购置4.14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等。</w:t>
      </w:r>
    </w:p>
    <w:p w14:paraId="09F6A3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85116CA">
      <w:pPr>
        <w:spacing w:line="600" w:lineRule="exact"/>
        <w:ind w:firstLine="640"/>
        <w:outlineLvl w:val="1"/>
        <w:rPr>
          <w:rStyle w:val="32"/>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6"/>
      <w:bookmarkEnd w:id="37"/>
    </w:p>
    <w:p w14:paraId="3BE73D9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5A67369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 w:hAnsi="仿宋" w:eastAsia="仿宋"/>
          <w:sz w:val="32"/>
          <w:szCs w:val="32"/>
          <w:lang w:val="en-US" w:eastAsia="zh-CN"/>
        </w:rPr>
        <w:t>10.6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95.5</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20BB435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2BF1BE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 w:hAnsi="仿宋" w:eastAsia="仿宋"/>
          <w:sz w:val="32"/>
          <w:szCs w:val="32"/>
          <w:lang w:val="en-US" w:eastAsia="zh-CN"/>
        </w:rPr>
        <w:t>10.6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1C314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1D00AA4">
      <w:pPr>
        <w:pStyle w:val="2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240530" cy="3195320"/>
            <wp:effectExtent l="5080" t="4445" r="21590" b="1968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1ACF76">
      <w:pPr>
        <w:rPr>
          <w:rFonts w:hint="eastAsia" w:ascii="Times New Roman" w:hAnsi="Times New Roman" w:eastAsia="仿宋_GB2312" w:cs="仿宋_GB2312"/>
          <w:color w:val="auto"/>
          <w:kern w:val="2"/>
          <w:sz w:val="32"/>
          <w:szCs w:val="32"/>
          <w:highlight w:val="none"/>
          <w:lang w:val="en-US" w:eastAsia="zh-CN" w:bidi="ar-SA"/>
        </w:rPr>
      </w:pPr>
    </w:p>
    <w:p w14:paraId="6D67A1F8">
      <w:pPr>
        <w:pStyle w:val="21"/>
        <w:rPr>
          <w:rFonts w:hint="eastAsia" w:ascii="Times New Roman" w:hAnsi="Times New Roman" w:eastAsia="仿宋_GB2312" w:cs="仿宋_GB2312"/>
          <w:color w:val="auto"/>
          <w:kern w:val="2"/>
          <w:sz w:val="32"/>
          <w:szCs w:val="32"/>
          <w:highlight w:val="none"/>
          <w:lang w:val="en-US" w:eastAsia="zh-CN" w:bidi="ar-SA"/>
        </w:rPr>
      </w:pPr>
    </w:p>
    <w:p w14:paraId="5F654B5E">
      <w:pPr>
        <w:rPr>
          <w:rFonts w:hint="eastAsia" w:ascii="Times New Roman" w:hAnsi="Times New Roman" w:eastAsia="仿宋_GB2312" w:cs="仿宋_GB2312"/>
          <w:color w:val="auto"/>
          <w:kern w:val="2"/>
          <w:sz w:val="32"/>
          <w:szCs w:val="32"/>
          <w:highlight w:val="none"/>
          <w:lang w:val="en-US" w:eastAsia="zh-CN" w:bidi="ar-SA"/>
        </w:rPr>
      </w:pPr>
    </w:p>
    <w:p w14:paraId="269723B8">
      <w:pPr>
        <w:rPr>
          <w:rFonts w:hint="eastAsia"/>
          <w:lang w:val="en-US" w:eastAsia="zh-CN"/>
        </w:rPr>
      </w:pPr>
    </w:p>
    <w:p w14:paraId="7FD571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8671061">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10.6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95.5</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公务用车</w:t>
      </w:r>
      <w:r>
        <w:rPr>
          <w:rFonts w:hint="eastAsia" w:ascii="Times New Roman" w:hAnsi="Times New Roman" w:eastAsia="仿宋_GB2312" w:cs="仿宋_GB2312"/>
          <w:color w:val="auto"/>
          <w:kern w:val="2"/>
          <w:sz w:val="32"/>
          <w:szCs w:val="32"/>
          <w:highlight w:val="none"/>
          <w:lang w:val="en-US" w:eastAsia="zh-CN" w:bidi="ar-SA"/>
        </w:rPr>
        <w:t>运行维护费</w:t>
      </w:r>
      <w:r>
        <w:rPr>
          <w:rFonts w:hint="eastAsia" w:eastAsia="仿宋_GB2312" w:cs="仿宋_GB2312"/>
          <w:color w:val="auto"/>
          <w:kern w:val="2"/>
          <w:sz w:val="32"/>
          <w:szCs w:val="32"/>
          <w:highlight w:val="none"/>
          <w:lang w:val="en-US" w:eastAsia="zh-CN" w:bidi="ar-SA"/>
        </w:rPr>
        <w:t>增加。</w:t>
      </w:r>
    </w:p>
    <w:p w14:paraId="0202DD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45DAD0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10.6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老干部管理服务工作、</w:t>
      </w:r>
      <w:r>
        <w:rPr>
          <w:rFonts w:hint="eastAsia" w:ascii="仿宋_GB2312" w:eastAsia="仿宋_GB2312"/>
          <w:sz w:val="32"/>
          <w:szCs w:val="32"/>
        </w:rPr>
        <w:t>机关正常运转</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0518269F">
      <w:pPr>
        <w:spacing w:line="600" w:lineRule="exact"/>
        <w:ind w:firstLine="640"/>
        <w:rPr>
          <w:rFonts w:hint="eastAsia" w:ascii="仿宋_GB2312" w:eastAsia="仿宋_GB2312"/>
          <w:sz w:val="32"/>
          <w:szCs w:val="32"/>
        </w:rPr>
      </w:pPr>
      <w:bookmarkStart w:id="40" w:name="_Toc15377218"/>
      <w:bookmarkStart w:id="41" w:name="_Toc15396610"/>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sz w:val="32"/>
          <w:szCs w:val="32"/>
        </w:rPr>
        <w:t>公务接待费支出决算比202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_GB2312" w:eastAsia="仿宋_GB2312"/>
          <w:sz w:val="32"/>
          <w:szCs w:val="32"/>
          <w:lang w:eastAsia="zh-CN"/>
        </w:rPr>
        <w:t>无增减</w:t>
      </w:r>
      <w:r>
        <w:rPr>
          <w:rFonts w:hint="eastAsia" w:ascii="仿宋_GB2312" w:eastAsia="仿宋_GB2312"/>
          <w:sz w:val="32"/>
          <w:szCs w:val="32"/>
        </w:rPr>
        <w:t>。</w:t>
      </w:r>
    </w:p>
    <w:p w14:paraId="225E9D0E">
      <w:pPr>
        <w:spacing w:line="600" w:lineRule="exact"/>
        <w:ind w:firstLine="640"/>
        <w:rPr>
          <w:rFonts w:ascii="仿宋_GB2312" w:eastAsia="仿宋_GB2312"/>
          <w:sz w:val="32"/>
          <w:szCs w:val="32"/>
        </w:rPr>
      </w:pPr>
      <w:r>
        <w:rPr>
          <w:rFonts w:hint="eastAsia" w:ascii="仿宋_GB2312" w:eastAsia="仿宋_GB2312"/>
          <w:sz w:val="32"/>
          <w:szCs w:val="32"/>
        </w:rPr>
        <w:t>其中：</w:t>
      </w:r>
    </w:p>
    <w:p w14:paraId="0AA035DC">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万元，主要用于 (执行公务、开展业务活动开支的交通费、住宿费、用餐费等)。国内公务接待0批次，0人次（不包括陪同人员），共计支出0万元，具体内容无。</w:t>
      </w:r>
    </w:p>
    <w:p w14:paraId="2114DF28">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万元，主要用于接待（具体项目）。外事接待0批次，0人次（不包括陪同人员），共计支出0万元。</w:t>
      </w:r>
    </w:p>
    <w:p w14:paraId="41C4C03A">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0"/>
      <w:bookmarkEnd w:id="41"/>
    </w:p>
    <w:p w14:paraId="449C44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2556568">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2" w:name="_Toc15396611"/>
      <w:bookmarkStart w:id="43"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2"/>
      <w:bookmarkEnd w:id="43"/>
    </w:p>
    <w:p w14:paraId="6BAE50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E277E8F">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4" w:name="_Toc15396612"/>
      <w:bookmarkStart w:id="45"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4"/>
      <w:bookmarkEnd w:id="45"/>
    </w:p>
    <w:p w14:paraId="446CC9D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C5D1A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阿坝州成都离退休干部休养所（阿坝州驻成都老干部管理服务中心）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39.89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购置了办公设备。</w:t>
      </w:r>
    </w:p>
    <w:p w14:paraId="63A87D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0D9BF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阿坝州成都离退休干部休养所（阿坝州驻成都老干部管理服务中心）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老干部大学设施设备购置</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610CCE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18D25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阿坝州成都离退休干部休养所（阿坝州驻成都老干部管理服务中心）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仿宋_GB2312" w:hAnsi="仿宋_GB2312" w:eastAsia="仿宋_GB2312" w:cs="仿宋_GB2312"/>
          <w:color w:val="auto"/>
          <w:kern w:val="2"/>
          <w:sz w:val="32"/>
          <w:szCs w:val="32"/>
          <w:highlight w:val="none"/>
          <w:lang w:val="en-US" w:eastAsia="zh-CN" w:bidi="ar-SA"/>
        </w:rPr>
        <w:t>辆</w:t>
      </w:r>
      <w:r>
        <w:rPr>
          <w:rFonts w:hint="eastAsia" w:ascii="Times New Roman" w:hAnsi="Times New Roman" w:eastAsia="仿宋_GB2312" w:cs="仿宋_GB2312"/>
          <w:color w:val="auto"/>
          <w:kern w:val="2"/>
          <w:sz w:val="32"/>
          <w:szCs w:val="32"/>
          <w:highlight w:val="none"/>
          <w:lang w:val="en-US" w:eastAsia="zh-CN" w:bidi="ar-SA"/>
        </w:rPr>
        <w:t>，其中：副部（省）级及以上领导用车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1F77DE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60C63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根据预算绩效管理要求，根据预算绩效管理要求，</w:t>
      </w:r>
      <w:r>
        <w:rPr>
          <w:rFonts w:hint="eastAsia" w:ascii="仿宋_GB2312" w:eastAsia="仿宋_GB2312"/>
          <w:sz w:val="32"/>
          <w:szCs w:val="32"/>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_GB2312" w:eastAsia="仿宋_GB2312"/>
          <w:sz w:val="32"/>
          <w:szCs w:val="32"/>
          <w:lang w:eastAsia="zh-CN"/>
        </w:rPr>
        <w:t>办公点物业管理费，离退休基层党组织活动费，维修维护费，老干部活动、</w:t>
      </w:r>
      <w:r>
        <w:rPr>
          <w:rFonts w:hint="eastAsia" w:ascii="仿宋_GB2312" w:eastAsia="仿宋_GB2312"/>
          <w:sz w:val="32"/>
          <w:szCs w:val="32"/>
        </w:rPr>
        <w:t>服务中心运行费</w:t>
      </w:r>
      <w:r>
        <w:rPr>
          <w:rFonts w:hint="eastAsia" w:ascii="仿宋_GB2312" w:eastAsia="仿宋_GB2312"/>
          <w:sz w:val="32"/>
          <w:szCs w:val="32"/>
          <w:lang w:eastAsia="zh-CN"/>
        </w:rPr>
        <w:t>，</w:t>
      </w:r>
      <w:r>
        <w:rPr>
          <w:rFonts w:hint="eastAsia" w:ascii="仿宋_GB2312" w:eastAsia="仿宋_GB2312"/>
          <w:sz w:val="32"/>
          <w:szCs w:val="32"/>
        </w:rPr>
        <w:t>老干部大学运行费</w:t>
      </w:r>
      <w:r>
        <w:rPr>
          <w:rFonts w:hint="eastAsia" w:ascii="仿宋_GB2312" w:eastAsia="仿宋_GB2312"/>
          <w:sz w:val="32"/>
          <w:szCs w:val="32"/>
          <w:lang w:eastAsia="zh-CN"/>
        </w:rPr>
        <w:t>，营门口院区改造、老干部大学购置教学设施设备、营门口院区围墙改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1CB7E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eastAsia="仿宋_GB2312"/>
          <w:sz w:val="32"/>
          <w:szCs w:val="32"/>
          <w:lang w:eastAsia="zh-CN"/>
        </w:rPr>
        <w:t>办公点物业管理费，离退休基层党组织活动费，维修维护费，老干部活动、</w:t>
      </w:r>
      <w:r>
        <w:rPr>
          <w:rFonts w:hint="eastAsia" w:ascii="仿宋_GB2312" w:eastAsia="仿宋_GB2312"/>
          <w:sz w:val="32"/>
          <w:szCs w:val="32"/>
        </w:rPr>
        <w:t>服务中心运行费</w:t>
      </w:r>
      <w:r>
        <w:rPr>
          <w:rFonts w:hint="eastAsia" w:ascii="仿宋_GB2312" w:eastAsia="仿宋_GB2312"/>
          <w:sz w:val="32"/>
          <w:szCs w:val="32"/>
          <w:lang w:eastAsia="zh-CN"/>
        </w:rPr>
        <w:t>，</w:t>
      </w:r>
      <w:r>
        <w:rPr>
          <w:rFonts w:hint="eastAsia" w:ascii="仿宋_GB2312" w:eastAsia="仿宋_GB2312"/>
          <w:sz w:val="32"/>
          <w:szCs w:val="32"/>
        </w:rPr>
        <w:t>老干部大学运行费</w:t>
      </w:r>
      <w:r>
        <w:rPr>
          <w:rFonts w:hint="eastAsia" w:ascii="仿宋_GB2312" w:eastAsia="仿宋_GB2312"/>
          <w:sz w:val="32"/>
          <w:szCs w:val="32"/>
          <w:lang w:eastAsia="zh-CN"/>
        </w:rPr>
        <w:t>，营门口院区改造、老干部大学购置教学设施设备、营门口院区围墙改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152.87</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785C9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州委老干部局</w:t>
      </w: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老干</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w:t>
      </w:r>
      <w:r>
        <w:rPr>
          <w:rFonts w:hint="eastAsia" w:eastAsia="仿宋_GB2312" w:cs="仿宋_GB2312"/>
          <w:color w:val="auto"/>
          <w:kern w:val="2"/>
          <w:sz w:val="32"/>
          <w:szCs w:val="32"/>
          <w:highlight w:val="none"/>
          <w:lang w:val="en-US" w:eastAsia="zh-CN" w:bidi="ar-SA"/>
        </w:rPr>
        <w:t>我</w:t>
      </w:r>
      <w:r>
        <w:rPr>
          <w:rFonts w:hint="eastAsia" w:ascii="Times New Roman" w:hAnsi="Times New Roman" w:eastAsia="仿宋_GB2312" w:cs="仿宋_GB2312"/>
          <w:color w:val="auto"/>
          <w:kern w:val="2"/>
          <w:sz w:val="32"/>
          <w:szCs w:val="32"/>
          <w:highlight w:val="none"/>
          <w:lang w:val="en-US" w:eastAsia="zh-CN" w:bidi="ar-SA"/>
        </w:rPr>
        <w:t>单位不涉及）（注：如不涉及，可根据实际修改表述。）</w:t>
      </w:r>
    </w:p>
    <w:p w14:paraId="661A5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93396E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1A777399">
      <w:pPr>
        <w:spacing w:line="600" w:lineRule="exact"/>
        <w:jc w:val="left"/>
        <w:rPr>
          <w:rFonts w:ascii="Times New Roman" w:hAnsi="Times New Roman"/>
          <w:b/>
          <w:color w:val="auto"/>
          <w:sz w:val="44"/>
          <w:szCs w:val="44"/>
          <w:highlight w:val="none"/>
        </w:rPr>
      </w:pPr>
    </w:p>
    <w:p w14:paraId="7C865F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8203A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10C9AE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62D698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134C16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BE9CC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A6A05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CC851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1863E3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3FBC48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0DC8F9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602D17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31FBFF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FC21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335CE2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56085E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5D9798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41EA23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11D0CD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314D7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1C2829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0DF7D1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310A0E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790AC5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0C21C0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BB927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55F6F6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591032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5AD1A4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33B3DB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7678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3007CA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5E9E4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D60D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019EC7A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05DBF73">
      <w:pPr>
        <w:spacing w:line="600" w:lineRule="exact"/>
        <w:jc w:val="center"/>
        <w:rPr>
          <w:rStyle w:val="31"/>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0B6C6CE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929FD4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79DD7E1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2ACCFD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1965615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3730C5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1C46739">
      <w:pPr>
        <w:widowControl/>
        <w:adjustRightInd w:val="0"/>
        <w:snapToGrid w:val="0"/>
        <w:spacing w:line="578" w:lineRule="exact"/>
        <w:ind w:firstLine="643" w:firstLineChars="200"/>
        <w:contextualSpacing/>
        <w:jc w:val="left"/>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 w:hAnsi="仿宋" w:eastAsia="仿宋"/>
          <w:sz w:val="32"/>
          <w:szCs w:val="32"/>
        </w:rPr>
        <w:t>阿坝州成都离退体干部休养所(阿坝州驻成都老干部管理服务中心)（以下简称成都干休所）直属于州委老干部局</w:t>
      </w:r>
      <w:r>
        <w:rPr>
          <w:rFonts w:hint="eastAsia" w:ascii="仿宋" w:hAnsi="仿宋" w:eastAsia="仿宋"/>
          <w:sz w:val="32"/>
          <w:szCs w:val="32"/>
          <w:lang w:eastAsia="zh-CN"/>
        </w:rPr>
        <w:t>的</w:t>
      </w:r>
      <w:r>
        <w:rPr>
          <w:rFonts w:hint="eastAsia" w:ascii="仿宋" w:hAnsi="仿宋" w:eastAsia="仿宋"/>
          <w:sz w:val="32"/>
          <w:szCs w:val="32"/>
        </w:rPr>
        <w:t>参照公务员法管理的事业单位</w:t>
      </w:r>
      <w:r>
        <w:rPr>
          <w:rFonts w:hint="eastAsia" w:ascii="仿宋" w:hAnsi="仿宋" w:eastAsia="仿宋"/>
          <w:sz w:val="32"/>
          <w:szCs w:val="32"/>
          <w:lang w:eastAsia="zh-CN"/>
        </w:rPr>
        <w:t>，二</w:t>
      </w:r>
      <w:r>
        <w:rPr>
          <w:rFonts w:hint="eastAsia" w:ascii="仿宋" w:hAnsi="仿宋" w:eastAsia="仿宋"/>
          <w:sz w:val="32"/>
          <w:szCs w:val="32"/>
        </w:rPr>
        <w:t>级预算单位，</w:t>
      </w:r>
      <w:r>
        <w:rPr>
          <w:rFonts w:hint="eastAsia" w:ascii="仿宋" w:hAnsi="仿宋" w:eastAsia="仿宋" w:cs="Times New Roman"/>
          <w:sz w:val="32"/>
          <w:szCs w:val="32"/>
        </w:rPr>
        <w:t>内设科室</w:t>
      </w:r>
      <w:r>
        <w:rPr>
          <w:rFonts w:hint="eastAsia" w:ascii="仿宋" w:hAnsi="仿宋" w:eastAsia="仿宋" w:cs="Times New Roman"/>
          <w:sz w:val="32"/>
          <w:szCs w:val="32"/>
          <w:lang w:val="en-US" w:eastAsia="zh-CN"/>
        </w:rPr>
        <w:t>2个，0个</w:t>
      </w:r>
      <w:r>
        <w:rPr>
          <w:rFonts w:hint="eastAsia" w:ascii="Times New Roman" w:hAnsi="Times New Roman" w:eastAsia="仿宋_GB2312" w:cs="仿宋_GB2312"/>
          <w:color w:val="auto"/>
          <w:kern w:val="2"/>
          <w:sz w:val="32"/>
          <w:szCs w:val="32"/>
          <w:highlight w:val="none"/>
          <w:lang w:val="en-US" w:eastAsia="zh-CN" w:bidi="ar-SA"/>
        </w:rPr>
        <w:t>下属单位情况</w:t>
      </w:r>
      <w:r>
        <w:rPr>
          <w:rFonts w:hint="default" w:ascii="Times New Roman" w:hAnsi="Times New Roman" w:eastAsia="仿宋_GB2312" w:cs="仿宋_GB2312"/>
          <w:color w:val="auto"/>
          <w:kern w:val="2"/>
          <w:sz w:val="32"/>
          <w:szCs w:val="32"/>
          <w:highlight w:val="none"/>
          <w:lang w:val="en-US" w:eastAsia="zh-CN" w:bidi="ar-SA"/>
        </w:rPr>
        <w:t>。</w:t>
      </w:r>
    </w:p>
    <w:p w14:paraId="386686AF">
      <w:pPr>
        <w:ind w:firstLine="643"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 w:hAnsi="仿宋" w:eastAsia="仿宋"/>
          <w:sz w:val="32"/>
          <w:szCs w:val="32"/>
        </w:rPr>
        <w:t>成都干休所处理阿坝州成都离退休干部休养所、阿坝州老干部管理服务中心、阿坝州老干部大学日常事务、联系阿坝州老年协会工作。职能</w:t>
      </w:r>
      <w:r>
        <w:rPr>
          <w:rFonts w:hint="eastAsia" w:ascii="仿宋" w:hAnsi="仿宋" w:eastAsia="仿宋"/>
          <w:sz w:val="32"/>
          <w:szCs w:val="32"/>
          <w:lang w:eastAsia="zh-CN"/>
        </w:rPr>
        <w:t>职责为</w:t>
      </w:r>
      <w:r>
        <w:rPr>
          <w:rFonts w:hint="eastAsia" w:ascii="仿宋" w:hAnsi="仿宋" w:eastAsia="仿宋"/>
          <w:sz w:val="32"/>
          <w:szCs w:val="32"/>
        </w:rPr>
        <w:t>认真贯彻执行党和国家有关老干部工作的方针、政策，贯彻执行州委老干部局对干休所工作的总体安排部署，为离退休老干部和老干部工作服务，引导老干部发挥自身特点和优势，围绕党和政府工作大局，为党和人民的事业增添正能量，积极稳妥推进离退休干部工作发展。</w:t>
      </w:r>
    </w:p>
    <w:p w14:paraId="2D6D4F4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Times New Roman"/>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 w:hAnsi="仿宋" w:eastAsia="仿宋" w:cs="Times New Roman"/>
          <w:sz w:val="32"/>
          <w:szCs w:val="32"/>
        </w:rPr>
        <w:t>截至2025年末，</w:t>
      </w:r>
      <w:r>
        <w:rPr>
          <w:rFonts w:hint="eastAsia" w:ascii="仿宋" w:hAnsi="仿宋" w:eastAsia="仿宋" w:cs="Times New Roman"/>
          <w:sz w:val="32"/>
          <w:szCs w:val="32"/>
          <w:lang w:eastAsia="zh-CN"/>
        </w:rPr>
        <w:t>成都干休所</w:t>
      </w:r>
      <w:r>
        <w:rPr>
          <w:rFonts w:hint="eastAsia" w:ascii="仿宋" w:hAnsi="仿宋" w:eastAsia="仿宋" w:cs="Times New Roman"/>
          <w:sz w:val="32"/>
          <w:szCs w:val="32"/>
        </w:rPr>
        <w:t>编制</w:t>
      </w:r>
      <w:r>
        <w:rPr>
          <w:rFonts w:hint="eastAsia" w:ascii="仿宋" w:hAnsi="仿宋" w:eastAsia="仿宋" w:cs="Times New Roman"/>
          <w:sz w:val="32"/>
          <w:szCs w:val="32"/>
          <w:lang w:eastAsia="zh-CN"/>
        </w:rPr>
        <w:t>数为</w:t>
      </w:r>
      <w:r>
        <w:rPr>
          <w:rFonts w:hint="eastAsia" w:ascii="仿宋" w:hAnsi="仿宋" w:eastAsia="仿宋" w:cs="Times New Roman"/>
          <w:sz w:val="32"/>
          <w:szCs w:val="32"/>
          <w:lang w:val="en-US" w:eastAsia="zh-CN"/>
        </w:rPr>
        <w:t>10人，其中，</w:t>
      </w:r>
      <w:r>
        <w:rPr>
          <w:rFonts w:hint="eastAsia" w:ascii="仿宋" w:hAnsi="仿宋" w:eastAsia="仿宋" w:cs="Times New Roman"/>
          <w:sz w:val="32"/>
          <w:szCs w:val="32"/>
          <w:lang w:eastAsia="zh-CN"/>
        </w:rPr>
        <w:t>参工事业编</w:t>
      </w:r>
      <w:r>
        <w:rPr>
          <w:rFonts w:hint="eastAsia" w:ascii="仿宋" w:hAnsi="仿宋" w:eastAsia="仿宋" w:cs="Times New Roman"/>
          <w:sz w:val="32"/>
          <w:szCs w:val="32"/>
          <w:lang w:val="en-US" w:eastAsia="zh-CN"/>
        </w:rPr>
        <w:t>7人、工勤编3人，</w:t>
      </w:r>
      <w:r>
        <w:rPr>
          <w:rFonts w:hint="eastAsia" w:ascii="仿宋" w:hAnsi="仿宋" w:eastAsia="仿宋" w:cs="Times New Roman"/>
          <w:sz w:val="32"/>
          <w:szCs w:val="32"/>
        </w:rPr>
        <w:t>年末实有人数</w:t>
      </w:r>
      <w:r>
        <w:rPr>
          <w:rFonts w:hint="eastAsia" w:ascii="仿宋" w:hAnsi="仿宋" w:eastAsia="仿宋" w:cs="Times New Roman"/>
          <w:sz w:val="32"/>
          <w:szCs w:val="32"/>
          <w:lang w:eastAsia="zh-CN"/>
        </w:rPr>
        <w:t>为</w:t>
      </w:r>
      <w:r>
        <w:rPr>
          <w:rFonts w:hint="eastAsia" w:ascii="仿宋" w:hAnsi="仿宋" w:eastAsia="仿宋" w:cs="Times New Roman"/>
          <w:sz w:val="32"/>
          <w:szCs w:val="32"/>
          <w:lang w:val="en-US" w:eastAsia="zh-CN"/>
        </w:rPr>
        <w:t>10人，其中，</w:t>
      </w:r>
      <w:r>
        <w:rPr>
          <w:rFonts w:hint="eastAsia" w:ascii="仿宋" w:hAnsi="仿宋" w:eastAsia="仿宋" w:cs="Times New Roman"/>
          <w:sz w:val="32"/>
          <w:szCs w:val="32"/>
          <w:lang w:eastAsia="zh-CN"/>
        </w:rPr>
        <w:t>参工事业人员</w:t>
      </w:r>
      <w:r>
        <w:rPr>
          <w:rFonts w:hint="eastAsia" w:ascii="仿宋" w:hAnsi="仿宋" w:eastAsia="仿宋" w:cs="Times New Roman"/>
          <w:sz w:val="32"/>
          <w:szCs w:val="32"/>
          <w:lang w:val="en-US" w:eastAsia="zh-CN"/>
        </w:rPr>
        <w:t>7人、工勤人员3人。</w:t>
      </w:r>
    </w:p>
    <w:p w14:paraId="5CD49A1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294E8C5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成都干休所2025年年初预算收入数为453.96万元，决算报表收入数为442.52万元。</w:t>
      </w:r>
    </w:p>
    <w:p w14:paraId="66F31311">
      <w:pPr>
        <w:snapToGrid w:val="0"/>
        <w:spacing w:line="520" w:lineRule="exact"/>
        <w:ind w:firstLine="643" w:firstLineChars="200"/>
        <w:rPr>
          <w:rFonts w:hint="eastAsia" w:ascii="Times New Roman" w:hAnsi="Times New Roman" w:eastAsia="仿宋_GB2312"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成都干休所2025年年初预算支出数为453.96万元，决算报表支出数为442.52万元。</w:t>
      </w:r>
    </w:p>
    <w:p w14:paraId="3920B327">
      <w:pPr>
        <w:widowControl/>
        <w:adjustRightInd w:val="0"/>
        <w:snapToGrid w:val="0"/>
        <w:spacing w:line="578" w:lineRule="exact"/>
        <w:ind w:firstLine="643" w:firstLineChars="200"/>
        <w:contextualSpacing/>
        <w:jc w:val="left"/>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成都干休所2025年决算报表结转结余数为0。</w:t>
      </w:r>
    </w:p>
    <w:p w14:paraId="6DD4A90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2FC1AF0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698E4FD2">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zh-CN" w:eastAsia="zh-CN"/>
        </w:rPr>
        <w:t>履职效能。一是</w:t>
      </w:r>
      <w:r>
        <w:rPr>
          <w:rFonts w:hint="eastAsia" w:ascii="Times New Roman" w:hAnsi="Times New Roman" w:eastAsia="仿宋_GB2312" w:cs="Times New Roman"/>
          <w:sz w:val="32"/>
          <w:szCs w:val="32"/>
          <w:lang w:val="en-US" w:eastAsia="zh-CN"/>
        </w:rPr>
        <w:t>强化政治引领，离退休党组织建设取得新成效。理论学习走深走实：全年开展集中学习12次、专题研讨4次，覆盖老干部360余人次。党的二十届四中全会召开后，第一时间组织专题学习，通过领学、解读、交流促进精神落地。同时分层分类</w:t>
      </w:r>
      <w:bookmarkStart w:id="68" w:name="_GoBack"/>
      <w:bookmarkEnd w:id="68"/>
      <w:r>
        <w:rPr>
          <w:rFonts w:hint="eastAsia" w:eastAsia="仿宋_GB2312" w:cs="Times New Roman"/>
          <w:sz w:val="32"/>
          <w:szCs w:val="32"/>
          <w:lang w:val="en-US" w:eastAsia="zh-CN"/>
        </w:rPr>
        <w:t>开展深入贯彻中央八项规定精神学习教育</w:t>
      </w:r>
      <w:r>
        <w:rPr>
          <w:rFonts w:hint="eastAsia" w:ascii="Times New Roman" w:hAnsi="Times New Roman" w:eastAsia="仿宋_GB2312" w:cs="Times New Roman"/>
          <w:sz w:val="32"/>
          <w:szCs w:val="32"/>
          <w:lang w:val="en-US" w:eastAsia="zh-CN"/>
        </w:rPr>
        <w:t>，运用集中学习、线上推送、送学上门等多种形式，组织专题学习20场次、宣讲2次、警示教育7次，落实“送学上门”31人次，线上推送资料150余次，实现学习教育全员覆盖、全程不断；组织基础持续夯实：动态充实“银发人才库”，年内新增成员44人，组建由90余名党员组成的志愿服务队，常态化开展各类志愿活动。依托“老党员工作室”平台，广泛引导老党员积极投身“五老”宣讲、关心下一代、农牧科技推广、藏羌文艺创作等实践，充分发挥党员先锋模范作用；党建载体创新增效：打造“党建+文化”“党建+服务”“党建+志愿”多元载体，组织红色教育基地参观、专题讲座，开展“学回信精神 助改革发展”等主题活动，通过公众号宣传先进事迹。深化党建联建，与营门口街道及7家驻地单位搭建共建平台，与金牛区医院签署医疗服务合作协议，为老干部专门开通就医绿色通道。多元载体与联建举措既增强了组织活力，又拓展了老同志优质公共服务渠道，让党建成果切实惠及全体离退休干部。二是坚持精准施策，管理服务工作实现新提升。网格化服务精细高效；全面落实网格化服务制度，干部职工重点走访慰问老干部150余人次，解决实际问题40余项。开展离退休干部生日慰问78人次，协助老干部就医、理疗100余人次；服务保障提质升级：实施基础设施改造工程，完成所内供排水管网更新、路面翻新和活动室功能提升，规范院区停车秩序，新增停车位20个，改善老干部居住活动环境。全面排查整修发电机、热水器等关键设备，保障院区安全稳定运行。“爱心食堂”推出“定制化送餐”服务，为生病住院、行动不便的老同志配送营养爱心餐20余份。妥善处理4名老干部逝世后事，全程提供贴心服务，彰显对老同志的尊重与关爱；健康服务体系完善：联动成都市三医院为50余名厅级老干部开展集中体检，安排专人全程陪同引导，建立健康档案并跟踪反馈结果。联合州医保局、州建行等单位开展适老服务，解读医保报销、异地就医等热点问题，协助老同志更换二代社保卡，打通服务“最后一公里”。开展“送清凉”“送温暖”专项活动，推进绿化带改造、电梯检修等“微心愿”实事，为离休干部胥洪林、杨健举办百岁寿辰庆祝活动，营造尊老爱老浓厚氛围。三是发挥阵地作用，老年社会团体工作展现新活力。老干部大学办学成果丰硕：深化与四川开放大学乐龄学院合作共建，引进优质师资和课程资源，开设书法、舞蹈等5个班级，春季、秋季学期累计招生500余人次，缓解“一位难求”困境。创新“课堂教学+实践展示”模式，成立2支40人规模的党员志愿服务队和文艺小分队，组织学员参与各类公益活动和文艺演出，成功举办“红心永向党 银发再增辉”文艺汇演，近500名离退休干部参与。学校获评“四川省优秀终身教育院校”，分管副所长周丽同志获评“四川省终身教育先进工作者”；文体活动丰富多彩：精心组织各类特色文体活动，开展AI讲座、武侯祠及金沙遗址研学活动，完成“老博会”展演工作；组织学员参加省开大乐龄学院春季汇报表演，完成合唱团招考，举办现场创作暨优秀作品展示会。扎实推进秋季学期日常教学，6名学员书法作品跻身全国展评。积极筹备全民终身学习活动周启动仪式文艺汇演，以多样化、高品质活动展现老干部积极向上的精神风貌；文艺创作亮点纷呈：全年重点推进原创歌舞剧《绿水青山》创排，完成剧本多轮修订与专家论证，组织成都、郫都、都江堰三地演职人员多次集中联排，于“重阳敬老·情暖金秋”文艺汇演成功首演，700余名现场观众见证，该剧以艺术形式展现生态保护成果与民族地区发展，广受赞誉。舞蹈《天边那片红》跻身省级老年舞蹈决赛；纪念抗战胜利80周年文艺表演中，老同志自编自导自演《金蛇狂舞》《保卫黄河》等节目，抒发爱党爱国情怀，获上级领导与现场观众高度评价。四是加强自身建设，服务管理水平迈上新台阶。强化队伍建设：加强干部职工政治理论和业务能力培训，组织深入学习习近平总书记关于老干部工作的重要论述，开展警示教育10次、学纪学法专题会5次，筑牢思想防线。完成岗位风险排查，梳理廉政风险点10余处，健全内控机制和工作流程，确保依规依纪履职；提升保障能力：加大基础设施投入，完成院内围墙维修、院区绿化升级（翻新绿地面积200平方米）等项目，改善办公和居住环境。全面排查整治消防、用电、用气等安全隐患，完成爱心食堂天然气通气改造，实现安全规范运营。联合物业公司加强院区日常管理，优化保洁、安保服务流程，院区环境秩序、卫生状况显著改善，老干部满意度达95%以上；信息宣传成效明显：建立“线上+线下”宣传矩阵，全年发布工作信息简报18期，其中12篇被“阿坝晚霞”公众号采纳转发，1篇主题党日活动简报获省级媒体转载。利用微信公众号、工作群等平台，推送老干部工作政策、活动动态、老同志风采等内容100余条，扩大工作影响力。挖掘宣传老干部先进典型1名，讲述银发初心故事，营造学习先进、争当先进的良好氛围。</w:t>
      </w:r>
    </w:p>
    <w:p w14:paraId="7B7A752F">
      <w:pPr>
        <w:widowControl/>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zh-CN" w:eastAsia="zh-CN"/>
        </w:rPr>
        <w:t>预算管理。我</w:t>
      </w:r>
      <w:r>
        <w:rPr>
          <w:rFonts w:hint="eastAsia" w:ascii="Times New Roman" w:hAnsi="Times New Roman" w:eastAsia="仿宋_GB2312" w:cs="Times New Roman"/>
          <w:sz w:val="32"/>
          <w:szCs w:val="32"/>
          <w:lang w:val="en-US" w:eastAsia="zh-CN"/>
        </w:rPr>
        <w:t>所</w:t>
      </w:r>
      <w:r>
        <w:rPr>
          <w:rFonts w:hint="eastAsia" w:ascii="Times New Roman" w:hAnsi="Times New Roman" w:eastAsia="仿宋_GB2312" w:cs="Times New Roman"/>
          <w:sz w:val="32"/>
          <w:szCs w:val="32"/>
          <w:lang w:val="zh-CN" w:eastAsia="zh-CN"/>
        </w:rPr>
        <w:t>严格按要求编制年初部门预算，年初预算编制</w:t>
      </w:r>
      <w:r>
        <w:rPr>
          <w:rFonts w:hint="eastAsia" w:ascii="Times New Roman" w:hAnsi="Times New Roman" w:eastAsia="仿宋_GB2312" w:cs="Times New Roman"/>
          <w:sz w:val="32"/>
          <w:szCs w:val="32"/>
          <w:lang w:val="en-US" w:eastAsia="zh-CN"/>
        </w:rPr>
        <w:t>具有</w:t>
      </w:r>
      <w:r>
        <w:rPr>
          <w:rFonts w:hint="eastAsia" w:ascii="Times New Roman" w:hAnsi="Times New Roman" w:eastAsia="仿宋_GB2312" w:cs="Times New Roman"/>
          <w:sz w:val="32"/>
          <w:szCs w:val="32"/>
          <w:lang w:val="zh-CN" w:eastAsia="zh-CN"/>
        </w:rPr>
        <w:t>科学性和准确性。</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5年中调整</w:t>
      </w:r>
      <w:r>
        <w:rPr>
          <w:rFonts w:hint="default" w:ascii="Times New Roman" w:hAnsi="Times New Roman" w:eastAsia="仿宋_GB2312" w:cs="Times New Roman"/>
          <w:sz w:val="32"/>
          <w:szCs w:val="32"/>
          <w:lang w:val="en-US" w:eastAsia="zh-CN"/>
        </w:rPr>
        <w:t>预算</w:t>
      </w:r>
      <w:r>
        <w:rPr>
          <w:rFonts w:hint="eastAsia" w:ascii="Times New Roman" w:hAnsi="Times New Roman" w:eastAsia="仿宋_GB2312" w:cs="Times New Roman"/>
          <w:sz w:val="32"/>
          <w:szCs w:val="32"/>
          <w:lang w:val="en-US" w:eastAsia="zh-CN"/>
        </w:rPr>
        <w:t>数442.52</w:t>
      </w:r>
      <w:r>
        <w:rPr>
          <w:rFonts w:hint="default" w:ascii="Times New Roman" w:hAnsi="Times New Roman" w:eastAsia="仿宋_GB2312" w:cs="Times New Roman"/>
          <w:sz w:val="32"/>
          <w:szCs w:val="32"/>
          <w:lang w:val="en-US" w:eastAsia="zh-CN"/>
        </w:rPr>
        <w:t>万元，其中：基本支出</w:t>
      </w:r>
      <w:r>
        <w:rPr>
          <w:rFonts w:hint="eastAsia" w:ascii="Times New Roman" w:hAnsi="Times New Roman" w:eastAsia="仿宋_GB2312" w:cs="Times New Roman"/>
          <w:sz w:val="32"/>
          <w:szCs w:val="32"/>
          <w:lang w:val="en-US" w:eastAsia="zh-CN"/>
        </w:rPr>
        <w:t>289.65</w:t>
      </w:r>
      <w:r>
        <w:rPr>
          <w:rFonts w:hint="default" w:ascii="Times New Roman" w:hAnsi="Times New Roman" w:eastAsia="仿宋_GB2312" w:cs="Times New Roman"/>
          <w:sz w:val="32"/>
          <w:szCs w:val="32"/>
          <w:lang w:val="en-US" w:eastAsia="zh-CN"/>
        </w:rPr>
        <w:t>万元，项目支出</w:t>
      </w:r>
      <w:r>
        <w:rPr>
          <w:rFonts w:hint="eastAsia" w:ascii="Times New Roman" w:hAnsi="Times New Roman" w:eastAsia="仿宋_GB2312" w:cs="Times New Roman"/>
          <w:sz w:val="32"/>
          <w:szCs w:val="32"/>
          <w:lang w:val="en-US" w:eastAsia="zh-CN"/>
        </w:rPr>
        <w:t>152.87</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；全年财政预算收入442.52万元，支出442.52万元，</w:t>
      </w:r>
      <w:r>
        <w:rPr>
          <w:rFonts w:hint="default" w:ascii="Times New Roman" w:hAnsi="Times New Roman" w:eastAsia="仿宋_GB2312" w:cs="Times New Roman"/>
          <w:sz w:val="32"/>
          <w:szCs w:val="32"/>
          <w:lang w:val="en-US" w:eastAsia="zh-CN"/>
        </w:rPr>
        <w:t>预算执行完成</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，财政预算年终无结余。</w:t>
      </w:r>
    </w:p>
    <w:p w14:paraId="23383D6A">
      <w:pPr>
        <w:widowControl/>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zh-CN" w:eastAsia="zh-CN"/>
        </w:rPr>
        <w:t>财务管理。我所</w:t>
      </w:r>
      <w:r>
        <w:rPr>
          <w:rFonts w:hint="default" w:ascii="Times New Roman" w:hAnsi="Times New Roman" w:eastAsia="仿宋_GB2312" w:cs="Times New Roman"/>
          <w:sz w:val="32"/>
          <w:szCs w:val="32"/>
          <w:lang w:val="zh-CN" w:eastAsia="zh-CN"/>
        </w:rPr>
        <w:t>执行《政府会计准则制度》。财务岗位</w:t>
      </w:r>
      <w:r>
        <w:rPr>
          <w:rFonts w:hint="eastAsia" w:ascii="Times New Roman" w:hAnsi="Times New Roman" w:eastAsia="仿宋_GB2312" w:cs="Times New Roman"/>
          <w:sz w:val="32"/>
          <w:szCs w:val="32"/>
          <w:lang w:val="en-US" w:eastAsia="zh-CN"/>
        </w:rPr>
        <w:t>设会计1人、出纳1人，由副所长分管财务工作，执行一支笔审签，对超过5000元的大额资金支出必须经所长办公会商议决定。通过制定财务管理制度，</w:t>
      </w:r>
      <w:r>
        <w:rPr>
          <w:rFonts w:hint="default" w:ascii="Times New Roman" w:hAnsi="Times New Roman" w:eastAsia="仿宋_GB2312" w:cs="Times New Roman"/>
          <w:sz w:val="32"/>
          <w:szCs w:val="32"/>
          <w:lang w:val="zh-CN" w:eastAsia="zh-CN"/>
        </w:rPr>
        <w:t>明确了财务人员的职责权限</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财务收支审批程序和审批人的权限</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lang w:val="zh-CN" w:eastAsia="zh-CN"/>
        </w:rPr>
        <w:t>责任</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经费支出的范围</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lang w:val="zh-CN" w:eastAsia="zh-CN"/>
        </w:rPr>
        <w:t>开支标准</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规范了各项资金的使用，提高了资金使用效益</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杜绝了浪费现象的发生。在财务</w:t>
      </w:r>
      <w:r>
        <w:rPr>
          <w:rFonts w:hint="eastAsia" w:ascii="Times New Roman" w:hAnsi="Times New Roman" w:eastAsia="仿宋_GB2312" w:cs="Times New Roman"/>
          <w:sz w:val="32"/>
          <w:szCs w:val="32"/>
          <w:lang w:val="en-US" w:eastAsia="zh-CN"/>
        </w:rPr>
        <w:t>管理</w:t>
      </w:r>
      <w:r>
        <w:rPr>
          <w:rFonts w:hint="default" w:ascii="Times New Roman" w:hAnsi="Times New Roman" w:eastAsia="仿宋_GB2312" w:cs="Times New Roman"/>
          <w:sz w:val="32"/>
          <w:szCs w:val="32"/>
          <w:lang w:val="zh-CN" w:eastAsia="zh-CN"/>
        </w:rPr>
        <w:t>中，严格执行国家有关财务法规，所发生的各项业务事项均在依法设置的会计账簿上统一登记、核算，依据国家统一的会计制度规定进行会计核算，确保数据真实、有效。单位发生的经济业务严格执行《预算法》规定，持续规范、完善部门预算编制、账务处理、资产管理等不规范问题，不断提高</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花钱必问效，无效必问责</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绩效管理理念。</w:t>
      </w:r>
    </w:p>
    <w:p w14:paraId="36119959">
      <w:pPr>
        <w:widowControl/>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zh-CN" w:eastAsia="zh-CN"/>
        </w:rPr>
        <w:t>资产管理。</w:t>
      </w:r>
      <w:r>
        <w:rPr>
          <w:rFonts w:hint="default" w:ascii="Times New Roman" w:hAnsi="Times New Roman" w:eastAsia="仿宋_GB2312" w:cs="Times New Roman"/>
          <w:sz w:val="32"/>
          <w:szCs w:val="32"/>
          <w:lang w:val="zh-CN" w:eastAsia="zh-CN"/>
        </w:rPr>
        <w:t>为了加强固定资产管理和使用，在固定资产购置时，严格按照政府采购程序进行采购，并根据有关规定，建立了账簿、款项和实物核查制度，通过建立健全制度，会计人员对各项财物、款项的增减变动和结存情况及时进行记录、计算、反映、核对等；</w:t>
      </w:r>
      <w:r>
        <w:rPr>
          <w:rFonts w:hint="eastAsia" w:ascii="Times New Roman" w:hAnsi="Times New Roman" w:eastAsia="仿宋_GB2312" w:cs="Times New Roman"/>
          <w:sz w:val="32"/>
          <w:szCs w:val="32"/>
          <w:lang w:val="zh-CN" w:eastAsia="zh-CN"/>
        </w:rPr>
        <w:t>办公室人员对资产实物进行日常</w:t>
      </w:r>
      <w:r>
        <w:rPr>
          <w:rFonts w:hint="eastAsia" w:ascii="Times New Roman" w:hAnsi="Times New Roman" w:eastAsia="仿宋_GB2312" w:cs="Times New Roman"/>
          <w:sz w:val="32"/>
          <w:szCs w:val="32"/>
          <w:lang w:val="en-US" w:eastAsia="zh-CN"/>
        </w:rPr>
        <w:t>管理，经常使用的资产使用人即为管理人；做到</w:t>
      </w:r>
      <w:r>
        <w:rPr>
          <w:rFonts w:hint="default" w:ascii="Times New Roman" w:hAnsi="Times New Roman" w:eastAsia="仿宋_GB2312" w:cs="Times New Roman"/>
          <w:sz w:val="32"/>
          <w:szCs w:val="32"/>
          <w:lang w:val="zh-CN" w:eastAsia="zh-CN"/>
        </w:rPr>
        <w:t>账账相符</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账</w:t>
      </w:r>
      <w:r>
        <w:rPr>
          <w:rFonts w:hint="eastAsia" w:ascii="Times New Roman" w:hAnsi="Times New Roman" w:eastAsia="仿宋_GB2312" w:cs="Times New Roman"/>
          <w:sz w:val="32"/>
          <w:szCs w:val="32"/>
          <w:lang w:val="zh-CN" w:eastAsia="zh-CN"/>
        </w:rPr>
        <w:t>实</w:t>
      </w:r>
      <w:r>
        <w:rPr>
          <w:rFonts w:hint="default" w:ascii="Times New Roman" w:hAnsi="Times New Roman" w:eastAsia="仿宋_GB2312" w:cs="Times New Roman"/>
          <w:sz w:val="32"/>
          <w:szCs w:val="32"/>
          <w:lang w:val="zh-CN" w:eastAsia="zh-CN"/>
        </w:rPr>
        <w:t>相符</w:t>
      </w:r>
      <w:r>
        <w:rPr>
          <w:rFonts w:hint="eastAsia" w:ascii="Times New Roman" w:hAnsi="Times New Roman" w:eastAsia="仿宋_GB2312" w:cs="Times New Roman"/>
          <w:sz w:val="32"/>
          <w:szCs w:val="32"/>
          <w:lang w:val="zh-CN" w:eastAsia="zh-CN"/>
        </w:rPr>
        <w:t>，目前存在部分资产报销走流程，存在未下账的现象，因归集为费用还是固定资产存疑，存在在建工程未转的情况，计划于今年解决此类问题。</w:t>
      </w:r>
    </w:p>
    <w:p w14:paraId="1B2CA9D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我所政府采购支出总额</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老干部大学设施设备购置</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10.94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7DF86B36">
      <w:pPr>
        <w:spacing w:line="600" w:lineRule="exact"/>
        <w:ind w:firstLine="640"/>
        <w:rPr>
          <w:rFonts w:hint="default" w:ascii="仿宋_GB2312" w:hAnsi="仿宋_GB2312" w:eastAsia="仿宋_GB2312" w:cs="仿宋_GB2312"/>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仿宋_GB2312" w:hAnsi="仿宋_GB2312" w:eastAsia="仿宋_GB2312" w:cs="仿宋_GB2312"/>
          <w:sz w:val="32"/>
          <w:szCs w:val="32"/>
          <w:lang w:val="en-US" w:eastAsia="zh-CN"/>
        </w:rPr>
        <w:t>我所</w:t>
      </w:r>
      <w:r>
        <w:rPr>
          <w:rFonts w:hint="default" w:ascii="仿宋_GB2312" w:hAnsi="仿宋_GB2312" w:eastAsia="仿宋_GB2312" w:cs="仿宋_GB2312"/>
          <w:sz w:val="32"/>
          <w:szCs w:val="32"/>
          <w:lang w:val="en-US" w:eastAsia="zh-CN"/>
        </w:rPr>
        <w:t>常年项目</w:t>
      </w:r>
      <w:r>
        <w:rPr>
          <w:rFonts w:hint="default" w:ascii="仿宋_GB2312" w:hAnsi="仿宋_GB2312" w:eastAsia="仿宋_GB2312" w:cs="仿宋_GB2312"/>
          <w:sz w:val="32"/>
          <w:szCs w:val="32"/>
          <w:lang w:val="zh-CN" w:eastAsia="zh-CN"/>
        </w:rPr>
        <w:t>总数</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zh-CN" w:eastAsia="zh-CN"/>
        </w:rPr>
        <w:t>个，涉及预算总金额</w:t>
      </w:r>
      <w:r>
        <w:rPr>
          <w:rFonts w:hint="eastAsia" w:ascii="仿宋_GB2312" w:hAnsi="仿宋_GB2312" w:eastAsia="仿宋_GB2312" w:cs="仿宋_GB2312"/>
          <w:sz w:val="32"/>
          <w:szCs w:val="32"/>
          <w:lang w:val="en-US" w:eastAsia="zh-CN"/>
        </w:rPr>
        <w:t>98.44</w:t>
      </w:r>
      <w:r>
        <w:rPr>
          <w:rFonts w:hint="default" w:ascii="仿宋_GB2312" w:hAnsi="仿宋_GB2312" w:eastAsia="仿宋_GB2312" w:cs="仿宋_GB2312"/>
          <w:sz w:val="32"/>
          <w:szCs w:val="32"/>
          <w:lang w:val="zh-CN" w:eastAsia="zh-CN"/>
        </w:rPr>
        <w:t>万元，</w:t>
      </w:r>
      <w:r>
        <w:rPr>
          <w:rFonts w:hint="default" w:ascii="仿宋_GB2312" w:hAnsi="仿宋_GB2312" w:eastAsia="仿宋_GB2312" w:cs="仿宋_GB2312"/>
          <w:sz w:val="32"/>
          <w:szCs w:val="32"/>
          <w:lang w:val="zh-CN"/>
        </w:rPr>
        <w:t>1</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zh-CN"/>
        </w:rPr>
        <w:t>1</w:t>
      </w:r>
      <w:r>
        <w:rPr>
          <w:rFonts w:hint="default"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zh-CN"/>
        </w:rPr>
        <w:t>月预算执行</w:t>
      </w:r>
      <w:r>
        <w:rPr>
          <w:rFonts w:hint="eastAsia" w:ascii="仿宋_GB2312" w:hAnsi="仿宋_GB2312" w:eastAsia="仿宋_GB2312" w:cs="仿宋_GB2312"/>
          <w:sz w:val="32"/>
          <w:szCs w:val="32"/>
          <w:lang w:val="en-US" w:eastAsia="zh-CN"/>
        </w:rPr>
        <w:t>数为98.44万元，执行</w:t>
      </w:r>
      <w:r>
        <w:rPr>
          <w:rFonts w:hint="default" w:ascii="仿宋_GB2312" w:hAnsi="仿宋_GB2312" w:eastAsia="仿宋_GB2312" w:cs="仿宋_GB2312"/>
          <w:sz w:val="32"/>
          <w:szCs w:val="32"/>
          <w:lang w:val="zh-CN"/>
        </w:rPr>
        <w:t>总体进度为</w:t>
      </w:r>
      <w:r>
        <w:rPr>
          <w:rFonts w:hint="eastAsia" w:ascii="仿宋_GB2312" w:hAnsi="仿宋_GB2312" w:eastAsia="仿宋_GB2312" w:cs="仿宋_GB2312"/>
          <w:sz w:val="32"/>
          <w:szCs w:val="32"/>
          <w:lang w:val="en-US" w:eastAsia="zh-CN"/>
        </w:rPr>
        <w:t>100</w:t>
      </w:r>
      <w:r>
        <w:rPr>
          <w:rFonts w:hint="default"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无</w:t>
      </w:r>
      <w:r>
        <w:rPr>
          <w:rFonts w:hint="default" w:ascii="仿宋_GB2312" w:hAnsi="仿宋_GB2312" w:eastAsia="仿宋_GB2312" w:cs="仿宋_GB2312"/>
          <w:sz w:val="32"/>
          <w:szCs w:val="32"/>
          <w:lang w:val="zh-CN" w:eastAsia="zh-CN"/>
        </w:rPr>
        <w:t>预算结余</w:t>
      </w:r>
      <w:r>
        <w:rPr>
          <w:rFonts w:hint="eastAsia" w:ascii="仿宋_GB2312" w:hAnsi="仿宋_GB2312" w:eastAsia="仿宋_GB2312" w:cs="仿宋_GB2312"/>
          <w:sz w:val="32"/>
          <w:szCs w:val="32"/>
          <w:lang w:val="en-US" w:eastAsia="zh-CN"/>
        </w:rPr>
        <w:t>资金</w:t>
      </w:r>
      <w:r>
        <w:rPr>
          <w:rFonts w:hint="default" w:ascii="仿宋_GB2312" w:hAnsi="仿宋_GB2312" w:eastAsia="仿宋_GB2312" w:cs="仿宋_GB2312"/>
          <w:sz w:val="32"/>
          <w:szCs w:val="32"/>
          <w:lang w:val="zh-CN" w:eastAsia="zh-CN"/>
        </w:rPr>
        <w:t>。</w:t>
      </w:r>
    </w:p>
    <w:p w14:paraId="181D52E1">
      <w:pPr>
        <w:spacing w:line="600" w:lineRule="exact"/>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我所</w:t>
      </w:r>
      <w:r>
        <w:rPr>
          <w:rFonts w:hint="default" w:ascii="仿宋_GB2312" w:hAnsi="仿宋_GB2312" w:eastAsia="仿宋_GB2312" w:cs="仿宋_GB2312"/>
          <w:sz w:val="32"/>
          <w:szCs w:val="32"/>
          <w:lang w:val="en-US" w:eastAsia="zh-CN"/>
        </w:rPr>
        <w:t>常年</w:t>
      </w:r>
      <w:r>
        <w:rPr>
          <w:rFonts w:hint="default"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en-US" w:eastAsia="zh-CN"/>
        </w:rPr>
        <w:t>5个，分别是老干部活动费、 离退休党组织活动费、老年大学教学经费、物业管理费、维修维护费，</w:t>
      </w:r>
      <w:r>
        <w:rPr>
          <w:rFonts w:hint="eastAsia" w:ascii="仿宋_GB2312" w:hAnsi="仿宋_GB2312" w:eastAsia="仿宋_GB2312" w:cs="仿宋_GB2312"/>
          <w:sz w:val="32"/>
          <w:szCs w:val="32"/>
          <w:lang w:val="zh-CN"/>
        </w:rPr>
        <w:t>严格按照规程序进行申报，部门预算项目在规定时间完成项目入库。</w:t>
      </w:r>
    </w:p>
    <w:p w14:paraId="5CA915AB">
      <w:pPr>
        <w:spacing w:line="600" w:lineRule="exact"/>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2.项目执行</w:t>
      </w:r>
      <w:r>
        <w:rPr>
          <w:rFonts w:hint="eastAsia" w:ascii="仿宋_GB2312" w:hAnsi="仿宋_GB2312" w:eastAsia="仿宋_GB2312" w:cs="仿宋_GB2312"/>
          <w:sz w:val="32"/>
          <w:szCs w:val="32"/>
          <w:lang w:val="zh-CN"/>
        </w:rPr>
        <w:t>。部门预算项目绩效目标与计划期内的任务量、预算安排的资金量相匹配，绩效目标设置科学合理、规范完整、量化细化、与预算相匹配。部门预算项目实际列支内容与绩效目标设置方向相符，</w:t>
      </w: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lang w:val="zh-CN"/>
        </w:rPr>
        <w:t>项目调整。</w:t>
      </w:r>
    </w:p>
    <w:p w14:paraId="734E84F0">
      <w:pPr>
        <w:spacing w:line="600" w:lineRule="exact"/>
        <w:ind w:firstLine="64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目标实现。</w:t>
      </w:r>
      <w:r>
        <w:rPr>
          <w:rFonts w:hint="eastAsia" w:ascii="仿宋_GB2312" w:hAnsi="仿宋_GB2312" w:eastAsia="仿宋_GB2312" w:cs="仿宋_GB2312"/>
          <w:sz w:val="32"/>
          <w:szCs w:val="32"/>
          <w:lang w:val="en-US" w:eastAsia="zh-CN"/>
        </w:rPr>
        <w:t>5个项目年内</w:t>
      </w:r>
      <w:r>
        <w:rPr>
          <w:rFonts w:hint="eastAsia" w:ascii="仿宋_GB2312" w:hAnsi="仿宋_GB2312" w:eastAsia="仿宋_GB2312" w:cs="仿宋_GB2312"/>
          <w:sz w:val="32"/>
          <w:szCs w:val="32"/>
          <w:lang w:val="zh-CN"/>
        </w:rPr>
        <w:t>目标完成</w:t>
      </w:r>
      <w:r>
        <w:rPr>
          <w:rFonts w:hint="eastAsia" w:ascii="仿宋_GB2312" w:hAnsi="仿宋_GB2312" w:eastAsia="仿宋_GB2312" w:cs="仿宋_GB2312"/>
          <w:sz w:val="32"/>
          <w:szCs w:val="32"/>
          <w:lang w:val="en-US" w:eastAsia="zh-CN"/>
        </w:rPr>
        <w:t>良好，无</w:t>
      </w:r>
      <w:r>
        <w:rPr>
          <w:rFonts w:hint="eastAsia" w:ascii="仿宋_GB2312" w:hAnsi="仿宋_GB2312" w:eastAsia="仿宋_GB2312" w:cs="仿宋_GB2312"/>
          <w:sz w:val="32"/>
          <w:szCs w:val="32"/>
          <w:lang w:val="zh-CN"/>
        </w:rPr>
        <w:t>目标偏离。</w:t>
      </w:r>
      <w:r>
        <w:rPr>
          <w:rFonts w:hint="eastAsia" w:ascii="仿宋_GB2312" w:hAnsi="仿宋_GB2312" w:eastAsia="仿宋_GB2312" w:cs="仿宋_GB2312"/>
          <w:sz w:val="32"/>
          <w:szCs w:val="32"/>
        </w:rPr>
        <w:t>全年开展集中学习12次、专题研讨4次，覆盖老干部360余人次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动态充实“银发人才库”，年内新增成员44人，组建由90余名党员组成的志愿服务队，常态化开展各类志愿活动。开展“学回信精神 助改革发展”等主题活动，通过公众号宣传先进事迹。深化党建联建，与营门口街道及7家驻地单位搭建共建平台，与金牛区医院签署医疗服务合作协议，</w:t>
      </w:r>
      <w:r>
        <w:rPr>
          <w:rFonts w:hint="eastAsia" w:ascii="仿宋_GB2312" w:hAnsi="仿宋_GB2312" w:eastAsia="仿宋_GB2312" w:cs="仿宋_GB2312"/>
          <w:sz w:val="32"/>
          <w:szCs w:val="32"/>
          <w:lang w:eastAsia="zh-CN"/>
        </w:rPr>
        <w:t>为老干部专门</w:t>
      </w:r>
      <w:r>
        <w:rPr>
          <w:rFonts w:hint="eastAsia" w:ascii="仿宋_GB2312" w:hAnsi="仿宋_GB2312" w:eastAsia="仿宋_GB2312" w:cs="仿宋_GB2312"/>
          <w:sz w:val="32"/>
          <w:szCs w:val="32"/>
        </w:rPr>
        <w:t>开通就医绿色通道。全面落实网格化服务制度，干部职工重点走访慰问老干部150余人次，解决实际问题40余项。开展离退休干部生日慰问78人次，协助老干部就医、理疗100余人次</w:t>
      </w:r>
      <w:r>
        <w:rPr>
          <w:rFonts w:hint="eastAsia" w:ascii="仿宋_GB2312" w:hAnsi="仿宋_GB2312" w:eastAsia="仿宋_GB2312" w:cs="仿宋_GB2312"/>
          <w:sz w:val="32"/>
          <w:szCs w:val="32"/>
          <w:lang w:eastAsia="zh-CN"/>
        </w:rPr>
        <w:t>。联动成都市三医院为50余名厅级老干部开展集中体检，安排专人全程陪同引导，建立健康档案并跟踪反馈结果。</w:t>
      </w:r>
      <w:r>
        <w:rPr>
          <w:rFonts w:hint="eastAsia" w:ascii="仿宋_GB2312" w:hAnsi="仿宋_GB2312" w:eastAsia="仿宋_GB2312" w:cs="仿宋_GB2312"/>
          <w:sz w:val="32"/>
          <w:szCs w:val="32"/>
        </w:rPr>
        <w:t>深化与四川开放大学乐龄学院合作共建，引进优质师资和课程资源，开设书法、舞蹈等5个班级，春季、秋季学期累计招生500余人次，缓解“一位难求”困境。创新“课堂教学+实践展示”模式，成立2支40人规模的党员志愿服务队和文艺小分队，组织学员参与各类公益活动和文艺演出，成功举办“红心永向党 银发再增辉”文艺汇演，近500名离退休干部参与。</w:t>
      </w:r>
    </w:p>
    <w:p w14:paraId="544FAB5A">
      <w:pPr>
        <w:spacing w:line="600" w:lineRule="exact"/>
        <w:ind w:firstLine="640"/>
        <w:rPr>
          <w:rFonts w:hint="default" w:ascii="仿宋_GB2312" w:hAnsi="仿宋_GB2312" w:eastAsia="仿宋_GB2312" w:cs="仿宋_GB2312"/>
          <w:sz w:val="32"/>
          <w:szCs w:val="32"/>
          <w:lang w:val="zh-CN" w:eastAsia="zh-CN"/>
        </w:rPr>
      </w:pPr>
      <w:r>
        <w:rPr>
          <w:rFonts w:hint="eastAsia" w:ascii="仿宋_GB2312" w:hAnsi="仿宋_GB2312" w:eastAsia="仿宋_GB2312" w:cs="仿宋_GB2312"/>
          <w:sz w:val="32"/>
          <w:szCs w:val="32"/>
        </w:rPr>
        <w:t>阶段项目</w:t>
      </w:r>
      <w:r>
        <w:rPr>
          <w:rFonts w:hint="eastAsia" w:ascii="仿宋_GB2312" w:hAnsi="仿宋_GB2312" w:eastAsia="仿宋_GB2312" w:cs="仿宋_GB2312"/>
          <w:sz w:val="32"/>
          <w:szCs w:val="32"/>
          <w:lang w:eastAsia="zh-CN"/>
        </w:rPr>
        <w:t>总数</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个，涉及预算总金额</w:t>
      </w:r>
      <w:r>
        <w:rPr>
          <w:rFonts w:hint="eastAsia" w:ascii="仿宋_GB2312" w:hAnsi="仿宋_GB2312" w:eastAsia="仿宋_GB2312" w:cs="仿宋_GB2312"/>
          <w:sz w:val="32"/>
          <w:szCs w:val="32"/>
          <w:lang w:val="en-US" w:eastAsia="zh-CN"/>
        </w:rPr>
        <w:t>54.43</w:t>
      </w:r>
      <w:r>
        <w:rPr>
          <w:rFonts w:hint="eastAsia" w:ascii="仿宋_GB2312" w:hAnsi="仿宋_GB2312" w:eastAsia="仿宋_GB2312" w:cs="仿宋_GB2312"/>
          <w:sz w:val="32"/>
          <w:szCs w:val="32"/>
          <w:lang w:val="zh-CN"/>
        </w:rPr>
        <w:t>万元，1—1</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月预算执行总体进度为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无</w:t>
      </w:r>
      <w:r>
        <w:rPr>
          <w:rFonts w:hint="default" w:ascii="仿宋_GB2312" w:hAnsi="仿宋_GB2312" w:eastAsia="仿宋_GB2312" w:cs="仿宋_GB2312"/>
          <w:sz w:val="32"/>
          <w:szCs w:val="32"/>
          <w:lang w:val="zh-CN" w:eastAsia="zh-CN"/>
        </w:rPr>
        <w:t>预算结余</w:t>
      </w:r>
      <w:r>
        <w:rPr>
          <w:rFonts w:hint="eastAsia" w:ascii="仿宋_GB2312" w:hAnsi="仿宋_GB2312" w:eastAsia="仿宋_GB2312" w:cs="仿宋_GB2312"/>
          <w:sz w:val="32"/>
          <w:szCs w:val="32"/>
          <w:lang w:val="en-US" w:eastAsia="zh-CN"/>
        </w:rPr>
        <w:t>资金</w:t>
      </w:r>
      <w:r>
        <w:rPr>
          <w:rFonts w:hint="default" w:ascii="仿宋_GB2312" w:hAnsi="仿宋_GB2312" w:eastAsia="仿宋_GB2312" w:cs="仿宋_GB2312"/>
          <w:sz w:val="32"/>
          <w:szCs w:val="32"/>
          <w:lang w:val="zh-CN" w:eastAsia="zh-CN"/>
        </w:rPr>
        <w:t>。</w:t>
      </w:r>
    </w:p>
    <w:p w14:paraId="18BC1DB7">
      <w:pPr>
        <w:spacing w:line="600" w:lineRule="exact"/>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我单位一</w:t>
      </w:r>
      <w:r>
        <w:rPr>
          <w:rFonts w:hint="default" w:ascii="仿宋_GB2312" w:hAnsi="仿宋_GB2312" w:eastAsia="仿宋_GB2312" w:cs="仿宋_GB2312"/>
          <w:sz w:val="32"/>
          <w:szCs w:val="32"/>
          <w:lang w:val="en-US" w:eastAsia="zh-CN"/>
        </w:rPr>
        <w:t>年</w:t>
      </w:r>
      <w:r>
        <w:rPr>
          <w:rFonts w:hint="default"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en-US" w:eastAsia="zh-CN"/>
        </w:rPr>
        <w:t>3个，分别是营门口院区改造、营门口围墙改造和老年大学设施设备，</w:t>
      </w:r>
      <w:r>
        <w:rPr>
          <w:rFonts w:hint="eastAsia" w:ascii="仿宋_GB2312" w:hAnsi="仿宋_GB2312" w:eastAsia="仿宋_GB2312" w:cs="仿宋_GB2312"/>
          <w:sz w:val="32"/>
          <w:szCs w:val="32"/>
          <w:lang w:val="zh-CN"/>
        </w:rPr>
        <w:t>严格按照规程序进行申报，部门预算项目在规定时间完成项目入库。</w:t>
      </w:r>
    </w:p>
    <w:p w14:paraId="6E1F3FE5">
      <w:pPr>
        <w:spacing w:line="600" w:lineRule="exact"/>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2.项目执行</w:t>
      </w:r>
      <w:r>
        <w:rPr>
          <w:rFonts w:hint="eastAsia" w:ascii="仿宋_GB2312" w:hAnsi="仿宋_GB2312" w:eastAsia="仿宋_GB2312" w:cs="仿宋_GB2312"/>
          <w:sz w:val="32"/>
          <w:szCs w:val="32"/>
          <w:lang w:val="zh-CN"/>
        </w:rPr>
        <w:t>。部门预算项目绩效目标与计划期内的任务量、预算安排的资金量相匹配，绩效目标设置科学合理、规范完整、量化细化、与预算相匹配。部门预算项目实际列支内容与绩效目标设置方向相符，</w:t>
      </w: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lang w:val="zh-CN"/>
        </w:rPr>
        <w:t>项目调整。</w:t>
      </w:r>
    </w:p>
    <w:p w14:paraId="083921E6">
      <w:pPr>
        <w:spacing w:line="600" w:lineRule="exact"/>
        <w:ind w:firstLine="64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目标实现。</w:t>
      </w:r>
      <w:r>
        <w:rPr>
          <w:rFonts w:hint="eastAsia" w:ascii="仿宋_GB2312" w:hAnsi="仿宋_GB2312" w:eastAsia="仿宋_GB2312" w:cs="仿宋_GB2312"/>
          <w:sz w:val="32"/>
          <w:szCs w:val="32"/>
          <w:lang w:val="en-US" w:eastAsia="zh-CN"/>
        </w:rPr>
        <w:t>3个项目年内</w:t>
      </w:r>
      <w:r>
        <w:rPr>
          <w:rFonts w:hint="eastAsia" w:ascii="仿宋_GB2312" w:hAnsi="仿宋_GB2312" w:eastAsia="仿宋_GB2312" w:cs="仿宋_GB2312"/>
          <w:sz w:val="32"/>
          <w:szCs w:val="32"/>
          <w:lang w:val="zh-CN"/>
        </w:rPr>
        <w:t>目标完成</w:t>
      </w:r>
      <w:r>
        <w:rPr>
          <w:rFonts w:hint="eastAsia" w:ascii="仿宋_GB2312" w:hAnsi="仿宋_GB2312" w:eastAsia="仿宋_GB2312" w:cs="仿宋_GB2312"/>
          <w:sz w:val="32"/>
          <w:szCs w:val="32"/>
          <w:lang w:val="en-US" w:eastAsia="zh-CN"/>
        </w:rPr>
        <w:t>良好，无</w:t>
      </w:r>
      <w:r>
        <w:rPr>
          <w:rFonts w:hint="eastAsia" w:ascii="仿宋_GB2312" w:hAnsi="仿宋_GB2312" w:eastAsia="仿宋_GB2312" w:cs="仿宋_GB2312"/>
          <w:sz w:val="32"/>
          <w:szCs w:val="32"/>
          <w:lang w:val="zh-CN"/>
        </w:rPr>
        <w:t>目标偏离。</w:t>
      </w:r>
      <w:r>
        <w:rPr>
          <w:rFonts w:hint="eastAsia" w:ascii="仿宋_GB2312" w:hAnsi="仿宋_GB2312" w:eastAsia="仿宋_GB2312" w:cs="仿宋_GB2312"/>
          <w:sz w:val="32"/>
          <w:szCs w:val="32"/>
        </w:rPr>
        <w:t>加大基础设施投入，完成院内围墙维修、院区绿化升级（翻新绿地面积200平方米）等项目，改善办公和居住环境。全面排查整治消防、用电、用气等安全隐患，完成爱心食堂天然气通气改造，实现安全规范运营。联合物业公司加强院区日常管理，优化保洁、安保服务流程，院区环境秩序、卫生状况显著改善，老干部满意度达95%以上</w:t>
      </w:r>
      <w:r>
        <w:rPr>
          <w:rFonts w:hint="eastAsia" w:ascii="仿宋_GB2312" w:hAnsi="仿宋_GB2312" w:eastAsia="仿宋_GB2312" w:cs="仿宋_GB2312"/>
          <w:sz w:val="32"/>
          <w:szCs w:val="32"/>
          <w:lang w:eastAsia="zh-CN"/>
        </w:rPr>
        <w:t>。</w:t>
      </w:r>
    </w:p>
    <w:p w14:paraId="432CED67">
      <w:pPr>
        <w:spacing w:line="600" w:lineRule="exact"/>
        <w:ind w:firstLine="640"/>
        <w:rPr>
          <w:rFonts w:hint="default" w:ascii="仿宋_GB2312" w:hAnsi="仿宋_GB2312" w:eastAsia="仿宋_GB2312" w:cs="仿宋_GB2312"/>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lang w:val="en-US" w:eastAsia="zh-CN"/>
        </w:rPr>
        <w:t>资金使用上坚持专款专用、勤俭节约、合理有效的原则。老干部活动经费支出主要用于组织老干部开展各项学习、参观、考察活动，看望慰问离休干部、厅级退休干部，组织重阳节活动，营门口、花都财富活动室日常运行；老年大学教学经费支出主要用于组织老干部在老年大学学习，提升老干部精神文化生活品质，促进老年群体社会参与度；维修维护费用、垃圾清运、发电机费用，主要用于营门口活动点6套设备维修维护，保障办公点清洁卫生；办公点物业管理费主要用于为营门口、花都财富2个办公点物业管理费，保障营门口、花都财富办公点正常运转，提升工作环境和质量；离退休基层党组织活动费主要用于离退休基层党组织委员工作补贴、离退休基层党组织党建活动，增强离退休党员组织凝聚力，提升党建工作规范化水平；营门口院区改造费用主要用于院区改造路面，包括路基工程、路面工程、交通工程及沿线设施及相关的专项费用，提升院区环境质量,改善居民生活条件；老干部大学购置教学设施设备费用主要用于购置新的教学设施设备，进一步完善老年大学硬件建设；营门口院区围墙改造费用主要用于院区围墙墙面及铁丝网的整理拆除，外墙修复及墙面图漆，扶手栏杆和防滑地砖，进一步优化环境。</w:t>
      </w:r>
    </w:p>
    <w:p w14:paraId="6B770E9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F56DFA5">
      <w:pPr>
        <w:spacing w:line="600" w:lineRule="exact"/>
        <w:ind w:firstLine="640"/>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zh-CN" w:eastAsia="zh-CN"/>
        </w:rPr>
        <w:t>（一）评价结论。</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年，干休所部门预算执行情况</w:t>
      </w:r>
      <w:r>
        <w:rPr>
          <w:rFonts w:hint="eastAsia" w:ascii="仿宋_GB2312" w:hAnsi="仿宋_GB2312" w:eastAsia="仿宋_GB2312" w:cs="仿宋_GB2312"/>
          <w:sz w:val="32"/>
          <w:szCs w:val="32"/>
          <w:lang w:val="en-US" w:eastAsia="zh-CN"/>
        </w:rPr>
        <w:t>良好</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根据部门预算绩效评价指标体系，逐一进行分析自评，自评总体为优，8个项目分别得分为：老干部活动项目自评得分92分、 离退休党组织活动项目自评得分95分、老年大学教学经费项目自评得分94分、物业管理项目自评得分95分、维修维护费项目自评得分95分、营门口院区改造项目自评得分93分、营门口围墙改造项目自评得分995分、老年大学购买设施设备项目自评得分95分。</w:t>
      </w:r>
    </w:p>
    <w:p w14:paraId="7303BB9C">
      <w:pPr>
        <w:spacing w:line="600" w:lineRule="exact"/>
        <w:ind w:firstLine="64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zh-CN" w:eastAsia="zh-CN"/>
        </w:rPr>
        <w:t>（二）存在问题。</w:t>
      </w:r>
      <w:r>
        <w:rPr>
          <w:rFonts w:hint="default" w:ascii="仿宋_GB2312" w:hAnsi="仿宋_GB2312" w:eastAsia="仿宋_GB2312" w:cs="仿宋_GB2312"/>
          <w:sz w:val="32"/>
          <w:szCs w:val="32"/>
          <w:lang w:val="en-US" w:eastAsia="zh-CN"/>
        </w:rPr>
        <w:t>人员经费、</w:t>
      </w:r>
      <w:r>
        <w:rPr>
          <w:rFonts w:hint="eastAsia" w:ascii="仿宋_GB2312" w:hAnsi="仿宋_GB2312" w:eastAsia="仿宋_GB2312" w:cs="仿宋_GB2312"/>
          <w:sz w:val="32"/>
          <w:szCs w:val="32"/>
          <w:lang w:val="en-US" w:eastAsia="zh-CN"/>
        </w:rPr>
        <w:t>公用</w:t>
      </w:r>
      <w:r>
        <w:rPr>
          <w:rFonts w:hint="default" w:ascii="仿宋_GB2312" w:hAnsi="仿宋_GB2312" w:eastAsia="仿宋_GB2312" w:cs="仿宋_GB2312"/>
          <w:sz w:val="32"/>
          <w:szCs w:val="32"/>
          <w:lang w:val="en-US" w:eastAsia="zh-CN"/>
        </w:rPr>
        <w:t>经费能按</w:t>
      </w:r>
      <w:r>
        <w:rPr>
          <w:rFonts w:hint="eastAsia" w:ascii="仿宋_GB2312" w:hAnsi="仿宋_GB2312" w:eastAsia="仿宋_GB2312" w:cs="仿宋_GB2312"/>
          <w:sz w:val="32"/>
          <w:szCs w:val="32"/>
          <w:lang w:val="en-US" w:eastAsia="zh-CN"/>
        </w:rPr>
        <w:t>月和</w:t>
      </w:r>
      <w:r>
        <w:rPr>
          <w:rFonts w:hint="default" w:ascii="仿宋_GB2312" w:hAnsi="仿宋_GB2312" w:eastAsia="仿宋_GB2312" w:cs="仿宋_GB2312"/>
          <w:sz w:val="32"/>
          <w:szCs w:val="32"/>
          <w:lang w:val="en-US" w:eastAsia="zh-CN"/>
        </w:rPr>
        <w:t>工作进度执行，达到规定的执行进度</w:t>
      </w:r>
      <w:r>
        <w:rPr>
          <w:rFonts w:hint="eastAsia" w:ascii="仿宋_GB2312" w:hAnsi="仿宋_GB2312" w:eastAsia="仿宋_GB2312" w:cs="仿宋_GB2312"/>
          <w:sz w:val="32"/>
          <w:szCs w:val="32"/>
          <w:lang w:val="en-US" w:eastAsia="zh-CN"/>
        </w:rPr>
        <w:t>。在预算编制过程中缺少与财政部门有效的沟通，资金预算和使用还需进一步优化，各项活动还需要加强集体研判，丰富活动内容，活动形式还需要多样化。</w:t>
      </w:r>
    </w:p>
    <w:p w14:paraId="604A0317">
      <w:pPr>
        <w:spacing w:line="600" w:lineRule="exact"/>
        <w:ind w:firstLine="640"/>
        <w:rPr>
          <w:rFonts w:hint="eastAsia" w:ascii="Times New Roman" w:hAnsi="Times New Roman" w:eastAsia="仿宋_GB2312" w:cs="Times New Roman"/>
          <w:kern w:val="2"/>
          <w:sz w:val="32"/>
          <w:szCs w:val="32"/>
          <w:u w:val="none"/>
          <w:lang w:val="zh-CN" w:eastAsia="zh-CN" w:bidi="ar"/>
        </w:rPr>
      </w:pPr>
      <w:r>
        <w:rPr>
          <w:rFonts w:hint="default" w:ascii="仿宋_GB2312" w:hAnsi="仿宋_GB2312" w:eastAsia="仿宋_GB2312" w:cs="仿宋_GB2312"/>
          <w:sz w:val="32"/>
          <w:szCs w:val="32"/>
          <w:lang w:val="zh-CN" w:eastAsia="zh-CN"/>
        </w:rPr>
        <w:t>（三）改进建议。</w:t>
      </w:r>
      <w:bookmarkStart w:id="53" w:name="_Hlk110546638"/>
      <w:r>
        <w:rPr>
          <w:rFonts w:hint="eastAsia" w:ascii="仿宋_GB2312" w:hAnsi="仿宋_GB2312" w:eastAsia="仿宋_GB2312" w:cs="仿宋_GB2312"/>
          <w:sz w:val="32"/>
          <w:szCs w:val="32"/>
          <w:lang w:val="zh-CN" w:eastAsia="zh-CN"/>
        </w:rPr>
        <w:t>我所</w:t>
      </w:r>
      <w:r>
        <w:rPr>
          <w:rFonts w:hint="default" w:ascii="仿宋_GB2312" w:hAnsi="仿宋_GB2312" w:eastAsia="仿宋_GB2312" w:cs="仿宋_GB2312"/>
          <w:sz w:val="32"/>
          <w:szCs w:val="32"/>
          <w:lang w:val="en-US" w:eastAsia="zh-CN"/>
        </w:rPr>
        <w:t>将始终遵循先有预算、后有支出的原则，科学合理编制部门预算，推进预算编制科学化、标准化。将</w:t>
      </w:r>
      <w:r>
        <w:rPr>
          <w:rFonts w:hint="eastAsia" w:ascii="仿宋_GB2312" w:hAnsi="仿宋_GB2312" w:eastAsia="仿宋_GB2312" w:cs="仿宋_GB2312"/>
          <w:sz w:val="32"/>
          <w:szCs w:val="32"/>
          <w:lang w:val="en-US" w:eastAsia="zh-CN"/>
        </w:rPr>
        <w:t>加强与财政部门了沟通联系，</w:t>
      </w:r>
      <w:r>
        <w:rPr>
          <w:rFonts w:hint="default" w:ascii="仿宋_GB2312" w:hAnsi="仿宋_GB2312" w:eastAsia="仿宋_GB2312" w:cs="仿宋_GB2312"/>
          <w:sz w:val="32"/>
          <w:szCs w:val="32"/>
          <w:lang w:val="en-US" w:eastAsia="zh-CN"/>
        </w:rPr>
        <w:t>根据实际情况</w:t>
      </w:r>
      <w:r>
        <w:rPr>
          <w:rFonts w:hint="eastAsia" w:ascii="仿宋_GB2312" w:hAnsi="仿宋_GB2312" w:eastAsia="仿宋_GB2312" w:cs="仿宋_GB2312"/>
          <w:sz w:val="32"/>
          <w:szCs w:val="32"/>
          <w:lang w:val="en-US" w:eastAsia="zh-CN"/>
        </w:rPr>
        <w:t>积极向财政争取资金，预算执行过程中</w:t>
      </w:r>
      <w:r>
        <w:rPr>
          <w:rFonts w:hint="default" w:ascii="仿宋_GB2312" w:hAnsi="仿宋_GB2312" w:eastAsia="仿宋_GB2312" w:cs="仿宋_GB2312"/>
          <w:sz w:val="32"/>
          <w:szCs w:val="32"/>
          <w:lang w:val="en-US" w:eastAsia="zh-CN"/>
        </w:rPr>
        <w:t>及时进行预算调整，定期做好预算执行分析，适时掌握预算执行进度，及时找出预算实际执行情况与预算目标之间存在的差距，进一步</w:t>
      </w:r>
      <w:r>
        <w:rPr>
          <w:rFonts w:hint="eastAsia" w:ascii="仿宋_GB2312" w:hAnsi="仿宋_GB2312" w:eastAsia="仿宋_GB2312" w:cs="仿宋_GB2312"/>
          <w:sz w:val="32"/>
          <w:szCs w:val="32"/>
          <w:lang w:val="en-US" w:eastAsia="zh-CN"/>
        </w:rPr>
        <w:t>加强预算绩效管理</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同时，</w:t>
      </w:r>
      <w:r>
        <w:rPr>
          <w:rFonts w:hint="default" w:ascii="仿宋_GB2312" w:hAnsi="仿宋_GB2312" w:eastAsia="仿宋_GB2312" w:cs="仿宋_GB2312"/>
          <w:sz w:val="32"/>
          <w:szCs w:val="32"/>
          <w:lang w:val="en-US" w:eastAsia="zh-CN"/>
        </w:rPr>
        <w:t>提前做好</w:t>
      </w:r>
      <w:r>
        <w:rPr>
          <w:rFonts w:hint="eastAsia" w:ascii="仿宋_GB2312" w:hAnsi="仿宋_GB2312" w:eastAsia="仿宋_GB2312" w:cs="仿宋_GB2312"/>
          <w:sz w:val="32"/>
          <w:szCs w:val="32"/>
          <w:lang w:val="en-US" w:eastAsia="zh-CN"/>
        </w:rPr>
        <w:t>下年度</w:t>
      </w:r>
      <w:r>
        <w:rPr>
          <w:rFonts w:hint="default" w:ascii="仿宋_GB2312" w:hAnsi="仿宋_GB2312" w:eastAsia="仿宋_GB2312" w:cs="仿宋_GB2312"/>
          <w:sz w:val="32"/>
          <w:szCs w:val="32"/>
          <w:lang w:val="en-US" w:eastAsia="zh-CN"/>
        </w:rPr>
        <w:t>部门预算编制计划准备，更科学合理的编制下年度预算；在编制</w:t>
      </w:r>
      <w:r>
        <w:rPr>
          <w:rFonts w:hint="eastAsia" w:ascii="仿宋_GB2312" w:hAnsi="仿宋_GB2312" w:eastAsia="仿宋_GB2312" w:cs="仿宋_GB2312"/>
          <w:sz w:val="32"/>
          <w:szCs w:val="32"/>
          <w:lang w:val="en-US" w:eastAsia="zh-CN"/>
        </w:rPr>
        <w:t>部门</w:t>
      </w:r>
      <w:r>
        <w:rPr>
          <w:rFonts w:hint="default" w:ascii="仿宋_GB2312" w:hAnsi="仿宋_GB2312" w:eastAsia="仿宋_GB2312" w:cs="仿宋_GB2312"/>
          <w:sz w:val="32"/>
          <w:szCs w:val="32"/>
          <w:lang w:val="en-US" w:eastAsia="zh-CN"/>
        </w:rPr>
        <w:t>预算时，希望财政</w:t>
      </w:r>
      <w:r>
        <w:rPr>
          <w:rFonts w:hint="eastAsia" w:ascii="仿宋_GB2312" w:hAnsi="仿宋_GB2312" w:eastAsia="仿宋_GB2312" w:cs="仿宋_GB2312"/>
          <w:sz w:val="32"/>
          <w:szCs w:val="32"/>
          <w:lang w:val="en-US" w:eastAsia="zh-CN"/>
        </w:rPr>
        <w:t>部门更多的关注干休所工作，</w:t>
      </w:r>
      <w:r>
        <w:rPr>
          <w:rFonts w:hint="default" w:ascii="仿宋_GB2312" w:hAnsi="仿宋_GB2312" w:eastAsia="仿宋_GB2312" w:cs="仿宋_GB2312"/>
          <w:sz w:val="32"/>
          <w:szCs w:val="32"/>
          <w:lang w:val="en-US" w:eastAsia="zh-CN"/>
        </w:rPr>
        <w:t>给</w:t>
      </w:r>
      <w:r>
        <w:rPr>
          <w:rFonts w:hint="eastAsia" w:ascii="仿宋_GB2312" w:hAnsi="仿宋_GB2312" w:eastAsia="仿宋_GB2312" w:cs="仿宋_GB2312"/>
          <w:sz w:val="32"/>
          <w:szCs w:val="32"/>
          <w:lang w:val="en-US" w:eastAsia="zh-CN"/>
        </w:rPr>
        <w:t>予更</w:t>
      </w:r>
      <w:r>
        <w:rPr>
          <w:rFonts w:hint="default" w:ascii="仿宋_GB2312" w:hAnsi="仿宋_GB2312" w:eastAsia="仿宋_GB2312" w:cs="仿宋_GB2312"/>
          <w:sz w:val="32"/>
          <w:szCs w:val="32"/>
          <w:lang w:val="en-US" w:eastAsia="zh-CN"/>
        </w:rPr>
        <w:t>科学的指导。</w:t>
      </w:r>
      <w:bookmarkEnd w:id="53"/>
    </w:p>
    <w:p w14:paraId="38507C27">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028A3497">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68A1EAE2">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r>
        <w:rPr>
          <w:rFonts w:hint="eastAsia" w:ascii="宋体" w:hAnsi="宋体" w:eastAsia="仿宋_GB2312" w:cs="仿宋_GB2312"/>
          <w:b w:val="0"/>
          <w:sz w:val="32"/>
          <w:szCs w:val="32"/>
          <w:highlight w:val="none"/>
          <w:u w:val="none"/>
          <w:lang w:eastAsia="zh-CN"/>
        </w:rPr>
        <w:t>部门评价项目数量</w:t>
      </w:r>
      <w:r>
        <w:rPr>
          <w:rFonts w:hint="eastAsia" w:ascii="宋体" w:hAnsi="宋体" w:cs="仿宋_GB2312"/>
          <w:b w:val="0"/>
          <w:sz w:val="32"/>
          <w:szCs w:val="32"/>
          <w:highlight w:val="none"/>
          <w:u w:val="none"/>
          <w:lang w:eastAsia="zh-CN"/>
        </w:rPr>
        <w:t>在</w:t>
      </w:r>
      <w:r>
        <w:rPr>
          <w:rFonts w:hint="eastAsia" w:ascii="宋体" w:hAnsi="宋体" w:eastAsia="仿宋_GB2312" w:cs="仿宋_GB2312"/>
          <w:b w:val="0"/>
          <w:sz w:val="32"/>
          <w:szCs w:val="32"/>
          <w:highlight w:val="none"/>
          <w:u w:val="none"/>
          <w:lang w:val="en-US" w:eastAsia="zh-CN"/>
        </w:rPr>
        <w:t>3个以内的，</w:t>
      </w:r>
      <w:r>
        <w:rPr>
          <w:rFonts w:hint="eastAsia" w:ascii="宋体" w:hAnsi="宋体" w:eastAsia="仿宋_GB2312" w:cs="仿宋_GB2312"/>
          <w:sz w:val="32"/>
          <w:szCs w:val="32"/>
          <w:highlight w:val="none"/>
          <w:u w:val="none"/>
        </w:rPr>
        <w:t>至少将1个部门评价报告向社会公开</w:t>
      </w:r>
      <w:r>
        <w:rPr>
          <w:rFonts w:hint="eastAsia" w:ascii="宋体" w:hAnsi="宋体" w:eastAsia="仿宋_GB2312" w:cs="仿宋_GB2312"/>
          <w:sz w:val="32"/>
          <w:szCs w:val="32"/>
          <w:highlight w:val="none"/>
          <w:u w:val="none"/>
          <w:lang w:eastAsia="zh-CN"/>
        </w:rPr>
        <w:t>；</w:t>
      </w:r>
      <w:r>
        <w:rPr>
          <w:rFonts w:hint="eastAsia" w:ascii="宋体" w:hAnsi="宋体" w:eastAsia="仿宋_GB2312" w:cs="仿宋_GB2312"/>
          <w:b w:val="0"/>
          <w:sz w:val="32"/>
          <w:szCs w:val="32"/>
          <w:highlight w:val="none"/>
          <w:u w:val="none"/>
          <w:lang w:eastAsia="zh-CN"/>
        </w:rPr>
        <w:t>部门评价项目数量大于</w:t>
      </w:r>
      <w:r>
        <w:rPr>
          <w:rFonts w:hint="eastAsia" w:ascii="宋体" w:hAnsi="宋体" w:eastAsia="仿宋_GB2312" w:cs="仿宋_GB2312"/>
          <w:b w:val="0"/>
          <w:sz w:val="32"/>
          <w:szCs w:val="32"/>
          <w:highlight w:val="none"/>
          <w:u w:val="none"/>
          <w:lang w:val="en-US" w:eastAsia="zh-CN"/>
        </w:rPr>
        <w:t>3个的，</w:t>
      </w:r>
      <w:r>
        <w:rPr>
          <w:rFonts w:hint="eastAsia" w:ascii="宋体" w:hAnsi="宋体" w:eastAsia="仿宋_GB2312" w:cs="仿宋_GB2312"/>
          <w:sz w:val="32"/>
          <w:szCs w:val="32"/>
          <w:highlight w:val="none"/>
          <w:u w:val="none"/>
        </w:rPr>
        <w:t>至少将</w:t>
      </w:r>
      <w:r>
        <w:rPr>
          <w:rFonts w:hint="eastAsia" w:ascii="宋体" w:hAnsi="宋体" w:eastAsia="仿宋_GB2312" w:cs="仿宋_GB2312"/>
          <w:sz w:val="32"/>
          <w:szCs w:val="32"/>
          <w:highlight w:val="none"/>
          <w:u w:val="none"/>
          <w:lang w:val="en-US" w:eastAsia="zh-CN"/>
        </w:rPr>
        <w:t>2</w:t>
      </w:r>
      <w:r>
        <w:rPr>
          <w:rFonts w:hint="eastAsia" w:ascii="宋体" w:hAnsi="宋体" w:eastAsia="仿宋_GB2312" w:cs="仿宋_GB2312"/>
          <w:sz w:val="32"/>
          <w:szCs w:val="32"/>
          <w:highlight w:val="none"/>
          <w:u w:val="none"/>
        </w:rPr>
        <w:t>个部门评价报告向社会公开</w:t>
      </w:r>
      <w:r>
        <w:rPr>
          <w:rFonts w:hint="eastAsia" w:ascii="宋体" w:hAnsi="宋体" w:eastAsia="仿宋_GB2312" w:cs="仿宋_GB2312"/>
          <w:sz w:val="32"/>
          <w:szCs w:val="32"/>
          <w:highlight w:val="none"/>
          <w:u w:val="none"/>
          <w:lang w:eastAsia="zh-CN"/>
        </w:rPr>
        <w:t>。</w:t>
      </w:r>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696441F0">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3F988ED6">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75D6F2A">
      <w:pPr>
        <w:widowControl/>
        <w:jc w:val="center"/>
        <w:rPr>
          <w:rFonts w:hint="eastAsia" w:ascii="Times New Roman" w:hAnsi="Times New Roman" w:eastAsia="仿宋"/>
          <w:b w:val="0"/>
          <w:color w:val="auto"/>
          <w:highlight w:val="none"/>
        </w:rPr>
      </w:pPr>
      <w:bookmarkStart w:id="54" w:name="_Toc15396618"/>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51"/>
      <w:bookmarkEnd w:id="54"/>
      <w:bookmarkStart w:id="55" w:name="_Toc15396619"/>
    </w:p>
    <w:p w14:paraId="6058C1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CC45D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7ECF85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75C3EE1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5A4D42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71364CD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5DF2E36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325E99A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62FDD0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63EE34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193F253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19151E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ED9E6B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7E8CB17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517EA647">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B2673">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3217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C3217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09806BE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0B72F">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861E4">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69861E4">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0A31">
    <w:pPr>
      <w:pStyle w:val="10"/>
      <w:jc w:val="center"/>
    </w:pPr>
  </w:p>
  <w:p w14:paraId="106289F7">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B533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5FB533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79A5FD10">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F244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ED08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8AED08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CC133">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DE5AB6"/>
    <w:multiLevelType w:val="singleLevel"/>
    <w:tmpl w:val="15DE5AB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957C74"/>
    <w:rsid w:val="061E35DE"/>
    <w:rsid w:val="06521E16"/>
    <w:rsid w:val="066E0107"/>
    <w:rsid w:val="07996F6E"/>
    <w:rsid w:val="07DFD8BA"/>
    <w:rsid w:val="08DB07E4"/>
    <w:rsid w:val="09867E8F"/>
    <w:rsid w:val="0A2032A3"/>
    <w:rsid w:val="0C6C4794"/>
    <w:rsid w:val="0CA8290A"/>
    <w:rsid w:val="0D35B1ED"/>
    <w:rsid w:val="0DE07E2B"/>
    <w:rsid w:val="0F98263C"/>
    <w:rsid w:val="0FD25E0D"/>
    <w:rsid w:val="0FE033D3"/>
    <w:rsid w:val="101860EC"/>
    <w:rsid w:val="10C055FF"/>
    <w:rsid w:val="11522C7C"/>
    <w:rsid w:val="11772AA4"/>
    <w:rsid w:val="118107EC"/>
    <w:rsid w:val="13D50BC4"/>
    <w:rsid w:val="14022904"/>
    <w:rsid w:val="152F2A07"/>
    <w:rsid w:val="165E0673"/>
    <w:rsid w:val="16BB723D"/>
    <w:rsid w:val="186504BB"/>
    <w:rsid w:val="187163D2"/>
    <w:rsid w:val="1938089F"/>
    <w:rsid w:val="19A445FC"/>
    <w:rsid w:val="1B7D550C"/>
    <w:rsid w:val="1BE8440E"/>
    <w:rsid w:val="1D155CEE"/>
    <w:rsid w:val="1E740ACF"/>
    <w:rsid w:val="1F006BEE"/>
    <w:rsid w:val="1F62156A"/>
    <w:rsid w:val="1FCE6308"/>
    <w:rsid w:val="1FF35744"/>
    <w:rsid w:val="1FF6BC77"/>
    <w:rsid w:val="21962A9E"/>
    <w:rsid w:val="21AE7C77"/>
    <w:rsid w:val="22BC3C41"/>
    <w:rsid w:val="23860B96"/>
    <w:rsid w:val="240371BF"/>
    <w:rsid w:val="260F557C"/>
    <w:rsid w:val="281408E2"/>
    <w:rsid w:val="29FD04D3"/>
    <w:rsid w:val="2BFF7BC6"/>
    <w:rsid w:val="2C8A61B5"/>
    <w:rsid w:val="2D09025F"/>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BE38D0"/>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3A6202"/>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3466CB3"/>
    <w:rsid w:val="647F5392"/>
    <w:rsid w:val="664B1D71"/>
    <w:rsid w:val="67AA3209"/>
    <w:rsid w:val="681C4F0D"/>
    <w:rsid w:val="69046D0F"/>
    <w:rsid w:val="698D0931"/>
    <w:rsid w:val="6A993CED"/>
    <w:rsid w:val="6B053271"/>
    <w:rsid w:val="6BCE6674"/>
    <w:rsid w:val="6C4A05C8"/>
    <w:rsid w:val="6C8742B8"/>
    <w:rsid w:val="6C8A170F"/>
    <w:rsid w:val="6CB54609"/>
    <w:rsid w:val="6CD15714"/>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952593"/>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8"/>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4"/>
    <w:semiHidden/>
    <w:unhideWhenUsed/>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Body Text First Indent"/>
    <w:basedOn w:val="2"/>
    <w:qFormat/>
    <w:uiPriority w:val="0"/>
    <w:pPr>
      <w:ind w:firstLine="100" w:firstLineChars="100"/>
    </w:pPr>
    <w:rPr>
      <w:sz w:val="21"/>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21">
    <w:name w:val="正文-公1"/>
    <w:basedOn w:val="22"/>
    <w:next w:val="1"/>
    <w:qFormat/>
    <w:uiPriority w:val="0"/>
    <w:pPr>
      <w:ind w:firstLine="200" w:firstLineChars="200"/>
    </w:p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1"/>
    <w:qFormat/>
    <w:uiPriority w:val="0"/>
    <w:pPr>
      <w:widowControl w:val="0"/>
      <w:jc w:val="both"/>
    </w:pPr>
    <w:rPr>
      <w:rFonts w:ascii="Times New Roman" w:hAnsi="Times New Roman" w:eastAsia="宋体" w:cs="Times New Roman"/>
      <w:kern w:val="2"/>
      <w:sz w:val="21"/>
      <w:lang w:val="en-US" w:eastAsia="zh-CN"/>
    </w:rPr>
  </w:style>
  <w:style w:type="character" w:customStyle="1" w:styleId="23">
    <w:name w:val="Header Char"/>
    <w:basedOn w:val="17"/>
    <w:semiHidden/>
    <w:qFormat/>
    <w:uiPriority w:val="99"/>
    <w:rPr>
      <w:rFonts w:ascii="Times New Roman" w:hAnsi="Times New Roman"/>
      <w:sz w:val="18"/>
      <w:szCs w:val="18"/>
    </w:rPr>
  </w:style>
  <w:style w:type="character" w:customStyle="1" w:styleId="24">
    <w:name w:val="页眉 Char"/>
    <w:link w:val="11"/>
    <w:semiHidden/>
    <w:qFormat/>
    <w:locked/>
    <w:uiPriority w:val="99"/>
    <w:rPr>
      <w:sz w:val="18"/>
    </w:rPr>
  </w:style>
  <w:style w:type="character" w:customStyle="1" w:styleId="25">
    <w:name w:val="Footer Char"/>
    <w:basedOn w:val="17"/>
    <w:semiHidden/>
    <w:qFormat/>
    <w:uiPriority w:val="99"/>
    <w:rPr>
      <w:rFonts w:ascii="Times New Roman" w:hAnsi="Times New Roman"/>
      <w:sz w:val="18"/>
      <w:szCs w:val="18"/>
    </w:rPr>
  </w:style>
  <w:style w:type="character" w:customStyle="1" w:styleId="26">
    <w:name w:val="页脚 Char"/>
    <w:link w:val="10"/>
    <w:qFormat/>
    <w:locked/>
    <w:uiPriority w:val="99"/>
    <w:rPr>
      <w:sz w:val="18"/>
    </w:rPr>
  </w:style>
  <w:style w:type="character" w:customStyle="1" w:styleId="27">
    <w:name w:val="Body Text Char"/>
    <w:basedOn w:val="17"/>
    <w:semiHidden/>
    <w:qFormat/>
    <w:uiPriority w:val="99"/>
    <w:rPr>
      <w:rFonts w:ascii="Times New Roman" w:hAnsi="Times New Roman"/>
      <w:szCs w:val="24"/>
    </w:rPr>
  </w:style>
  <w:style w:type="character" w:customStyle="1" w:styleId="28">
    <w:name w:val="正文文本 Char"/>
    <w:link w:val="2"/>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7"/>
    <w:link w:val="3"/>
    <w:qFormat/>
    <w:uiPriority w:val="9"/>
    <w:rPr>
      <w:rFonts w:ascii="Times New Roman" w:hAnsi="Times New Roman"/>
      <w:b/>
      <w:bCs/>
      <w:kern w:val="44"/>
      <w:sz w:val="44"/>
      <w:szCs w:val="44"/>
    </w:rPr>
  </w:style>
  <w:style w:type="character" w:customStyle="1" w:styleId="32">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7"/>
    <w:link w:val="9"/>
    <w:semiHidden/>
    <w:qFormat/>
    <w:uiPriority w:val="99"/>
    <w:rPr>
      <w:rFonts w:ascii="Times New Roman" w:hAnsi="Times New Roman"/>
      <w:kern w:val="2"/>
      <w:sz w:val="18"/>
      <w:szCs w:val="18"/>
    </w:rPr>
  </w:style>
  <w:style w:type="character" w:customStyle="1" w:styleId="35">
    <w:name w:val="标题 3 Char"/>
    <w:basedOn w:val="17"/>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常用样式（方正仿宋简）"/>
    <w:basedOn w:val="1"/>
    <w:qFormat/>
    <w:uiPriority w:val="0"/>
    <w:pPr>
      <w:spacing w:line="560" w:lineRule="exact"/>
      <w:ind w:firstLine="640" w:firstLineChars="200"/>
    </w:pPr>
    <w:rPr>
      <w:rFonts w:ascii="Times New Roman" w:hAnsi="Times New Roman" w:eastAsia="方正仿宋简体" w:cs="Times New Roman"/>
      <w:sz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8.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rPr b="1">
                <a:solidFill>
                  <a:srgbClr val="595959">
                    <a:lumMod val="65000"/>
                    <a:lumOff val="35000"/>
                  </a:srgbClr>
                </a:solidFill>
                <a:uFillTx/>
              </a:rPr>
              <a:t>收入支出预算执行数对比图</a:t>
            </a:r>
            <a:endParaRPr b="1">
              <a:solidFill>
                <a:srgbClr val="595959">
                  <a:lumMod val="65000"/>
                  <a:lumOff val="35000"/>
                </a:srgbClr>
              </a:solidFill>
              <a:uFillTx/>
            </a:endParaRPr>
          </a:p>
        </c:rich>
      </c:tx>
      <c:layout/>
      <c:overlay val="0"/>
      <c:spPr>
        <a:noFill/>
        <a:ln>
          <a:noFill/>
        </a:ln>
        <a:effectLst/>
      </c:spPr>
    </c:title>
    <c:autoTitleDeleted val="0"/>
    <c:plotArea>
      <c:layout/>
      <c:barChart>
        <c:barDir val="col"/>
        <c:grouping val="clustered"/>
        <c:varyColors val="0"/>
        <c:ser>
          <c:idx val="0"/>
          <c:order val="0"/>
          <c:tx>
            <c:strRef>
              <c:f>[工作簿1]Sheet1!$D$7</c:f>
              <c:strCache>
                <c:ptCount val="1"/>
                <c:pt idx="0">
                  <c:v>2024年</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numRef>
              <c:f>[工作簿1]Sheet1!$E$6:$G$6</c:f>
              <c:numCache>
                <c:formatCode>General</c:formatCode>
                <c:ptCount val="3"/>
              </c:numCache>
            </c:numRef>
          </c:cat>
          <c:val>
            <c:numRef>
              <c:f>[工作簿1]Sheet1!$E$7:$G$7</c:f>
              <c:numCache>
                <c:formatCode>General</c:formatCode>
                <c:ptCount val="3"/>
                <c:pt idx="0">
                  <c:v>378.46</c:v>
                </c:pt>
              </c:numCache>
            </c:numRef>
          </c:val>
        </c:ser>
        <c:ser>
          <c:idx val="1"/>
          <c:order val="1"/>
          <c:tx>
            <c:strRef>
              <c:f>[工作簿1]Sheet1!$D$8</c:f>
              <c:strCache>
                <c:ptCount val="1"/>
                <c:pt idx="0">
                  <c:v>2025年</c:v>
                </c:pt>
              </c:strCache>
            </c:strRef>
          </c:tx>
          <c:spPr>
            <a:solidFill>
              <a:srgbClr val="C0504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numRef>
              <c:f>[工作簿1]Sheet1!$E$6:$G$6</c:f>
              <c:numCache>
                <c:formatCode>General</c:formatCode>
                <c:ptCount val="3"/>
              </c:numCache>
            </c:numRef>
          </c:cat>
          <c:val>
            <c:numRef>
              <c:f>[工作簿1]Sheet1!$E$8:$G$8</c:f>
              <c:numCache>
                <c:formatCode>General</c:formatCode>
                <c:ptCount val="3"/>
                <c:pt idx="0">
                  <c:v>442.52</c:v>
                </c:pt>
              </c:numCache>
            </c:numRef>
          </c:val>
        </c:ser>
        <c:dLbls>
          <c:showLegendKey val="0"/>
          <c:showVal val="1"/>
          <c:showCatName val="0"/>
          <c:showSerName val="0"/>
          <c:showPercent val="0"/>
          <c:showBubbleSize val="0"/>
        </c:dLbls>
        <c:gapWidth val="150"/>
        <c:overlap val="0"/>
        <c:axId val="894389911"/>
        <c:axId val="47515652"/>
      </c:barChart>
      <c:catAx>
        <c:axId val="894389911"/>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7515652"/>
        <c:crosses val="autoZero"/>
        <c:auto val="1"/>
        <c:lblAlgn val="ctr"/>
        <c:lblOffset val="100"/>
        <c:noMultiLvlLbl val="0"/>
      </c:catAx>
      <c:valAx>
        <c:axId val="47515652"/>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894389911"/>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121b9871-3ded-466c-88d5-87de4c974d3f}"/>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rPr b="1">
                <a:solidFill>
                  <a:srgbClr val="595959">
                    <a:lumMod val="65000"/>
                    <a:lumOff val="35000"/>
                  </a:srgbClr>
                </a:solidFill>
                <a:uFillTx/>
              </a:rPr>
              <a:t>本年度总收入占比图</a:t>
            </a:r>
            <a:endParaRPr b="1">
              <a:solidFill>
                <a:srgbClr val="595959">
                  <a:lumMod val="65000"/>
                  <a:lumOff val="35000"/>
                </a:srgbClr>
              </a:solidFill>
              <a:uFillTx/>
            </a:endParaRPr>
          </a:p>
        </c:rich>
      </c:tx>
      <c:layout/>
      <c:overlay val="0"/>
      <c:spPr>
        <a:noFill/>
        <a:ln>
          <a:noFill/>
        </a:ln>
        <a:effectLst/>
      </c:spPr>
    </c:title>
    <c:autoTitleDeleted val="0"/>
    <c:plotArea>
      <c:layout/>
      <c:pieChart>
        <c:varyColors val="1"/>
        <c:ser>
          <c:idx val="0"/>
          <c:order val="0"/>
          <c:tx>
            <c:strRef>
              <c:f>[工作簿1]Sheet1!$D$7</c:f>
              <c:strCache>
                <c:ptCount val="1"/>
                <c:pt idx="0">
                  <c:v>一般公共预算财政拨款收入</c:v>
                </c:pt>
              </c:strCache>
            </c:strRef>
          </c:tx>
          <c:spPr/>
          <c:explosion val="0"/>
          <c:dPt>
            <c:idx val="0"/>
            <c:bubble3D val="0"/>
            <c:spPr>
              <a:solidFill>
                <a:srgbClr val="4F81BD"/>
              </a:solidFill>
              <a:ln>
                <a:noFill/>
              </a:ln>
              <a:effectLst/>
            </c:spPr>
          </c:dPt>
          <c:dPt>
            <c:idx val="1"/>
            <c:bubble3D val="0"/>
            <c:spPr>
              <a:solidFill>
                <a:srgbClr val="C0504D"/>
              </a:solidFill>
              <a:ln>
                <a:noFill/>
              </a:ln>
              <a:effectLst/>
            </c:spPr>
          </c:dPt>
          <c:dPt>
            <c:idx val="2"/>
            <c:bubble3D val="0"/>
            <c:spPr>
              <a:solidFill>
                <a:srgbClr val="9BBB59"/>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numRef>
              <c:f>[工作簿1]Sheet1!$E$6:$G$6</c:f>
              <c:numCache>
                <c:formatCode>General</c:formatCode>
                <c:ptCount val="3"/>
              </c:numCache>
            </c:numRef>
          </c:cat>
          <c:val>
            <c:numRef>
              <c:f>[工作簿1]Sheet1!$E$7:$G$7</c:f>
              <c:numCache>
                <c:formatCode>General</c:formatCode>
                <c:ptCount val="3"/>
                <c:pt idx="0">
                  <c:v>442.52</c:v>
                </c:pt>
              </c:numCache>
            </c:numRef>
          </c:val>
        </c:ser>
        <c:ser>
          <c:idx val="1"/>
          <c:order val="1"/>
          <c:tx>
            <c:strRef>
              <c:f>[工作簿1]Sheet1!$D$8</c:f>
              <c:strCache>
                <c:ptCount val="1"/>
                <c:pt idx="0">
                  <c:v/>
                </c:pt>
              </c:strCache>
            </c:strRef>
          </c:tx>
          <c:spPr/>
          <c:explosion val="0"/>
          <c:dPt>
            <c:idx val="0"/>
            <c:bubble3D val="0"/>
            <c:spPr>
              <a:solidFill>
                <a:srgbClr val="4F81BD"/>
              </a:solidFill>
              <a:ln>
                <a:noFill/>
              </a:ln>
              <a:effectLst/>
            </c:spPr>
          </c:dPt>
          <c:dPt>
            <c:idx val="1"/>
            <c:bubble3D val="0"/>
            <c:spPr>
              <a:solidFill>
                <a:srgbClr val="C0504D"/>
              </a:solidFill>
              <a:ln>
                <a:noFill/>
              </a:ln>
              <a:effectLst/>
            </c:spPr>
          </c:dPt>
          <c:dPt>
            <c:idx val="2"/>
            <c:bubble3D val="0"/>
            <c:spPr>
              <a:solidFill>
                <a:srgbClr val="9BBB59"/>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numRef>
              <c:f>[工作簿1]Sheet1!$E$6:$G$6</c:f>
              <c:numCache>
                <c:formatCode>General</c:formatCode>
                <c:ptCount val="3"/>
              </c:numCache>
            </c:numRef>
          </c:cat>
          <c:val>
            <c:numRef>
              <c:f>[工作簿1]Sheet1!$E$8:$G$8</c:f>
              <c:numCache>
                <c:formatCode>General</c:formatCode>
                <c:ptCount val="3"/>
              </c:numCache>
            </c:numRef>
          </c:val>
        </c:ser>
        <c:dLbls>
          <c:showLegendKey val="0"/>
          <c:showVal val="0"/>
          <c:showCatName val="1"/>
          <c:showSerName val="0"/>
          <c:showPercent val="1"/>
          <c:showBubbleSize val="0"/>
          <c:showLeaderLines val="1"/>
        </c:dLbls>
        <c:firstSliceAng val="0"/>
      </c:pieChart>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9aa6ce59-55c9-4080-821b-c741acafa447}"/>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对附属单位补贴</c:v>
                </c:pt>
              </c:strCache>
            </c:strRef>
          </c:cat>
          <c:val>
            <c:numRef>
              <c:f>Sheet1!$B$2:$B$6</c:f>
              <c:numCache>
                <c:formatCode>General</c:formatCode>
                <c:ptCount val="5"/>
                <c:pt idx="0">
                  <c:v>289.65</c:v>
                </c:pt>
                <c:pt idx="1">
                  <c:v>152.87</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4f662f-020a-4663-afef-f20535a7c5d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预算财政拔款收入、支出对比图</a:t>
            </a:r>
          </a:p>
        </c:rich>
      </c:tx>
      <c:layout>
        <c:manualLayout>
          <c:xMode val="edge"/>
          <c:yMode val="edge"/>
          <c:x val="0.200555555555556"/>
          <c:y val="0.0182321717055158"/>
        </c:manualLayout>
      </c:layout>
      <c:overlay val="0"/>
      <c:spPr>
        <a:noFill/>
        <a:ln>
          <a:noFill/>
        </a:ln>
        <a:effectLst/>
      </c:spPr>
    </c:title>
    <c:autoTitleDeleted val="0"/>
    <c:plotArea>
      <c:layout/>
      <c:barChart>
        <c:barDir val="col"/>
        <c:grouping val="clustered"/>
        <c:varyColors val="0"/>
        <c:ser>
          <c:idx val="0"/>
          <c:order val="0"/>
          <c:spPr>
            <a:solidFill>
              <a:srgbClr val="FF0000"/>
            </a:solidFill>
            <a:ln>
              <a:noFill/>
            </a:ln>
            <a:effectLst/>
          </c:spPr>
          <c:invertIfNegative val="0"/>
          <c:dPt>
            <c:idx val="0"/>
            <c:invertIfNegative val="0"/>
            <c:bubble3D val="0"/>
            <c:spPr>
              <a:solidFill>
                <a:srgbClr val="4F81BD"/>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errBars>
            <c:errBarType val="both"/>
            <c:errValType val="stdErr"/>
            <c:noEndCap val="0"/>
            <c:spPr>
              <a:noFill/>
              <a:ln w="9525" cap="flat" cmpd="sng" algn="ctr">
                <a:solidFill>
                  <a:srgbClr val="595959">
                    <a:lumMod val="65000"/>
                    <a:lumOff val="35000"/>
                  </a:srgbClr>
                </a:solidFill>
                <a:round/>
              </a:ln>
              <a:effectLst/>
            </c:spPr>
          </c:errBars>
          <c:cat>
            <c:strRef>
              <c:f>[工作簿1]Sheet1!$D$7:$D$8</c:f>
              <c:strCache>
                <c:ptCount val="2"/>
                <c:pt idx="0">
                  <c:v>2024年</c:v>
                </c:pt>
                <c:pt idx="1">
                  <c:v>2025年</c:v>
                </c:pt>
              </c:strCache>
            </c:strRef>
          </c:cat>
          <c:val>
            <c:numRef>
              <c:f>[工作簿1]Sheet1!$E$7:$E$8</c:f>
              <c:numCache>
                <c:formatCode>General</c:formatCode>
                <c:ptCount val="2"/>
                <c:pt idx="0">
                  <c:v>378.46</c:v>
                </c:pt>
                <c:pt idx="1">
                  <c:v>442.52</c:v>
                </c:pt>
              </c:numCache>
            </c:numRef>
          </c:val>
        </c:ser>
        <c:dLbls>
          <c:showLegendKey val="0"/>
          <c:showVal val="1"/>
          <c:showCatName val="0"/>
          <c:showSerName val="0"/>
          <c:showPercent val="0"/>
          <c:showBubbleSize val="0"/>
        </c:dLbls>
        <c:gapWidth val="150"/>
        <c:overlap val="-25"/>
        <c:axId val="932765535"/>
        <c:axId val="387224650"/>
      </c:barChart>
      <c:catAx>
        <c:axId val="932765535"/>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87224650"/>
        <c:crosses val="autoZero"/>
        <c:auto val="1"/>
        <c:lblAlgn val="ctr"/>
        <c:lblOffset val="100"/>
        <c:noMultiLvlLbl val="0"/>
      </c:catAx>
      <c:valAx>
        <c:axId val="387224650"/>
        <c:scaling>
          <c:orientation val="minMax"/>
        </c:scaling>
        <c:delete val="1"/>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32765535"/>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407625a5-da01-4bad-805a-603d2ae66e46}"/>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一般公共预算财政拔款收入对比图</a:t>
            </a:r>
          </a:p>
        </c:rich>
      </c:tx>
      <c:layout/>
      <c:overlay val="0"/>
      <c:spPr>
        <a:noFill/>
        <a:ln>
          <a:noFill/>
        </a:ln>
        <a:effectLst/>
      </c:spPr>
    </c:title>
    <c:autoTitleDeleted val="0"/>
    <c:plotArea>
      <c:layout/>
      <c:barChart>
        <c:barDir val="col"/>
        <c:grouping val="clustered"/>
        <c:varyColors val="0"/>
        <c:ser>
          <c:idx val="0"/>
          <c:order val="0"/>
          <c:spPr>
            <a:solidFill>
              <a:srgbClr val="FF0000"/>
            </a:solidFill>
            <a:ln>
              <a:noFill/>
            </a:ln>
            <a:effectLst/>
          </c:spPr>
          <c:invertIfNegative val="0"/>
          <c:dPt>
            <c:idx val="0"/>
            <c:invertIfNegative val="0"/>
            <c:bubble3D val="0"/>
            <c:spPr>
              <a:solidFill>
                <a:srgbClr val="4F81BD"/>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errBars>
            <c:errBarType val="both"/>
            <c:errValType val="stdErr"/>
            <c:noEndCap val="0"/>
            <c:spPr>
              <a:noFill/>
              <a:ln w="9525" cap="flat" cmpd="sng" algn="ctr">
                <a:solidFill>
                  <a:srgbClr val="595959">
                    <a:lumMod val="65000"/>
                    <a:lumOff val="35000"/>
                  </a:srgbClr>
                </a:solidFill>
                <a:round/>
              </a:ln>
              <a:effectLst/>
            </c:spPr>
          </c:errBars>
          <c:cat>
            <c:strRef>
              <c:f>[工作簿1]Sheet1!$D$7:$D$8</c:f>
              <c:strCache>
                <c:ptCount val="2"/>
                <c:pt idx="0">
                  <c:v>2024年</c:v>
                </c:pt>
                <c:pt idx="1">
                  <c:v>2025年</c:v>
                </c:pt>
              </c:strCache>
            </c:strRef>
          </c:cat>
          <c:val>
            <c:numRef>
              <c:f>[工作簿1]Sheet1!$E$7:$E$8</c:f>
              <c:numCache>
                <c:formatCode>General</c:formatCode>
                <c:ptCount val="2"/>
                <c:pt idx="0">
                  <c:v>378.46</c:v>
                </c:pt>
                <c:pt idx="1">
                  <c:v>442.52</c:v>
                </c:pt>
              </c:numCache>
            </c:numRef>
          </c:val>
        </c:ser>
        <c:dLbls>
          <c:showLegendKey val="0"/>
          <c:showVal val="1"/>
          <c:showCatName val="0"/>
          <c:showSerName val="0"/>
          <c:showPercent val="0"/>
          <c:showBubbleSize val="0"/>
        </c:dLbls>
        <c:gapWidth val="150"/>
        <c:overlap val="-25"/>
        <c:axId val="932765535"/>
        <c:axId val="387224650"/>
      </c:barChart>
      <c:catAx>
        <c:axId val="932765535"/>
        <c:scaling>
          <c:orientation val="minMax"/>
        </c:scaling>
        <c:delete val="0"/>
        <c:axPos val="b"/>
        <c:title>
          <c:layout/>
          <c:overlay val="0"/>
          <c:spPr>
            <a:noFill/>
            <a:ln>
              <a:noFill/>
            </a:ln>
            <a:effectLst/>
          </c:spPr>
          <c:txPr>
            <a:bodyPr rot="0" spcFirstLastPara="0" vertOverflow="ellipsis" vert="horz" wrap="square" anchor="ctr" anchorCtr="1"/>
            <a:lstStyle/>
            <a:p>
              <a:pPr>
                <a:defRPr lang="zh-CN" sz="1000" b="0" i="0" u="none" strike="noStrike" kern="1200" baseline="0">
                  <a:solidFill>
                    <a:srgbClr val="595959">
                      <a:lumMod val="65000"/>
                      <a:lumOff val="35000"/>
                    </a:srgbClr>
                  </a:solidFill>
                  <a:latin typeface="+mn-lt"/>
                  <a:ea typeface="+mn-ea"/>
                  <a:cs typeface="+mn-cs"/>
                </a:defRPr>
              </a:pPr>
            </a:p>
          </c:txPr>
        </c:title>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87224650"/>
        <c:crosses val="autoZero"/>
        <c:auto val="1"/>
        <c:lblAlgn val="ctr"/>
        <c:lblOffset val="100"/>
        <c:noMultiLvlLbl val="0"/>
      </c:catAx>
      <c:valAx>
        <c:axId val="387224650"/>
        <c:scaling>
          <c:orientation val="minMax"/>
        </c:scaling>
        <c:delete val="1"/>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32765535"/>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9c86d779-5e15-454d-a935-5db68970ecf1}"/>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一般公共预算财政拔款支出对比图</a:t>
            </a:r>
          </a:p>
        </c:rich>
      </c:tx>
      <c:layout>
        <c:manualLayout>
          <c:xMode val="edge"/>
          <c:yMode val="edge"/>
          <c:x val="0.200555555555556"/>
          <c:y val="0.0182321717055158"/>
        </c:manualLayout>
      </c:layout>
      <c:overlay val="0"/>
      <c:spPr>
        <a:noFill/>
        <a:ln>
          <a:noFill/>
        </a:ln>
        <a:effectLst/>
      </c:spPr>
    </c:title>
    <c:autoTitleDeleted val="0"/>
    <c:plotArea>
      <c:layout/>
      <c:barChart>
        <c:barDir val="col"/>
        <c:grouping val="clustered"/>
        <c:varyColors val="0"/>
        <c:ser>
          <c:idx val="0"/>
          <c:order val="0"/>
          <c:spPr>
            <a:solidFill>
              <a:srgbClr val="FF0000"/>
            </a:solidFill>
            <a:ln>
              <a:noFill/>
            </a:ln>
            <a:effectLst/>
          </c:spPr>
          <c:invertIfNegative val="0"/>
          <c:dPt>
            <c:idx val="0"/>
            <c:invertIfNegative val="0"/>
            <c:bubble3D val="0"/>
            <c:spPr>
              <a:solidFill>
                <a:srgbClr val="4F81BD"/>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errBars>
            <c:errBarType val="both"/>
            <c:errValType val="stdErr"/>
            <c:noEndCap val="0"/>
            <c:spPr>
              <a:noFill/>
              <a:ln w="9525" cap="flat" cmpd="sng" algn="ctr">
                <a:solidFill>
                  <a:srgbClr val="595959">
                    <a:lumMod val="65000"/>
                    <a:lumOff val="35000"/>
                  </a:srgbClr>
                </a:solidFill>
                <a:round/>
              </a:ln>
              <a:effectLst/>
            </c:spPr>
          </c:errBars>
          <c:cat>
            <c:strRef>
              <c:f>[工作簿1]Sheet1!$D$7:$D$8</c:f>
              <c:strCache>
                <c:ptCount val="2"/>
                <c:pt idx="0">
                  <c:v>2024年</c:v>
                </c:pt>
                <c:pt idx="1">
                  <c:v>2025年</c:v>
                </c:pt>
              </c:strCache>
            </c:strRef>
          </c:cat>
          <c:val>
            <c:numRef>
              <c:f>[工作簿1]Sheet1!$E$7:$E$8</c:f>
              <c:numCache>
                <c:formatCode>General</c:formatCode>
                <c:ptCount val="2"/>
                <c:pt idx="0">
                  <c:v>378.46</c:v>
                </c:pt>
                <c:pt idx="1">
                  <c:v>442.52</c:v>
                </c:pt>
              </c:numCache>
            </c:numRef>
          </c:val>
        </c:ser>
        <c:dLbls>
          <c:showLegendKey val="0"/>
          <c:showVal val="1"/>
          <c:showCatName val="0"/>
          <c:showSerName val="0"/>
          <c:showPercent val="0"/>
          <c:showBubbleSize val="0"/>
        </c:dLbls>
        <c:gapWidth val="150"/>
        <c:overlap val="-25"/>
        <c:axId val="932765535"/>
        <c:axId val="387224650"/>
      </c:barChart>
      <c:catAx>
        <c:axId val="932765535"/>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87224650"/>
        <c:crosses val="autoZero"/>
        <c:auto val="1"/>
        <c:lblAlgn val="ctr"/>
        <c:lblOffset val="100"/>
        <c:noMultiLvlLbl val="0"/>
      </c:catAx>
      <c:valAx>
        <c:axId val="387224650"/>
        <c:scaling>
          <c:orientation val="minMax"/>
        </c:scaling>
        <c:delete val="1"/>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32765535"/>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dda5f70b-92f0-4429-87e4-e99d8f233805}"/>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[工作簿1]Sheet1!$D$7:$D$10</c:f>
              <c:strCache>
                <c:ptCount val="4"/>
                <c:pt idx="0">
                  <c:v>一般公共服务支出</c:v>
                </c:pt>
                <c:pt idx="1">
                  <c:v>社会保障和就业支出</c:v>
                </c:pt>
                <c:pt idx="2">
                  <c:v>卫生健康支出</c:v>
                </c:pt>
                <c:pt idx="3">
                  <c:v>住房保障支出</c:v>
                </c:pt>
              </c:strCache>
            </c:strRef>
          </c:cat>
          <c:val>
            <c:numRef>
              <c:f>[工作簿1]Sheet1!$E$7:$E$10</c:f>
              <c:numCache>
                <c:formatCode>General</c:formatCode>
                <c:ptCount val="4"/>
                <c:pt idx="0">
                  <c:v>381.58</c:v>
                </c:pt>
                <c:pt idx="1">
                  <c:v>30.43</c:v>
                </c:pt>
                <c:pt idx="2">
                  <c:v>12.93</c:v>
                </c:pt>
                <c:pt idx="3">
                  <c:v>17.58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3046d1ed-d1ab-4cf1-b595-fab992733586}"/>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三公经费支出数</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c:v>
                </c:pt>
                <c:pt idx="1">
                  <c:v>公务用车购置及运行维护费</c:v>
                </c:pt>
                <c:pt idx="2">
                  <c:v>公务接待费</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v>10.6</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da6869ff-80a5-40a8-9f48-99306ec6c37a}"/>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11668</Words>
  <Characters>12414</Characters>
  <Lines>61</Lines>
  <Paragraphs>17</Paragraphs>
  <TotalTime>230</TotalTime>
  <ScaleCrop>false</ScaleCrop>
  <LinksUpToDate>false</LinksUpToDate>
  <CharactersWithSpaces>12472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一个笨蛋</cp:lastModifiedBy>
  <cp:lastPrinted>2026-09-11T01:40:00Z</cp:lastPrinted>
  <dcterms:modified xsi:type="dcterms:W3CDTF">2026-09-18T00:49:21Z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eyJoZGlkIjoiYjllZGNkZWEzYjg0NDNmNTQ5MjkzNjk0ODlhNmVkYzAiLCJ1c2VySWQiOiI0MTAxMDQ4MDkifQ==</vt:lpwstr>
  </property>
</Properties>
</file>