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0B460">
      <w:pPr>
        <w:rPr>
          <w:rFonts w:ascii="Times New Roman" w:hAnsi="Times New Roman"/>
        </w:rPr>
      </w:pPr>
      <w:bookmarkStart w:id="0" w:name="_Toc15396597"/>
      <w:bookmarkStart w:id="1" w:name="_Toc15396475"/>
      <w:bookmarkStart w:id="2" w:name="_Toc15377425"/>
      <w:bookmarkStart w:id="3" w:name="_Toc15377193"/>
      <w:bookmarkStart w:id="4" w:name="_Toc15378441"/>
      <w:bookmarkStart w:id="5" w:name="_Toc15306267"/>
    </w:p>
    <w:p w14:paraId="5C12E26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BA92E8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84D25E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895E51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90776BE">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78442"/>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阿坝州驻郫都区老干部休养所</w:t>
      </w:r>
    </w:p>
    <w:p w14:paraId="61690B2C">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8D5C32D">
      <w:pP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br w:type="page"/>
      </w:r>
    </w:p>
    <w:p w14:paraId="703D0D7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236D169">
      <w:pPr>
        <w:widowControl/>
        <w:jc w:val="center"/>
        <w:rPr>
          <w:rFonts w:ascii="Times New Roman" w:hAnsi="Times New Roman" w:eastAsia="黑体" w:cstheme="minorBidi"/>
          <w:color w:val="auto"/>
          <w:sz w:val="28"/>
          <w:szCs w:val="28"/>
          <w:highlight w:val="none"/>
        </w:rPr>
      </w:pPr>
    </w:p>
    <w:p w14:paraId="6269BD8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日</w:t>
      </w:r>
    </w:p>
    <w:p w14:paraId="21E66FC5">
      <w:pPr>
        <w:rPr>
          <w:rFonts w:ascii="Times New Roman" w:hAnsi="Times New Roman"/>
          <w:color w:val="auto"/>
          <w:highlight w:val="none"/>
        </w:rPr>
      </w:pPr>
    </w:p>
    <w:p w14:paraId="4F79485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FD828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......................................................................4</w:t>
      </w:r>
    </w:p>
    <w:p w14:paraId="50FE4E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......................................................................4</w:t>
      </w:r>
    </w:p>
    <w:p w14:paraId="4AE1560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4F71E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.....................................4</w:t>
      </w:r>
    </w:p>
    <w:p w14:paraId="39012A9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390406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5AD3D23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148AEC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361D9C8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0342F6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4A21282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1CDC42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454950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3F27B3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.................................................................15</w:t>
      </w:r>
    </w:p>
    <w:p w14:paraId="4BEDCA5C">
      <w:pPr>
        <w:widowControl/>
        <w:spacing w:line="578" w:lineRule="exact"/>
        <w:contextualSpacing/>
        <w:jc w:val="left"/>
        <w:rPr>
          <w:rFonts w:hint="default" w:ascii="Times New Roman" w:hAnsi="Times New Roman" w:eastAsia="黑体" w:cs="黑体"/>
          <w:color w:val="auto"/>
          <w:kern w:val="2"/>
          <w:sz w:val="32"/>
          <w:szCs w:val="32"/>
          <w:highlight w:val="none"/>
          <w:lang w:val="en-US" w:eastAsia="zh-CN" w:bidi="ar-SA"/>
        </w:rPr>
      </w:pPr>
      <w:r>
        <w:rPr>
          <w:rFonts w:hint="eastAsia" w:ascii="Times New Roman" w:hAnsi="Times New Roman" w:eastAsia="黑体" w:cs="黑体"/>
          <w:color w:val="auto"/>
          <w:sz w:val="32"/>
          <w:szCs w:val="32"/>
          <w:highlight w:val="none"/>
        </w:rPr>
        <w:t xml:space="preserve">第四部分 </w:t>
      </w:r>
      <w:r>
        <w:rPr>
          <w:rFonts w:hint="eastAsia" w:eastAsia="黑体" w:cs="黑体"/>
          <w:color w:val="auto"/>
          <w:sz w:val="32"/>
          <w:szCs w:val="32"/>
          <w:highlight w:val="none"/>
          <w:lang w:val="en-US" w:eastAsia="zh-CN"/>
        </w:rPr>
        <w:t>2</w:t>
      </w:r>
      <w:r>
        <w:rPr>
          <w:rFonts w:hint="eastAsia" w:ascii="Times New Roman" w:hAnsi="Times New Roman" w:eastAsia="黑体" w:cs="黑体"/>
          <w:color w:val="auto"/>
          <w:kern w:val="2"/>
          <w:sz w:val="32"/>
          <w:szCs w:val="32"/>
          <w:highlight w:val="none"/>
          <w:lang w:val="en-US" w:eastAsia="zh-CN" w:bidi="ar-SA"/>
        </w:rPr>
        <w:t>025年部门预算绩效自评报告</w:t>
      </w:r>
      <w:r>
        <w:rPr>
          <w:rFonts w:hint="eastAsia" w:eastAsia="黑体" w:cs="黑体"/>
          <w:color w:val="auto"/>
          <w:kern w:val="2"/>
          <w:sz w:val="32"/>
          <w:szCs w:val="32"/>
          <w:highlight w:val="none"/>
          <w:lang w:val="en-US" w:eastAsia="zh-CN" w:bidi="ar-SA"/>
        </w:rPr>
        <w:t>..........</w:t>
      </w:r>
      <w:r>
        <w:rPr>
          <w:rFonts w:hint="eastAsia" w:ascii="Times New Roman" w:hAnsi="Times New Roman" w:eastAsia="黑体" w:cs="黑体"/>
          <w:color w:val="auto"/>
          <w:kern w:val="2"/>
          <w:sz w:val="32"/>
          <w:szCs w:val="32"/>
          <w:highlight w:val="none"/>
          <w:lang w:val="en-US" w:eastAsia="zh-CN" w:bidi="ar-SA"/>
        </w:rPr>
        <w:t>..................16</w:t>
      </w:r>
    </w:p>
    <w:p w14:paraId="4AA8779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.........................................................................24</w:t>
      </w:r>
    </w:p>
    <w:p w14:paraId="65498C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0D266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E5A94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8A81A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84DD09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14C6E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FEC7E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00B5E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B5788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6DBC0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2BBEE3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61138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2B220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C1001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6AF9A3C">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4EC0CDB1">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3CD6A566">
      <w:pPr>
        <w:widowControl/>
        <w:jc w:val="left"/>
        <w:rPr>
          <w:rFonts w:ascii="Times New Roman" w:hAnsi="Times New Roman" w:eastAsia="黑体"/>
          <w:color w:val="auto"/>
          <w:sz w:val="32"/>
          <w:szCs w:val="32"/>
          <w:highlight w:val="none"/>
        </w:rPr>
      </w:pPr>
    </w:p>
    <w:p w14:paraId="1AEBF772">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0509B79">
      <w:pPr>
        <w:ind w:firstLine="640" w:firstLineChars="200"/>
        <w:rPr>
          <w:rFonts w:ascii="仿宋_GB2312" w:eastAsia="仿宋_GB2312"/>
          <w:sz w:val="32"/>
          <w:szCs w:val="32"/>
        </w:rPr>
      </w:pPr>
      <w:r>
        <w:rPr>
          <w:rFonts w:hint="eastAsia" w:ascii="仿宋_GB2312" w:eastAsia="仿宋_GB2312"/>
          <w:sz w:val="32"/>
          <w:szCs w:val="32"/>
        </w:rPr>
        <w:t>在州委老干部局的领导下，履行好对阿坝州驻郫都区老干部休养所、老干部管理服务中心工作的职责，贯彻落实党中央、国务院和省委、省政府、州委、州政府关于老干部工作的各项方针政策，协同组织部门抓好老干部党支部建设，加强对阿坝州驻郫都区离休老干部、厅级退休干部等的管理和服务工作，组织指导老干部协会开展各项活动。</w:t>
      </w:r>
    </w:p>
    <w:p w14:paraId="6483514A">
      <w:pPr>
        <w:pStyle w:val="3"/>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00AFFE4C">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阿坝州驻郫都区老干部休养所</w:t>
      </w:r>
      <w:r>
        <w:rPr>
          <w:rFonts w:hint="eastAsia" w:ascii="Times New Roman" w:hAnsi="Times New Roman" w:eastAsia="仿宋_GB2312" w:cs="仿宋_GB2312"/>
          <w:color w:val="auto"/>
          <w:sz w:val="32"/>
          <w:szCs w:val="32"/>
          <w:highlight w:val="none"/>
        </w:rPr>
        <w:t>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属</w:t>
      </w:r>
      <w:r>
        <w:rPr>
          <w:rFonts w:hint="eastAsia" w:ascii="Times New Roman" w:hAnsi="Times New Roman" w:eastAsia="仿宋_GB2312" w:cs="仿宋_GB2312"/>
          <w:color w:val="auto"/>
          <w:sz w:val="32"/>
          <w:szCs w:val="32"/>
          <w:highlight w:val="none"/>
        </w:rPr>
        <w:t>参照公务员法管理的事业单位。</w:t>
      </w:r>
    </w:p>
    <w:p w14:paraId="69C5A985">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01BAE6C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2FFDCD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186.14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增加7.61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4.3</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人员经费增加，工资、社保正常晋升和增加，年底退休1人，</w:t>
      </w:r>
      <w:r>
        <w:rPr>
          <w:rFonts w:hint="eastAsia" w:ascii="仿宋" w:hAnsi="仿宋" w:eastAsia="仿宋"/>
          <w:sz w:val="30"/>
          <w:szCs w:val="30"/>
        </w:rPr>
        <w:t>增加1 名退休人员购房补贴1.2万元</w:t>
      </w:r>
      <w:r>
        <w:rPr>
          <w:rFonts w:hint="eastAsia" w:ascii="仿宋" w:hAnsi="仿宋" w:eastAsia="仿宋"/>
          <w:sz w:val="30"/>
          <w:szCs w:val="30"/>
          <w:lang w:eastAsia="zh-CN"/>
        </w:rPr>
        <w:t>。</w:t>
      </w:r>
    </w:p>
    <w:p w14:paraId="2CCCCDD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9BD2B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331750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4CE0275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181.</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77D5BE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1D3AE4D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9A0C98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98B2D3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182.</w:t>
      </w:r>
      <w:r>
        <w:rPr>
          <w:rFonts w:hint="eastAsia" w:ascii="仿宋_GB2312" w:hAnsi="仿宋_GB2312" w:eastAsia="仿宋_GB2312" w:cs="仿宋_GB2312"/>
          <w:sz w:val="32"/>
          <w:szCs w:val="32"/>
          <w:lang w:val="en-US" w:eastAsia="zh-CN"/>
        </w:rPr>
        <w:t>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137.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75.3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45.</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24.</w:t>
      </w:r>
      <w:r>
        <w:rPr>
          <w:rFonts w:hint="eastAsia" w:ascii="仿宋_GB2312" w:hAnsi="仿宋_GB2312" w:eastAsia="仿宋_GB2312" w:cs="仿宋_GB2312"/>
          <w:sz w:val="32"/>
          <w:szCs w:val="32"/>
          <w:lang w:val="en-US" w:eastAsia="zh-CN"/>
        </w:rPr>
        <w:t>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72405ACA">
      <w:pPr>
        <w:pStyle w:val="26"/>
        <w:bidi w:val="0"/>
        <w:rPr>
          <w:rFonts w:hint="eastAsia"/>
          <w:lang w:eastAsia="zh-CN"/>
        </w:rPr>
      </w:pPr>
      <w:r>
        <w:rPr>
          <w:rFonts w:hint="eastAsia"/>
          <w:lang w:eastAsia="zh-CN"/>
        </w:rPr>
        <w:t>（图3：支出决算结构图）（饼状图）</w:t>
      </w:r>
    </w:p>
    <w:p w14:paraId="5AB51EDF">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AB84E8">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5433C0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，基本持平</w:t>
      </w:r>
      <w:r>
        <w:rPr>
          <w:rFonts w:hint="eastAsia" w:ascii="Times New Roman" w:hAnsi="Times New Roman" w:eastAsia="仿宋_GB2312" w:cs="仿宋_GB2312"/>
          <w:color w:val="auto"/>
          <w:kern w:val="2"/>
          <w:sz w:val="32"/>
          <w:szCs w:val="32"/>
          <w:highlight w:val="none"/>
          <w:lang w:val="en-US" w:eastAsia="zh-CN" w:bidi="ar-SA"/>
        </w:rPr>
        <w:t>。</w:t>
      </w:r>
    </w:p>
    <w:p w14:paraId="526E72F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19B074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F906678">
      <w:pPr>
        <w:pStyle w:val="13"/>
        <w:rPr>
          <w:rFonts w:hint="eastAsia"/>
          <w:lang w:val="en-US" w:eastAsia="zh-CN"/>
        </w:rPr>
      </w:pPr>
      <w:r>
        <w:rPr>
          <w:rFonts w:hint="eastAsia"/>
          <w:lang w:val="en-US" w:eastAsia="zh-CN"/>
        </w:rPr>
        <w:drawing>
          <wp:inline distT="0" distB="0" distL="114300" distR="114300">
            <wp:extent cx="5256530" cy="2988310"/>
            <wp:effectExtent l="5080" t="4445" r="8890" b="17145"/>
            <wp:docPr id="4" name="图表 4"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DE7253">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48321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90820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p>
    <w:p w14:paraId="7F5DA5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AF829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D8C57B">
      <w:pPr>
        <w:pStyle w:val="13"/>
        <w:rPr>
          <w:rFonts w:hint="eastAsia" w:ascii="Times New Roman" w:hAnsi="Times New Roman" w:eastAsia="仿宋_GB2312" w:cs="仿宋_GB2312"/>
          <w:color w:val="auto"/>
          <w:kern w:val="2"/>
          <w:sz w:val="32"/>
          <w:szCs w:val="32"/>
          <w:highlight w:val="none"/>
          <w:lang w:val="en-US" w:eastAsia="zh-CN" w:bidi="ar-SA"/>
        </w:rPr>
      </w:pPr>
    </w:p>
    <w:p w14:paraId="56937B71">
      <w:pPr>
        <w:pStyle w:val="7"/>
        <w:rPr>
          <w:rFonts w:hint="eastAsia"/>
          <w:lang w:val="en-US" w:eastAsia="zh-CN"/>
        </w:rPr>
      </w:pPr>
      <w:r>
        <w:rPr>
          <w:rFonts w:hint="eastAsia"/>
          <w:lang w:val="en-US" w:eastAsia="zh-CN"/>
        </w:rPr>
        <w:drawing>
          <wp:inline distT="0" distB="0" distL="114300" distR="114300">
            <wp:extent cx="5256530" cy="2988310"/>
            <wp:effectExtent l="5080" t="4445" r="8890" b="17145"/>
            <wp:docPr id="5" name="图表 5"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7FECD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A93442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148.6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83.7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7C2B6B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r>
        <w:rPr>
          <w:rFonts w:hint="eastAsia" w:eastAsia="仿宋_GB2312" w:cs="仿宋_GB2312"/>
          <w:color w:val="auto"/>
          <w:kern w:val="2"/>
          <w:sz w:val="32"/>
          <w:szCs w:val="32"/>
          <w:highlight w:val="none"/>
          <w:lang w:val="en-US" w:eastAsia="zh-CN" w:bidi="ar-SA"/>
        </w:rPr>
        <w:t>）</w:t>
      </w:r>
    </w:p>
    <w:p w14:paraId="2ED7E711">
      <w:pPr>
        <w:pStyle w:val="7"/>
        <w:ind w:left="0" w:leftChars="0" w:firstLine="0" w:firstLineChars="0"/>
        <w:rPr>
          <w:rFonts w:hint="eastAsia" w:eastAsia="仿宋_GB2312" w:cs="仿宋_GB2312"/>
          <w:color w:val="auto"/>
          <w:kern w:val="2"/>
          <w:sz w:val="32"/>
          <w:szCs w:val="32"/>
          <w:highlight w:val="none"/>
          <w:lang w:val="en-US" w:eastAsia="zh-CN" w:bidi="ar-SA"/>
        </w:rPr>
      </w:pPr>
    </w:p>
    <w:p w14:paraId="5D5525A3">
      <w:pPr>
        <w:pStyle w:val="7"/>
        <w:ind w:left="0" w:leftChars="0" w:firstLine="0" w:firstLineChars="0"/>
        <w:rPr>
          <w:rFonts w:hint="eastAsia" w:eastAsia="仿宋_GB2312" w:cs="仿宋_GB2312"/>
          <w:color w:val="auto"/>
          <w:kern w:val="2"/>
          <w:sz w:val="32"/>
          <w:szCs w:val="32"/>
          <w:highlight w:val="none"/>
          <w:lang w:val="en-US" w:eastAsia="zh-CN" w:bidi="ar-SA"/>
        </w:rPr>
      </w:pPr>
    </w:p>
    <w:p w14:paraId="3A6B323A">
      <w:pPr>
        <w:pStyle w:val="13"/>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F01A7C">
      <w:pPr>
        <w:pStyle w:val="7"/>
        <w:rPr>
          <w:rFonts w:hint="eastAsia" w:ascii="Times New Roman" w:hAnsi="Times New Roman" w:eastAsia="仿宋_GB2312" w:cs="仿宋_GB2312"/>
          <w:color w:val="auto"/>
          <w:kern w:val="2"/>
          <w:sz w:val="32"/>
          <w:szCs w:val="32"/>
          <w:highlight w:val="none"/>
          <w:lang w:val="en-US" w:eastAsia="zh-CN" w:bidi="ar-SA"/>
        </w:rPr>
      </w:pPr>
    </w:p>
    <w:p w14:paraId="46919F54">
      <w:pPr>
        <w:pStyle w:val="13"/>
        <w:rPr>
          <w:rFonts w:hint="eastAsia"/>
          <w:lang w:val="en-US" w:eastAsia="zh-CN"/>
        </w:rPr>
      </w:pPr>
    </w:p>
    <w:p w14:paraId="2A2B7D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481FC3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E2C0D97">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24C377D">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00235F4">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p>
    <w:p w14:paraId="52E4A2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D8E023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4D013638">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1F4FA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万元，其中：</w:t>
      </w:r>
    </w:p>
    <w:p w14:paraId="1134D4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126.</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万元，主要包括：基本工资、津贴补贴、奖金、机关事业单位基本养老保险缴费、职业年金缴费、其他社会保障缴费、生活补助、医疗费补助、奖励金、住房公积金等。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取暖费、差旅费、维修（护）费、租赁费、会议费、培训费、委托业务费、工会经费、福利费、公务用车运行维护费、其他交通费、其他商品和服务支出、办公设备购置等。</w:t>
      </w:r>
    </w:p>
    <w:p w14:paraId="31ADAA9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18FA85D">
      <w:pPr>
        <w:spacing w:line="600" w:lineRule="exact"/>
        <w:ind w:firstLine="640"/>
        <w:outlineLvl w:val="1"/>
        <w:rPr>
          <w:rStyle w:val="29"/>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E04EF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23B23D0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90.9</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，与上年持平。</w:t>
      </w:r>
    </w:p>
    <w:p w14:paraId="1EE9A61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390C47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9EA78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5081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16A2C3D">
      <w:pPr>
        <w:pStyle w:val="7"/>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F5DC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2E69923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b/>
          <w:bCs/>
          <w:color w:val="auto"/>
          <w:kern w:val="2"/>
          <w:sz w:val="32"/>
          <w:szCs w:val="32"/>
          <w:highlight w:val="none"/>
          <w:lang w:val="en-US" w:eastAsia="zh-CN" w:bidi="ar-SA"/>
        </w:rPr>
        <w:t>与上年持平</w:t>
      </w:r>
      <w:r>
        <w:rPr>
          <w:rFonts w:hint="eastAsia" w:eastAsia="仿宋_GB2312" w:cs="仿宋_GB2312"/>
          <w:color w:val="auto"/>
          <w:kern w:val="2"/>
          <w:sz w:val="32"/>
          <w:szCs w:val="32"/>
          <w:highlight w:val="none"/>
          <w:lang w:val="en-US" w:eastAsia="zh-CN" w:bidi="ar-SA"/>
        </w:rPr>
        <w:t>。</w:t>
      </w:r>
    </w:p>
    <w:p w14:paraId="11166BB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商务车一辆。</w:t>
      </w:r>
    </w:p>
    <w:p w14:paraId="52AA02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离退休老干部用车和单位用车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w:t>
      </w:r>
      <w:r>
        <w:rPr>
          <w:rFonts w:hint="eastAsia" w:eastAsia="仿宋_GB2312" w:cs="仿宋_GB2312"/>
          <w:color w:val="auto"/>
          <w:kern w:val="2"/>
          <w:sz w:val="32"/>
          <w:szCs w:val="32"/>
          <w:highlight w:val="none"/>
          <w:lang w:val="en-US" w:eastAsia="zh-CN" w:bidi="ar-SA"/>
        </w:rPr>
        <w:t>过</w:t>
      </w:r>
      <w:r>
        <w:rPr>
          <w:rFonts w:hint="eastAsia" w:ascii="Times New Roman" w:hAnsi="Times New Roman" w:eastAsia="仿宋_GB2312" w:cs="仿宋_GB2312"/>
          <w:color w:val="auto"/>
          <w:kern w:val="2"/>
          <w:sz w:val="32"/>
          <w:szCs w:val="32"/>
          <w:highlight w:val="none"/>
          <w:lang w:val="en-US" w:eastAsia="zh-CN" w:bidi="ar-SA"/>
        </w:rPr>
        <w:t>路过桥费、保险费等支出。</w:t>
      </w:r>
    </w:p>
    <w:p w14:paraId="74B7FB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74EEF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62EBA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66EEE11">
      <w:pPr>
        <w:spacing w:line="600" w:lineRule="exact"/>
        <w:ind w:firstLine="640"/>
        <w:outlineLvl w:val="1"/>
        <w:rPr>
          <w:rStyle w:val="29"/>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631BF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9D71678">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75079A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221FAB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0F546B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427AF17">
      <w:pPr>
        <w:spacing w:line="600" w:lineRule="exact"/>
        <w:ind w:firstLine="640"/>
        <w:rPr>
          <w:rFonts w:hint="eastAsia" w:ascii="Times New Roman" w:hAnsi="Times New Roman" w:eastAsia="仿宋_GB2312" w:cs="仿宋_GB2312"/>
          <w:color w:val="auto"/>
          <w:kern w:val="2"/>
          <w:sz w:val="28"/>
          <w:szCs w:val="28"/>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11.09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b/>
          <w:bCs/>
          <w:color w:val="auto"/>
          <w:kern w:val="2"/>
          <w:sz w:val="32"/>
          <w:szCs w:val="32"/>
          <w:highlight w:val="none"/>
          <w:lang w:val="en-US" w:eastAsia="zh-CN" w:bidi="ar-SA"/>
        </w:rPr>
        <w:t>与上年持平</w:t>
      </w:r>
      <w:r>
        <w:rPr>
          <w:rFonts w:hint="eastAsia" w:eastAsia="仿宋_GB2312" w:cs="仿宋_GB2312"/>
          <w:b/>
          <w:bCs/>
          <w:color w:val="auto"/>
          <w:kern w:val="2"/>
          <w:sz w:val="32"/>
          <w:szCs w:val="32"/>
          <w:highlight w:val="none"/>
          <w:lang w:val="en-US" w:eastAsia="zh-CN" w:bidi="ar-SA"/>
        </w:rPr>
        <w:t>。</w:t>
      </w:r>
    </w:p>
    <w:p w14:paraId="402B981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26384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23700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33CD2B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离退休老干部用车和单位公务用车。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37E80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EDB4F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管理服务中心运行费、老干部活动党建活动、物业管理</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1810674">
      <w:pPr>
        <w:snapToGrid w:val="0"/>
        <w:spacing w:line="578" w:lineRule="exact"/>
        <w:ind w:firstLine="640"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部门预算专项预算项目绩效自评报告，其中，</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部门预算（含部门预算项目）绩效自评得分为89分，绩效自评综述</w:t>
      </w:r>
      <w:r>
        <w:rPr>
          <w:rFonts w:hint="eastAsia" w:ascii="Times New Roman" w:hAnsi="Times New Roman" w:eastAsia="仿宋_GB2312" w:cs="仿宋_GB2312"/>
          <w:color w:val="auto"/>
          <w:kern w:val="2"/>
          <w:sz w:val="32"/>
          <w:szCs w:val="32"/>
          <w:highlight w:val="none"/>
          <w:lang w:val="zh-CN" w:eastAsia="zh-CN" w:bidi="ar-SA"/>
        </w:rPr>
        <w:t>阿坝州驻郫都区老干部休养所2025年项目预算执行率达94%，全年无不良记录及违规违纪行为，预算支出和决算支出情况相符。</w:t>
      </w:r>
    </w:p>
    <w:p w14:paraId="568CCADB">
      <w:pPr>
        <w:snapToGrid w:val="0"/>
        <w:spacing w:line="578"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绩效自评报告详见附件。（注：如不涉及，可根据实际修改表述。）</w:t>
      </w:r>
    </w:p>
    <w:p w14:paraId="00BA2684">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014C97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7BE73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708A82B4">
      <w:pPr>
        <w:spacing w:line="600" w:lineRule="exact"/>
        <w:jc w:val="left"/>
        <w:rPr>
          <w:rFonts w:ascii="Times New Roman" w:hAnsi="Times New Roman"/>
          <w:b/>
          <w:color w:val="auto"/>
          <w:sz w:val="44"/>
          <w:szCs w:val="44"/>
          <w:highlight w:val="none"/>
        </w:rPr>
      </w:pPr>
    </w:p>
    <w:p w14:paraId="41760B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EFDE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2.其他收入：指单位取得的除上述收入以外的各项收入。主要是</w:t>
      </w:r>
      <w:r>
        <w:rPr>
          <w:rFonts w:hint="eastAsia" w:eastAsia="仿宋_GB2312" w:cs="仿宋_GB2312"/>
          <w:color w:val="auto"/>
          <w:kern w:val="2"/>
          <w:sz w:val="32"/>
          <w:szCs w:val="32"/>
          <w:highlight w:val="none"/>
          <w:lang w:val="en-US" w:eastAsia="zh-CN" w:bidi="ar-SA"/>
        </w:rPr>
        <w:t>上级主管部门拨款收入</w:t>
      </w:r>
      <w:r>
        <w:rPr>
          <w:rFonts w:hint="eastAsia" w:ascii="Times New Roman" w:hAnsi="Times New Roman" w:eastAsia="仿宋_GB2312" w:cs="仿宋_GB2312"/>
          <w:color w:val="auto"/>
          <w:kern w:val="2"/>
          <w:sz w:val="32"/>
          <w:szCs w:val="32"/>
          <w:highlight w:val="none"/>
          <w:lang w:val="en-US" w:eastAsia="zh-CN" w:bidi="ar-SA"/>
        </w:rPr>
        <w:t xml:space="preserve">等。 </w:t>
      </w:r>
    </w:p>
    <w:p w14:paraId="6593DB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F531D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258C0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3BF7304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单位基本支出和项目支出。</w:t>
      </w:r>
    </w:p>
    <w:p w14:paraId="0FE324CB">
      <w:pPr>
        <w:spacing w:line="600" w:lineRule="exact"/>
        <w:ind w:firstLine="64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机关事业养都比保险缴费和机关事业单位职业年金缴费。</w:t>
      </w:r>
    </w:p>
    <w:p w14:paraId="203377F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行政事业单位医疗和公务员医疗补助。</w:t>
      </w:r>
    </w:p>
    <w:p w14:paraId="17B4F72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住房公积金缴费。</w:t>
      </w:r>
    </w:p>
    <w:p w14:paraId="303CB0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445E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56EDC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A531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B5AAE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ECE290C">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4B6473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D32F85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E5EE5C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C46CA32">
      <w:pPr>
        <w:widowControl/>
        <w:spacing w:line="578" w:lineRule="exact"/>
        <w:contextualSpacing/>
        <w:jc w:val="center"/>
        <w:rPr>
          <w:rFonts w:eastAsia="宋体"/>
          <w:b/>
          <w:sz w:val="44"/>
          <w:szCs w:val="44"/>
          <w:shd w:val="clear" w:color="auto" w:fill="FFFFFF"/>
        </w:rPr>
      </w:pPr>
      <w:r>
        <w:rPr>
          <w:rFonts w:hint="eastAsia" w:eastAsia="宋体"/>
          <w:b/>
          <w:sz w:val="44"/>
          <w:szCs w:val="44"/>
          <w:shd w:val="clear" w:color="auto" w:fill="FFFFFF"/>
        </w:rPr>
        <w:t>阿坝州驻郫都区老干部休养所</w:t>
      </w:r>
    </w:p>
    <w:p w14:paraId="0DC744DF">
      <w:pPr>
        <w:widowControl/>
        <w:spacing w:line="578" w:lineRule="exact"/>
        <w:contextualSpacing/>
        <w:jc w:val="center"/>
        <w:rPr>
          <w:rFonts w:eastAsia="宋体"/>
          <w:b/>
          <w:sz w:val="44"/>
          <w:szCs w:val="44"/>
          <w:shd w:val="clear" w:color="auto" w:fill="FFFFFF"/>
        </w:rPr>
      </w:pPr>
      <w:r>
        <w:rPr>
          <w:rFonts w:hint="eastAsia" w:eastAsia="宋体"/>
          <w:b/>
          <w:sz w:val="44"/>
          <w:szCs w:val="44"/>
          <w:shd w:val="clear" w:color="auto" w:fill="FFFFFF"/>
        </w:rPr>
        <w:t>2025年部门预算绩效自评报告</w:t>
      </w:r>
    </w:p>
    <w:p w14:paraId="54556BA4">
      <w:pPr>
        <w:widowControl/>
        <w:spacing w:line="578" w:lineRule="exact"/>
        <w:contextualSpacing/>
        <w:jc w:val="center"/>
        <w:rPr>
          <w:rFonts w:eastAsia="宋体"/>
          <w:b/>
          <w:sz w:val="44"/>
          <w:szCs w:val="44"/>
          <w:shd w:val="clear" w:color="auto" w:fill="FFFFFF"/>
        </w:rPr>
      </w:pPr>
    </w:p>
    <w:p w14:paraId="519CE14F">
      <w:pPr>
        <w:widowControl/>
        <w:spacing w:line="578" w:lineRule="exact"/>
        <w:contextualSpacing/>
        <w:jc w:val="left"/>
        <w:rPr>
          <w:rFonts w:eastAsia="宋体"/>
          <w:b/>
          <w:sz w:val="44"/>
          <w:szCs w:val="44"/>
          <w:shd w:val="clear" w:color="auto" w:fill="FFFFFF"/>
        </w:rPr>
      </w:pPr>
    </w:p>
    <w:p w14:paraId="168FA6A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color w:val="000000"/>
          <w:kern w:val="0"/>
          <w:szCs w:val="32"/>
          <w:shd w:val="clear" w:color="auto" w:fill="FFFFFF"/>
          <w:lang w:val="zh-CN"/>
        </w:rPr>
        <w:t>一</w:t>
      </w:r>
      <w:r>
        <w:rPr>
          <w:rFonts w:hint="eastAsia" w:ascii="Times New Roman" w:hAnsi="Times New Roman" w:eastAsia="仿宋_GB2312" w:cs="仿宋_GB2312"/>
          <w:color w:val="auto"/>
          <w:kern w:val="2"/>
          <w:sz w:val="32"/>
          <w:szCs w:val="32"/>
          <w:highlight w:val="none"/>
          <w:lang w:val="zh-CN" w:eastAsia="zh-CN" w:bidi="ar-SA"/>
        </w:rPr>
        <w:t>、部门（单位）概况</w:t>
      </w:r>
    </w:p>
    <w:p w14:paraId="1695D81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（一）机构组成</w:t>
      </w:r>
    </w:p>
    <w:p w14:paraId="17611D0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阿坝州驻郫都区老干部休养所是州委老干部</w:t>
      </w:r>
      <w:r>
        <w:rPr>
          <w:rFonts w:hint="eastAsia" w:eastAsia="仿宋_GB2312" w:cs="仿宋_GB2312"/>
          <w:color w:val="auto"/>
          <w:kern w:val="2"/>
          <w:sz w:val="32"/>
          <w:szCs w:val="32"/>
          <w:highlight w:val="none"/>
          <w:lang w:val="en-US" w:eastAsia="zh-CN" w:bidi="ar-SA"/>
        </w:rPr>
        <w:t>局</w:t>
      </w:r>
      <w:r>
        <w:rPr>
          <w:rFonts w:hint="eastAsia" w:ascii="Times New Roman" w:hAnsi="Times New Roman" w:eastAsia="仿宋_GB2312" w:cs="仿宋_GB2312"/>
          <w:color w:val="auto"/>
          <w:kern w:val="2"/>
          <w:sz w:val="32"/>
          <w:szCs w:val="32"/>
          <w:highlight w:val="none"/>
          <w:lang w:val="zh-CN" w:eastAsia="zh-CN" w:bidi="ar-SA"/>
        </w:rPr>
        <w:t>正科级派出机构，总编制 5名,其中:参照公务员管理编制4名,工勤人员编制1名。</w:t>
      </w:r>
    </w:p>
    <w:p w14:paraId="19D0B7D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（二）机构职能</w:t>
      </w:r>
    </w:p>
    <w:p w14:paraId="53DB6DC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在州委老干部局的领导下，履行好对阿坝州驻郫都区老干部休养所、老干部管理服务中心工作的职责，贯彻落实党中央、国务院和省委、省政府、州委、州政府关于老干部工作的各项方针政策，协同组织部门抓好老干部党支部建设，加强对阿坝州驻郫都区离休老干部、厅级退休干部等的管理和服务工作，负责阿坝州驻郫都区老干部管理活动中心场地、器材等的维护管理，组织指导阿坝州格桑花老年人协会开展各项活动。</w:t>
      </w:r>
    </w:p>
    <w:p w14:paraId="6F5AB72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（三）人员概况</w:t>
      </w:r>
    </w:p>
    <w:p w14:paraId="7294E72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2025年末在职人数为4名，其中：参照公务员管理人员3名，工勤人员1名；退休人员3人。</w:t>
      </w:r>
    </w:p>
    <w:p w14:paraId="6A98C9D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二、部门资金收支情况</w:t>
      </w:r>
    </w:p>
    <w:p w14:paraId="73F424C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（一）收入情况 </w:t>
      </w:r>
    </w:p>
    <w:p w14:paraId="7AA44EE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2025年总收入181.58万元，其中：一般公共预算财政拨款收入177.58万元，占总收入的97.8% ；其他收入4万元，占总收入的2.2%。</w:t>
      </w:r>
    </w:p>
    <w:p w14:paraId="116B602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（二）资金支出情况</w:t>
      </w:r>
    </w:p>
    <w:p w14:paraId="24C10BA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2025年支出182.65万元。</w:t>
      </w:r>
    </w:p>
    <w:p w14:paraId="0F3DC7A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（三）结余分配和结转结余情况。</w:t>
      </w:r>
    </w:p>
    <w:p w14:paraId="4D8C4BF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2025年年初结转结余数45592.49元，决算报表中年初结转和结余数为34883.29元。</w:t>
      </w:r>
    </w:p>
    <w:p w14:paraId="5E05817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三、部门预算绩效分析</w:t>
      </w:r>
    </w:p>
    <w:p w14:paraId="2D17FEE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（一）部门预算总体绩效分析。</w:t>
      </w:r>
    </w:p>
    <w:p w14:paraId="6D297AE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78BA16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2025年我所在州委老干部局和州驻郫都区管理服务中心党委的领导下，坚持党建引领，持续加强离退休</w:t>
      </w:r>
      <w:r>
        <w:rPr>
          <w:rFonts w:hint="eastAsia" w:eastAsia="仿宋_GB2312" w:cs="仿宋_GB2312"/>
          <w:color w:val="auto"/>
          <w:kern w:val="2"/>
          <w:sz w:val="32"/>
          <w:szCs w:val="32"/>
          <w:highlight w:val="none"/>
          <w:lang w:val="en-US" w:eastAsia="zh-CN" w:bidi="ar-SA"/>
        </w:rPr>
        <w:t>干部</w:t>
      </w:r>
      <w:bookmarkStart w:id="67" w:name="_GoBack"/>
      <w:bookmarkEnd w:id="67"/>
      <w:r>
        <w:rPr>
          <w:rFonts w:hint="eastAsia" w:ascii="Times New Roman" w:hAnsi="Times New Roman" w:eastAsia="仿宋_GB2312" w:cs="仿宋_GB2312"/>
          <w:color w:val="auto"/>
          <w:kern w:val="2"/>
          <w:sz w:val="32"/>
          <w:szCs w:val="32"/>
          <w:highlight w:val="none"/>
          <w:lang w:val="zh-CN" w:eastAsia="zh-CN" w:bidi="ar-SA"/>
        </w:rPr>
        <w:t>党组织建设工作，认真贯彻落实中共中央办公厅《关于加强新时代离退休干部党的建设工作的意见》和省《实施方案》，党委及支部严格按照政治建设、思想建设、组织建设、作风建设、纪律建设展开党建工作。全面加强离退休干部党的建设,坚持党的领导，深入实施党建工作引领服务管理提质、正能量活动示范、关心下一代发展“四项行动”，推动老干部工作创新发展、高质量发展。全年，召开党委会11次、支委会12次、支部党员大会7次，党委支部书记及委员、郫都区委党校田娅老师等人员上党课共计7次，专题研究党建联建工作会5次，参加州直机关工委党务培训1人次，参加州委老干部局离退休党务工作培训5人次，参与郫都区组织部老干部局开展的离退休干部党务工作者培训会3场，参训人员达38人次。各支部开展主题党日活动30余次，与州退管中心协同组织州直机关党组织第十二共建组开展党建主题活动2次，参与党员达1300余人次。</w:t>
      </w:r>
    </w:p>
    <w:p w14:paraId="7C5719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进一步落实“五老”宣讲工作，发挥银发力量作用，2025年组织5名阿坝州“五老”宣讲员参加郫都区宣讲团课题讨论会，确定了“长征精神在阿坝”等4个特色宣讲课题。管理服务中心及党委组织离退休干部举办“薪火传双先 银铃谱新篇”系列活动。活动中，为充分发挥先进典型的示范引领作用，在离退休党员干部中广泛传播“双先”精神，全国先进个人吴天明为州驻郫都区离退休干部宣讲“传播双先声音，汲取榜样力量”，160余人次听取报告。州驻郫都区厅级干部郝士昌积极参加关工委宣讲工作，嘎尔泽、索郎两位退休干部老党员进入“藏汉双语”人才库。30多名退休干部以《大刀进行曲》情景剧参演了州委老干局组织的阿坝州离退休干部纪念中国人民抗日战争暨世界反法西斯战争胜利80周年文艺汇演，引导老同志重温抗战历史弘扬爱国主义精神； 60多名退休干部参演了州委老干局组织的《绿水青山》歌舞剧第三幕“展望未来·共襄盛世”，发挥了老干部余热发挥、绽放“银发光芒”、展现“文化自信”。</w:t>
      </w:r>
    </w:p>
    <w:p w14:paraId="1A1814C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积极推进“鹃城金秋·阿坝情”党建联建工作，党建联建深化协同，在阿坝州老干部局、郫都区老干部局的统筹指导下，党建联建工作全面铺开，稳步推进，深度融合，初显成效。2025年已经全面覆盖州级机关及十三县驻郫都区离退休干部支部、干休所，中心党委管理的支部数从3个增至22个，党员人数从64人扩至1145人。郫都阿坝互派人员交流学习进一步拓展，全年参加郫都区“五老”宣讲团2025年宣讲课题研讨会、交流学习及党务工作者培训4次，参加人员达30余人次，阿坝、若尔盖、汶川、马尔康等县干休率先行动，已经与宋工桥、文庙、凉水井、铁门坎、双柏等多个社区结对共建，开展了丰富多样的共建活动。经过不懈努力，2025年管理服务中心党委一是成功打造《绿水青山》歌舞剧第三幕；二是正式成立了“鹃城金秋·阿坝情”石榴籽老党员工作室，组建党务工作者30名、志愿者服务队4支，成为活跃在基层的“银发生力军”。三是参加郫都区老体协的体育比赛项目，获得较好成绩；四是与中医院签订老干部体检协议；五是资源整合，郫都区老干部局打造“鹃城金秋.阿坝情”老干部活动场地，中心活动场地，第十组团都可以使用。通过联建，真正实现与驻地双向“融入”，协同发展。</w:t>
      </w:r>
    </w:p>
    <w:p w14:paraId="5028F30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预算管理。</w:t>
      </w:r>
    </w:p>
    <w:p w14:paraId="6EADB45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单位预算篇制工作严格按照预决算编制的相关要求，结合单位年度工作任务，遵循统筹兼顾、勤俭节约、量力而行、讲求绩效和收支平衡的原则，参考上一年预算执行情况、有关支出绩效评价结果和本年度收支预测，按照规定程序征求各方面意见，集体决策、分级执行、标准统一、归口统筹层级管理，及时与州财政局相关科室沟通，按照“二上二下”的编制流程认真科学地完成了单位年度部门预算编制工作。严格执行预算管理，按照“经费统管，支出定额包干，保障正常支出，绩效考核加减”的总体原则确保行政运转保障，在经费支出安排上，全面保障了机关正常运转，为老干所和管理服务中心各项的工作开展做好后勤保障，在经费上保证了各项工作正常有序开展。厉行节约，严格执行“三公经费”预算，一直以来我单位没有因公出国（境）人员，没有因公出国（境）支出情况，公务用车购置及运行维护费和公务接待费严格按照勤俭节约要求报销，没有任何违规现象。</w:t>
      </w:r>
    </w:p>
    <w:p w14:paraId="35B818C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3.财务管理情况</w:t>
      </w:r>
    </w:p>
    <w:p w14:paraId="23C9716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所严格按照《中华人民共和国预算法》、《中华人民共和国会计法》、《政府会计准则》的要求，我单位逐步完善了财务管理制度、“三重一大”决策制度、财务报账审核制度、车辆管理制度以及公用房屋及财产管理规定，在财务管理上从严要求，精打细算，严守财经纪律，规范单位各个岗位工作的职能职责，会计核算健全，资料齐备，凭证编制准确、及时、账实相符。建立健全了本单位内部控制制度，并严格执行，单位未出现廉政风险或发生重大责任事故。做好了信息公开工作，按时按要求向社会公开本部门预算、决算（含所有财政资金安排的“三公”经费、机关运行经费的安排、使用情况等）及部门整体支出绩效自评报告及其他按要求应公开的绩效信息。2025年我单位委托三方公司对我单位2023年度、2024年度财务收支情况进行了审计，我单位财务状况良好，会计基础工作扎实。</w:t>
      </w:r>
    </w:p>
    <w:p w14:paraId="2AA1233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4.资产管理</w:t>
      </w:r>
    </w:p>
    <w:p w14:paraId="2BA3A2B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严格按照《行政事业性国有资管理条例》、《四川省行政事业性国有资产管理法》和《阿坝州州直行政事业单位国有资产管理办法》的相关规定，对单位所有资产实现全面信息化管理，提高了管理效率，明确资产管理责任人，每年进行一次全面清查，定期盘点，核对资产系统资产卡片与实际资产是否账实相符，发现问题及时处理，并对无法继续使用的资产，及时按规定程序报废。对老干部管理服务中心的设备定期检查，确保安全，合理安排场地使用，定期维护，确保环境舒适，确保了广大离退休同志们活动的有序开展，</w:t>
      </w:r>
    </w:p>
    <w:p w14:paraId="6D76F6C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5.采购管理</w:t>
      </w:r>
    </w:p>
    <w:p w14:paraId="47995D6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所政府采购预算编制做到应编尽编，应采尽采，严格按照规定进行政府采购计划备案，及时支付资金，不存在无预算采购、超预算采购的情况。我所严格按照法定采购方式和程序实施采购，不存在拆分项目预算规避政府采购或公开招标的情况。2025年完成会议室桌椅、办公空调、笔记本电脑的政府采购，采购金额42545元。</w:t>
      </w:r>
    </w:p>
    <w:p w14:paraId="28C3EAE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（二）部门预算项目绩效分析</w:t>
      </w:r>
    </w:p>
    <w:p w14:paraId="4CB6D7E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常年项目绩效分析。该类项目总数7个，涉及预算经总金额40.02万元，1-12月预算执行总进度为94%，其中预算结余率大于10%的 1个。</w:t>
      </w:r>
    </w:p>
    <w:p w14:paraId="2D1184D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（1）管理服务中心运行费预算数7万元，决算数为7万元，执行率达100%；。</w:t>
      </w:r>
    </w:p>
    <w:p w14:paraId="5A84FAB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（2）老干部活动、党建活动费预算数11万元，决算数为10.61万元，执行率达96.5%。</w:t>
      </w:r>
    </w:p>
    <w:p w14:paraId="08CA977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（3）物业管理费预算数16.5万元，决算数15.95万元，执行率达96.67%。</w:t>
      </w:r>
    </w:p>
    <w:p w14:paraId="2FF037B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（4）管理服务中心老干所维修维护费2万元，决算数为1.85万元，执行率达92.5%。</w:t>
      </w:r>
    </w:p>
    <w:p w14:paraId="7E0A8A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（5）管理服务中心白蚁专项防治预算1.5万元，决算数为0.4万元，执行率达27%。原因是：经过几年持续白蚁治理，白蚁数量明显减少，消杀费用逐年减少。</w:t>
      </w:r>
    </w:p>
    <w:p w14:paraId="7286EC3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（6）购办公设备购空调1台预算数为1万元，决算数为3.26万元。</w:t>
      </w:r>
    </w:p>
    <w:p w14:paraId="750F1D7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（7）财务专项审计费预算数为1万元，决算数为0.95万元，执行率达95%。</w:t>
      </w:r>
    </w:p>
    <w:p w14:paraId="74E8D48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（三）绩效结果应用情况。</w:t>
      </w:r>
    </w:p>
    <w:p w14:paraId="5A74C2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绩效管理严格按照上级部门要求分阶段开展自评工作，自评结果为领导提供决策依据，用于指导下一步工作的开展。</w:t>
      </w:r>
    </w:p>
    <w:p w14:paraId="1DD76AF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四、评价结论与建议</w:t>
      </w:r>
    </w:p>
    <w:p w14:paraId="1F4CCD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（一）评价结论</w:t>
      </w:r>
    </w:p>
    <w:p w14:paraId="425D9F4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阿坝州驻郫都区老干部休养所2025年项目预算执行率达94%，自评得分89分，全年无不良记录及违规违纪行为，预算支出和决算支出情况相符。</w:t>
      </w:r>
    </w:p>
    <w:p w14:paraId="4B6CE24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(二)存在问题</w:t>
      </w:r>
    </w:p>
    <w:p w14:paraId="434CC1B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绩效目标编制还不够专业和全面，对常年项目的阐述还不够详细，对绩效目标中的产出、成本、经济效益、社会效益、生态效益、可持续影响和服务对象满意度等绩效指标理解运用还不够准确。</w:t>
      </w:r>
    </w:p>
    <w:p w14:paraId="0F001CB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(三)改进和建议</w:t>
      </w:r>
    </w:p>
    <w:p w14:paraId="572B887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加强对本部门加强预算精细化编制，加强资金的管理和管理使用，围绕部门和单位职责，以预算资金管理为主线，统筹考虑资产和业务活动，从运行成本、管理效率、履职效能、社会效应、可持续发展能力和服务对象满意度等方面，衡量部门和单位整体及核心业务实施效果，推动提高部门和单位整体绩效水平。</w:t>
      </w:r>
    </w:p>
    <w:p w14:paraId="4913BA2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BC0BB8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E00CA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000BD4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阿坝州驻郫区都老干部休养所</w:t>
      </w:r>
    </w:p>
    <w:p w14:paraId="2178A80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2026年</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zh-CN" w:eastAsia="zh-CN" w:bidi="ar-SA"/>
        </w:rPr>
        <w:t>月1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日</w:t>
      </w:r>
    </w:p>
    <w:p w14:paraId="0E02740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72B0026">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242B57D8">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3"/>
      <w:bookmarkStart w:id="54" w:name="_Toc15396619"/>
    </w:p>
    <w:p w14:paraId="0D3B9BB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8AFD4B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0783054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2C3FD8C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6FD9AE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0947E7E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18EBED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754EDFA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121AE8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71C5C5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774686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2DEDEE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91676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326440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1394F56E">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72A4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6A4A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886A4A7">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7D96816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66EA7">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3159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63159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262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F117C"/>
    <w:multiLevelType w:val="singleLevel"/>
    <w:tmpl w:val="A7DF117C"/>
    <w:lvl w:ilvl="0" w:tentative="0">
      <w:start w:val="1"/>
      <w:numFmt w:val="chineseCounting"/>
      <w:suff w:val="nothing"/>
      <w:lvlText w:val="%1、"/>
      <w:lvlJc w:val="left"/>
      <w:rPr>
        <w:rFonts w:hint="eastAsia"/>
      </w:rPr>
    </w:lvl>
  </w:abstractNum>
  <w:abstractNum w:abstractNumId="1">
    <w:nsid w:val="D0B2BB6C"/>
    <w:multiLevelType w:val="singleLevel"/>
    <w:tmpl w:val="D0B2BB6C"/>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064806"/>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CB5E50"/>
    <w:rsid w:val="17FC7E2E"/>
    <w:rsid w:val="186504BB"/>
    <w:rsid w:val="1938089F"/>
    <w:rsid w:val="19A445FC"/>
    <w:rsid w:val="1B716075"/>
    <w:rsid w:val="1B7D550C"/>
    <w:rsid w:val="1BE8440E"/>
    <w:rsid w:val="1C75231D"/>
    <w:rsid w:val="1D155CEE"/>
    <w:rsid w:val="1DB060B9"/>
    <w:rsid w:val="1DE178F3"/>
    <w:rsid w:val="1E740ACF"/>
    <w:rsid w:val="1FF35744"/>
    <w:rsid w:val="1FF6BC77"/>
    <w:rsid w:val="21962A9E"/>
    <w:rsid w:val="21AE7C77"/>
    <w:rsid w:val="22BC3C41"/>
    <w:rsid w:val="23860B96"/>
    <w:rsid w:val="240371BF"/>
    <w:rsid w:val="2526247B"/>
    <w:rsid w:val="260F557C"/>
    <w:rsid w:val="281408E2"/>
    <w:rsid w:val="29FD04D3"/>
    <w:rsid w:val="2BFF7BC6"/>
    <w:rsid w:val="2C8A61B5"/>
    <w:rsid w:val="2D2E01CF"/>
    <w:rsid w:val="2DF04E50"/>
    <w:rsid w:val="2E9545B0"/>
    <w:rsid w:val="2F040D46"/>
    <w:rsid w:val="2FAE5751"/>
    <w:rsid w:val="2FB1A395"/>
    <w:rsid w:val="2FD9A7D8"/>
    <w:rsid w:val="319F7F4E"/>
    <w:rsid w:val="31AA0A9B"/>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634887"/>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1AB2291"/>
    <w:rsid w:val="53083A92"/>
    <w:rsid w:val="537E6D0A"/>
    <w:rsid w:val="53AF27A2"/>
    <w:rsid w:val="53CE0B7D"/>
    <w:rsid w:val="53F74C96"/>
    <w:rsid w:val="55E973DE"/>
    <w:rsid w:val="56413F3D"/>
    <w:rsid w:val="56E47B74"/>
    <w:rsid w:val="57BD3DD4"/>
    <w:rsid w:val="5AF92295"/>
    <w:rsid w:val="5BDD79E6"/>
    <w:rsid w:val="5BF561CA"/>
    <w:rsid w:val="5BFF5DFC"/>
    <w:rsid w:val="5CD71FC4"/>
    <w:rsid w:val="5D1F11B5"/>
    <w:rsid w:val="5DAE1B18"/>
    <w:rsid w:val="5DE7D9E5"/>
    <w:rsid w:val="5ECEC941"/>
    <w:rsid w:val="5F08503A"/>
    <w:rsid w:val="5F493CB7"/>
    <w:rsid w:val="5FBF9FF3"/>
    <w:rsid w:val="5FCD4E2C"/>
    <w:rsid w:val="5FD15F49"/>
    <w:rsid w:val="5FEF394A"/>
    <w:rsid w:val="5FF67715"/>
    <w:rsid w:val="62141EE8"/>
    <w:rsid w:val="62BF3928"/>
    <w:rsid w:val="647F5392"/>
    <w:rsid w:val="664B1D71"/>
    <w:rsid w:val="67AA3209"/>
    <w:rsid w:val="681C4F0D"/>
    <w:rsid w:val="69046D0F"/>
    <w:rsid w:val="698D0931"/>
    <w:rsid w:val="6A6410F6"/>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7772F3"/>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B10FB"/>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178.53</c:v>
                </c:pt>
                <c:pt idx="1">
                  <c:v>186.14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0">
                  <c:v>178.53</c:v>
                </c:pt>
                <c:pt idx="1">
                  <c:v>186.14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102000418"/>
        <c:axId val="292636494"/>
      </c:barChart>
      <c:catAx>
        <c:axId val="1020004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636494"/>
        <c:crosses val="autoZero"/>
        <c:auto val="1"/>
        <c:lblAlgn val="ctr"/>
        <c:lblOffset val="100"/>
        <c:noMultiLvlLbl val="0"/>
      </c:catAx>
      <c:valAx>
        <c:axId val="29263649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0004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8ad9fb-a597-4b9c-9d5d-2cf0c066f0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年度</a:t>
            </a:r>
            <a:r>
              <a:t>收入</a:t>
            </a:r>
          </a:p>
        </c:rich>
      </c:tx>
      <c:layout/>
      <c:overlay val="0"/>
      <c:spPr>
        <a:noFill/>
        <a:ln>
          <a:noFill/>
        </a:ln>
        <a:effectLst/>
      </c:spPr>
    </c:title>
    <c:autoTitleDeleted val="0"/>
    <c:plotArea>
      <c:layout/>
      <c:pieChart>
        <c:varyColors val="1"/>
        <c:ser>
          <c:idx val="0"/>
          <c:order val="0"/>
          <c:tx>
            <c:strRef>
              <c:f>Sheet1!$B$1</c:f>
              <c:strCache>
                <c:ptCount val="1"/>
                <c:pt idx="0">
                  <c:v>收入金额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pt idx="1">
                  <c:v>其他收入</c:v>
                </c:pt>
              </c:strCache>
            </c:strRef>
          </c:cat>
          <c:val>
            <c:numRef>
              <c:f>Sheet1!$B$2:$B$5</c:f>
              <c:numCache>
                <c:formatCode>General</c:formatCode>
                <c:ptCount val="4"/>
                <c:pt idx="0">
                  <c:v>177.58</c:v>
                </c:pt>
                <c:pt idx="1">
                  <c:v>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64fe20-53b1-488c-9940-96973b8cec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2025年度支出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137.56</c:v>
                </c:pt>
                <c:pt idx="1">
                  <c:v>45.09</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2c2c4f61-ac28-4c37-8c8a-381f2a4396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图表标题</a:t>
            </a:r>
          </a:p>
        </c:rich>
      </c:tx>
      <c:layout/>
      <c:overlay val="0"/>
      <c:spPr>
        <a:noFill/>
        <a:ln>
          <a:noFill/>
        </a:ln>
        <a:effectLst/>
      </c:spPr>
    </c:title>
    <c:autoTitleDeleted val="0"/>
    <c:plotArea>
      <c:layout>
        <c:manualLayout>
          <c:layoutTarget val="inner"/>
          <c:xMode val="edge"/>
          <c:yMode val="edge"/>
          <c:x val="0.0113553998550374"/>
          <c:y val="0.275180620484488"/>
          <c:w val="0.946847064508335"/>
          <c:h val="0.628219294517637"/>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Sheet1!$B$2:$B$5</c:f>
              <c:numCache>
                <c:formatCode>General</c:formatCode>
                <c:ptCount val="4"/>
                <c:pt idx="0">
                  <c:v>178.53</c:v>
                </c:pt>
                <c:pt idx="1">
                  <c:v>177.58</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Sheet1!$C$2:$C$5</c:f>
              <c:numCache>
                <c:formatCode>General</c:formatCode>
                <c:ptCount val="4"/>
                <c:pt idx="0">
                  <c:v>178.53</c:v>
                </c:pt>
                <c:pt idx="1">
                  <c:v>177.58</c:v>
                </c:pt>
              </c:numCache>
            </c:numRef>
          </c:val>
        </c:ser>
        <c:ser>
          <c:idx val="2"/>
          <c:order val="2"/>
          <c:tx>
            <c:strRef>
              <c:f>Sheet1!$D$1</c:f>
              <c:strCache>
                <c:ptCount val="1"/>
                <c:pt idx="0">
                  <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1"/>
          <c:showCatName val="0"/>
          <c:showSerName val="0"/>
          <c:showPercent val="0"/>
          <c:showBubbleSize val="0"/>
        </c:dLbls>
        <c:gapWidth val="260"/>
        <c:overlap val="-32"/>
        <c:axId val="324579312"/>
        <c:axId val="611226250"/>
      </c:barChart>
      <c:catAx>
        <c:axId val="324579312"/>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611226250"/>
        <c:crosses val="autoZero"/>
        <c:auto val="1"/>
        <c:lblAlgn val="ctr"/>
        <c:lblOffset val="100"/>
        <c:noMultiLvlLbl val="0"/>
      </c:catAx>
      <c:valAx>
        <c:axId val="611226250"/>
        <c:scaling>
          <c:orientation val="minMax"/>
        </c:scaling>
        <c:delete val="1"/>
        <c:axPos val="l"/>
        <c:majorGridlines>
          <c:spPr>
            <a:ln w="6350" cap="flat" cmpd="sng" algn="ctr">
              <a:solidFill>
                <a:schemeClr val="tx1">
                  <a:lumMod val="50000"/>
                  <a:lumOff val="50000"/>
                  <a:alpha val="25000"/>
                </a:schemeClr>
              </a:solidFill>
              <a:round/>
            </a:ln>
            <a:effectLst/>
          </c:spPr>
        </c:majorGridlines>
        <c:numFmt formatCode="General"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32457931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7e2a7298-b927-46c8-a28f-7466c78bef2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图表标题</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一般公共预算拨款</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Sheet1!$B$2:$B$5</c:f>
              <c:numCache>
                <c:formatCode>General</c:formatCode>
                <c:ptCount val="4"/>
                <c:pt idx="0">
                  <c:v>178.53</c:v>
                </c:pt>
                <c:pt idx="1">
                  <c:v>177.58</c:v>
                </c:pt>
              </c:numCache>
            </c:numRef>
          </c:val>
        </c:ser>
        <c:ser>
          <c:idx val="1"/>
          <c:order val="1"/>
          <c:tx>
            <c:strRef>
              <c:f>Sheet1!$C$1</c:f>
              <c:strCache>
                <c:ptCount val="1"/>
                <c:pt idx="0">
                  <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272583554"/>
        <c:axId val="773384296"/>
      </c:barChart>
      <c:catAx>
        <c:axId val="272583554"/>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773384296"/>
        <c:crosses val="autoZero"/>
        <c:auto val="1"/>
        <c:lblAlgn val="ctr"/>
        <c:lblOffset val="100"/>
        <c:noMultiLvlLbl val="0"/>
      </c:catAx>
      <c:valAx>
        <c:axId val="773384296"/>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258355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de4a1e2b-2817-48e9-b809-8f6e7141dd9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148.57</c:v>
                </c:pt>
                <c:pt idx="1">
                  <c:v>16.7</c:v>
                </c:pt>
                <c:pt idx="2">
                  <c:v>6.69</c:v>
                </c:pt>
                <c:pt idx="3">
                  <c:v>10.68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dab355-54a7-412e-8da5-4f38f5cd26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因公出国（境）支出</c:v>
                </c:pt>
                <c:pt idx="1">
                  <c:v>公务用车购置及运维护费支出</c:v>
                </c:pt>
                <c:pt idx="2">
                  <c:v>公务接待支出</c:v>
                </c:pt>
              </c:strCache>
            </c:strRef>
          </c:cat>
          <c:val>
            <c:numRef>
              <c:f>Sheet1!$B$2:$B$5</c:f>
              <c:numCache>
                <c:formatCode>General</c:formatCode>
                <c:ptCount val="4"/>
                <c:pt idx="0">
                  <c:v>0</c:v>
                </c:pt>
                <c:pt idx="1">
                  <c:v>2.75</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c817ac-c939-4cab-9ee4-fe22119b69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7318</Words>
  <Characters>8368</Characters>
  <Lines>61</Lines>
  <Paragraphs>17</Paragraphs>
  <TotalTime>8</TotalTime>
  <ScaleCrop>false</ScaleCrop>
  <LinksUpToDate>false</LinksUpToDate>
  <CharactersWithSpaces>8399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珩珩妈妈</cp:lastModifiedBy>
  <cp:lastPrinted>2026-08-03T09:27:00Z</cp:lastPrinted>
  <dcterms:modified xsi:type="dcterms:W3CDTF">2026-09-07T02:48:05Z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eyJoZGlkIjoiNzUxOTVkN2ZmMjVjM2EzNTY4MWNhM2I2OGZkMjAyOTMiLCJ1c2VySWQiOiI1ODQxMjU2OTMifQ==</vt:lpwstr>
  </property>
</Properties>
</file>