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center"/>
        <w:rPr>
          <w:rFonts w:hint="eastAsia" w:ascii="Times New Roman" w:eastAsia="方正小标宋简体" w:cs="Times New Roman"/>
          <w:color w:val="auto"/>
          <w:kern w:val="2"/>
          <w:sz w:val="44"/>
          <w:szCs w:val="44"/>
          <w:highlight w:val="none"/>
          <w:lang w:val="en-US" w:eastAsia="zh-CN" w:bidi="ar-SA"/>
        </w:rPr>
      </w:pPr>
      <w:bookmarkStart w:id="0" w:name="_Toc15306267"/>
      <w:bookmarkStart w:id="1" w:name="_Toc15377194"/>
      <w:bookmarkStart w:id="2" w:name="_Toc15396476"/>
      <w:bookmarkStart w:id="3" w:name="_Toc15378442"/>
      <w:bookmarkStart w:id="4" w:name="_Toc15396598"/>
      <w:bookmarkStart w:id="5" w:name="_Toc15377426"/>
    </w:p>
    <w:p>
      <w:pPr>
        <w:pStyle w:val="6"/>
        <w:jc w:val="center"/>
        <w:rPr>
          <w:rFonts w:hint="eastAsia" w:ascii="Times New Roman" w:eastAsia="方正小标宋简体" w:cs="Times New Roman"/>
          <w:color w:val="auto"/>
          <w:kern w:val="2"/>
          <w:sz w:val="44"/>
          <w:szCs w:val="44"/>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p>
    <w:p>
      <w:pPr>
        <w:pStyle w:val="6"/>
        <w:jc w:val="center"/>
        <w:rPr>
          <w:rFonts w:hint="eastAsia" w:ascii="黑体" w:hAnsi="黑体" w:eastAsia="黑体" w:cs="黑体"/>
          <w:color w:val="auto"/>
          <w:kern w:val="2"/>
          <w:sz w:val="36"/>
          <w:szCs w:val="36"/>
          <w:highlight w:val="none"/>
          <w:lang w:val="en-US" w:eastAsia="zh-CN" w:bidi="ar-SA"/>
        </w:rPr>
      </w:pPr>
      <w:r>
        <w:rPr>
          <w:rFonts w:hint="eastAsia" w:ascii="黑体" w:hAnsi="黑体" w:eastAsia="黑体" w:cs="黑体"/>
          <w:color w:val="auto"/>
          <w:kern w:val="2"/>
          <w:sz w:val="36"/>
          <w:szCs w:val="36"/>
          <w:highlight w:val="none"/>
          <w:lang w:val="en-US" w:eastAsia="zh-CN" w:bidi="ar-SA"/>
        </w:rPr>
        <w:t>2025年度</w:t>
      </w:r>
      <w:bookmarkEnd w:id="0"/>
      <w:bookmarkStart w:id="6" w:name="_Toc15306268"/>
      <w:r>
        <w:rPr>
          <w:rFonts w:hint="eastAsia" w:ascii="黑体" w:hAnsi="黑体" w:eastAsia="黑体" w:cs="黑体"/>
          <w:color w:val="auto"/>
          <w:kern w:val="2"/>
          <w:sz w:val="36"/>
          <w:szCs w:val="36"/>
          <w:highlight w:val="none"/>
          <w:lang w:val="en-US" w:eastAsia="zh-CN" w:bidi="ar-SA"/>
        </w:rPr>
        <w:t>阿坝州都江堰老干部休养所决算</w:t>
      </w:r>
      <w:bookmarkEnd w:id="1"/>
      <w:bookmarkEnd w:id="2"/>
      <w:bookmarkEnd w:id="3"/>
      <w:bookmarkEnd w:id="4"/>
      <w:bookmarkEnd w:id="5"/>
      <w:bookmarkEnd w:id="6"/>
      <w:r>
        <w:rPr>
          <w:rFonts w:hint="eastAsia" w:ascii="黑体" w:hAnsi="黑体" w:eastAsia="黑体" w:cs="黑体"/>
          <w:color w:val="auto"/>
          <w:kern w:val="2"/>
          <w:sz w:val="36"/>
          <w:szCs w:val="36"/>
          <w:highlight w:val="none"/>
          <w:lang w:val="en-US" w:eastAsia="zh-CN" w:bidi="ar-SA"/>
        </w:rPr>
        <w:t>公开</w:t>
      </w:r>
    </w:p>
    <w:p>
      <w:pPr>
        <w:widowControl/>
        <w:jc w:val="both"/>
        <w:rPr>
          <w:rFonts w:hint="eastAsia" w:ascii="黑体" w:hAnsi="黑体" w:eastAsia="黑体" w:cs="黑体"/>
          <w:color w:val="auto"/>
          <w:sz w:val="36"/>
          <w:szCs w:val="36"/>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bookmarkStart w:id="62" w:name="_GoBack"/>
      <w:bookmarkEnd w:id="62"/>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both"/>
        <w:rPr>
          <w:rFonts w:hint="eastAsia" w:ascii="Times New Roman" w:hAnsi="Times New Roman" w:eastAsia="黑体"/>
          <w:color w:val="auto"/>
          <w:sz w:val="48"/>
          <w:szCs w:val="48"/>
          <w:highlight w:val="none"/>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7" w:name="_Toc15377196"/>
      <w:bookmarkStart w:id="8" w:name="_Toc15396599"/>
      <w:r>
        <w:rPr>
          <w:rFonts w:hint="eastAsia" w:ascii="Times New Roman" w:hAnsi="Times New Roman" w:eastAsia="仿宋_GB2312" w:cs="仿宋_GB2312"/>
          <w:b/>
          <w:color w:val="auto"/>
          <w:sz w:val="32"/>
          <w:szCs w:val="32"/>
          <w:highlight w:val="none"/>
        </w:rPr>
        <w:br w:type="page"/>
      </w:r>
    </w:p>
    <w:p>
      <w:pPr>
        <w:pStyle w:val="3"/>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7"/>
      <w:bookmarkEnd w:id="8"/>
    </w:p>
    <w:p>
      <w:pPr>
        <w:pStyle w:val="4"/>
        <w:numPr>
          <w:ilvl w:val="0"/>
          <w:numId w:val="0"/>
        </w:numPr>
        <w:ind w:firstLine="320" w:firstLineChars="100"/>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一、</w:t>
      </w:r>
      <w:r>
        <w:rPr>
          <w:rFonts w:hint="eastAsia" w:ascii="Times New Roman" w:hAnsi="Times New Roman" w:eastAsia="黑体"/>
          <w:b w:val="0"/>
          <w:color w:val="auto"/>
          <w:highlight w:val="none"/>
          <w:lang w:eastAsia="zh-CN"/>
        </w:rPr>
        <w:t>部门职责</w:t>
      </w:r>
    </w:p>
    <w:p>
      <w:pPr>
        <w:pStyle w:val="37"/>
        <w:keepNext w:val="0"/>
        <w:keepLines w:val="0"/>
        <w:widowControl/>
        <w:suppressLineNumbers w:val="0"/>
        <w:shd w:val="clear" w:color="auto" w:fill="FFFFFF"/>
        <w:ind w:firstLine="640" w:firstLineChars="200"/>
        <w:rPr>
          <w:rFonts w:hint="eastAsia" w:ascii="仿宋_GB2312" w:hAnsi="仿宋" w:eastAsia="仿宋_GB2312"/>
          <w:sz w:val="32"/>
          <w:szCs w:val="32"/>
        </w:rPr>
      </w:pPr>
      <w:r>
        <w:rPr>
          <w:rFonts w:hint="eastAsia" w:ascii="仿宋" w:hAnsi="仿宋" w:eastAsia="仿宋" w:cs="仿宋"/>
          <w:kern w:val="0"/>
          <w:sz w:val="32"/>
          <w:szCs w:val="32"/>
          <w:shd w:val="clear" w:color="auto" w:fill="FFFFFF"/>
        </w:rPr>
        <w:t>组织离退休职工学习时事、政治并通报有关情况，及时了解党的路线、方针、政策和国内外大事；组织他们开展有益的活动，丰富晚年生活；协助、配合有关单位解决他们的有关问题；使他们老有所为，积极为各项社会、经济事业发挥余热；负责休养所的日常管理，为退休职工提供管理服务工作。</w:t>
      </w:r>
    </w:p>
    <w:p>
      <w:pPr>
        <w:numPr>
          <w:ilvl w:val="0"/>
          <w:numId w:val="0"/>
        </w:numPr>
        <w:ind w:firstLine="320" w:firstLineChars="100"/>
        <w:rPr>
          <w:rStyle w:val="31"/>
          <w:rFonts w:ascii="Times New Roman" w:hAnsi="Times New Roman"/>
          <w:b w:val="0"/>
          <w:bCs w:val="0"/>
          <w:color w:val="auto"/>
          <w:sz w:val="32"/>
          <w:szCs w:val="32"/>
          <w:highlight w:val="none"/>
        </w:rPr>
      </w:pPr>
      <w:bookmarkStart w:id="9" w:name="_Toc15377200"/>
      <w:bookmarkStart w:id="10" w:name="_Toc15396601"/>
      <w:r>
        <w:rPr>
          <w:rFonts w:hint="eastAsia" w:ascii="Times New Roman" w:hAnsi="Times New Roman" w:eastAsia="黑体"/>
          <w:b w:val="0"/>
          <w:color w:val="auto"/>
          <w:sz w:val="32"/>
          <w:szCs w:val="32"/>
          <w:highlight w:val="none"/>
        </w:rPr>
        <w:t>二、机</w:t>
      </w:r>
      <w:r>
        <w:rPr>
          <w:rStyle w:val="31"/>
          <w:rFonts w:hint="eastAsia" w:ascii="Times New Roman" w:hAnsi="Times New Roman" w:eastAsia="黑体"/>
          <w:b w:val="0"/>
          <w:bCs w:val="0"/>
          <w:color w:val="auto"/>
          <w:sz w:val="32"/>
          <w:szCs w:val="32"/>
          <w:highlight w:val="none"/>
        </w:rPr>
        <w:t>构设置</w:t>
      </w:r>
      <w:bookmarkEnd w:id="9"/>
      <w:bookmarkEnd w:id="10"/>
    </w:p>
    <w:p>
      <w:pPr>
        <w:numPr>
          <w:ilvl w:val="0"/>
          <w:numId w:val="0"/>
        </w:numPr>
        <w:snapToGrid w:val="0"/>
        <w:spacing w:line="520" w:lineRule="exact"/>
        <w:ind w:firstLine="640" w:firstLineChars="200"/>
        <w:rPr>
          <w:rFonts w:hint="default" w:ascii="仿宋_GB2312" w:hAnsi="仿宋" w:eastAsia="仿宋_GB2312"/>
          <w:sz w:val="32"/>
          <w:szCs w:val="32"/>
          <w:lang w:val="en-US" w:eastAsia="zh-CN"/>
        </w:rPr>
      </w:pPr>
      <w:bookmarkStart w:id="11" w:name="_Toc15377204"/>
      <w:bookmarkStart w:id="12" w:name="_Toc15396602"/>
      <w:r>
        <w:rPr>
          <w:rFonts w:hint="eastAsia" w:ascii="仿宋" w:hAnsi="仿宋" w:eastAsia="仿宋" w:cs="仿宋"/>
          <w:kern w:val="0"/>
          <w:sz w:val="32"/>
          <w:szCs w:val="32"/>
          <w:shd w:val="clear" w:color="auto" w:fill="FFFFFF"/>
        </w:rPr>
        <w:t xml:space="preserve">本单位本年度纳入本套决算编制范围的独立编制机构数共1个，比上年增加0个，独立核算机构数共1个，比上年增加0个。 </w:t>
      </w:r>
    </w:p>
    <w:p>
      <w:pPr>
        <w:snapToGrid w:val="0"/>
        <w:spacing w:line="520" w:lineRule="exact"/>
        <w:ind w:firstLine="640" w:firstLineChars="200"/>
        <w:rPr>
          <w:rFonts w:hint="eastAsia" w:ascii="楷体_GB2312" w:hAnsi="仿宋" w:eastAsia="楷体_GB2312"/>
          <w:b/>
          <w:sz w:val="32"/>
          <w:szCs w:val="32"/>
        </w:rPr>
      </w:pPr>
      <w:r>
        <w:rPr>
          <w:rFonts w:hint="eastAsia" w:ascii="仿宋" w:hAnsi="仿宋" w:eastAsia="仿宋" w:cs="仿宋"/>
          <w:kern w:val="0"/>
          <w:sz w:val="32"/>
          <w:szCs w:val="32"/>
          <w:shd w:val="clear" w:color="auto" w:fill="FFFFFF"/>
        </w:rPr>
        <w:t>本单位本年度年末实有人数为2</w:t>
      </w:r>
      <w:r>
        <w:rPr>
          <w:rFonts w:hint="eastAsia" w:ascii="仿宋" w:hAnsi="仿宋" w:eastAsia="仿宋" w:cs="仿宋"/>
          <w:kern w:val="0"/>
          <w:sz w:val="32"/>
          <w:szCs w:val="32"/>
          <w:shd w:val="clear" w:color="auto" w:fill="FFFFFF"/>
          <w:lang w:val="en-US" w:eastAsia="zh-CN"/>
        </w:rPr>
        <w:t>2</w:t>
      </w:r>
      <w:r>
        <w:rPr>
          <w:rFonts w:hint="eastAsia" w:ascii="仿宋" w:hAnsi="仿宋" w:eastAsia="仿宋" w:cs="仿宋"/>
          <w:kern w:val="0"/>
          <w:sz w:val="32"/>
          <w:szCs w:val="32"/>
          <w:shd w:val="clear" w:color="auto" w:fill="FFFFFF"/>
        </w:rPr>
        <w:t>人，比上年增加0人；年末实有离退休人数为0人，比上年增加0人；年末实有其他人数为0人，比上年增加0人</w:t>
      </w:r>
    </w:p>
    <w:p>
      <w:pPr>
        <w:pStyle w:val="3"/>
        <w:ind w:firstLine="440" w:firstLineChars="100"/>
        <w:jc w:val="both"/>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1"/>
      <w:bookmarkEnd w:id="12"/>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Style w:val="31"/>
          <w:rFonts w:hint="eastAsia" w:ascii="Times New Roman" w:hAnsi="Times New Roman" w:eastAsia="黑体"/>
          <w:b w:val="0"/>
          <w:color w:val="auto"/>
          <w:highlight w:val="none"/>
        </w:rPr>
      </w:pPr>
      <w:bookmarkStart w:id="13" w:name="_Toc15396603"/>
      <w:bookmarkStart w:id="14"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3"/>
      <w:bookmarkEnd w:id="14"/>
    </w:p>
    <w:p>
      <w:pPr>
        <w:numPr>
          <w:ilvl w:val="0"/>
          <w:numId w:val="0"/>
        </w:numPr>
        <w:ind w:firstLine="640" w:firstLineChars="200"/>
        <w:rPr>
          <w:rFonts w:hint="eastAsia" w:ascii="仿宋" w:hAnsi="仿宋" w:eastAsia="仿宋"/>
          <w:sz w:val="32"/>
          <w:szCs w:val="32"/>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853.36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eastAsia="仿宋_GB2312" w:cs="仿宋_GB2312"/>
          <w:color w:val="auto"/>
          <w:sz w:val="32"/>
          <w:szCs w:val="32"/>
          <w:highlight w:val="none"/>
          <w:lang w:val="en-US" w:eastAsia="zh-CN"/>
        </w:rPr>
        <w:t>706.88万元</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146.88</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17.2</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2025年新增1号楼装修项目89.2万元，公车购置24.82万元。</w:t>
      </w:r>
      <w:r>
        <w:rPr>
          <w:rFonts w:hint="eastAsia" w:ascii="仿宋" w:hAnsi="仿宋" w:eastAsia="仿宋"/>
          <w:sz w:val="32"/>
          <w:szCs w:val="32"/>
          <w:lang w:val="en-US" w:eastAsia="zh-CN"/>
        </w:rPr>
        <w:t>人员工资、目标绩效及五险缴费等增加。</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1"/>
        <w:rPr>
          <w:rFonts w:hint="eastAsia" w:eastAsia="仿宋_GB2312" w:cs="仿宋_GB2312"/>
          <w:color w:val="auto"/>
          <w:sz w:val="32"/>
          <w:szCs w:val="32"/>
          <w:highlight w:val="none"/>
          <w:lang w:val="en-US" w:eastAsia="zh-CN"/>
        </w:rPr>
      </w:pPr>
      <w:r>
        <w:drawing>
          <wp:inline distT="0" distB="0" distL="114300" distR="114300">
            <wp:extent cx="4572000" cy="2743200"/>
            <wp:effectExtent l="4445" t="4445" r="10795" b="1079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5" w:name="_Toc15396604"/>
      <w:bookmarkStart w:id="16" w:name="_Toc15377206"/>
      <w:r>
        <w:rPr>
          <w:rFonts w:hint="eastAsia" w:ascii="Times New Roman" w:hAnsi="Times New Roman" w:eastAsia="黑体"/>
          <w:color w:val="auto"/>
          <w:sz w:val="32"/>
          <w:szCs w:val="32"/>
          <w:highlight w:val="none"/>
          <w:lang w:eastAsia="zh-CN"/>
        </w:rPr>
        <w:t>二、收入决算情况说明</w:t>
      </w:r>
      <w:bookmarkEnd w:id="15"/>
      <w:bookmarkEnd w:id="16"/>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844.06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837.46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99.21</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6.6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0.78</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0795" b="1079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7" w:name="_Toc15396605"/>
      <w:bookmarkStart w:id="18"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7"/>
      <w:bookmarkEnd w:id="18"/>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847.18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573.87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67.73</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273.31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32.26</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0795" b="1079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spacing w:line="600" w:lineRule="exact"/>
        <w:ind w:firstLine="640" w:firstLineChars="200"/>
        <w:outlineLvl w:val="1"/>
        <w:rPr>
          <w:rStyle w:val="31"/>
          <w:rFonts w:ascii="Times New Roman" w:hAnsi="Times New Roman" w:eastAsia="黑体"/>
          <w:b w:val="0"/>
          <w:color w:val="auto"/>
          <w:highlight w:val="none"/>
        </w:rPr>
      </w:pPr>
      <w:bookmarkStart w:id="19" w:name="_Toc15377208"/>
      <w:bookmarkStart w:id="20"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19"/>
      <w:bookmarkEnd w:id="20"/>
    </w:p>
    <w:p>
      <w:pPr>
        <w:numPr>
          <w:ilvl w:val="0"/>
          <w:numId w:val="0"/>
        </w:numPr>
        <w:ind w:firstLine="640" w:firstLineChars="200"/>
        <w:rPr>
          <w:rFonts w:hint="eastAsia" w:ascii="仿宋" w:hAnsi="仿宋" w:eastAsia="仿宋"/>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837.46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694.25</w:t>
      </w:r>
      <w:r>
        <w:rPr>
          <w:rFonts w:hint="eastAsia" w:ascii="Times New Roman" w:hAnsi="Times New Roman" w:eastAsia="仿宋_GB2312" w:cs="仿宋_GB2312"/>
          <w:color w:val="auto"/>
          <w:kern w:val="2"/>
          <w:sz w:val="32"/>
          <w:szCs w:val="32"/>
          <w:highlight w:val="none"/>
          <w:lang w:val="en-US" w:eastAsia="zh-CN" w:bidi="ar-SA"/>
        </w:rPr>
        <w:t>相比，财政拨款收入、支出总计各增加</w:t>
      </w:r>
      <w:r>
        <w:rPr>
          <w:rFonts w:hint="eastAsia" w:eastAsia="仿宋_GB2312" w:cs="仿宋_GB2312"/>
          <w:color w:val="auto"/>
          <w:kern w:val="2"/>
          <w:sz w:val="32"/>
          <w:szCs w:val="32"/>
          <w:highlight w:val="none"/>
          <w:lang w:val="en-US" w:eastAsia="zh-CN" w:bidi="ar-SA"/>
        </w:rPr>
        <w:t>143.21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17.1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2025年新增1号楼装修项目89.2万元，公车购置24.82万元。</w:t>
      </w:r>
      <w:r>
        <w:rPr>
          <w:rFonts w:hint="eastAsia" w:ascii="仿宋" w:hAnsi="仿宋" w:eastAsia="仿宋"/>
          <w:sz w:val="32"/>
          <w:szCs w:val="32"/>
          <w:lang w:val="en-US" w:eastAsia="zh-CN"/>
        </w:rPr>
        <w:t>人员工资、目标绩效及五险缴费等增加。</w:t>
      </w:r>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72000" cy="2743200"/>
            <wp:effectExtent l="4445" t="4445" r="10795" b="10795"/>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firstLineChars="200"/>
        <w:outlineLvl w:val="1"/>
        <w:rPr>
          <w:rStyle w:val="31"/>
          <w:rFonts w:ascii="Times New Roman" w:hAnsi="Times New Roman" w:eastAsia="黑体"/>
          <w:b w:val="0"/>
          <w:color w:val="auto"/>
          <w:highlight w:val="none"/>
        </w:rPr>
      </w:pPr>
      <w:bookmarkStart w:id="21" w:name="_Toc15377209"/>
      <w:bookmarkStart w:id="22"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1"/>
      <w:bookmarkEnd w:id="22"/>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3"/>
    </w:p>
    <w:p>
      <w:pPr>
        <w:numPr>
          <w:ilvl w:val="0"/>
          <w:numId w:val="0"/>
        </w:numPr>
        <w:ind w:firstLine="640" w:firstLineChars="200"/>
        <w:rPr>
          <w:rFonts w:hint="eastAsia" w:ascii="仿宋" w:hAnsi="仿宋" w:eastAsia="仿宋"/>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837.46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98.85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694.25万元</w:t>
      </w:r>
      <w:r>
        <w:rPr>
          <w:rFonts w:hint="eastAsia" w:ascii="Times New Roman" w:hAnsi="Times New Roman" w:eastAsia="仿宋_GB2312" w:cs="仿宋_GB2312"/>
          <w:color w:val="auto"/>
          <w:kern w:val="2"/>
          <w:sz w:val="32"/>
          <w:szCs w:val="32"/>
          <w:highlight w:val="none"/>
          <w:lang w:val="en-US" w:eastAsia="zh-CN" w:bidi="ar-SA"/>
        </w:rPr>
        <w:t>相比，一般公共预算财政拨款支出增加</w:t>
      </w:r>
      <w:r>
        <w:rPr>
          <w:rFonts w:hint="eastAsia" w:eastAsia="仿宋_GB2312" w:cs="仿宋_GB2312"/>
          <w:color w:val="auto"/>
          <w:kern w:val="2"/>
          <w:sz w:val="32"/>
          <w:szCs w:val="32"/>
          <w:highlight w:val="none"/>
          <w:lang w:val="en-US" w:eastAsia="zh-CN" w:bidi="ar-SA"/>
        </w:rPr>
        <w:t>143.21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17.1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2025年新增1号楼装修项目89.2万元，公车购置24.82万元。</w:t>
      </w:r>
      <w:r>
        <w:rPr>
          <w:rFonts w:hint="eastAsia" w:ascii="仿宋" w:hAnsi="仿宋" w:eastAsia="仿宋"/>
          <w:sz w:val="32"/>
          <w:szCs w:val="32"/>
          <w:lang w:val="en-US" w:eastAsia="zh-CN"/>
        </w:rPr>
        <w:t>人员工资、目标绩效及五险缴费等增加。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72000" cy="2743200"/>
            <wp:effectExtent l="4445" t="4445" r="10795" b="10795"/>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4"/>
    </w:p>
    <w:p>
      <w:pPr>
        <w:spacing w:line="600" w:lineRule="exact"/>
        <w:ind w:firstLine="640"/>
        <w:rPr>
          <w:rFonts w:hint="eastAsia" w:eastAsia="仿宋_GB2312" w:cs="仿宋_GB2312"/>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837.46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eastAsia="仿宋_GB2312" w:cs="仿宋_GB2312"/>
          <w:sz w:val="32"/>
          <w:szCs w:val="32"/>
        </w:rPr>
        <w:t>一般公共服务支出</w:t>
      </w:r>
      <w:r>
        <w:rPr>
          <w:rFonts w:hint="eastAsia" w:eastAsia="仿宋_GB2312" w:cs="仿宋_GB2312"/>
          <w:sz w:val="32"/>
          <w:szCs w:val="32"/>
          <w:lang w:val="en-US" w:eastAsia="zh-CN"/>
        </w:rPr>
        <w:t>697.92</w:t>
      </w:r>
      <w:r>
        <w:rPr>
          <w:rFonts w:hint="eastAsia" w:eastAsia="仿宋_GB2312" w:cs="仿宋_GB2312"/>
          <w:sz w:val="32"/>
          <w:szCs w:val="32"/>
        </w:rPr>
        <w:t>万元，占</w:t>
      </w:r>
      <w:r>
        <w:rPr>
          <w:rFonts w:hint="eastAsia" w:eastAsia="仿宋_GB2312" w:cs="仿宋_GB2312"/>
          <w:sz w:val="32"/>
          <w:szCs w:val="32"/>
          <w:lang w:val="en-US" w:eastAsia="zh-CN"/>
        </w:rPr>
        <w:t>83.3</w:t>
      </w:r>
      <w:r>
        <w:rPr>
          <w:rFonts w:hint="eastAsia" w:eastAsia="仿宋_GB2312" w:cs="仿宋_GB2312"/>
          <w:sz w:val="32"/>
          <w:szCs w:val="32"/>
        </w:rPr>
        <w:t>%；社会保障和就业支出</w:t>
      </w:r>
      <w:r>
        <w:rPr>
          <w:rFonts w:hint="eastAsia" w:eastAsia="仿宋_GB2312" w:cs="仿宋_GB2312"/>
          <w:sz w:val="32"/>
          <w:szCs w:val="32"/>
          <w:lang w:val="en-US" w:eastAsia="zh-CN"/>
        </w:rPr>
        <w:t>70.73</w:t>
      </w:r>
      <w:r>
        <w:rPr>
          <w:rFonts w:hint="eastAsia" w:eastAsia="仿宋_GB2312" w:cs="仿宋_GB2312"/>
          <w:sz w:val="32"/>
          <w:szCs w:val="32"/>
        </w:rPr>
        <w:t>万元，占</w:t>
      </w:r>
      <w:r>
        <w:rPr>
          <w:rFonts w:hint="eastAsia" w:eastAsia="仿宋_GB2312" w:cs="仿宋_GB2312"/>
          <w:sz w:val="32"/>
          <w:szCs w:val="32"/>
          <w:lang w:val="en-US" w:eastAsia="zh-CN"/>
        </w:rPr>
        <w:t>8.4</w:t>
      </w:r>
      <w:r>
        <w:rPr>
          <w:rFonts w:hint="eastAsia" w:eastAsia="仿宋_GB2312" w:cs="仿宋_GB2312"/>
          <w:sz w:val="32"/>
          <w:szCs w:val="32"/>
        </w:rPr>
        <w:t>%；卫生健康支出</w:t>
      </w:r>
      <w:r>
        <w:rPr>
          <w:rFonts w:hint="eastAsia" w:eastAsia="仿宋_GB2312" w:cs="仿宋_GB2312"/>
          <w:sz w:val="32"/>
          <w:szCs w:val="32"/>
          <w:lang w:val="en-US" w:eastAsia="zh-CN"/>
        </w:rPr>
        <w:t>29.32</w:t>
      </w:r>
      <w:r>
        <w:rPr>
          <w:rFonts w:hint="eastAsia" w:eastAsia="仿宋_GB2312" w:cs="仿宋_GB2312"/>
          <w:sz w:val="32"/>
          <w:szCs w:val="32"/>
        </w:rPr>
        <w:t>万元，占</w:t>
      </w:r>
      <w:r>
        <w:rPr>
          <w:rFonts w:hint="eastAsia" w:eastAsia="仿宋_GB2312" w:cs="仿宋_GB2312"/>
          <w:sz w:val="32"/>
          <w:szCs w:val="32"/>
          <w:lang w:val="en-US" w:eastAsia="zh-CN"/>
        </w:rPr>
        <w:t>3.5</w:t>
      </w:r>
      <w:r>
        <w:rPr>
          <w:rFonts w:hint="eastAsia" w:eastAsia="仿宋_GB2312" w:cs="仿宋_GB2312"/>
          <w:sz w:val="32"/>
          <w:szCs w:val="32"/>
        </w:rPr>
        <w:t>%；住房保障支出</w:t>
      </w:r>
      <w:r>
        <w:rPr>
          <w:rFonts w:hint="eastAsia" w:eastAsia="仿宋_GB2312" w:cs="仿宋_GB2312"/>
          <w:sz w:val="32"/>
          <w:szCs w:val="32"/>
          <w:lang w:val="en-US" w:eastAsia="zh-CN"/>
        </w:rPr>
        <w:t>39.48</w:t>
      </w:r>
      <w:r>
        <w:rPr>
          <w:rFonts w:hint="eastAsia" w:eastAsia="仿宋_GB2312" w:cs="仿宋_GB2312"/>
          <w:sz w:val="32"/>
          <w:szCs w:val="32"/>
        </w:rPr>
        <w:t>万元，占</w:t>
      </w:r>
      <w:r>
        <w:rPr>
          <w:rFonts w:hint="eastAsia" w:eastAsia="仿宋_GB2312" w:cs="仿宋_GB2312"/>
          <w:sz w:val="32"/>
          <w:szCs w:val="32"/>
          <w:lang w:val="en-US" w:eastAsia="zh-CN"/>
        </w:rPr>
        <w:t>4.7</w:t>
      </w:r>
      <w:r>
        <w:rPr>
          <w:rFonts w:hint="eastAsia" w:eastAsia="仿宋_GB2312" w:cs="仿宋_GB2312"/>
          <w:sz w:val="32"/>
          <w:szCs w:val="32"/>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72000" cy="2743200"/>
            <wp:effectExtent l="4445" t="4445" r="10795" b="10795"/>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6" w:name="_Toc15377213"/>
      <w:bookmarkStart w:id="27" w:name="_Toc15378460"/>
      <w:bookmarkStart w:id="28"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837.46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6"/>
      <w:bookmarkEnd w:id="27"/>
      <w:bookmarkEnd w:id="28"/>
    </w:p>
    <w:p>
      <w:pPr>
        <w:numPr>
          <w:ilvl w:val="0"/>
          <w:numId w:val="1"/>
        </w:numPr>
        <w:spacing w:line="600" w:lineRule="exact"/>
        <w:ind w:left="0" w:leftChars="0" w:firstLine="640" w:firstLineChars="200"/>
        <w:rPr>
          <w:rStyle w:val="19"/>
          <w:rFonts w:hint="eastAsia" w:ascii="仿宋" w:hAnsi="仿宋" w:eastAsia="仿宋"/>
          <w:b w:val="0"/>
          <w:bCs/>
          <w:sz w:val="32"/>
          <w:szCs w:val="32"/>
          <w:lang w:val="en-US" w:eastAsia="zh-CN"/>
        </w:rPr>
      </w:pPr>
      <w:r>
        <w:rPr>
          <w:rStyle w:val="19"/>
          <w:rFonts w:ascii="仿宋" w:hAnsi="仿宋" w:eastAsia="仿宋"/>
          <w:b w:val="0"/>
          <w:bCs/>
          <w:color w:val="000000"/>
          <w:sz w:val="32"/>
          <w:szCs w:val="32"/>
        </w:rPr>
        <w:t>一般公共服务（201类）其他共产党事务（36款）行政运行（01项）</w:t>
      </w:r>
      <w:r>
        <w:rPr>
          <w:rStyle w:val="19"/>
          <w:rFonts w:hint="eastAsia" w:ascii="仿宋" w:hAnsi="仿宋" w:eastAsia="仿宋"/>
          <w:b w:val="0"/>
          <w:bCs/>
          <w:color w:val="000000"/>
          <w:sz w:val="32"/>
          <w:szCs w:val="32"/>
          <w:lang w:val="en-US" w:eastAsia="zh-CN"/>
        </w:rPr>
        <w:t>与</w:t>
      </w:r>
      <w:r>
        <w:rPr>
          <w:rStyle w:val="19"/>
          <w:rFonts w:hint="eastAsia" w:ascii="仿宋" w:hAnsi="仿宋" w:eastAsia="仿宋"/>
          <w:b w:val="0"/>
          <w:bCs/>
          <w:color w:val="000000"/>
          <w:sz w:val="32"/>
          <w:szCs w:val="32"/>
        </w:rPr>
        <w:t>一般行政管理事务(201类36款02项)</w:t>
      </w:r>
      <w:r>
        <w:rPr>
          <w:rStyle w:val="19"/>
          <w:rFonts w:ascii="仿宋" w:hAnsi="仿宋" w:eastAsia="仿宋"/>
          <w:b w:val="0"/>
          <w:bCs/>
          <w:color w:val="000000"/>
          <w:sz w:val="32"/>
          <w:szCs w:val="32"/>
        </w:rPr>
        <w:t>支出决算合计</w:t>
      </w:r>
      <w:r>
        <w:rPr>
          <w:rStyle w:val="19"/>
          <w:rFonts w:hint="eastAsia" w:ascii="仿宋" w:hAnsi="仿宋" w:eastAsia="仿宋"/>
          <w:b w:val="0"/>
          <w:bCs/>
          <w:color w:val="000000"/>
          <w:sz w:val="32"/>
          <w:szCs w:val="32"/>
          <w:lang w:val="en-US" w:eastAsia="zh-CN"/>
        </w:rPr>
        <w:t>697.92万元，完成预算数856.85万元的81.5%，小</w:t>
      </w:r>
      <w:r>
        <w:rPr>
          <w:rStyle w:val="19"/>
          <w:rFonts w:ascii="仿宋" w:hAnsi="仿宋" w:eastAsia="仿宋"/>
          <w:b w:val="0"/>
          <w:bCs/>
          <w:color w:val="000000"/>
          <w:sz w:val="32"/>
          <w:szCs w:val="32"/>
        </w:rPr>
        <w:t>于预算数的原因是</w:t>
      </w:r>
      <w:r>
        <w:rPr>
          <w:rStyle w:val="19"/>
          <w:rFonts w:hint="eastAsia" w:ascii="仿宋" w:hAnsi="仿宋" w:eastAsia="仿宋"/>
          <w:b w:val="0"/>
          <w:bCs/>
          <w:color w:val="000000"/>
          <w:sz w:val="32"/>
          <w:szCs w:val="32"/>
          <w:lang w:val="en-US" w:eastAsia="zh-CN"/>
        </w:rPr>
        <w:t>2025年新增1号楼主楼装修项目未竣工验收，结转项目资金252.52万元。</w:t>
      </w:r>
    </w:p>
    <w:p>
      <w:pPr>
        <w:numPr>
          <w:ilvl w:val="0"/>
          <w:numId w:val="1"/>
        </w:numPr>
        <w:spacing w:line="600" w:lineRule="exact"/>
        <w:ind w:left="0" w:leftChars="0" w:firstLine="640" w:firstLineChars="200"/>
        <w:rPr>
          <w:rStyle w:val="19"/>
          <w:rFonts w:hint="eastAsia" w:ascii="仿宋" w:hAnsi="仿宋" w:eastAsia="仿宋"/>
          <w:b w:val="0"/>
          <w:bCs/>
          <w:sz w:val="32"/>
          <w:szCs w:val="32"/>
          <w:lang w:val="en-US" w:eastAsia="zh-CN"/>
        </w:rPr>
      </w:pPr>
      <w:r>
        <w:rPr>
          <w:rStyle w:val="19"/>
          <w:rFonts w:hint="eastAsia" w:ascii="仿宋" w:hAnsi="仿宋" w:eastAsia="仿宋"/>
          <w:b w:val="0"/>
          <w:bCs/>
          <w:sz w:val="32"/>
          <w:szCs w:val="32"/>
          <w:lang w:val="en-US" w:eastAsia="zh-CN"/>
        </w:rPr>
        <w:t>本单位无</w:t>
      </w:r>
      <w:r>
        <w:rPr>
          <w:rStyle w:val="19"/>
          <w:rFonts w:hint="eastAsia" w:ascii="仿宋" w:hAnsi="仿宋" w:eastAsia="仿宋"/>
          <w:b w:val="0"/>
          <w:bCs/>
          <w:sz w:val="32"/>
          <w:szCs w:val="32"/>
        </w:rPr>
        <w:t>教育</w:t>
      </w:r>
      <w:r>
        <w:rPr>
          <w:rStyle w:val="19"/>
          <w:rFonts w:hint="eastAsia" w:ascii="仿宋" w:hAnsi="仿宋" w:eastAsia="仿宋"/>
          <w:b w:val="0"/>
          <w:bCs/>
          <w:sz w:val="32"/>
          <w:szCs w:val="32"/>
          <w:lang w:val="en-US" w:eastAsia="zh-CN"/>
        </w:rPr>
        <w:t>支出。</w:t>
      </w:r>
    </w:p>
    <w:p>
      <w:pPr>
        <w:numPr>
          <w:ilvl w:val="0"/>
          <w:numId w:val="1"/>
        </w:numPr>
        <w:spacing w:line="600" w:lineRule="exact"/>
        <w:ind w:left="0" w:leftChars="0" w:firstLine="640" w:firstLineChars="200"/>
        <w:rPr>
          <w:rFonts w:hint="default" w:ascii="仿宋" w:hAnsi="仿宋" w:eastAsia="仿宋"/>
          <w:b w:val="0"/>
          <w:bCs/>
          <w:sz w:val="32"/>
          <w:szCs w:val="32"/>
          <w:lang w:val="en-US"/>
        </w:rPr>
      </w:pPr>
      <w:r>
        <w:rPr>
          <w:rStyle w:val="19"/>
          <w:rFonts w:hint="eastAsia" w:ascii="仿宋" w:hAnsi="仿宋" w:eastAsia="仿宋"/>
          <w:b w:val="0"/>
          <w:bCs/>
          <w:sz w:val="32"/>
          <w:szCs w:val="32"/>
          <w:lang w:val="en-US" w:eastAsia="zh-CN"/>
        </w:rPr>
        <w:t>本单位无</w:t>
      </w:r>
      <w:r>
        <w:rPr>
          <w:rStyle w:val="19"/>
          <w:rFonts w:hint="eastAsia" w:ascii="仿宋" w:hAnsi="仿宋" w:eastAsia="仿宋"/>
          <w:b w:val="0"/>
          <w:bCs/>
          <w:sz w:val="32"/>
          <w:szCs w:val="32"/>
        </w:rPr>
        <w:t>科学技术</w:t>
      </w:r>
      <w:r>
        <w:rPr>
          <w:rStyle w:val="19"/>
          <w:rFonts w:hint="eastAsia" w:ascii="仿宋" w:hAnsi="仿宋" w:eastAsia="仿宋"/>
          <w:b w:val="0"/>
          <w:bCs/>
          <w:sz w:val="32"/>
          <w:szCs w:val="32"/>
          <w:lang w:val="en-US" w:eastAsia="zh-CN"/>
        </w:rPr>
        <w:t>支出。</w:t>
      </w:r>
    </w:p>
    <w:p>
      <w:pPr>
        <w:numPr>
          <w:ilvl w:val="0"/>
          <w:numId w:val="1"/>
        </w:numPr>
        <w:spacing w:line="600" w:lineRule="exact"/>
        <w:ind w:left="0" w:leftChars="0" w:firstLine="640" w:firstLineChars="200"/>
        <w:rPr>
          <w:rStyle w:val="19"/>
          <w:rFonts w:hint="eastAsia" w:ascii="仿宋" w:hAnsi="仿宋" w:eastAsia="仿宋"/>
          <w:b w:val="0"/>
          <w:bCs/>
          <w:sz w:val="32"/>
          <w:szCs w:val="32"/>
        </w:rPr>
      </w:pPr>
      <w:r>
        <w:rPr>
          <w:rStyle w:val="19"/>
          <w:rFonts w:hint="eastAsia" w:ascii="仿宋" w:hAnsi="仿宋" w:eastAsia="仿宋"/>
          <w:b w:val="0"/>
          <w:bCs/>
          <w:sz w:val="32"/>
          <w:szCs w:val="32"/>
          <w:lang w:val="en-US" w:eastAsia="zh-CN"/>
        </w:rPr>
        <w:t>本单位无</w:t>
      </w:r>
      <w:r>
        <w:rPr>
          <w:rStyle w:val="19"/>
          <w:rFonts w:hint="eastAsia" w:ascii="仿宋" w:hAnsi="仿宋" w:eastAsia="仿宋"/>
          <w:b w:val="0"/>
          <w:bCs/>
          <w:sz w:val="32"/>
          <w:szCs w:val="32"/>
        </w:rPr>
        <w:t>文化旅游体育与传媒支出</w:t>
      </w:r>
      <w:r>
        <w:rPr>
          <w:rStyle w:val="19"/>
          <w:rFonts w:hint="eastAsia" w:ascii="仿宋" w:hAnsi="仿宋" w:eastAsia="仿宋"/>
          <w:b w:val="0"/>
          <w:bCs/>
          <w:sz w:val="32"/>
          <w:szCs w:val="32"/>
          <w:lang w:eastAsia="zh-CN"/>
        </w:rPr>
        <w:t>。</w:t>
      </w:r>
    </w:p>
    <w:p>
      <w:pPr>
        <w:numPr>
          <w:ilvl w:val="0"/>
          <w:numId w:val="1"/>
        </w:numPr>
        <w:spacing w:line="600" w:lineRule="exact"/>
        <w:ind w:left="0" w:leftChars="0" w:firstLine="640" w:firstLineChars="200"/>
        <w:rPr>
          <w:rStyle w:val="19"/>
          <w:rFonts w:hint="default" w:ascii="仿宋" w:hAnsi="仿宋" w:eastAsia="仿宋"/>
          <w:b w:val="0"/>
          <w:bCs/>
          <w:color w:val="000000"/>
          <w:sz w:val="32"/>
          <w:szCs w:val="32"/>
          <w:lang w:val="en-US" w:eastAsia="zh-CN"/>
        </w:rPr>
      </w:pPr>
      <w:r>
        <w:rPr>
          <w:rStyle w:val="19"/>
          <w:rFonts w:ascii="仿宋" w:hAnsi="仿宋" w:eastAsia="仿宋"/>
          <w:b w:val="0"/>
          <w:bCs/>
          <w:color w:val="000000"/>
          <w:sz w:val="32"/>
          <w:szCs w:val="32"/>
        </w:rPr>
        <w:t>社会保障和就业（208类）行政事业单位离退休（05款）机关事业单位基本养老保险缴费支出（05项）</w:t>
      </w:r>
      <w:r>
        <w:rPr>
          <w:rStyle w:val="19"/>
          <w:rFonts w:hint="eastAsia" w:ascii="仿宋" w:hAnsi="仿宋" w:eastAsia="仿宋"/>
          <w:b w:val="0"/>
          <w:bCs/>
          <w:color w:val="000000"/>
          <w:sz w:val="32"/>
          <w:szCs w:val="32"/>
          <w:lang w:val="en-US" w:eastAsia="zh-CN"/>
        </w:rPr>
        <w:t>与</w:t>
      </w:r>
      <w:r>
        <w:rPr>
          <w:rStyle w:val="19"/>
          <w:rFonts w:ascii="仿宋" w:hAnsi="仿宋" w:eastAsia="仿宋"/>
          <w:b w:val="0"/>
          <w:bCs/>
          <w:color w:val="000000"/>
          <w:sz w:val="32"/>
          <w:szCs w:val="32"/>
        </w:rPr>
        <w:t>社会保障和就业（208类）行政事业单位离退休（05款）机关事业单位职业年金缴费支出（06项）支出决算</w:t>
      </w:r>
      <w:r>
        <w:rPr>
          <w:rStyle w:val="19"/>
          <w:rFonts w:hint="eastAsia" w:ascii="仿宋" w:hAnsi="仿宋" w:eastAsia="仿宋"/>
          <w:b w:val="0"/>
          <w:bCs/>
          <w:color w:val="000000"/>
          <w:sz w:val="32"/>
          <w:szCs w:val="32"/>
          <w:lang w:val="en-US" w:eastAsia="zh-CN"/>
        </w:rPr>
        <w:t>合计</w:t>
      </w:r>
      <w:r>
        <w:rPr>
          <w:rStyle w:val="19"/>
          <w:rFonts w:ascii="仿宋" w:hAnsi="仿宋" w:eastAsia="仿宋"/>
          <w:b w:val="0"/>
          <w:bCs/>
          <w:color w:val="000000"/>
          <w:sz w:val="32"/>
          <w:szCs w:val="32"/>
        </w:rPr>
        <w:t>为</w:t>
      </w:r>
      <w:r>
        <w:rPr>
          <w:rStyle w:val="19"/>
          <w:rFonts w:hint="eastAsia" w:ascii="仿宋" w:hAnsi="仿宋" w:eastAsia="仿宋"/>
          <w:b w:val="0"/>
          <w:bCs/>
          <w:color w:val="000000"/>
          <w:sz w:val="32"/>
          <w:szCs w:val="32"/>
          <w:lang w:val="en-US" w:eastAsia="zh-CN"/>
        </w:rPr>
        <w:t>70.73</w:t>
      </w:r>
      <w:r>
        <w:rPr>
          <w:rStyle w:val="19"/>
          <w:rFonts w:ascii="仿宋" w:hAnsi="仿宋" w:eastAsia="仿宋"/>
          <w:b w:val="0"/>
          <w:bCs/>
          <w:color w:val="000000"/>
          <w:sz w:val="32"/>
          <w:szCs w:val="32"/>
        </w:rPr>
        <w:t>万元，完成预算数</w:t>
      </w:r>
      <w:r>
        <w:rPr>
          <w:rStyle w:val="19"/>
          <w:rFonts w:hint="eastAsia" w:ascii="仿宋" w:hAnsi="仿宋" w:eastAsia="仿宋"/>
          <w:b w:val="0"/>
          <w:bCs/>
          <w:color w:val="000000"/>
          <w:sz w:val="32"/>
          <w:szCs w:val="32"/>
          <w:lang w:val="en-US" w:eastAsia="zh-CN"/>
        </w:rPr>
        <w:t xml:space="preserve"> 60.79</w:t>
      </w:r>
      <w:r>
        <w:rPr>
          <w:rStyle w:val="19"/>
          <w:rFonts w:hint="eastAsia" w:ascii="仿宋" w:hAnsi="仿宋" w:eastAsia="仿宋"/>
          <w:b w:val="0"/>
          <w:bCs/>
          <w:color w:val="000000"/>
          <w:sz w:val="32"/>
          <w:szCs w:val="32"/>
        </w:rPr>
        <w:t>万元的</w:t>
      </w:r>
      <w:r>
        <w:rPr>
          <w:rStyle w:val="19"/>
          <w:rFonts w:hint="eastAsia" w:ascii="仿宋" w:hAnsi="仿宋" w:eastAsia="仿宋"/>
          <w:b w:val="0"/>
          <w:bCs/>
          <w:color w:val="000000"/>
          <w:sz w:val="32"/>
          <w:szCs w:val="32"/>
          <w:lang w:val="en-US" w:eastAsia="zh-CN"/>
        </w:rPr>
        <w:t>116.4</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lang w:eastAsia="zh-CN"/>
        </w:rPr>
        <w:t>，</w:t>
      </w:r>
      <w:r>
        <w:rPr>
          <w:rStyle w:val="19"/>
          <w:rFonts w:hint="eastAsia" w:ascii="仿宋" w:hAnsi="仿宋" w:eastAsia="仿宋"/>
          <w:b w:val="0"/>
          <w:bCs/>
          <w:color w:val="000000"/>
          <w:sz w:val="32"/>
          <w:szCs w:val="32"/>
          <w:lang w:val="en-US" w:eastAsia="zh-CN"/>
        </w:rPr>
        <w:t>小大于预算数是因为缴费增加。</w:t>
      </w:r>
    </w:p>
    <w:p>
      <w:pPr>
        <w:spacing w:line="600" w:lineRule="exact"/>
        <w:ind w:firstLine="640" w:firstLineChars="200"/>
        <w:rPr>
          <w:rStyle w:val="19"/>
          <w:rFonts w:hint="default" w:ascii="仿宋" w:hAnsi="仿宋" w:eastAsia="仿宋"/>
          <w:b w:val="0"/>
          <w:bCs/>
          <w:color w:val="000000"/>
          <w:sz w:val="32"/>
          <w:szCs w:val="32"/>
          <w:lang w:val="en-US" w:eastAsia="zh-CN"/>
        </w:rPr>
      </w:pPr>
      <w:r>
        <w:rPr>
          <w:rStyle w:val="19"/>
          <w:rFonts w:hint="eastAsia" w:ascii="仿宋" w:hAnsi="仿宋" w:eastAsia="仿宋"/>
          <w:b w:val="0"/>
          <w:bCs/>
          <w:color w:val="000000"/>
          <w:sz w:val="32"/>
          <w:szCs w:val="32"/>
          <w:lang w:val="en-US" w:eastAsia="zh-CN"/>
        </w:rPr>
        <w:t>6.</w:t>
      </w:r>
      <w:r>
        <w:rPr>
          <w:rStyle w:val="19"/>
          <w:rFonts w:ascii="仿宋" w:hAnsi="仿宋" w:eastAsia="仿宋"/>
          <w:b w:val="0"/>
          <w:bCs/>
          <w:color w:val="000000"/>
          <w:sz w:val="32"/>
          <w:szCs w:val="32"/>
        </w:rPr>
        <w:t>医疗卫生与计划生育（210类）医疗保障（11款）行政单位医疗（01项）</w:t>
      </w:r>
      <w:r>
        <w:rPr>
          <w:rStyle w:val="19"/>
          <w:rFonts w:hint="eastAsia" w:ascii="仿宋" w:hAnsi="仿宋" w:eastAsia="仿宋"/>
          <w:b w:val="0"/>
          <w:bCs/>
          <w:color w:val="000000"/>
          <w:sz w:val="32"/>
          <w:szCs w:val="32"/>
          <w:lang w:val="en-US" w:eastAsia="zh-CN"/>
        </w:rPr>
        <w:t>与</w:t>
      </w:r>
      <w:r>
        <w:rPr>
          <w:rStyle w:val="19"/>
          <w:rFonts w:ascii="仿宋" w:hAnsi="仿宋" w:eastAsia="仿宋"/>
          <w:b w:val="0"/>
          <w:bCs/>
          <w:color w:val="000000"/>
          <w:sz w:val="32"/>
          <w:szCs w:val="32"/>
        </w:rPr>
        <w:t>医疗卫生与计划生育（210类）医疗保障（11款）公务员医疗（03项）支出决算</w:t>
      </w:r>
      <w:r>
        <w:rPr>
          <w:rStyle w:val="19"/>
          <w:rFonts w:hint="eastAsia" w:ascii="仿宋" w:hAnsi="仿宋" w:eastAsia="仿宋"/>
          <w:b w:val="0"/>
          <w:bCs/>
          <w:color w:val="000000"/>
          <w:sz w:val="32"/>
          <w:szCs w:val="32"/>
          <w:lang w:val="en-US" w:eastAsia="zh-CN"/>
        </w:rPr>
        <w:t>合计</w:t>
      </w:r>
      <w:r>
        <w:rPr>
          <w:rStyle w:val="19"/>
          <w:rFonts w:ascii="仿宋" w:hAnsi="仿宋" w:eastAsia="仿宋"/>
          <w:b w:val="0"/>
          <w:bCs/>
          <w:color w:val="000000"/>
          <w:sz w:val="32"/>
          <w:szCs w:val="32"/>
        </w:rPr>
        <w:t>为</w:t>
      </w:r>
      <w:r>
        <w:rPr>
          <w:rStyle w:val="19"/>
          <w:rFonts w:hint="eastAsia" w:ascii="仿宋" w:hAnsi="仿宋" w:eastAsia="仿宋"/>
          <w:b w:val="0"/>
          <w:bCs/>
          <w:color w:val="000000"/>
          <w:sz w:val="32"/>
          <w:szCs w:val="32"/>
          <w:lang w:val="en-US" w:eastAsia="zh-CN"/>
        </w:rPr>
        <w:t>29.32</w:t>
      </w:r>
      <w:r>
        <w:rPr>
          <w:rStyle w:val="19"/>
          <w:rFonts w:ascii="仿宋" w:hAnsi="仿宋" w:eastAsia="仿宋"/>
          <w:b w:val="0"/>
          <w:bCs/>
          <w:color w:val="000000"/>
          <w:sz w:val="32"/>
          <w:szCs w:val="32"/>
        </w:rPr>
        <w:t>万元，完成预算数</w:t>
      </w:r>
      <w:r>
        <w:rPr>
          <w:rStyle w:val="19"/>
          <w:rFonts w:hint="eastAsia" w:ascii="仿宋" w:hAnsi="仿宋" w:eastAsia="仿宋"/>
          <w:b w:val="0"/>
          <w:bCs/>
          <w:color w:val="000000"/>
          <w:sz w:val="32"/>
          <w:szCs w:val="32"/>
          <w:lang w:val="en-US" w:eastAsia="zh-CN"/>
        </w:rPr>
        <w:t>25.96</w:t>
      </w:r>
      <w:r>
        <w:rPr>
          <w:rStyle w:val="19"/>
          <w:rFonts w:hint="eastAsia" w:ascii="仿宋" w:hAnsi="仿宋" w:eastAsia="仿宋"/>
          <w:b w:val="0"/>
          <w:bCs/>
          <w:color w:val="000000"/>
          <w:sz w:val="32"/>
          <w:szCs w:val="32"/>
        </w:rPr>
        <w:t>万元的</w:t>
      </w:r>
      <w:r>
        <w:rPr>
          <w:rStyle w:val="19"/>
          <w:rFonts w:hint="eastAsia" w:ascii="仿宋" w:hAnsi="仿宋" w:eastAsia="仿宋"/>
          <w:b w:val="0"/>
          <w:bCs/>
          <w:color w:val="000000"/>
          <w:sz w:val="32"/>
          <w:szCs w:val="32"/>
          <w:lang w:val="en-US" w:eastAsia="zh-CN"/>
        </w:rPr>
        <w:t>112.9</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lang w:val="en-US" w:eastAsia="zh-CN"/>
        </w:rPr>
        <w:t>大于预算数是因为职工医疗缴费增加。</w:t>
      </w:r>
    </w:p>
    <w:p>
      <w:pPr>
        <w:tabs>
          <w:tab w:val="right" w:pos="8306"/>
        </w:tabs>
        <w:spacing w:line="600" w:lineRule="exact"/>
        <w:ind w:firstLine="640"/>
        <w:outlineLvl w:val="1"/>
        <w:rPr>
          <w:rFonts w:hint="eastAsia" w:ascii="Times New Roman" w:hAnsi="Times New Roman" w:eastAsia="仿宋_GB2312" w:cs="仿宋_GB2312"/>
          <w:color w:val="auto"/>
          <w:kern w:val="2"/>
          <w:sz w:val="32"/>
          <w:szCs w:val="32"/>
          <w:highlight w:val="none"/>
          <w:lang w:val="en-US" w:eastAsia="zh-CN" w:bidi="ar-SA"/>
        </w:rPr>
      </w:pPr>
      <w:r>
        <w:rPr>
          <w:rStyle w:val="19"/>
          <w:rFonts w:hint="eastAsia" w:ascii="仿宋" w:hAnsi="仿宋" w:eastAsia="仿宋"/>
          <w:b w:val="0"/>
          <w:bCs/>
          <w:color w:val="000000"/>
          <w:sz w:val="32"/>
          <w:szCs w:val="32"/>
          <w:lang w:val="en-US" w:eastAsia="zh-CN"/>
        </w:rPr>
        <w:t>7.</w:t>
      </w:r>
      <w:r>
        <w:rPr>
          <w:rStyle w:val="19"/>
          <w:rFonts w:ascii="仿宋" w:hAnsi="仿宋" w:eastAsia="仿宋"/>
          <w:b w:val="0"/>
          <w:bCs/>
          <w:color w:val="000000"/>
          <w:sz w:val="32"/>
          <w:szCs w:val="32"/>
        </w:rPr>
        <w:t>住房公积（</w:t>
      </w:r>
      <w:r>
        <w:rPr>
          <w:rFonts w:ascii="仿宋" w:hAnsi="仿宋" w:eastAsia="仿宋"/>
          <w:b w:val="0"/>
          <w:bCs/>
          <w:color w:val="000000"/>
          <w:sz w:val="32"/>
          <w:szCs w:val="32"/>
        </w:rPr>
        <w:t>221类</w:t>
      </w:r>
      <w:r>
        <w:rPr>
          <w:rStyle w:val="19"/>
          <w:rFonts w:ascii="仿宋" w:hAnsi="仿宋" w:eastAsia="仿宋"/>
          <w:b w:val="0"/>
          <w:bCs/>
          <w:color w:val="000000"/>
          <w:sz w:val="32"/>
          <w:szCs w:val="32"/>
        </w:rPr>
        <w:t>）住房改革支出（02款）住房公积金（01项）</w:t>
      </w:r>
      <w:r>
        <w:rPr>
          <w:rStyle w:val="19"/>
          <w:rFonts w:hint="eastAsia" w:ascii="仿宋" w:hAnsi="仿宋" w:eastAsia="仿宋"/>
          <w:b w:val="0"/>
          <w:bCs/>
          <w:color w:val="000000"/>
          <w:sz w:val="32"/>
          <w:szCs w:val="32"/>
          <w:lang w:val="en-US" w:eastAsia="zh-CN"/>
        </w:rPr>
        <w:t>决算支出39.48万元，</w:t>
      </w:r>
      <w:r>
        <w:rPr>
          <w:rFonts w:ascii="仿宋" w:hAnsi="仿宋" w:eastAsia="仿宋"/>
          <w:b w:val="0"/>
          <w:bCs/>
          <w:color w:val="000000"/>
          <w:sz w:val="32"/>
          <w:szCs w:val="32"/>
        </w:rPr>
        <w:t>完成预算数</w:t>
      </w:r>
      <w:r>
        <w:rPr>
          <w:rFonts w:hint="eastAsia" w:ascii="仿宋" w:hAnsi="仿宋" w:eastAsia="仿宋"/>
          <w:b w:val="0"/>
          <w:bCs/>
          <w:color w:val="000000"/>
          <w:sz w:val="32"/>
          <w:szCs w:val="32"/>
          <w:lang w:val="en-US" w:eastAsia="zh-CN"/>
        </w:rPr>
        <w:t>29.62</w:t>
      </w:r>
      <w:r>
        <w:rPr>
          <w:rFonts w:hint="eastAsia" w:ascii="仿宋" w:hAnsi="仿宋" w:eastAsia="仿宋"/>
          <w:b w:val="0"/>
          <w:bCs/>
          <w:color w:val="000000"/>
          <w:sz w:val="32"/>
          <w:szCs w:val="32"/>
        </w:rPr>
        <w:t>万元的</w:t>
      </w:r>
      <w:r>
        <w:rPr>
          <w:rFonts w:hint="eastAsia" w:ascii="仿宋" w:hAnsi="仿宋" w:eastAsia="仿宋"/>
          <w:b w:val="0"/>
          <w:bCs/>
          <w:color w:val="000000"/>
          <w:sz w:val="32"/>
          <w:szCs w:val="32"/>
          <w:lang w:val="en-US" w:eastAsia="zh-CN"/>
        </w:rPr>
        <w:t>133.3</w:t>
      </w:r>
      <w:r>
        <w:rPr>
          <w:rFonts w:ascii="仿宋" w:hAnsi="仿宋" w:eastAsia="仿宋"/>
          <w:b w:val="0"/>
          <w:bCs/>
          <w:color w:val="000000"/>
          <w:sz w:val="32"/>
          <w:szCs w:val="32"/>
        </w:rPr>
        <w:t>%。</w:t>
      </w:r>
      <w:r>
        <w:rPr>
          <w:rFonts w:hint="eastAsia" w:ascii="仿宋" w:hAnsi="仿宋" w:eastAsia="仿宋"/>
          <w:b w:val="0"/>
          <w:bCs/>
          <w:color w:val="000000"/>
          <w:sz w:val="32"/>
          <w:szCs w:val="32"/>
          <w:lang w:val="en-US" w:eastAsia="zh-CN"/>
        </w:rPr>
        <w:t>大于决算数是因为职工公积金缴费增加。</w:t>
      </w:r>
    </w:p>
    <w:p>
      <w:pPr>
        <w:tabs>
          <w:tab w:val="right" w:pos="8306"/>
        </w:tabs>
        <w:spacing w:line="600" w:lineRule="exact"/>
        <w:ind w:firstLine="640"/>
        <w:outlineLvl w:val="1"/>
        <w:rPr>
          <w:rStyle w:val="31"/>
          <w:rFonts w:ascii="Times New Roman" w:hAnsi="Times New Roman"/>
          <w:color w:val="auto"/>
          <w:highlight w:val="none"/>
        </w:rPr>
      </w:pPr>
      <w:bookmarkStart w:id="29" w:name="_Toc15396608"/>
      <w:bookmarkStart w:id="30"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29"/>
      <w:bookmarkEnd w:id="30"/>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573.87</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527.21</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 w:hAnsi="仿宋" w:eastAsia="仿宋" w:cs="仿宋"/>
          <w:color w:val="auto"/>
          <w:kern w:val="2"/>
          <w:sz w:val="32"/>
          <w:szCs w:val="32"/>
          <w:highlight w:val="none"/>
          <w:lang w:val="en-US" w:eastAsia="zh-CN" w:bidi="ar-SA"/>
        </w:rPr>
        <w:t>基本工资</w:t>
      </w:r>
      <w:r>
        <w:rPr>
          <w:rFonts w:hint="eastAsia" w:ascii="仿宋" w:hAnsi="仿宋" w:eastAsia="仿宋" w:cs="仿宋"/>
          <w:b w:val="0"/>
          <w:bCs w:val="0"/>
          <w:color w:val="auto"/>
          <w:kern w:val="2"/>
          <w:sz w:val="32"/>
          <w:szCs w:val="32"/>
          <w:highlight w:val="none"/>
          <w:lang w:val="en-US" w:eastAsia="zh-CN" w:bidi="ar-SA"/>
        </w:rPr>
        <w:t>121.52</w:t>
      </w:r>
      <w:r>
        <w:rPr>
          <w:rFonts w:hint="eastAsia" w:ascii="仿宋" w:hAnsi="仿宋" w:eastAsia="仿宋" w:cs="仿宋"/>
          <w:color w:val="auto"/>
          <w:kern w:val="2"/>
          <w:sz w:val="32"/>
          <w:szCs w:val="32"/>
          <w:highlight w:val="none"/>
          <w:lang w:val="en-US" w:eastAsia="zh-CN" w:bidi="ar-SA"/>
        </w:rPr>
        <w:t>万元、津贴补贴80.89万元、奖金126.25万元、伙食补助费8.55万元、机关事业单位基本养老</w:t>
      </w:r>
      <w:r>
        <w:rPr>
          <w:rFonts w:hint="eastAsia" w:ascii="Times New Roman" w:hAnsi="Times New Roman" w:eastAsia="仿宋_GB2312" w:cs="仿宋_GB2312"/>
          <w:color w:val="auto"/>
          <w:kern w:val="2"/>
          <w:sz w:val="32"/>
          <w:szCs w:val="32"/>
          <w:highlight w:val="none"/>
          <w:lang w:val="en-US" w:eastAsia="zh-CN" w:bidi="ar-SA"/>
        </w:rPr>
        <w:t>保险缴费</w:t>
      </w:r>
      <w:r>
        <w:rPr>
          <w:rFonts w:hint="eastAsia" w:eastAsia="仿宋_GB2312" w:cs="仿宋_GB2312"/>
          <w:color w:val="auto"/>
          <w:kern w:val="2"/>
          <w:sz w:val="32"/>
          <w:szCs w:val="32"/>
          <w:highlight w:val="none"/>
          <w:lang w:val="en-US" w:eastAsia="zh-CN" w:bidi="ar-SA"/>
        </w:rPr>
        <w:t>44.57万元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22.28万元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0.73万元</w:t>
      </w:r>
      <w:r>
        <w:rPr>
          <w:rFonts w:hint="eastAsia" w:ascii="Times New Roman" w:hAnsi="Times New Roman" w:eastAsia="仿宋_GB2312" w:cs="仿宋_GB2312"/>
          <w:color w:val="auto"/>
          <w:kern w:val="2"/>
          <w:sz w:val="32"/>
          <w:szCs w:val="32"/>
          <w:highlight w:val="none"/>
          <w:lang w:val="en-US" w:eastAsia="zh-CN" w:bidi="ar-SA"/>
        </w:rPr>
        <w:t>、生活补助</w:t>
      </w:r>
      <w:r>
        <w:rPr>
          <w:rFonts w:hint="eastAsia" w:eastAsia="仿宋_GB2312" w:cs="仿宋_GB2312"/>
          <w:color w:val="auto"/>
          <w:kern w:val="2"/>
          <w:sz w:val="32"/>
          <w:szCs w:val="32"/>
          <w:highlight w:val="none"/>
          <w:lang w:val="en-US" w:eastAsia="zh-CN" w:bidi="ar-SA"/>
        </w:rPr>
        <w:t>53.56万元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奖励金0.04万元、</w:t>
      </w:r>
      <w:r>
        <w:rPr>
          <w:rFonts w:hint="eastAsia" w:ascii="Times New Roman" w:hAnsi="Times New Roman" w:eastAsia="仿宋_GB2312" w:cs="仿宋_GB2312"/>
          <w:color w:val="auto"/>
          <w:kern w:val="2"/>
          <w:sz w:val="32"/>
          <w:szCs w:val="32"/>
          <w:highlight w:val="none"/>
          <w:lang w:val="en-US" w:eastAsia="zh-CN" w:bidi="ar-SA"/>
        </w:rPr>
        <w:t>医疗费补助</w:t>
      </w:r>
      <w:r>
        <w:rPr>
          <w:rFonts w:hint="eastAsia" w:eastAsia="仿宋_GB2312" w:cs="仿宋_GB2312"/>
          <w:color w:val="auto"/>
          <w:kern w:val="2"/>
          <w:sz w:val="32"/>
          <w:szCs w:val="32"/>
          <w:highlight w:val="none"/>
          <w:lang w:val="en-US" w:eastAsia="zh-CN" w:bidi="ar-SA"/>
        </w:rPr>
        <w:t>29.32万元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39.48万元。</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46.66</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6.09万元</w:t>
      </w:r>
      <w:r>
        <w:rPr>
          <w:rFonts w:hint="eastAsia" w:ascii="Times New Roman" w:hAnsi="Times New Roman" w:eastAsia="仿宋_GB2312" w:cs="仿宋_GB2312"/>
          <w:color w:val="auto"/>
          <w:kern w:val="2"/>
          <w:sz w:val="32"/>
          <w:szCs w:val="32"/>
          <w:highlight w:val="none"/>
          <w:lang w:val="en-US" w:eastAsia="zh-CN" w:bidi="ar-SA"/>
        </w:rPr>
        <w:t>、水费</w:t>
      </w:r>
      <w:r>
        <w:rPr>
          <w:rFonts w:hint="eastAsia" w:eastAsia="仿宋_GB2312" w:cs="仿宋_GB2312"/>
          <w:color w:val="auto"/>
          <w:kern w:val="2"/>
          <w:sz w:val="32"/>
          <w:szCs w:val="32"/>
          <w:highlight w:val="none"/>
          <w:lang w:val="en-US" w:eastAsia="zh-CN" w:bidi="ar-SA"/>
        </w:rPr>
        <w:t>0.38万元</w:t>
      </w:r>
      <w:r>
        <w:rPr>
          <w:rFonts w:hint="eastAsia" w:ascii="Times New Roman" w:hAnsi="Times New Roman" w:eastAsia="仿宋_GB2312" w:cs="仿宋_GB2312"/>
          <w:color w:val="auto"/>
          <w:kern w:val="2"/>
          <w:sz w:val="32"/>
          <w:szCs w:val="32"/>
          <w:highlight w:val="none"/>
          <w:lang w:val="en-US" w:eastAsia="zh-CN" w:bidi="ar-SA"/>
        </w:rPr>
        <w:t>、电费</w:t>
      </w:r>
      <w:r>
        <w:rPr>
          <w:rFonts w:hint="eastAsia" w:eastAsia="仿宋_GB2312" w:cs="仿宋_GB2312"/>
          <w:color w:val="auto"/>
          <w:kern w:val="2"/>
          <w:sz w:val="32"/>
          <w:szCs w:val="32"/>
          <w:highlight w:val="none"/>
          <w:lang w:val="en-US" w:eastAsia="zh-CN" w:bidi="ar-SA"/>
        </w:rPr>
        <w:t>2万元</w:t>
      </w:r>
      <w:r>
        <w:rPr>
          <w:rFonts w:hint="eastAsia" w:ascii="Times New Roman" w:hAnsi="Times New Roman" w:eastAsia="仿宋_GB2312" w:cs="仿宋_GB2312"/>
          <w:color w:val="auto"/>
          <w:kern w:val="2"/>
          <w:sz w:val="32"/>
          <w:szCs w:val="32"/>
          <w:highlight w:val="none"/>
          <w:lang w:val="en-US" w:eastAsia="zh-CN" w:bidi="ar-SA"/>
        </w:rPr>
        <w:t>、邮电费</w:t>
      </w:r>
      <w:r>
        <w:rPr>
          <w:rFonts w:hint="eastAsia" w:eastAsia="仿宋_GB2312" w:cs="仿宋_GB2312"/>
          <w:color w:val="auto"/>
          <w:kern w:val="2"/>
          <w:sz w:val="32"/>
          <w:szCs w:val="32"/>
          <w:highlight w:val="none"/>
          <w:lang w:val="en-US" w:eastAsia="zh-CN" w:bidi="ar-SA"/>
        </w:rPr>
        <w:t>0.41万元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6.22万元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维修（护）费0.29万元、</w:t>
      </w:r>
      <w:r>
        <w:rPr>
          <w:rFonts w:hint="eastAsia" w:ascii="Times New Roman" w:hAnsi="Times New Roman" w:eastAsia="仿宋_GB2312" w:cs="仿宋_GB2312"/>
          <w:color w:val="auto"/>
          <w:kern w:val="2"/>
          <w:sz w:val="32"/>
          <w:szCs w:val="32"/>
          <w:highlight w:val="none"/>
          <w:lang w:val="en-US" w:eastAsia="zh-CN" w:bidi="ar-SA"/>
        </w:rPr>
        <w:t>租赁费</w:t>
      </w:r>
      <w:r>
        <w:rPr>
          <w:rFonts w:hint="eastAsia" w:eastAsia="仿宋_GB2312" w:cs="仿宋_GB2312"/>
          <w:color w:val="auto"/>
          <w:kern w:val="2"/>
          <w:sz w:val="32"/>
          <w:szCs w:val="32"/>
          <w:highlight w:val="none"/>
          <w:lang w:val="en-US" w:eastAsia="zh-CN" w:bidi="ar-SA"/>
        </w:rPr>
        <w:t>0.18万元</w:t>
      </w:r>
      <w:r>
        <w:rPr>
          <w:rFonts w:hint="eastAsia" w:ascii="Times New Roman" w:hAnsi="Times New Roman" w:eastAsia="仿宋_GB2312" w:cs="仿宋_GB2312"/>
          <w:color w:val="auto"/>
          <w:kern w:val="2"/>
          <w:sz w:val="32"/>
          <w:szCs w:val="32"/>
          <w:highlight w:val="none"/>
          <w:lang w:val="en-US" w:eastAsia="zh-CN" w:bidi="ar-SA"/>
        </w:rPr>
        <w:t>、培训费</w:t>
      </w:r>
      <w:r>
        <w:rPr>
          <w:rFonts w:hint="eastAsia" w:eastAsia="仿宋_GB2312" w:cs="仿宋_GB2312"/>
          <w:color w:val="auto"/>
          <w:kern w:val="2"/>
          <w:sz w:val="32"/>
          <w:szCs w:val="32"/>
          <w:highlight w:val="none"/>
          <w:lang w:val="en-US" w:eastAsia="zh-CN" w:bidi="ar-SA"/>
        </w:rPr>
        <w:t>0.61万元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专用材料费0.63万元、</w:t>
      </w:r>
      <w:r>
        <w:rPr>
          <w:rFonts w:hint="eastAsia" w:ascii="Times New Roman" w:hAnsi="Times New Roman" w:eastAsia="仿宋_GB2312" w:cs="仿宋_GB2312"/>
          <w:color w:val="auto"/>
          <w:kern w:val="2"/>
          <w:sz w:val="32"/>
          <w:szCs w:val="32"/>
          <w:highlight w:val="none"/>
          <w:lang w:val="en-US" w:eastAsia="zh-CN" w:bidi="ar-SA"/>
        </w:rPr>
        <w:t>委托业务费</w:t>
      </w:r>
      <w:r>
        <w:rPr>
          <w:rFonts w:hint="eastAsia" w:eastAsia="仿宋_GB2312" w:cs="仿宋_GB2312"/>
          <w:color w:val="auto"/>
          <w:kern w:val="2"/>
          <w:sz w:val="32"/>
          <w:szCs w:val="32"/>
          <w:highlight w:val="none"/>
          <w:lang w:val="en-US" w:eastAsia="zh-CN" w:bidi="ar-SA"/>
        </w:rPr>
        <w:t>4.36万元</w:t>
      </w:r>
      <w:r>
        <w:rPr>
          <w:rFonts w:hint="eastAsia" w:ascii="Times New Roman" w:hAnsi="Times New Roman" w:eastAsia="仿宋_GB2312" w:cs="仿宋_GB2312"/>
          <w:color w:val="auto"/>
          <w:kern w:val="2"/>
          <w:sz w:val="32"/>
          <w:szCs w:val="32"/>
          <w:highlight w:val="none"/>
          <w:lang w:val="en-US" w:eastAsia="zh-CN" w:bidi="ar-SA"/>
        </w:rPr>
        <w:t>、工会经费</w:t>
      </w:r>
      <w:r>
        <w:rPr>
          <w:rFonts w:hint="eastAsia" w:eastAsia="仿宋_GB2312" w:cs="仿宋_GB2312"/>
          <w:color w:val="auto"/>
          <w:kern w:val="2"/>
          <w:sz w:val="32"/>
          <w:szCs w:val="32"/>
          <w:highlight w:val="none"/>
          <w:lang w:val="en-US" w:eastAsia="zh-CN" w:bidi="ar-SA"/>
        </w:rPr>
        <w:t>5.21万元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福利费6.26万元、</w:t>
      </w:r>
      <w:r>
        <w:rPr>
          <w:rFonts w:hint="eastAsia" w:ascii="Times New Roman" w:hAnsi="Times New Roman" w:eastAsia="仿宋_GB2312" w:cs="仿宋_GB2312"/>
          <w:color w:val="auto"/>
          <w:kern w:val="2"/>
          <w:sz w:val="32"/>
          <w:szCs w:val="32"/>
          <w:highlight w:val="none"/>
          <w:lang w:val="en-US" w:eastAsia="zh-CN" w:bidi="ar-SA"/>
        </w:rPr>
        <w:t>公务用车运行维护费</w:t>
      </w:r>
      <w:r>
        <w:rPr>
          <w:rFonts w:hint="eastAsia" w:eastAsia="仿宋_GB2312" w:cs="仿宋_GB2312"/>
          <w:color w:val="auto"/>
          <w:kern w:val="2"/>
          <w:sz w:val="32"/>
          <w:szCs w:val="32"/>
          <w:highlight w:val="none"/>
          <w:lang w:val="en-US" w:eastAsia="zh-CN" w:bidi="ar-SA"/>
        </w:rPr>
        <w:t>8.46万元</w:t>
      </w:r>
      <w:r>
        <w:rPr>
          <w:rFonts w:hint="eastAsia" w:ascii="Times New Roman" w:hAnsi="Times New Roman" w:eastAsia="仿宋_GB2312" w:cs="仿宋_GB2312"/>
          <w:color w:val="auto"/>
          <w:kern w:val="2"/>
          <w:sz w:val="32"/>
          <w:szCs w:val="32"/>
          <w:highlight w:val="none"/>
          <w:lang w:val="en-US" w:eastAsia="zh-CN" w:bidi="ar-SA"/>
        </w:rPr>
        <w:t>、其他交通费</w:t>
      </w:r>
      <w:r>
        <w:rPr>
          <w:rFonts w:hint="eastAsia" w:eastAsia="仿宋_GB2312" w:cs="仿宋_GB2312"/>
          <w:color w:val="auto"/>
          <w:kern w:val="2"/>
          <w:sz w:val="32"/>
          <w:szCs w:val="32"/>
          <w:highlight w:val="none"/>
          <w:lang w:val="en-US" w:eastAsia="zh-CN" w:bidi="ar-SA"/>
        </w:rPr>
        <w:t>1.46万元</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eastAsia="仿宋_GB2312" w:cs="仿宋_GB2312"/>
          <w:color w:val="auto"/>
          <w:kern w:val="2"/>
          <w:sz w:val="32"/>
          <w:szCs w:val="32"/>
          <w:highlight w:val="none"/>
          <w:lang w:val="en-US" w:eastAsia="zh-CN" w:bidi="ar-SA"/>
        </w:rPr>
        <w:t>4.11万元。</w:t>
      </w:r>
    </w:p>
    <w:p>
      <w:pPr>
        <w:spacing w:line="600" w:lineRule="exact"/>
        <w:ind w:firstLine="640"/>
        <w:outlineLvl w:val="1"/>
        <w:rPr>
          <w:rStyle w:val="31"/>
          <w:rFonts w:ascii="Times New Roman" w:hAnsi="Times New Roman" w:eastAsia="黑体"/>
          <w:b w:val="0"/>
          <w:color w:val="auto"/>
          <w:highlight w:val="none"/>
        </w:rPr>
      </w:pPr>
      <w:bookmarkStart w:id="31" w:name="_Toc15377215"/>
      <w:bookmarkStart w:id="32"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1"/>
      <w:bookmarkEnd w:id="32"/>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3"/>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33.28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7.02万元</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26.26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78.9</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仿宋"/>
          <w:kern w:val="0"/>
          <w:sz w:val="32"/>
          <w:szCs w:val="32"/>
          <w:shd w:val="clear" w:color="auto" w:fill="FFFFFF"/>
        </w:rPr>
        <w:t>完成</w:t>
      </w:r>
      <w:r>
        <w:rPr>
          <w:rFonts w:hint="eastAsia" w:ascii="仿宋" w:hAnsi="仿宋" w:eastAsia="仿宋" w:cs="仿宋"/>
          <w:kern w:val="0"/>
          <w:sz w:val="32"/>
          <w:szCs w:val="32"/>
          <w:shd w:val="clear" w:color="auto" w:fill="FFFFFF"/>
          <w:lang w:val="en-US" w:eastAsia="zh-CN"/>
        </w:rPr>
        <w:t>预算数的</w:t>
      </w:r>
      <w:r>
        <w:rPr>
          <w:rFonts w:hint="eastAsia" w:ascii="仿宋" w:hAnsi="仿宋" w:eastAsia="仿宋" w:cs="仿宋"/>
          <w:kern w:val="0"/>
          <w:sz w:val="32"/>
          <w:szCs w:val="32"/>
          <w:shd w:val="clear" w:color="auto" w:fill="FFFFFF"/>
        </w:rPr>
        <w:t>100.00%。</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33.28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319270" cy="2727960"/>
            <wp:effectExtent l="4445" t="4445" r="19685" b="1079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numPr>
          <w:ilvl w:val="0"/>
          <w:numId w:val="2"/>
        </w:numPr>
        <w:spacing w:line="600" w:lineRule="exact"/>
        <w:ind w:left="-178"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r>
        <w:rPr>
          <w:rFonts w:hint="eastAsia" w:eastAsia="仿宋_GB2312" w:cs="仿宋_GB2312"/>
          <w:color w:val="auto"/>
          <w:kern w:val="2"/>
          <w:sz w:val="32"/>
          <w:szCs w:val="32"/>
          <w:highlight w:val="none"/>
          <w:lang w:val="en-US" w:eastAsia="zh-CN" w:bidi="ar-SA"/>
        </w:rPr>
        <w:t>与上年度持平。</w:t>
      </w:r>
    </w:p>
    <w:p>
      <w:pPr>
        <w:numPr>
          <w:ilvl w:val="0"/>
          <w:numId w:val="2"/>
        </w:numPr>
        <w:spacing w:line="600" w:lineRule="exact"/>
        <w:ind w:left="-178"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33.28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26.26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78.9</w:t>
      </w:r>
      <w:r>
        <w:rPr>
          <w:rFonts w:hint="eastAsia" w:ascii="Times New Roman" w:hAnsi="Times New Roman" w:eastAsia="仿宋_GB2312" w:cs="仿宋_GB2312"/>
          <w:color w:val="auto"/>
          <w:kern w:val="2"/>
          <w:sz w:val="32"/>
          <w:szCs w:val="32"/>
          <w:highlight w:val="none"/>
          <w:lang w:val="en-US" w:eastAsia="zh-CN" w:bidi="ar-SA"/>
        </w:rPr>
        <w:t>%。主要原因是</w:t>
      </w:r>
      <w:r>
        <w:rPr>
          <w:rStyle w:val="38"/>
          <w:rFonts w:hint="eastAsia" w:ascii="仿宋" w:hAnsi="仿宋" w:eastAsia="仿宋" w:cs="仿宋"/>
          <w:b w:val="0"/>
          <w:bCs/>
          <w:sz w:val="32"/>
          <w:szCs w:val="32"/>
          <w:shd w:val="clear" w:color="auto" w:fill="FFFFFF"/>
          <w:lang w:val="en-US" w:eastAsia="zh-CN"/>
        </w:rPr>
        <w:t>新增公务用车购置费24.82万元及公务用车运行成本增加</w:t>
      </w:r>
      <w:r>
        <w:rPr>
          <w:rStyle w:val="38"/>
          <w:rFonts w:hint="eastAsia" w:ascii="仿宋" w:hAnsi="仿宋" w:eastAsia="仿宋" w:cs="仿宋"/>
          <w:b w:val="0"/>
          <w:bCs/>
          <w:sz w:val="32"/>
          <w:szCs w:val="32"/>
          <w:shd w:val="clear" w:color="auto" w:fill="FFFFFF"/>
        </w:rPr>
        <w:t>。</w:t>
      </w:r>
    </w:p>
    <w:p>
      <w:pPr>
        <w:spacing w:line="600" w:lineRule="exact"/>
        <w:ind w:firstLine="640"/>
        <w:rPr>
          <w:rFonts w:hint="eastAsia" w:ascii="仿宋" w:hAnsi="仿宋" w:eastAsia="仿宋" w:cs="仿宋"/>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24.82</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eastAsia="仿宋_GB2312" w:cs="仿宋_GB2312"/>
          <w:color w:val="auto"/>
          <w:kern w:val="2"/>
          <w:sz w:val="32"/>
          <w:szCs w:val="32"/>
          <w:highlight w:val="none"/>
          <w:lang w:val="en-US" w:eastAsia="zh-CN" w:bidi="ar-SA"/>
        </w:rPr>
        <w:t>商务车1</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24.82</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s="仿宋"/>
          <w:color w:val="000000"/>
          <w:sz w:val="32"/>
          <w:szCs w:val="32"/>
        </w:rPr>
        <w:t>组织</w:t>
      </w:r>
      <w:r>
        <w:rPr>
          <w:rFonts w:hint="eastAsia" w:ascii="仿宋" w:hAnsi="仿宋" w:eastAsia="仿宋" w:cs="仿宋"/>
          <w:color w:val="000000"/>
          <w:sz w:val="32"/>
          <w:szCs w:val="32"/>
          <w:lang w:val="en-US" w:eastAsia="zh-CN"/>
        </w:rPr>
        <w:t>开</w:t>
      </w:r>
      <w:r>
        <w:rPr>
          <w:rFonts w:hint="eastAsia" w:ascii="仿宋" w:hAnsi="仿宋" w:eastAsia="仿宋" w:cs="仿宋"/>
          <w:color w:val="000000"/>
          <w:sz w:val="32"/>
          <w:szCs w:val="32"/>
        </w:rPr>
        <w:t>展离退休老干部集中学习﹑离退休干部慰问生病住院接</w:t>
      </w:r>
      <w:r>
        <w:rPr>
          <w:rFonts w:hint="eastAsia" w:ascii="仿宋" w:hAnsi="仿宋" w:eastAsia="仿宋" w:cs="仿宋"/>
          <w:color w:val="000000"/>
          <w:sz w:val="32"/>
          <w:szCs w:val="32"/>
          <w:lang w:val="en-US" w:eastAsia="zh-CN"/>
        </w:rPr>
        <w:t>送</w:t>
      </w:r>
      <w:r>
        <w:rPr>
          <w:rFonts w:hint="eastAsia" w:ascii="仿宋" w:hAnsi="仿宋" w:eastAsia="仿宋" w:cs="仿宋"/>
          <w:color w:val="000000"/>
          <w:sz w:val="32"/>
          <w:szCs w:val="32"/>
        </w:rPr>
        <w:t>以及单位日常开展工作等所需的公务用车燃料费 、维修费、过路过桥费 、保险费等支出。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eastAsia="仿宋_GB2312" w:cs="仿宋_GB2312"/>
          <w:color w:val="auto"/>
          <w:kern w:val="2"/>
          <w:sz w:val="32"/>
          <w:szCs w:val="32"/>
          <w:highlight w:val="none"/>
          <w:lang w:val="en-US" w:eastAsia="zh-CN" w:bidi="ar-SA"/>
        </w:rPr>
        <w:t>商务车2辆。</w:t>
      </w: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8.46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s="仿宋"/>
          <w:color w:val="000000"/>
          <w:sz w:val="32"/>
          <w:szCs w:val="32"/>
        </w:rPr>
        <w:t>组织</w:t>
      </w:r>
      <w:r>
        <w:rPr>
          <w:rFonts w:hint="eastAsia" w:ascii="仿宋" w:hAnsi="仿宋" w:eastAsia="仿宋" w:cs="仿宋"/>
          <w:color w:val="000000"/>
          <w:sz w:val="32"/>
          <w:szCs w:val="32"/>
          <w:lang w:val="en-US" w:eastAsia="zh-CN"/>
        </w:rPr>
        <w:t>开</w:t>
      </w:r>
      <w:r>
        <w:rPr>
          <w:rFonts w:hint="eastAsia" w:ascii="仿宋" w:hAnsi="仿宋" w:eastAsia="仿宋" w:cs="仿宋"/>
          <w:color w:val="000000"/>
          <w:sz w:val="32"/>
          <w:szCs w:val="32"/>
        </w:rPr>
        <w:t>展离退休老干部集中学习﹑离退休干部慰问生病住院接</w:t>
      </w:r>
      <w:r>
        <w:rPr>
          <w:rFonts w:hint="eastAsia" w:ascii="仿宋" w:hAnsi="仿宋" w:eastAsia="仿宋" w:cs="仿宋"/>
          <w:color w:val="000000"/>
          <w:sz w:val="32"/>
          <w:szCs w:val="32"/>
          <w:lang w:val="en-US" w:eastAsia="zh-CN"/>
        </w:rPr>
        <w:t>送</w:t>
      </w:r>
      <w:r>
        <w:rPr>
          <w:rFonts w:hint="eastAsia" w:ascii="仿宋" w:hAnsi="仿宋" w:eastAsia="仿宋" w:cs="仿宋"/>
          <w:color w:val="000000"/>
          <w:sz w:val="32"/>
          <w:szCs w:val="32"/>
        </w:rPr>
        <w:t>以及单位日常开展工作等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pStyle w:val="16"/>
        <w:widowControl/>
        <w:spacing w:before="100" w:after="100"/>
        <w:ind w:right="75"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sz w:val="32"/>
          <w:szCs w:val="32"/>
        </w:rPr>
        <w:t>公务接待费支出决算</w:t>
      </w:r>
      <w:r>
        <w:rPr>
          <w:rFonts w:hint="eastAsia" w:ascii="仿宋_GB2312" w:eastAsia="仿宋_GB2312"/>
          <w:sz w:val="32"/>
          <w:szCs w:val="32"/>
          <w:lang w:val="en-US" w:eastAsia="zh-CN"/>
        </w:rPr>
        <w:t>与</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年度</w:t>
      </w:r>
      <w:r>
        <w:rPr>
          <w:rFonts w:hint="eastAsia" w:ascii="仿宋_GB2312" w:eastAsia="仿宋_GB2312"/>
          <w:sz w:val="32"/>
          <w:szCs w:val="32"/>
          <w:lang w:val="en-US" w:eastAsia="zh-CN"/>
        </w:rPr>
        <w:t>持平，无公务接待费产生。</w:t>
      </w:r>
      <w:bookmarkStart w:id="35" w:name="_Toc15377218"/>
      <w:bookmarkStart w:id="36" w:name="_Toc15396610"/>
    </w:p>
    <w:p>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5"/>
      <w:bookmarkEnd w:id="3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37" w:name="_Toc15396611"/>
      <w:bookmarkStart w:id="38"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37"/>
      <w:bookmarkEnd w:id="38"/>
    </w:p>
    <w:p>
      <w:pPr>
        <w:spacing w:line="600" w:lineRule="exact"/>
        <w:ind w:firstLine="640"/>
        <w:rPr>
          <w:rFonts w:eastAsia="仿宋_GB2312" w:cs="仿宋_GB2312"/>
          <w:sz w:val="32"/>
          <w:szCs w:val="32"/>
        </w:rPr>
      </w:pPr>
      <w:bookmarkStart w:id="39" w:name="_Toc15377221"/>
      <w:bookmarkStart w:id="40" w:name="_Toc15396612"/>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年度国有资本经营预算财政拨款支出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39"/>
      <w:bookmarkEnd w:id="40"/>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2"/>
      <w:r>
        <w:rPr>
          <w:rFonts w:hint="eastAsia" w:ascii="Times New Roman" w:hAnsi="Times New Roman" w:eastAsia="楷体_GB2312" w:cs="楷体_GB2312"/>
          <w:b/>
          <w:color w:val="auto"/>
          <w:sz w:val="32"/>
          <w:szCs w:val="32"/>
          <w:highlight w:val="none"/>
        </w:rPr>
        <w:t>（一）机关运行经费支出情况</w:t>
      </w:r>
      <w:bookmarkEnd w:id="41"/>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阿坝藏族羌族自治州都江堰老干部休养所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46.66</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49.16万元</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压缩预算、厉行节约。</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3"/>
      <w:r>
        <w:rPr>
          <w:rFonts w:hint="eastAsia" w:ascii="Times New Roman" w:hAnsi="Times New Roman" w:eastAsia="楷体_GB2312" w:cs="楷体_GB2312"/>
          <w:b/>
          <w:color w:val="auto"/>
          <w:sz w:val="32"/>
          <w:szCs w:val="32"/>
          <w:highlight w:val="none"/>
        </w:rPr>
        <w:t>（二）政府采购支出情况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阿坝藏族羌族自治州都江堰老干部休养所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298.86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1.2</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297.08</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0.59</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办公设备（复印机）采购、1号楼主楼装修及公车保养维修等。</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lang w:val="en-US" w:eastAsia="zh-CN"/>
        </w:rPr>
        <w:t>298.86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298.86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4"/>
      <w:r>
        <w:rPr>
          <w:rFonts w:hint="eastAsia" w:ascii="Times New Roman" w:hAnsi="Times New Roman" w:eastAsia="楷体_GB2312" w:cs="楷体_GB2312"/>
          <w:b/>
          <w:color w:val="auto"/>
          <w:sz w:val="32"/>
          <w:szCs w:val="32"/>
          <w:highlight w:val="none"/>
        </w:rPr>
        <w:t>（三）国有资产占有使用情况</w:t>
      </w:r>
      <w:bookmarkEnd w:id="4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阿坝藏族羌族自治州都江堰老干部休养所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辆，其中：离退休干部服务用车</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rPr>
        <w:t>根据预算绩效管理要求，</w:t>
      </w:r>
      <w:r>
        <w:rPr>
          <w:rFonts w:ascii="仿宋_GB2312" w:eastAsia="仿宋_GB2312"/>
          <w:b w:val="0"/>
          <w:bCs w:val="0"/>
          <w:sz w:val="32"/>
          <w:szCs w:val="32"/>
        </w:rPr>
        <w:t>阿坝州都江堰老干部休养所</w:t>
      </w:r>
      <w:r>
        <w:rPr>
          <w:rFonts w:hint="eastAsia" w:eastAsia="仿宋_GB2312" w:cs="仿宋_GB2312"/>
          <w:sz w:val="32"/>
          <w:szCs w:val="32"/>
        </w:rPr>
        <w:t>在202</w:t>
      </w:r>
      <w:r>
        <w:rPr>
          <w:rFonts w:hint="eastAsia" w:eastAsia="仿宋_GB2312" w:cs="仿宋_GB2312"/>
          <w:sz w:val="32"/>
          <w:szCs w:val="32"/>
          <w:lang w:val="en-US" w:eastAsia="zh-CN"/>
        </w:rPr>
        <w:t>5</w:t>
      </w:r>
      <w:r>
        <w:rPr>
          <w:rFonts w:hint="eastAsia" w:eastAsia="仿宋_GB2312" w:cs="仿宋_GB2312"/>
          <w:sz w:val="32"/>
          <w:szCs w:val="32"/>
        </w:rPr>
        <w:t>年度预算编制阶段，组织对</w:t>
      </w:r>
      <w:r>
        <w:rPr>
          <w:rFonts w:hint="eastAsia" w:eastAsia="仿宋_GB2312" w:cs="仿宋_GB2312"/>
          <w:sz w:val="32"/>
          <w:szCs w:val="32"/>
          <w:lang w:val="en-US" w:eastAsia="zh-CN"/>
        </w:rPr>
        <w:t>活动中心运行费</w:t>
      </w:r>
      <w:r>
        <w:rPr>
          <w:rFonts w:hint="eastAsia" w:eastAsia="仿宋_GB2312" w:cs="仿宋_GB2312"/>
          <w:sz w:val="32"/>
          <w:szCs w:val="32"/>
        </w:rPr>
        <w:t>（项目名称）等</w:t>
      </w:r>
      <w:r>
        <w:rPr>
          <w:rFonts w:hint="eastAsia" w:eastAsia="仿宋_GB2312" w:cs="仿宋_GB2312"/>
          <w:sz w:val="32"/>
          <w:szCs w:val="32"/>
          <w:lang w:val="en-US" w:eastAsia="zh-CN"/>
        </w:rPr>
        <w:t>8</w:t>
      </w:r>
      <w:r>
        <w:rPr>
          <w:rFonts w:hint="eastAsia" w:eastAsia="仿宋_GB2312" w:cs="仿宋_GB2312"/>
          <w:sz w:val="32"/>
          <w:szCs w:val="32"/>
        </w:rPr>
        <w:t>个项目编制了绩效目标，预算执行过程中，选取个项目开展绩效监控。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4" w:name="_Toc15377225"/>
      <w:bookmarkStart w:id="45"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4"/>
      <w:bookmarkEnd w:id="45"/>
    </w:p>
    <w:p>
      <w:pPr>
        <w:spacing w:line="600" w:lineRule="exact"/>
        <w:jc w:val="left"/>
        <w:rPr>
          <w:rFonts w:ascii="Times New Roman" w:hAnsi="Times New Roman"/>
          <w:b/>
          <w:color w:val="auto"/>
          <w:sz w:val="44"/>
          <w:szCs w:val="44"/>
          <w:highlight w:val="none"/>
        </w:rPr>
      </w:pPr>
    </w:p>
    <w:p>
      <w:pPr>
        <w:pStyle w:val="28"/>
        <w:spacing w:line="560" w:lineRule="exact"/>
        <w:ind w:firstLine="640" w:firstLineChars="200"/>
        <w:rPr>
          <w:rFonts w:hAnsi="仿宋"/>
          <w:sz w:val="32"/>
          <w:szCs w:val="32"/>
        </w:rPr>
      </w:pPr>
      <w:bookmarkStart w:id="46" w:name="_Toc15396614"/>
      <w:bookmarkStart w:id="47" w:name="_Toc15377226"/>
      <w:r>
        <w:rPr>
          <w:rFonts w:hAnsi="仿宋"/>
          <w:sz w:val="32"/>
          <w:szCs w:val="32"/>
        </w:rPr>
        <w:t>1.财政拨款收入：指单位从同级财政部门取得的财政预算资金。</w:t>
      </w:r>
    </w:p>
    <w:p>
      <w:pPr>
        <w:pStyle w:val="28"/>
        <w:spacing w:line="560" w:lineRule="exact"/>
        <w:ind w:firstLine="640" w:firstLineChars="200"/>
        <w:rPr>
          <w:rFonts w:hAnsi="仿宋"/>
          <w:sz w:val="32"/>
          <w:szCs w:val="32"/>
        </w:rPr>
      </w:pPr>
      <w:r>
        <w:rPr>
          <w:rFonts w:hAnsi="仿宋"/>
          <w:sz w:val="32"/>
          <w:szCs w:val="32"/>
        </w:rPr>
        <w:t xml:space="preserve">2.其他收入：指单位取得的除上述收入以外的各项收入。主要是银行利息收入、上级部门补助专项工作经费收入、收取管理费收入等。 </w:t>
      </w:r>
    </w:p>
    <w:p>
      <w:pPr>
        <w:pStyle w:val="28"/>
        <w:spacing w:line="560" w:lineRule="exact"/>
        <w:ind w:firstLine="640" w:firstLineChars="200"/>
        <w:rPr>
          <w:rFonts w:hAnsi="仿宋"/>
          <w:sz w:val="32"/>
          <w:szCs w:val="32"/>
        </w:rPr>
      </w:pPr>
      <w:r>
        <w:rPr>
          <w:rFonts w:hAnsi="仿宋"/>
          <w:sz w:val="32"/>
          <w:szCs w:val="32"/>
        </w:rPr>
        <w:t xml:space="preserve">3.年初结转和结余：指以前年度尚未完成、结转到本年按有关规定继续使用的资金。 </w:t>
      </w:r>
    </w:p>
    <w:p>
      <w:pPr>
        <w:pStyle w:val="28"/>
        <w:spacing w:line="560" w:lineRule="exact"/>
        <w:ind w:firstLine="640" w:firstLineChars="200"/>
        <w:rPr>
          <w:rFonts w:hAnsi="仿宋"/>
          <w:sz w:val="32"/>
          <w:szCs w:val="32"/>
        </w:rPr>
      </w:pPr>
      <w:r>
        <w:rPr>
          <w:rFonts w:hAnsi="仿宋"/>
          <w:sz w:val="32"/>
          <w:szCs w:val="32"/>
        </w:rPr>
        <w:t>4.年末结转和结余：指单位按有关规定结转到下年或以后年度继续使用的资金。</w:t>
      </w:r>
    </w:p>
    <w:p>
      <w:pPr>
        <w:spacing w:line="560" w:lineRule="exact"/>
        <w:ind w:firstLine="640" w:firstLineChars="200"/>
        <w:rPr>
          <w:rFonts w:ascii="仿宋" w:hAnsi="仿宋" w:eastAsia="仿宋"/>
          <w:color w:val="000000"/>
          <w:sz w:val="32"/>
          <w:szCs w:val="32"/>
        </w:rPr>
      </w:pPr>
      <w:r>
        <w:rPr>
          <w:rFonts w:ascii="仿宋" w:hAnsi="仿宋" w:eastAsia="仿宋"/>
          <w:color w:val="000000"/>
          <w:sz w:val="32"/>
          <w:szCs w:val="32"/>
        </w:rPr>
        <w:t>5.一般公共服务（类）其他共产党事务（款）行政运行（项）：指反映行政单位（包括实行公务员管理的事业单位）的基本支出。</w:t>
      </w:r>
    </w:p>
    <w:p>
      <w:pPr>
        <w:spacing w:line="560" w:lineRule="exact"/>
        <w:ind w:firstLine="640" w:firstLineChars="200"/>
        <w:rPr>
          <w:rFonts w:ascii="仿宋" w:hAnsi="仿宋" w:eastAsia="仿宋"/>
          <w:color w:val="000000"/>
          <w:sz w:val="32"/>
          <w:szCs w:val="32"/>
        </w:rPr>
      </w:pPr>
      <w:r>
        <w:rPr>
          <w:rFonts w:ascii="仿宋" w:hAnsi="仿宋" w:eastAsia="仿宋"/>
          <w:color w:val="000000"/>
          <w:sz w:val="32"/>
          <w:szCs w:val="32"/>
        </w:rPr>
        <w:t>6.社会保障和就业（类）行政事业单位离退休（款）机关事业单位基本养老保险缴费支出（项）：指反映机关事业单位实施养老保险制度由单位缴纳的基本养老保险费支出。</w:t>
      </w:r>
    </w:p>
    <w:p>
      <w:pPr>
        <w:spacing w:line="560" w:lineRule="exact"/>
        <w:ind w:firstLine="640" w:firstLineChars="200"/>
        <w:rPr>
          <w:rFonts w:ascii="仿宋" w:hAnsi="仿宋" w:eastAsia="仿宋"/>
          <w:color w:val="000000"/>
          <w:sz w:val="32"/>
          <w:szCs w:val="32"/>
        </w:rPr>
      </w:pPr>
      <w:r>
        <w:rPr>
          <w:rFonts w:ascii="仿宋" w:hAnsi="仿宋" w:eastAsia="仿宋"/>
          <w:color w:val="000000"/>
          <w:sz w:val="32"/>
          <w:szCs w:val="32"/>
        </w:rPr>
        <w:t>7.社会保障和就业（类）行政事业单位离退休（款）机关事业单位职业年金缴费支出（项）：指反映机关事业单位实施养老保险制度由单位实际缴纳的职业年金支出。</w:t>
      </w:r>
    </w:p>
    <w:p>
      <w:pPr>
        <w:spacing w:line="560" w:lineRule="exact"/>
        <w:ind w:firstLine="640" w:firstLineChars="200"/>
        <w:rPr>
          <w:rFonts w:ascii="仿宋" w:hAnsi="仿宋" w:eastAsia="仿宋"/>
          <w:color w:val="000000"/>
          <w:sz w:val="32"/>
          <w:szCs w:val="32"/>
        </w:rPr>
      </w:pPr>
      <w:r>
        <w:rPr>
          <w:rFonts w:ascii="仿宋" w:hAnsi="仿宋" w:eastAsia="仿宋"/>
          <w:color w:val="000000"/>
          <w:sz w:val="32"/>
          <w:szCs w:val="32"/>
        </w:rPr>
        <w:t>8.</w:t>
      </w:r>
      <w:r>
        <w:rPr>
          <w:rStyle w:val="19"/>
          <w:rFonts w:hint="eastAsia" w:ascii="仿宋" w:hAnsi="仿宋" w:eastAsia="仿宋" w:cs="宋体"/>
          <w:color w:val="000000"/>
          <w:sz w:val="32"/>
          <w:szCs w:val="32"/>
        </w:rPr>
        <w:t>卫</w:t>
      </w:r>
      <w:r>
        <w:rPr>
          <w:rStyle w:val="19"/>
          <w:rFonts w:ascii="仿宋" w:hAnsi="仿宋" w:eastAsia="仿宋" w:cs="??_GB2312"/>
          <w:color w:val="000000"/>
          <w:sz w:val="32"/>
          <w:szCs w:val="32"/>
        </w:rPr>
        <w:t>生健康支出</w:t>
      </w:r>
      <w:r>
        <w:rPr>
          <w:rFonts w:ascii="仿宋" w:hAnsi="仿宋" w:eastAsia="仿宋"/>
          <w:color w:val="000000"/>
          <w:sz w:val="32"/>
          <w:szCs w:val="32"/>
        </w:rPr>
        <w:t>（类）行政事业单位医疗（款）行政单位医疗（项）：指反映财政部门集中安排的行政单位基本医疗保险缴费经费，未参加医疗保险的行政单位的公费医疗经费，按国家规定享受离休人员、红军老战士待遇人员的医疗经费。</w:t>
      </w:r>
    </w:p>
    <w:p>
      <w:pPr>
        <w:spacing w:line="560" w:lineRule="exact"/>
        <w:ind w:firstLine="640" w:firstLineChars="200"/>
        <w:rPr>
          <w:rFonts w:ascii="仿宋" w:hAnsi="仿宋" w:eastAsia="仿宋"/>
          <w:color w:val="000000"/>
          <w:sz w:val="32"/>
          <w:szCs w:val="32"/>
        </w:rPr>
      </w:pPr>
      <w:r>
        <w:rPr>
          <w:rFonts w:ascii="仿宋" w:hAnsi="仿宋" w:eastAsia="仿宋"/>
          <w:color w:val="000000"/>
          <w:sz w:val="32"/>
          <w:szCs w:val="32"/>
        </w:rPr>
        <w:t>9.</w:t>
      </w:r>
      <w:r>
        <w:rPr>
          <w:rStyle w:val="19"/>
          <w:rFonts w:hint="eastAsia" w:ascii="仿宋" w:hAnsi="仿宋" w:eastAsia="仿宋" w:cs="宋体"/>
          <w:color w:val="000000"/>
          <w:sz w:val="32"/>
          <w:szCs w:val="32"/>
        </w:rPr>
        <w:t>卫</w:t>
      </w:r>
      <w:r>
        <w:rPr>
          <w:rStyle w:val="19"/>
          <w:rFonts w:ascii="仿宋" w:hAnsi="仿宋" w:eastAsia="仿宋" w:cs="??_GB2312"/>
          <w:color w:val="000000"/>
          <w:sz w:val="32"/>
          <w:szCs w:val="32"/>
        </w:rPr>
        <w:t>生健康支出</w:t>
      </w:r>
      <w:r>
        <w:rPr>
          <w:rFonts w:ascii="仿宋" w:hAnsi="仿宋" w:eastAsia="仿宋"/>
          <w:color w:val="000000"/>
          <w:sz w:val="32"/>
          <w:szCs w:val="32"/>
        </w:rPr>
        <w:t>（类）行政事业单位医疗（款）公务员医疗补助（项）：指反映财政部门集中安排的公务员医疗补助经费。</w:t>
      </w:r>
    </w:p>
    <w:p>
      <w:pPr>
        <w:spacing w:line="560" w:lineRule="exact"/>
        <w:ind w:firstLine="640" w:firstLineChars="200"/>
        <w:rPr>
          <w:rFonts w:ascii="仿宋" w:hAnsi="仿宋" w:eastAsia="仿宋"/>
          <w:color w:val="000000"/>
          <w:sz w:val="32"/>
          <w:szCs w:val="32"/>
        </w:rPr>
      </w:pPr>
      <w:r>
        <w:rPr>
          <w:rFonts w:ascii="仿宋" w:hAnsi="仿宋" w:eastAsia="仿宋"/>
          <w:color w:val="000000"/>
          <w:sz w:val="32"/>
          <w:szCs w:val="32"/>
        </w:rPr>
        <w:t>10.住房保障支出（类）住房改革支出（款）住房公积金（项）：指反映行政事业单位按人力资源和社会保障部、财政部规定的基本工资和津贴补贴以及规定比例为职工缴纳的住房公积金。</w:t>
      </w:r>
    </w:p>
    <w:p>
      <w:pPr>
        <w:spacing w:line="560" w:lineRule="exact"/>
        <w:ind w:firstLine="640" w:firstLineChars="200"/>
        <w:rPr>
          <w:rFonts w:ascii="仿宋" w:hAnsi="仿宋" w:eastAsia="仿宋"/>
          <w:color w:val="000000"/>
          <w:sz w:val="32"/>
          <w:szCs w:val="32"/>
        </w:rPr>
      </w:pPr>
      <w:r>
        <w:rPr>
          <w:rFonts w:ascii="仿宋" w:hAnsi="仿宋" w:eastAsia="仿宋"/>
          <w:color w:val="000000"/>
          <w:sz w:val="32"/>
          <w:szCs w:val="32"/>
        </w:rPr>
        <w:t>11.基本支出：指为保障机构正常运转、完成日常工作任务而发生的人员支出和公用支出。</w:t>
      </w:r>
    </w:p>
    <w:p>
      <w:pPr>
        <w:pStyle w:val="28"/>
        <w:spacing w:line="560" w:lineRule="exact"/>
        <w:ind w:firstLine="640" w:firstLineChars="200"/>
        <w:rPr>
          <w:rFonts w:hAnsi="仿宋"/>
          <w:sz w:val="32"/>
          <w:szCs w:val="32"/>
        </w:rPr>
      </w:pPr>
      <w:r>
        <w:rPr>
          <w:rFonts w:hAnsi="仿宋"/>
          <w:sz w:val="32"/>
          <w:szCs w:val="32"/>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8"/>
        <w:spacing w:line="560" w:lineRule="exact"/>
        <w:ind w:firstLine="640" w:firstLineChars="200"/>
        <w:rPr>
          <w:rFonts w:hAnsi="Calibri" w:cs="仿宋"/>
          <w:sz w:val="32"/>
          <w:szCs w:val="32"/>
        </w:rPr>
      </w:pPr>
      <w:r>
        <w:rPr>
          <w:rFonts w:hAnsi="仿宋"/>
          <w:sz w:val="32"/>
          <w:szCs w:val="32"/>
        </w:rPr>
        <w:t>13.机关运行经费：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both"/>
        <w:rPr>
          <w:rFonts w:hint="eastAsia" w:ascii="Times New Roman" w:hAnsi="Times New Roman" w:eastAsia="黑体"/>
          <w:color w:val="auto"/>
          <w:sz w:val="44"/>
          <w:szCs w:val="44"/>
          <w:highlight w:val="none"/>
        </w:rPr>
      </w:pPr>
    </w:p>
    <w:p>
      <w:pPr>
        <w:spacing w:line="600" w:lineRule="exact"/>
        <w:jc w:val="center"/>
        <w:rPr>
          <w:rStyle w:val="30"/>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80" w:lineRule="exact"/>
        <w:contextualSpacing/>
        <w:jc w:val="center"/>
        <w:rPr>
          <w:rFonts w:hint="eastAsia" w:ascii="宋体" w:eastAsia="宋体"/>
          <w:b/>
          <w:sz w:val="44"/>
          <w:szCs w:val="44"/>
          <w:shd w:val="clear" w:color="auto" w:fill="FFFFFF"/>
          <w:lang w:val="en-US" w:eastAsia="zh-CN"/>
        </w:rPr>
      </w:pPr>
      <w:r>
        <w:rPr>
          <w:rFonts w:hint="eastAsia" w:ascii="宋体" w:eastAsia="宋体"/>
          <w:b/>
          <w:sz w:val="44"/>
          <w:szCs w:val="44"/>
          <w:shd w:val="clear" w:color="auto" w:fill="FFFFFF"/>
          <w:lang w:val="en-US" w:eastAsia="zh-CN"/>
        </w:rPr>
        <w:t>阿坝州都江堰老干部休养所</w:t>
      </w:r>
    </w:p>
    <w:p>
      <w:pPr>
        <w:widowControl/>
        <w:spacing w:line="580" w:lineRule="exact"/>
        <w:contextualSpacing/>
        <w:jc w:val="center"/>
        <w:rPr>
          <w:rFonts w:ascii="宋体" w:eastAsia="宋体"/>
          <w:b/>
          <w:sz w:val="44"/>
          <w:szCs w:val="44"/>
          <w:shd w:val="clear" w:color="auto" w:fill="FFFFFF"/>
        </w:rPr>
      </w:pPr>
      <w:r>
        <w:rPr>
          <w:rFonts w:hint="eastAsia" w:ascii="宋体"/>
          <w:b/>
          <w:sz w:val="44"/>
          <w:szCs w:val="44"/>
          <w:shd w:val="clear" w:color="auto" w:fill="FFFFFF"/>
          <w:lang w:val="en-US" w:eastAsia="zh-CN"/>
        </w:rPr>
        <w:t>2025年度</w:t>
      </w:r>
      <w:r>
        <w:rPr>
          <w:rFonts w:hint="eastAsia" w:ascii="宋体" w:eastAsia="宋体"/>
          <w:b/>
          <w:sz w:val="44"/>
          <w:szCs w:val="44"/>
          <w:shd w:val="clear" w:color="auto" w:fill="FFFFFF"/>
        </w:rPr>
        <w:t>整体支出绩效评价报告</w:t>
      </w:r>
    </w:p>
    <w:p>
      <w:pPr>
        <w:widowControl/>
        <w:spacing w:line="578" w:lineRule="exact"/>
        <w:contextualSpacing/>
        <w:jc w:val="both"/>
        <w:rPr>
          <w:rFonts w:eastAsia="方正小标宋简体"/>
          <w:bCs/>
          <w:sz w:val="44"/>
          <w:szCs w:val="44"/>
          <w:shd w:val="clear" w:color="auto" w:fill="FFFFFF"/>
        </w:rPr>
      </w:pP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pPr>
        <w:snapToGrid w:val="0"/>
        <w:spacing w:line="360" w:lineRule="auto"/>
        <w:ind w:firstLine="640" w:firstLineChars="200"/>
        <w:rPr>
          <w:rFonts w:hint="default" w:ascii="Times New Roman" w:hAnsi="Times New Roman" w:eastAsia="楷体_GB2312" w:cs="楷体_GB2312"/>
          <w:b/>
          <w:color w:val="auto"/>
          <w:sz w:val="32"/>
          <w:szCs w:val="32"/>
          <w:highlight w:val="none"/>
          <w:lang w:val="zh-CN"/>
        </w:rPr>
      </w:pPr>
      <w:r>
        <w:rPr>
          <w:rFonts w:hint="eastAsia" w:ascii="仿宋" w:hAnsi="仿宋" w:eastAsia="仿宋"/>
          <w:sz w:val="32"/>
          <w:szCs w:val="32"/>
        </w:rPr>
        <w:t xml:space="preserve">阿坝州都江堰老干部休养所是阿坝州委老干部局的下级单位，是参照公务员法管理的独立核算事业机构，无下级预算单位。 </w:t>
      </w:r>
    </w:p>
    <w:p>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pPr>
        <w:pStyle w:val="29"/>
        <w:spacing w:line="576" w:lineRule="exact"/>
        <w:ind w:firstLine="640"/>
        <w:rPr>
          <w:rFonts w:hint="eastAsia" w:ascii="仿宋" w:hAnsi="仿宋" w:eastAsia="仿宋"/>
          <w:sz w:val="32"/>
          <w:szCs w:val="32"/>
        </w:rPr>
      </w:pPr>
      <w:r>
        <w:rPr>
          <w:rFonts w:hint="eastAsia" w:ascii="仿宋" w:hAnsi="仿宋" w:eastAsia="仿宋"/>
          <w:sz w:val="32"/>
          <w:szCs w:val="32"/>
        </w:rPr>
        <w:t>主要职能：</w:t>
      </w:r>
      <w:r>
        <w:rPr>
          <w:rFonts w:ascii="仿宋" w:hAnsi="仿宋" w:eastAsia="仿宋"/>
          <w:b/>
          <w:bCs/>
          <w:sz w:val="32"/>
          <w:szCs w:val="32"/>
        </w:rPr>
        <w:t>一是</w:t>
      </w:r>
      <w:r>
        <w:rPr>
          <w:rFonts w:hint="eastAsia" w:ascii="仿宋" w:hAnsi="仿宋" w:eastAsia="仿宋"/>
          <w:sz w:val="32"/>
          <w:szCs w:val="32"/>
        </w:rPr>
        <w:t>为地方离休干部提供休养住所与相关服务</w:t>
      </w:r>
      <w:r>
        <w:rPr>
          <w:rFonts w:ascii="仿宋" w:hAnsi="仿宋" w:eastAsia="仿宋"/>
          <w:sz w:val="32"/>
          <w:szCs w:val="32"/>
        </w:rPr>
        <w:t>。</w:t>
      </w:r>
      <w:r>
        <w:rPr>
          <w:rFonts w:ascii="仿宋" w:hAnsi="仿宋" w:eastAsia="仿宋"/>
          <w:b/>
          <w:bCs/>
          <w:sz w:val="32"/>
          <w:szCs w:val="32"/>
        </w:rPr>
        <w:t>二是</w:t>
      </w:r>
      <w:r>
        <w:rPr>
          <w:rFonts w:hint="eastAsia" w:ascii="仿宋" w:hAnsi="仿宋" w:eastAsia="仿宋"/>
          <w:sz w:val="32"/>
          <w:szCs w:val="32"/>
        </w:rPr>
        <w:t>提供管理</w:t>
      </w:r>
      <w:r>
        <w:rPr>
          <w:rFonts w:hint="eastAsia" w:ascii="仿宋" w:hAnsi="仿宋" w:eastAsia="仿宋" w:cs="微软雅黑"/>
          <w:sz w:val="32"/>
          <w:szCs w:val="32"/>
        </w:rPr>
        <w:t>﹑</w:t>
      </w:r>
      <w:r>
        <w:rPr>
          <w:rFonts w:hint="eastAsia" w:ascii="仿宋" w:hAnsi="仿宋" w:eastAsia="仿宋" w:cs="仿宋"/>
          <w:sz w:val="32"/>
          <w:szCs w:val="32"/>
        </w:rPr>
        <w:t>扶</w:t>
      </w:r>
      <w:r>
        <w:rPr>
          <w:rFonts w:hint="eastAsia" w:ascii="仿宋" w:hAnsi="仿宋" w:eastAsia="仿宋"/>
          <w:sz w:val="32"/>
          <w:szCs w:val="32"/>
        </w:rPr>
        <w:t>助</w:t>
      </w:r>
      <w:r>
        <w:rPr>
          <w:rFonts w:hint="eastAsia" w:ascii="仿宋" w:hAnsi="仿宋" w:eastAsia="仿宋" w:cs="微软雅黑"/>
          <w:sz w:val="32"/>
          <w:szCs w:val="32"/>
        </w:rPr>
        <w:t>﹑</w:t>
      </w:r>
      <w:r>
        <w:rPr>
          <w:rFonts w:hint="eastAsia" w:ascii="仿宋" w:hAnsi="仿宋" w:eastAsia="仿宋"/>
          <w:sz w:val="32"/>
          <w:szCs w:val="32"/>
        </w:rPr>
        <w:t>医疗保健</w:t>
      </w:r>
      <w:r>
        <w:rPr>
          <w:rFonts w:hint="eastAsia" w:ascii="仿宋" w:hAnsi="仿宋" w:eastAsia="仿宋" w:cs="微软雅黑"/>
          <w:sz w:val="32"/>
          <w:szCs w:val="32"/>
        </w:rPr>
        <w:t>﹑</w:t>
      </w:r>
      <w:r>
        <w:rPr>
          <w:rFonts w:hint="eastAsia" w:ascii="仿宋" w:hAnsi="仿宋" w:eastAsia="仿宋"/>
          <w:sz w:val="32"/>
          <w:szCs w:val="32"/>
        </w:rPr>
        <w:t>生活待遇费的协调</w:t>
      </w:r>
      <w:r>
        <w:rPr>
          <w:rFonts w:ascii="仿宋" w:hAnsi="仿宋" w:eastAsia="仿宋"/>
          <w:sz w:val="32"/>
          <w:szCs w:val="32"/>
        </w:rPr>
        <w:t>。</w:t>
      </w:r>
      <w:r>
        <w:rPr>
          <w:rFonts w:ascii="仿宋" w:hAnsi="仿宋" w:eastAsia="仿宋"/>
          <w:b/>
          <w:bCs/>
          <w:sz w:val="32"/>
          <w:szCs w:val="32"/>
        </w:rPr>
        <w:t>三是</w:t>
      </w:r>
      <w:r>
        <w:rPr>
          <w:rFonts w:hint="eastAsia" w:ascii="仿宋" w:hAnsi="仿宋" w:eastAsia="仿宋"/>
          <w:sz w:val="32"/>
          <w:szCs w:val="32"/>
        </w:rPr>
        <w:t>组织阅读文件和各种活动</w:t>
      </w:r>
      <w:r>
        <w:rPr>
          <w:rFonts w:ascii="仿宋" w:hAnsi="仿宋" w:eastAsia="仿宋"/>
          <w:sz w:val="32"/>
          <w:szCs w:val="32"/>
        </w:rPr>
        <w:t>。</w:t>
      </w:r>
      <w:r>
        <w:rPr>
          <w:rFonts w:hint="eastAsia" w:ascii="仿宋" w:hAnsi="仿宋" w:eastAsia="仿宋"/>
          <w:sz w:val="32"/>
          <w:szCs w:val="32"/>
        </w:rPr>
        <w:t>四</w:t>
      </w:r>
      <w:r>
        <w:rPr>
          <w:rFonts w:ascii="仿宋" w:hAnsi="仿宋" w:eastAsia="仿宋"/>
          <w:b/>
          <w:bCs/>
          <w:sz w:val="32"/>
          <w:szCs w:val="32"/>
        </w:rPr>
        <w:t>是</w:t>
      </w:r>
      <w:r>
        <w:rPr>
          <w:rFonts w:ascii="仿宋" w:hAnsi="仿宋" w:eastAsia="仿宋"/>
          <w:sz w:val="32"/>
          <w:szCs w:val="32"/>
        </w:rPr>
        <w:t>负责完成州委</w:t>
      </w:r>
      <w:r>
        <w:rPr>
          <w:rFonts w:hint="eastAsia" w:ascii="仿宋" w:hAnsi="仿宋" w:eastAsia="仿宋"/>
          <w:sz w:val="32"/>
          <w:szCs w:val="32"/>
        </w:rPr>
        <w:t>老干部局</w:t>
      </w:r>
      <w:r>
        <w:rPr>
          <w:rFonts w:ascii="仿宋" w:hAnsi="仿宋" w:eastAsia="仿宋"/>
          <w:sz w:val="32"/>
          <w:szCs w:val="32"/>
        </w:rPr>
        <w:t>交办的其他工作任务。</w:t>
      </w:r>
    </w:p>
    <w:p>
      <w:pPr>
        <w:pStyle w:val="29"/>
        <w:spacing w:line="576" w:lineRule="exact"/>
        <w:ind w:firstLine="640"/>
        <w:rPr>
          <w:rFonts w:hint="eastAsia" w:ascii="仿宋" w:hAnsi="仿宋" w:eastAsia="仿宋"/>
          <w:sz w:val="32"/>
          <w:szCs w:val="32"/>
        </w:rPr>
      </w:pPr>
      <w:r>
        <w:rPr>
          <w:rFonts w:hint="eastAsia" w:ascii="仿宋" w:hAnsi="仿宋" w:eastAsia="仿宋"/>
          <w:sz w:val="32"/>
          <w:szCs w:val="32"/>
        </w:rPr>
        <w:t>（三）人员概况</w:t>
      </w:r>
    </w:p>
    <w:p>
      <w:pPr>
        <w:pStyle w:val="29"/>
        <w:spacing w:line="576" w:lineRule="exact"/>
        <w:ind w:firstLine="640"/>
        <w:rPr>
          <w:rFonts w:hint="eastAsia" w:ascii="仿宋" w:hAnsi="仿宋" w:eastAsia="仿宋"/>
          <w:sz w:val="32"/>
          <w:szCs w:val="32"/>
        </w:rPr>
      </w:pPr>
      <w:r>
        <w:rPr>
          <w:rFonts w:hint="eastAsia" w:ascii="仿宋" w:hAnsi="仿宋" w:eastAsia="仿宋"/>
          <w:sz w:val="32"/>
          <w:szCs w:val="32"/>
        </w:rPr>
        <w:t>阿坝州都江堰老干部休养所参公编制22个，参公工勤编制3个。202</w:t>
      </w:r>
      <w:r>
        <w:rPr>
          <w:rFonts w:hint="eastAsia" w:ascii="仿宋" w:hAnsi="仿宋" w:eastAsia="仿宋"/>
          <w:sz w:val="32"/>
          <w:szCs w:val="32"/>
          <w:lang w:val="en-US" w:eastAsia="zh-CN"/>
        </w:rPr>
        <w:t>5</w:t>
      </w:r>
      <w:r>
        <w:rPr>
          <w:rFonts w:hint="eastAsia" w:ascii="仿宋" w:hAnsi="仿宋" w:eastAsia="仿宋"/>
          <w:sz w:val="32"/>
          <w:szCs w:val="32"/>
        </w:rPr>
        <w:t>年在职人员2</w:t>
      </w:r>
      <w:r>
        <w:rPr>
          <w:rFonts w:hint="eastAsia" w:ascii="仿宋" w:hAnsi="仿宋" w:eastAsia="仿宋"/>
          <w:sz w:val="32"/>
          <w:szCs w:val="32"/>
          <w:lang w:val="en-US" w:eastAsia="zh-CN"/>
        </w:rPr>
        <w:t>2</w:t>
      </w:r>
      <w:r>
        <w:rPr>
          <w:rFonts w:hint="eastAsia" w:ascii="仿宋" w:hAnsi="仿宋" w:eastAsia="仿宋"/>
          <w:sz w:val="32"/>
          <w:szCs w:val="32"/>
        </w:rPr>
        <w:t>人，其中参公在职人员1</w:t>
      </w:r>
      <w:r>
        <w:rPr>
          <w:rFonts w:hint="eastAsia" w:ascii="仿宋" w:hAnsi="仿宋" w:eastAsia="仿宋"/>
          <w:sz w:val="32"/>
          <w:szCs w:val="32"/>
          <w:lang w:val="en-US" w:eastAsia="zh-CN"/>
        </w:rPr>
        <w:t>9</w:t>
      </w:r>
      <w:r>
        <w:rPr>
          <w:rFonts w:hint="eastAsia" w:ascii="仿宋" w:hAnsi="仿宋" w:eastAsia="仿宋"/>
          <w:sz w:val="32"/>
          <w:szCs w:val="32"/>
        </w:rPr>
        <w:t>人，工勤 3人。退休人员1</w:t>
      </w:r>
      <w:r>
        <w:rPr>
          <w:rFonts w:hint="eastAsia" w:ascii="仿宋" w:hAnsi="仿宋" w:eastAsia="仿宋"/>
          <w:sz w:val="32"/>
          <w:szCs w:val="32"/>
          <w:lang w:val="en-US" w:eastAsia="zh-CN"/>
        </w:rPr>
        <w:t>7</w:t>
      </w:r>
      <w:r>
        <w:rPr>
          <w:rFonts w:hint="eastAsia" w:ascii="仿宋" w:hAnsi="仿宋" w:eastAsia="仿宋"/>
          <w:sz w:val="32"/>
          <w:szCs w:val="32"/>
        </w:rPr>
        <w:t>人。</w:t>
      </w:r>
    </w:p>
    <w:p>
      <w:pPr>
        <w:pStyle w:val="2"/>
        <w:numPr>
          <w:ilvl w:val="0"/>
          <w:numId w:val="0"/>
        </w:numPr>
        <w:ind w:left="400" w:leftChars="0"/>
        <w:rPr>
          <w:rFonts w:hint="default"/>
          <w:lang w:val="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widowControl/>
        <w:adjustRightInd w:val="0"/>
        <w:snapToGrid w:val="0"/>
        <w:spacing w:line="578" w:lineRule="exact"/>
        <w:ind w:firstLine="643" w:firstLineChars="200"/>
        <w:contextualSpacing/>
        <w:jc w:val="left"/>
        <w:rPr>
          <w:rFonts w:hint="eastAsia" w:ascii="仿宋" w:hAnsi="仿宋" w:eastAsia="仿宋" w:cs="仿宋"/>
          <w:kern w:val="0"/>
          <w:sz w:val="32"/>
          <w:szCs w:val="32"/>
          <w:shd w:val="clear" w:color="auto" w:fill="FFFFFF"/>
          <w:lang w:eastAsia="zh-CN"/>
        </w:rPr>
      </w:pPr>
      <w:r>
        <w:rPr>
          <w:rFonts w:hint="eastAsia" w:ascii="仿宋" w:hAnsi="仿宋" w:eastAsia="仿宋" w:cs="仿宋"/>
          <w:b/>
          <w:bCs/>
          <w:color w:val="000000"/>
          <w:kern w:val="0"/>
          <w:sz w:val="32"/>
          <w:szCs w:val="32"/>
          <w:shd w:val="clear" w:color="auto" w:fill="FFFFFF"/>
          <w:lang w:val="zh-CN"/>
        </w:rPr>
        <w:t>（一）收入情况。</w:t>
      </w:r>
      <w:r>
        <w:rPr>
          <w:rFonts w:hint="eastAsia" w:ascii="仿宋" w:hAnsi="仿宋" w:eastAsia="仿宋" w:cs="仿宋"/>
          <w:kern w:val="0"/>
          <w:sz w:val="32"/>
          <w:szCs w:val="32"/>
          <w:shd w:val="clear" w:color="auto" w:fill="FFFFFF"/>
        </w:rPr>
        <w:t xml:space="preserve"> </w:t>
      </w:r>
      <w:r>
        <w:rPr>
          <w:rFonts w:hint="eastAsia" w:ascii="仿宋" w:hAnsi="仿宋" w:eastAsia="仿宋" w:cs="仿宋"/>
          <w:b w:val="0"/>
          <w:bCs w:val="0"/>
          <w:sz w:val="32"/>
          <w:szCs w:val="32"/>
          <w:lang w:val="en-US" w:eastAsia="zh-CN"/>
        </w:rPr>
        <w:t>阿坝州都江堰老干部休养所</w:t>
      </w:r>
      <w:r>
        <w:rPr>
          <w:rFonts w:hint="eastAsia" w:ascii="仿宋" w:hAnsi="仿宋" w:eastAsia="仿宋" w:cs="仿宋"/>
          <w:kern w:val="0"/>
          <w:sz w:val="32"/>
          <w:szCs w:val="32"/>
          <w:shd w:val="clear" w:color="auto" w:fill="FFFFFF"/>
          <w:lang w:val="en-US" w:eastAsia="zh-CN"/>
        </w:rPr>
        <w:t>2025</w:t>
      </w:r>
      <w:r>
        <w:rPr>
          <w:rFonts w:hint="eastAsia" w:ascii="仿宋" w:hAnsi="仿宋" w:eastAsia="仿宋" w:cs="仿宋"/>
          <w:kern w:val="0"/>
          <w:sz w:val="32"/>
          <w:szCs w:val="32"/>
          <w:shd w:val="clear" w:color="auto" w:fill="FFFFFF"/>
        </w:rPr>
        <w:t>年</w:t>
      </w:r>
      <w:r>
        <w:rPr>
          <w:rFonts w:hint="eastAsia" w:ascii="仿宋" w:hAnsi="仿宋" w:eastAsia="仿宋" w:cs="仿宋"/>
          <w:kern w:val="0"/>
          <w:sz w:val="32"/>
          <w:szCs w:val="32"/>
          <w:shd w:val="clear" w:color="auto" w:fill="FFFFFF"/>
          <w:lang w:val="en-US" w:eastAsia="zh-CN"/>
        </w:rPr>
        <w:t>年初预算</w:t>
      </w:r>
      <w:r>
        <w:rPr>
          <w:rFonts w:hint="eastAsia" w:ascii="仿宋" w:hAnsi="仿宋" w:eastAsia="仿宋" w:cs="仿宋"/>
          <w:kern w:val="0"/>
          <w:sz w:val="32"/>
          <w:szCs w:val="32"/>
          <w:shd w:val="clear" w:color="auto" w:fill="FFFFFF"/>
        </w:rPr>
        <w:t>收入为</w:t>
      </w:r>
      <w:r>
        <w:rPr>
          <w:rFonts w:hint="eastAsia" w:ascii="仿宋" w:hAnsi="仿宋" w:eastAsia="仿宋" w:cs="仿宋"/>
          <w:kern w:val="0"/>
          <w:sz w:val="32"/>
          <w:szCs w:val="32"/>
          <w:shd w:val="clear" w:color="auto" w:fill="FFFFFF"/>
          <w:lang w:val="en-US" w:eastAsia="zh-CN"/>
        </w:rPr>
        <w:t>973.22</w:t>
      </w:r>
      <w:r>
        <w:rPr>
          <w:rFonts w:hint="eastAsia" w:ascii="仿宋" w:hAnsi="仿宋" w:eastAsia="仿宋" w:cs="仿宋"/>
          <w:kern w:val="0"/>
          <w:sz w:val="32"/>
          <w:szCs w:val="32"/>
          <w:shd w:val="clear" w:color="auto" w:fill="FFFFFF"/>
        </w:rPr>
        <w:t>万元。</w:t>
      </w:r>
      <w:r>
        <w:rPr>
          <w:rFonts w:hint="eastAsia" w:ascii="仿宋" w:hAnsi="仿宋" w:eastAsia="仿宋" w:cs="仿宋"/>
          <w:kern w:val="0"/>
          <w:sz w:val="32"/>
          <w:szCs w:val="32"/>
          <w:shd w:val="clear" w:color="auto" w:fill="FFFFFF"/>
          <w:lang w:val="en-US" w:eastAsia="zh-CN"/>
        </w:rPr>
        <w:t>决算报表</w:t>
      </w:r>
      <w:r>
        <w:rPr>
          <w:rFonts w:hint="eastAsia" w:ascii="仿宋" w:hAnsi="仿宋" w:eastAsia="仿宋" w:cs="仿宋"/>
          <w:kern w:val="0"/>
          <w:sz w:val="32"/>
          <w:szCs w:val="32"/>
          <w:shd w:val="clear" w:color="auto" w:fill="FFFFFF"/>
        </w:rPr>
        <w:t>收入为</w:t>
      </w:r>
      <w:r>
        <w:rPr>
          <w:rFonts w:hint="eastAsia" w:ascii="仿宋" w:hAnsi="仿宋" w:eastAsia="仿宋" w:cs="仿宋"/>
          <w:kern w:val="0"/>
          <w:sz w:val="32"/>
          <w:szCs w:val="32"/>
          <w:shd w:val="clear" w:color="auto" w:fill="FFFFFF"/>
          <w:lang w:val="en-US" w:eastAsia="zh-CN"/>
        </w:rPr>
        <w:t>837.46</w:t>
      </w:r>
      <w:r>
        <w:rPr>
          <w:rFonts w:hint="eastAsia" w:ascii="仿宋" w:hAnsi="仿宋" w:eastAsia="仿宋" w:cs="仿宋"/>
          <w:kern w:val="0"/>
          <w:sz w:val="32"/>
          <w:szCs w:val="32"/>
          <w:shd w:val="clear" w:color="auto" w:fill="FFFFFF"/>
        </w:rPr>
        <w:t>万元</w:t>
      </w:r>
      <w:r>
        <w:rPr>
          <w:rFonts w:hint="eastAsia" w:ascii="仿宋" w:hAnsi="仿宋" w:eastAsia="仿宋" w:cs="仿宋"/>
          <w:kern w:val="0"/>
          <w:sz w:val="32"/>
          <w:szCs w:val="32"/>
          <w:shd w:val="clear" w:color="auto" w:fill="FFFFFF"/>
          <w:lang w:eastAsia="zh-CN"/>
        </w:rPr>
        <w:t>。</w:t>
      </w:r>
    </w:p>
    <w:p>
      <w:pPr>
        <w:pStyle w:val="37"/>
        <w:keepNext w:val="0"/>
        <w:keepLines w:val="0"/>
        <w:pageBreakBefore w:val="0"/>
        <w:widowControl/>
        <w:suppressLineNumbers w:val="0"/>
        <w:kinsoku/>
        <w:wordWrap/>
        <w:overflowPunct/>
        <w:topLinePunct w:val="0"/>
        <w:autoSpaceDE/>
        <w:autoSpaceDN/>
        <w:bidi w:val="0"/>
        <w:adjustRightInd/>
        <w:snapToGrid/>
        <w:spacing w:before="0" w:beforeAutospacing="0" w:line="576" w:lineRule="exact"/>
        <w:ind w:left="0" w:firstLine="643" w:firstLineChars="200"/>
        <w:jc w:val="left"/>
        <w:textAlignment w:val="auto"/>
        <w:rPr>
          <w:rFonts w:hint="eastAsia" w:ascii="仿宋" w:hAnsi="仿宋" w:eastAsia="仿宋" w:cs="仿宋"/>
          <w:kern w:val="0"/>
          <w:sz w:val="32"/>
          <w:szCs w:val="32"/>
          <w:shd w:val="clear" w:color="auto" w:fill="FFFFFF"/>
          <w:lang w:val="en-US" w:eastAsia="zh-CN"/>
        </w:rPr>
      </w:pPr>
      <w:r>
        <w:rPr>
          <w:rFonts w:hint="eastAsia" w:ascii="仿宋" w:hAnsi="仿宋" w:eastAsia="仿宋" w:cs="仿宋"/>
          <w:b/>
          <w:bCs/>
          <w:color w:val="000000"/>
          <w:kern w:val="0"/>
          <w:sz w:val="32"/>
          <w:szCs w:val="32"/>
          <w:shd w:val="clear" w:color="auto" w:fill="FFFFFF"/>
          <w:lang w:val="zh-CN"/>
        </w:rPr>
        <w:t>（二）支出情况。</w:t>
      </w:r>
      <w:r>
        <w:rPr>
          <w:rFonts w:hint="eastAsia" w:ascii="仿宋" w:hAnsi="仿宋" w:eastAsia="仿宋" w:cs="仿宋"/>
          <w:b w:val="0"/>
          <w:bCs w:val="0"/>
          <w:sz w:val="32"/>
          <w:szCs w:val="32"/>
          <w:lang w:val="en-US" w:eastAsia="zh-CN"/>
        </w:rPr>
        <w:t>阿坝州都江堰老干部休养所</w:t>
      </w:r>
      <w:r>
        <w:rPr>
          <w:rFonts w:hint="eastAsia" w:ascii="仿宋" w:hAnsi="仿宋" w:eastAsia="仿宋" w:cs="仿宋"/>
          <w:sz w:val="32"/>
          <w:szCs w:val="32"/>
        </w:rPr>
        <w:t>2025年</w:t>
      </w:r>
      <w:r>
        <w:rPr>
          <w:rFonts w:hint="eastAsia" w:ascii="仿宋" w:hAnsi="仿宋" w:eastAsia="仿宋" w:cs="仿宋"/>
          <w:kern w:val="0"/>
          <w:sz w:val="32"/>
          <w:szCs w:val="32"/>
          <w:shd w:val="clear" w:color="auto" w:fill="FFFFFF"/>
          <w:lang w:val="en-US" w:eastAsia="zh-CN"/>
        </w:rPr>
        <w:t>年初预算支出</w:t>
      </w:r>
      <w:r>
        <w:rPr>
          <w:rFonts w:hint="eastAsia" w:ascii="仿宋" w:hAnsi="仿宋" w:eastAsia="仿宋" w:cs="仿宋"/>
          <w:kern w:val="0"/>
          <w:sz w:val="32"/>
          <w:szCs w:val="32"/>
          <w:shd w:val="clear" w:color="auto" w:fill="FFFFFF"/>
        </w:rPr>
        <w:t>支出为</w:t>
      </w:r>
      <w:r>
        <w:rPr>
          <w:rFonts w:hint="eastAsia" w:ascii="仿宋" w:hAnsi="仿宋" w:eastAsia="仿宋" w:cs="仿宋"/>
          <w:kern w:val="0"/>
          <w:sz w:val="32"/>
          <w:szCs w:val="32"/>
          <w:shd w:val="clear" w:color="auto" w:fill="FFFFFF"/>
          <w:lang w:val="en-US" w:eastAsia="zh-CN"/>
        </w:rPr>
        <w:t>973.22</w:t>
      </w:r>
      <w:r>
        <w:rPr>
          <w:rFonts w:hint="eastAsia" w:ascii="仿宋" w:hAnsi="仿宋" w:eastAsia="仿宋" w:cs="仿宋"/>
          <w:kern w:val="0"/>
          <w:sz w:val="32"/>
          <w:szCs w:val="32"/>
          <w:shd w:val="clear" w:color="auto" w:fill="FFFFFF"/>
        </w:rPr>
        <w:t>万元。</w:t>
      </w:r>
      <w:r>
        <w:rPr>
          <w:rFonts w:hint="eastAsia" w:ascii="仿宋" w:hAnsi="仿宋" w:eastAsia="仿宋" w:cs="仿宋"/>
          <w:kern w:val="0"/>
          <w:sz w:val="32"/>
          <w:szCs w:val="32"/>
          <w:shd w:val="clear" w:color="auto" w:fill="FFFFFF"/>
          <w:lang w:val="en-US" w:eastAsia="zh-CN"/>
        </w:rPr>
        <w:t>决算报表支出为847.18万元。</w:t>
      </w:r>
    </w:p>
    <w:p>
      <w:pPr>
        <w:pStyle w:val="3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left"/>
        <w:textAlignment w:val="auto"/>
        <w:rPr>
          <w:color w:val="000000"/>
          <w:kern w:val="0"/>
          <w:szCs w:val="32"/>
          <w:shd w:val="clear" w:color="auto" w:fill="FFFFFF"/>
          <w:lang w:val="zh-CN"/>
        </w:rPr>
      </w:pPr>
      <w:r>
        <w:rPr>
          <w:rFonts w:hint="eastAsia" w:ascii="仿宋" w:hAnsi="仿宋" w:eastAsia="仿宋" w:cs="仿宋"/>
          <w:b/>
          <w:bCs/>
          <w:color w:val="000000"/>
          <w:kern w:val="0"/>
          <w:sz w:val="32"/>
          <w:szCs w:val="32"/>
          <w:shd w:val="clear" w:color="auto" w:fill="FFFFFF"/>
          <w:lang w:val="zh-CN"/>
        </w:rPr>
        <w:t>（三）</w:t>
      </w:r>
      <w:r>
        <w:rPr>
          <w:rFonts w:hint="eastAsia" w:ascii="仿宋" w:hAnsi="仿宋" w:eastAsia="仿宋" w:cs="仿宋"/>
          <w:b/>
          <w:sz w:val="32"/>
          <w:szCs w:val="32"/>
        </w:rPr>
        <w:t>结余分配和结转结余情况。</w:t>
      </w:r>
      <w:r>
        <w:rPr>
          <w:rFonts w:hint="eastAsia" w:ascii="仿宋" w:hAnsi="仿宋" w:eastAsia="仿宋" w:cs="仿宋"/>
          <w:b w:val="0"/>
          <w:bCs w:val="0"/>
          <w:kern w:val="0"/>
          <w:sz w:val="32"/>
          <w:szCs w:val="32"/>
          <w:shd w:val="clear" w:color="auto" w:fill="FFFFFF"/>
          <w:lang w:val="en-US" w:eastAsia="zh-CN"/>
        </w:rPr>
        <w:t>本单位2025年决算报表非财政拨款结转6.18万元。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p>
    <w:p>
      <w:pPr>
        <w:adjustRightInd w:val="0"/>
        <w:snapToGrid w:val="0"/>
        <w:spacing w:line="578" w:lineRule="exact"/>
        <w:ind w:firstLine="643"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b/>
          <w:bCs/>
          <w:color w:val="000000"/>
          <w:kern w:val="0"/>
          <w:sz w:val="32"/>
          <w:szCs w:val="32"/>
          <w:shd w:val="clear" w:color="auto" w:fill="FFFFFF"/>
          <w:lang w:val="zh-CN"/>
        </w:rPr>
        <w:t>（一）部门预算总体绩效分析。</w:t>
      </w:r>
      <w:r>
        <w:rPr>
          <w:rFonts w:hint="eastAsia" w:ascii="仿宋" w:hAnsi="仿宋" w:eastAsia="仿宋" w:cs="仿宋"/>
          <w:color w:val="000000"/>
          <w:kern w:val="0"/>
          <w:sz w:val="32"/>
          <w:szCs w:val="32"/>
          <w:shd w:val="clear" w:color="auto" w:fill="FFFFFF"/>
          <w:lang w:val="zh-CN"/>
        </w:rPr>
        <w:t>根据部门预算绩效评价指标体系“总体绩效”涉及二、三级指标进行逐项绩效分析并评分，依次包括履职效能、预算管理、财务管理、资产管理、采购管理等情况。</w:t>
      </w:r>
    </w:p>
    <w:p>
      <w:pPr>
        <w:adjustRightInd w:val="0"/>
        <w:snapToGrid w:val="0"/>
        <w:spacing w:line="578" w:lineRule="exact"/>
        <w:ind w:firstLine="640" w:firstLineChars="200"/>
        <w:contextualSpacing/>
        <w:jc w:val="left"/>
        <w:rPr>
          <w:rFonts w:hint="eastAsia"/>
          <w:lang w:val="zh-CN" w:eastAsia="zh-CN"/>
        </w:rPr>
      </w:pPr>
      <w:r>
        <w:rPr>
          <w:rFonts w:hint="eastAsia" w:ascii="仿宋" w:hAnsi="仿宋" w:eastAsia="仿宋" w:cs="仿宋"/>
          <w:color w:val="000000"/>
          <w:kern w:val="0"/>
          <w:sz w:val="32"/>
          <w:szCs w:val="32"/>
          <w:shd w:val="clear" w:color="auto" w:fill="FFFFFF"/>
        </w:rPr>
        <w:t>1.</w:t>
      </w:r>
      <w:r>
        <w:rPr>
          <w:rFonts w:hint="eastAsia" w:ascii="仿宋" w:hAnsi="仿宋" w:eastAsia="仿宋" w:cs="仿宋"/>
          <w:color w:val="000000"/>
          <w:kern w:val="0"/>
          <w:sz w:val="32"/>
          <w:szCs w:val="32"/>
          <w:shd w:val="clear" w:color="auto" w:fill="FFFFFF"/>
          <w:lang w:val="zh-CN"/>
        </w:rPr>
        <w:t>履职效能。</w:t>
      </w:r>
      <w:r>
        <w:rPr>
          <w:rFonts w:hint="eastAsia" w:ascii="仿宋" w:hAnsi="仿宋" w:eastAsia="仿宋" w:cs="仿宋"/>
          <w:color w:val="000000"/>
          <w:kern w:val="0"/>
          <w:sz w:val="32"/>
          <w:szCs w:val="32"/>
        </w:rPr>
        <w:t>先后开展党建联建主题活动</w:t>
      </w:r>
      <w:r>
        <w:rPr>
          <w:rFonts w:hint="eastAsia" w:ascii="仿宋_GB2312" w:hAnsi="仿宋_GB2312" w:eastAsia="仿宋_GB2312" w:cs="仿宋_GB2312"/>
          <w:color w:val="000000"/>
          <w:kern w:val="0"/>
          <w:sz w:val="32"/>
          <w:szCs w:val="32"/>
        </w:rPr>
        <w:t>18场（次），党建联建会议11场（次）。党建联建廉洁教育1次。党建联建高埂课堂含儿童消防、儿童防溺水、老年居家安全、老年反诈、食品安全等10场次，覆盖400余人次；学习教育活动15场（次），覆盖600余人（次）。</w:t>
      </w:r>
      <w:r>
        <w:rPr>
          <w:rFonts w:hint="eastAsia" w:ascii="仿宋_GB2312" w:hAnsi="仿宋_GB2312" w:eastAsia="仿宋_GB2312" w:cs="仿宋_GB2312"/>
          <w:b/>
          <w:bCs/>
          <w:color w:val="000000"/>
          <w:kern w:val="0"/>
          <w:sz w:val="32"/>
          <w:szCs w:val="32"/>
        </w:rPr>
        <w:t>二是</w:t>
      </w:r>
      <w:r>
        <w:rPr>
          <w:rFonts w:hint="eastAsia" w:ascii="仿宋_GB2312" w:hAnsi="仿宋_GB2312" w:eastAsia="仿宋_GB2312" w:cs="仿宋_GB2312"/>
          <w:color w:val="000000"/>
          <w:kern w:val="0"/>
          <w:sz w:val="32"/>
          <w:szCs w:val="32"/>
        </w:rPr>
        <w:t>组织党务工作者参加学习培训3期、集中过政治生日1次、德阳监狱警示教育1次、党建考察学习4次。全年走访慰问党员81人次；发放支委补贴37人次，共72000元</w:t>
      </w:r>
      <w:r>
        <w:rPr>
          <w:rFonts w:hint="eastAsia" w:ascii="仿宋_GB2312" w:hAnsi="仿宋_GB2312" w:cs="仿宋_GB2312"/>
          <w:color w:val="000000"/>
          <w:kern w:val="0"/>
          <w:sz w:val="32"/>
          <w:szCs w:val="32"/>
          <w:lang w:val="en-US" w:eastAsia="zh-CN"/>
        </w:rPr>
        <w:t>.</w:t>
      </w:r>
      <w:r>
        <w:rPr>
          <w:rFonts w:hint="eastAsia" w:ascii="仿宋_GB2312" w:hAnsi="仿宋_GB2312" w:eastAsia="仿宋_GB2312" w:cs="仿宋_GB2312"/>
          <w:sz w:val="32"/>
          <w:szCs w:val="32"/>
        </w:rPr>
        <w:t>扎实推进“2025年纪念中国人民抗日战争暨世界反法西战争胜利80周年”系列活动，开展文艺汇演、诗书画摄影展等活动，共展出诗书画作品136幅，摄影作品120 幅</w:t>
      </w:r>
      <w:r>
        <w:rPr>
          <w:rFonts w:hint="eastAsia" w:ascii="仿宋_GB2312" w:hAnsi="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p>
    <w:p>
      <w:pPr>
        <w:pStyle w:val="39"/>
        <w:spacing w:line="576" w:lineRule="exact"/>
        <w:ind w:firstLine="640" w:firstLineChars="200"/>
        <w:rPr>
          <w:rFonts w:hint="eastAsia" w:ascii="仿宋" w:hAnsi="仿宋" w:eastAsia="仿宋" w:cs="宋体-18030"/>
          <w:sz w:val="32"/>
          <w:szCs w:val="32"/>
        </w:rPr>
      </w:pPr>
      <w:r>
        <w:rPr>
          <w:rFonts w:hint="eastAsia" w:ascii="仿宋" w:hAnsi="仿宋" w:eastAsia="仿宋" w:cs="仿宋"/>
          <w:sz w:val="32"/>
          <w:szCs w:val="32"/>
        </w:rPr>
        <w:t>严</w:t>
      </w:r>
      <w:r>
        <w:rPr>
          <w:rFonts w:hint="eastAsia" w:ascii="仿宋" w:hAnsi="仿宋" w:eastAsia="仿宋" w:cs="宋体-18030"/>
          <w:sz w:val="32"/>
          <w:szCs w:val="32"/>
        </w:rPr>
        <w:t>格按照预决算编制工作的相关要求，结合年度工作任务认真编制年度部门预算，按时报送了单位部门预算、决算，并顺利通过了财政局的审核，没有出现反复调整的情况。对绩效目标进行季度梳理和年度分析，及时上报相关报表；对专项预算进行细化，分科目上报，做到收支平衡。</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178" w:leftChars="0" w:firstLine="640" w:firstLineChars="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w:t>
      </w:r>
    </w:p>
    <w:p>
      <w:pPr>
        <w:adjustRightInd w:val="0"/>
        <w:snapToGrid w:val="0"/>
        <w:spacing w:line="578" w:lineRule="exact"/>
        <w:ind w:firstLine="640" w:firstLineChars="200"/>
        <w:contextualSpacing/>
        <w:jc w:val="left"/>
        <w:rPr>
          <w:rFonts w:hint="default" w:ascii="仿宋" w:hAnsi="仿宋" w:eastAsia="仿宋"/>
          <w:sz w:val="32"/>
          <w:szCs w:val="32"/>
        </w:rPr>
      </w:pPr>
      <w:r>
        <w:rPr>
          <w:rFonts w:hint="default" w:ascii="仿宋" w:hAnsi="仿宋" w:eastAsia="仿宋"/>
          <w:sz w:val="32"/>
          <w:szCs w:val="32"/>
        </w:rPr>
        <w:t>我</w:t>
      </w:r>
      <w:r>
        <w:rPr>
          <w:rFonts w:hint="eastAsia" w:ascii="仿宋" w:hAnsi="仿宋" w:eastAsia="仿宋"/>
          <w:sz w:val="32"/>
          <w:szCs w:val="32"/>
        </w:rPr>
        <w:t>所</w:t>
      </w:r>
      <w:r>
        <w:rPr>
          <w:rFonts w:hint="default" w:ascii="仿宋" w:hAnsi="仿宋" w:eastAsia="仿宋"/>
          <w:sz w:val="32"/>
          <w:szCs w:val="32"/>
        </w:rPr>
        <w:t>认真贯彻执行《会计法》、《会计基础工作规范》、《行政单位会计制度》等各类财务会计制度，</w:t>
      </w:r>
      <w:r>
        <w:rPr>
          <w:rFonts w:hint="eastAsia" w:ascii="仿宋" w:hAnsi="仿宋" w:eastAsia="仿宋"/>
          <w:sz w:val="32"/>
          <w:szCs w:val="32"/>
        </w:rPr>
        <w:t>逐步完善了财务管理制度、“三重一大”决策制度、财务报账审核制度、车辆管理制度以及公用房屋及财产管理规定等。</w:t>
      </w:r>
      <w:r>
        <w:rPr>
          <w:rFonts w:hint="default" w:ascii="仿宋" w:hAnsi="仿宋" w:eastAsia="仿宋"/>
          <w:sz w:val="32"/>
          <w:szCs w:val="32"/>
        </w:rPr>
        <w:t>按规定进行会计账簿和科目的设置，按规定设立银行账户，不断健全财务审批制度，实行单位主管财务领导审批制度，按规定进行报账记账，坚决杜绝账外账、多头开户、违规开户和违规使用资金的现象，不断加强财务管理，建立完善会计档案，不断规范了单位财务工作，保证了各类资金的合理有效使用</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178" w:leftChars="0" w:firstLine="640" w:firstLineChars="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我所制定了资产管理制度，明确了资产使用、处置等程序。资产交付使用后及时准确入账，资产的折旧计提符合相关会计规定。定期清理盘点资产、确保账实相符，资产纳入四川省行政事业单位资产管理信息系统动态管理。</w:t>
      </w:r>
    </w:p>
    <w:p>
      <w:pPr>
        <w:spacing w:before="0" w:after="0" w:line="468" w:lineRule="exact"/>
        <w:ind w:firstLine="510"/>
        <w:jc w:val="both"/>
        <w:rPr>
          <w:rFonts w:hint="eastAsia" w:ascii="仿宋" w:hAnsi="仿宋" w:eastAsia="仿宋" w:cs="仿宋"/>
          <w:sz w:val="32"/>
          <w:szCs w:val="32"/>
        </w:rPr>
      </w:pPr>
      <w:r>
        <w:rPr>
          <w:rFonts w:hint="eastAsia" w:ascii="仿宋" w:hAnsi="仿宋" w:eastAsia="仿宋" w:cs="仿宋"/>
          <w:b w:val="0"/>
          <w:i w:val="0"/>
          <w:color w:val="000000"/>
          <w:sz w:val="32"/>
          <w:szCs w:val="32"/>
          <w:u w:val="none"/>
        </w:rPr>
        <w:t>2025年度，我单位配置固定资产32.79万元。从资产类别分析，配置设备31.26万元，占95.32%；配置家具和用具1.54万元，占4.68%。从配置方式分析，新购32.79万元，占100.00%</w:t>
      </w:r>
      <w:r>
        <w:rPr>
          <w:rFonts w:hint="eastAsia" w:ascii="仿宋" w:hAnsi="仿宋" w:eastAsia="仿宋" w:cs="仿宋"/>
          <w:b w:val="0"/>
          <w:i w:val="0"/>
          <w:color w:val="000000"/>
          <w:sz w:val="32"/>
          <w:szCs w:val="32"/>
          <w:u w:val="none"/>
          <w:lang w:eastAsia="zh-CN"/>
        </w:rPr>
        <w:t>。</w:t>
      </w:r>
    </w:p>
    <w:p>
      <w:pPr>
        <w:spacing w:before="0" w:after="0" w:line="468" w:lineRule="exact"/>
        <w:jc w:val="both"/>
        <w:rPr>
          <w:rFonts w:hint="eastAsia" w:ascii="仿宋" w:hAnsi="仿宋" w:eastAsia="仿宋" w:cs="仿宋"/>
          <w:b w:val="0"/>
          <w:i w:val="0"/>
          <w:color w:val="000000"/>
          <w:sz w:val="32"/>
          <w:szCs w:val="32"/>
          <w:u w:val="none"/>
        </w:rPr>
      </w:pPr>
      <w:r>
        <w:rPr>
          <w:rFonts w:hint="eastAsia" w:ascii="仿宋" w:hAnsi="仿宋" w:eastAsia="仿宋" w:cs="仿宋"/>
          <w:b w:val="0"/>
          <w:i w:val="0"/>
          <w:color w:val="000000"/>
          <w:sz w:val="32"/>
          <w:szCs w:val="32"/>
          <w:u w:val="none"/>
        </w:rPr>
        <w:t>配置在建工程97.48万元。</w:t>
      </w:r>
    </w:p>
    <w:p>
      <w:pPr>
        <w:pStyle w:val="2"/>
        <w:keepNext w:val="0"/>
        <w:keepLines w:val="0"/>
        <w:pageBreakBefore w:val="0"/>
        <w:widowControl w:val="0"/>
        <w:kinsoku/>
        <w:wordWrap/>
        <w:overflowPunct/>
        <w:topLinePunct w:val="0"/>
        <w:autoSpaceDE/>
        <w:autoSpaceDN/>
        <w:bidi w:val="0"/>
        <w:adjustRightInd/>
        <w:snapToGrid/>
        <w:spacing w:line="468" w:lineRule="exact"/>
        <w:ind w:left="0" w:leftChars="0" w:firstLine="598" w:firstLineChars="187"/>
        <w:textAlignment w:val="auto"/>
        <w:rPr>
          <w:rFonts w:hint="eastAsia" w:ascii="仿宋" w:hAnsi="仿宋" w:eastAsia="仿宋" w:cs="仿宋"/>
          <w:b w:val="0"/>
          <w:i w:val="0"/>
          <w:color w:val="000000"/>
          <w:sz w:val="32"/>
          <w:szCs w:val="32"/>
          <w:u w:val="none"/>
          <w:lang w:eastAsia="zh-CN"/>
        </w:rPr>
      </w:pPr>
      <w:r>
        <w:rPr>
          <w:rFonts w:hint="eastAsia" w:ascii="仿宋" w:hAnsi="仿宋" w:eastAsia="仿宋" w:cs="仿宋"/>
          <w:b w:val="0"/>
          <w:i w:val="0"/>
          <w:color w:val="000000"/>
          <w:sz w:val="32"/>
          <w:szCs w:val="32"/>
          <w:u w:val="none"/>
        </w:rPr>
        <w:t>2025年度，我单位处置资产19.84万元。从资产类别分析,固定资产19.84万元，占100.00%；报废19.84万元，占100.00%</w:t>
      </w:r>
      <w:r>
        <w:rPr>
          <w:rFonts w:hint="eastAsia" w:ascii="仿宋" w:hAnsi="仿宋" w:eastAsia="仿宋" w:cs="仿宋"/>
          <w:b w:val="0"/>
          <w:i w:val="0"/>
          <w:color w:val="000000"/>
          <w:sz w:val="32"/>
          <w:szCs w:val="32"/>
          <w:u w:val="none"/>
          <w:lang w:eastAsia="zh-CN"/>
        </w:rPr>
        <w:t>。</w:t>
      </w:r>
    </w:p>
    <w:p>
      <w:pPr>
        <w:pStyle w:val="3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200" w:right="0" w:rightChars="0" w:firstLine="321" w:firstLineChars="100"/>
        <w:jc w:val="both"/>
        <w:textAlignment w:val="auto"/>
        <w:rPr>
          <w:rFonts w:hint="default" w:ascii="仿宋" w:hAnsi="仿宋" w:eastAsia="仿宋" w:cs="仿宋"/>
          <w:kern w:val="0"/>
          <w:sz w:val="32"/>
          <w:szCs w:val="32"/>
          <w:shd w:val="clear" w:color="auto" w:fill="FFFFFF"/>
          <w:lang w:val="en-US" w:eastAsia="zh-CN"/>
        </w:rPr>
      </w:pPr>
      <w:r>
        <w:rPr>
          <w:rFonts w:hint="eastAsia" w:ascii="仿宋" w:hAnsi="仿宋" w:eastAsia="仿宋" w:cs="仿宋"/>
          <w:b/>
          <w:bCs/>
          <w:kern w:val="0"/>
          <w:sz w:val="32"/>
          <w:szCs w:val="32"/>
          <w:shd w:val="clear" w:color="auto" w:fill="FFFFFF"/>
          <w:lang w:val="en-US" w:eastAsia="zh-CN"/>
        </w:rPr>
        <w:t>5.采购管理</w:t>
      </w:r>
    </w:p>
    <w:p>
      <w:pPr>
        <w:pStyle w:val="3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firstLine="640" w:firstLineChars="200"/>
        <w:jc w:val="both"/>
        <w:textAlignment w:val="auto"/>
        <w:rPr>
          <w:rFonts w:hint="default" w:ascii="仿宋" w:hAnsi="仿宋" w:eastAsia="仿宋" w:cs="仿宋"/>
          <w:kern w:val="0"/>
          <w:sz w:val="32"/>
          <w:szCs w:val="32"/>
          <w:shd w:val="clear" w:color="auto" w:fill="FFFFFF"/>
          <w:lang w:val="en-US" w:eastAsia="zh-CN"/>
        </w:rPr>
      </w:pPr>
      <w:r>
        <w:rPr>
          <w:rFonts w:hint="eastAsia" w:ascii="仿宋" w:hAnsi="仿宋" w:eastAsia="仿宋"/>
          <w:sz w:val="32"/>
          <w:szCs w:val="32"/>
        </w:rPr>
        <w:t>我所政府采购预算编制做到应编尽编，严格按照规定进行政府采购计划备案，及时支付资金，不存在无预算采购、超预算采购的情况。我所严格按照法定采购方式和程序实施采购，不存在拆分项目预算规避政府采购或公开招标的情况。</w:t>
      </w:r>
    </w:p>
    <w:p>
      <w:pPr>
        <w:keepNext w:val="0"/>
        <w:keepLines w:val="0"/>
        <w:pageBreakBefore w:val="0"/>
        <w:widowControl w:val="0"/>
        <w:numPr>
          <w:ilvl w:val="0"/>
          <w:numId w:val="3"/>
        </w:numPr>
        <w:kinsoku/>
        <w:wordWrap/>
        <w:overflowPunct/>
        <w:topLinePunct w:val="0"/>
        <w:autoSpaceDE/>
        <w:autoSpaceDN/>
        <w:bidi w:val="0"/>
        <w:adjustRightInd w:val="0"/>
        <w:snapToGrid w:val="0"/>
        <w:spacing w:line="578" w:lineRule="exact"/>
        <w:ind w:left="0" w:leftChars="0"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部门预算项目绩效分析。</w:t>
      </w:r>
    </w:p>
    <w:p>
      <w:pPr>
        <w:adjustRightInd w:val="0"/>
        <w:snapToGrid w:val="0"/>
        <w:spacing w:line="578"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rPr>
        <w:t>常年项目绩效分析。</w:t>
      </w:r>
      <w:r>
        <w:rPr>
          <w:rFonts w:hint="eastAsia" w:ascii="仿宋" w:hAnsi="仿宋" w:eastAsia="仿宋" w:cs="仿宋"/>
          <w:color w:val="000000"/>
          <w:kern w:val="0"/>
          <w:sz w:val="32"/>
          <w:szCs w:val="32"/>
          <w:shd w:val="clear" w:color="auto" w:fill="FFFFFF"/>
          <w:lang w:val="zh-CN"/>
        </w:rPr>
        <w:t>该类项目总数</w:t>
      </w:r>
      <w:r>
        <w:rPr>
          <w:rFonts w:hint="eastAsia" w:ascii="仿宋" w:hAnsi="仿宋" w:eastAsia="仿宋" w:cs="仿宋"/>
          <w:color w:val="000000"/>
          <w:kern w:val="0"/>
          <w:sz w:val="32"/>
          <w:szCs w:val="32"/>
          <w:shd w:val="clear" w:color="auto" w:fill="FFFFFF"/>
          <w:lang w:val="en-US" w:eastAsia="zh-CN"/>
        </w:rPr>
        <w:t>6</w:t>
      </w:r>
      <w:r>
        <w:rPr>
          <w:rFonts w:hint="eastAsia" w:ascii="仿宋" w:hAnsi="仿宋" w:eastAsia="仿宋" w:cs="仿宋"/>
          <w:color w:val="000000"/>
          <w:kern w:val="0"/>
          <w:sz w:val="32"/>
          <w:szCs w:val="32"/>
          <w:shd w:val="clear" w:color="auto" w:fill="FFFFFF"/>
          <w:lang w:val="zh-CN"/>
        </w:rPr>
        <w:t>个，涉及预算总金额</w:t>
      </w:r>
      <w:r>
        <w:rPr>
          <w:rFonts w:hint="eastAsia" w:ascii="仿宋" w:hAnsi="仿宋" w:eastAsia="仿宋" w:cs="仿宋"/>
          <w:color w:val="000000"/>
          <w:kern w:val="0"/>
          <w:sz w:val="32"/>
          <w:szCs w:val="32"/>
          <w:shd w:val="clear" w:color="auto" w:fill="FFFFFF"/>
          <w:lang w:val="en-US" w:eastAsia="zh-CN"/>
        </w:rPr>
        <w:t>142.5</w:t>
      </w:r>
      <w:r>
        <w:rPr>
          <w:rFonts w:hint="eastAsia" w:ascii="仿宋" w:hAnsi="仿宋" w:eastAsia="仿宋" w:cs="仿宋"/>
          <w:color w:val="000000"/>
          <w:kern w:val="0"/>
          <w:sz w:val="32"/>
          <w:szCs w:val="32"/>
          <w:shd w:val="clear" w:color="auto" w:fill="FFFFFF"/>
          <w:lang w:val="zh-CN"/>
        </w:rPr>
        <w:t>万元，1—1</w:t>
      </w:r>
      <w:r>
        <w:rPr>
          <w:rFonts w:hint="eastAsia" w:ascii="仿宋" w:hAnsi="仿宋" w:eastAsia="仿宋" w:cs="仿宋"/>
          <w:color w:val="000000"/>
          <w:kern w:val="0"/>
          <w:sz w:val="32"/>
          <w:szCs w:val="32"/>
          <w:shd w:val="clear" w:color="auto" w:fill="FFFFFF"/>
        </w:rPr>
        <w:t>2</w:t>
      </w:r>
      <w:r>
        <w:rPr>
          <w:rFonts w:hint="eastAsia" w:ascii="仿宋" w:hAnsi="仿宋" w:eastAsia="仿宋" w:cs="仿宋"/>
          <w:color w:val="000000"/>
          <w:kern w:val="0"/>
          <w:sz w:val="32"/>
          <w:szCs w:val="32"/>
          <w:shd w:val="clear" w:color="auto" w:fill="FFFFFF"/>
          <w:lang w:val="zh-CN"/>
        </w:rPr>
        <w:t>月预算执行总体进度为</w:t>
      </w:r>
      <w:r>
        <w:rPr>
          <w:rFonts w:hint="eastAsia" w:ascii="仿宋" w:hAnsi="仿宋" w:eastAsia="仿宋" w:cs="仿宋"/>
          <w:color w:val="000000"/>
          <w:kern w:val="0"/>
          <w:sz w:val="32"/>
          <w:szCs w:val="32"/>
          <w:shd w:val="clear" w:color="auto" w:fill="FFFFFF"/>
          <w:lang w:val="en-US" w:eastAsia="zh-CN"/>
        </w:rPr>
        <w:t>141.28</w:t>
      </w:r>
      <w:r>
        <w:rPr>
          <w:rFonts w:hint="eastAsia" w:ascii="仿宋" w:hAnsi="仿宋" w:eastAsia="仿宋" w:cs="仿宋"/>
          <w:color w:val="000000"/>
          <w:kern w:val="0"/>
          <w:sz w:val="32"/>
          <w:szCs w:val="32"/>
          <w:shd w:val="clear" w:color="auto" w:fill="FFFFFF"/>
          <w:lang w:val="zh-CN"/>
        </w:rPr>
        <w:t>%，其中：预算结余率大于</w:t>
      </w:r>
      <w:r>
        <w:rPr>
          <w:rFonts w:hint="eastAsia" w:ascii="仿宋" w:hAnsi="仿宋" w:eastAsia="仿宋" w:cs="仿宋"/>
          <w:color w:val="000000"/>
          <w:kern w:val="0"/>
          <w:sz w:val="32"/>
          <w:szCs w:val="32"/>
          <w:shd w:val="clear" w:color="auto" w:fill="FFFFFF"/>
        </w:rPr>
        <w:t>10%</w:t>
      </w:r>
      <w:r>
        <w:rPr>
          <w:rFonts w:hint="eastAsia" w:ascii="仿宋" w:hAnsi="仿宋" w:eastAsia="仿宋" w:cs="仿宋"/>
          <w:color w:val="000000"/>
          <w:kern w:val="0"/>
          <w:sz w:val="32"/>
          <w:szCs w:val="32"/>
          <w:shd w:val="clear" w:color="auto" w:fill="FFFFFF"/>
          <w:lang w:val="zh-CN"/>
        </w:rPr>
        <w:t>的项目共计</w:t>
      </w:r>
      <w:r>
        <w:rPr>
          <w:rFonts w:hint="eastAsia" w:ascii="仿宋" w:hAnsi="仿宋" w:eastAsia="仿宋" w:cs="仿宋"/>
          <w:color w:val="000000"/>
          <w:kern w:val="0"/>
          <w:sz w:val="32"/>
          <w:szCs w:val="32"/>
          <w:shd w:val="clear" w:color="auto" w:fill="FFFFFF"/>
          <w:lang w:val="en-US" w:eastAsia="zh-CN"/>
        </w:rPr>
        <w:t>0</w:t>
      </w:r>
      <w:r>
        <w:rPr>
          <w:rFonts w:hint="eastAsia" w:ascii="仿宋" w:hAnsi="仿宋" w:eastAsia="仿宋" w:cs="仿宋"/>
          <w:color w:val="000000"/>
          <w:kern w:val="0"/>
          <w:sz w:val="32"/>
          <w:szCs w:val="32"/>
          <w:shd w:val="clear" w:color="auto" w:fill="FFFFFF"/>
          <w:lang w:val="zh-CN"/>
        </w:rPr>
        <w:t>个。</w:t>
      </w:r>
    </w:p>
    <w:p>
      <w:pPr>
        <w:adjustRightInd w:val="0"/>
        <w:snapToGrid w:val="0"/>
        <w:spacing w:line="578" w:lineRule="exact"/>
        <w:ind w:firstLine="640" w:firstLineChars="200"/>
        <w:contextualSpacing/>
        <w:jc w:val="left"/>
        <w:rPr>
          <w:rFonts w:hint="eastAsia" w:ascii="仿宋" w:hAnsi="仿宋" w:eastAsia="仿宋" w:cs="仿宋"/>
          <w:color w:val="000000"/>
          <w:kern w:val="0"/>
          <w:sz w:val="32"/>
          <w:szCs w:val="32"/>
          <w:shd w:val="clear" w:color="auto" w:fill="FFFFFF"/>
          <w:lang w:val="en-US" w:eastAsia="zh-CN"/>
        </w:rPr>
      </w:pPr>
      <w:r>
        <w:rPr>
          <w:rFonts w:hint="eastAsia" w:ascii="仿宋" w:hAnsi="仿宋" w:eastAsia="仿宋" w:cs="仿宋"/>
          <w:color w:val="000000"/>
          <w:kern w:val="0"/>
          <w:sz w:val="32"/>
          <w:szCs w:val="32"/>
          <w:shd w:val="clear" w:color="auto" w:fill="FFFFFF"/>
        </w:rPr>
        <w:t>阶段（含一次性）项目绩效分析。</w:t>
      </w:r>
      <w:r>
        <w:rPr>
          <w:rFonts w:hint="eastAsia" w:ascii="仿宋" w:hAnsi="仿宋" w:eastAsia="仿宋" w:cs="仿宋"/>
          <w:color w:val="000000"/>
          <w:kern w:val="0"/>
          <w:sz w:val="32"/>
          <w:szCs w:val="32"/>
          <w:shd w:val="clear" w:color="auto" w:fill="FFFFFF"/>
          <w:lang w:val="zh-CN"/>
        </w:rPr>
        <w:t>该类项目总数</w:t>
      </w:r>
      <w:r>
        <w:rPr>
          <w:rFonts w:hint="eastAsia" w:ascii="仿宋" w:hAnsi="仿宋" w:eastAsia="仿宋" w:cs="仿宋"/>
          <w:color w:val="000000"/>
          <w:kern w:val="0"/>
          <w:sz w:val="32"/>
          <w:szCs w:val="32"/>
          <w:shd w:val="clear" w:color="auto" w:fill="FFFFFF"/>
          <w:lang w:val="en-US" w:eastAsia="zh-CN"/>
        </w:rPr>
        <w:t>2</w:t>
      </w:r>
      <w:r>
        <w:rPr>
          <w:rFonts w:hint="eastAsia" w:ascii="仿宋" w:hAnsi="仿宋" w:eastAsia="仿宋" w:cs="仿宋"/>
          <w:color w:val="000000"/>
          <w:kern w:val="0"/>
          <w:sz w:val="32"/>
          <w:szCs w:val="32"/>
          <w:shd w:val="clear" w:color="auto" w:fill="FFFFFF"/>
          <w:lang w:val="zh-CN"/>
        </w:rPr>
        <w:t>个，</w:t>
      </w:r>
      <w:r>
        <w:rPr>
          <w:rFonts w:hint="eastAsia" w:ascii="仿宋" w:hAnsi="仿宋" w:eastAsia="仿宋" w:cs="仿宋"/>
          <w:color w:val="000000"/>
          <w:kern w:val="0"/>
          <w:sz w:val="32"/>
          <w:szCs w:val="32"/>
          <w:shd w:val="clear" w:color="auto" w:fill="FFFFFF"/>
          <w:lang w:val="en-US" w:eastAsia="zh-CN"/>
        </w:rPr>
        <w:t>分别为1号楼装修费350万元和追加公务用车购置费25万元。</w:t>
      </w:r>
      <w:r>
        <w:rPr>
          <w:rFonts w:hint="eastAsia" w:ascii="仿宋" w:hAnsi="仿宋" w:eastAsia="仿宋" w:cs="仿宋"/>
          <w:color w:val="000000"/>
          <w:kern w:val="0"/>
          <w:sz w:val="32"/>
          <w:szCs w:val="32"/>
          <w:shd w:val="clear" w:color="auto" w:fill="FFFFFF"/>
          <w:lang w:val="zh-CN"/>
        </w:rPr>
        <w:t>涉及预算总金额</w:t>
      </w:r>
      <w:r>
        <w:rPr>
          <w:rFonts w:hint="eastAsia" w:ascii="仿宋" w:hAnsi="仿宋" w:eastAsia="仿宋" w:cs="仿宋"/>
          <w:color w:val="000000"/>
          <w:kern w:val="0"/>
          <w:sz w:val="32"/>
          <w:szCs w:val="32"/>
          <w:shd w:val="clear" w:color="auto" w:fill="FFFFFF"/>
          <w:lang w:val="en-US" w:eastAsia="zh-CN"/>
        </w:rPr>
        <w:t>375</w:t>
      </w:r>
      <w:r>
        <w:rPr>
          <w:rFonts w:hint="eastAsia" w:ascii="仿宋" w:hAnsi="仿宋" w:eastAsia="仿宋" w:cs="仿宋"/>
          <w:color w:val="000000"/>
          <w:kern w:val="0"/>
          <w:sz w:val="32"/>
          <w:szCs w:val="32"/>
          <w:shd w:val="clear" w:color="auto" w:fill="FFFFFF"/>
          <w:lang w:val="zh-CN"/>
        </w:rPr>
        <w:t>万元，1—1</w:t>
      </w:r>
      <w:r>
        <w:rPr>
          <w:rFonts w:hint="eastAsia" w:ascii="仿宋" w:hAnsi="仿宋" w:eastAsia="仿宋" w:cs="仿宋"/>
          <w:color w:val="000000"/>
          <w:kern w:val="0"/>
          <w:sz w:val="32"/>
          <w:szCs w:val="32"/>
          <w:shd w:val="clear" w:color="auto" w:fill="FFFFFF"/>
        </w:rPr>
        <w:t>2</w:t>
      </w:r>
      <w:r>
        <w:rPr>
          <w:rFonts w:hint="eastAsia" w:ascii="仿宋" w:hAnsi="仿宋" w:eastAsia="仿宋" w:cs="仿宋"/>
          <w:color w:val="000000"/>
          <w:kern w:val="0"/>
          <w:sz w:val="32"/>
          <w:szCs w:val="32"/>
          <w:shd w:val="clear" w:color="auto" w:fill="FFFFFF"/>
          <w:lang w:val="zh-CN"/>
        </w:rPr>
        <w:t>月预算执行总体进度为</w:t>
      </w:r>
      <w:r>
        <w:rPr>
          <w:rFonts w:hint="eastAsia" w:ascii="仿宋" w:hAnsi="仿宋" w:eastAsia="仿宋" w:cs="仿宋"/>
          <w:color w:val="000000"/>
          <w:kern w:val="0"/>
          <w:sz w:val="32"/>
          <w:szCs w:val="32"/>
          <w:shd w:val="clear" w:color="auto" w:fill="FFFFFF"/>
          <w:lang w:val="en-US" w:eastAsia="zh-CN"/>
        </w:rPr>
        <w:t>122.3</w:t>
      </w:r>
      <w:r>
        <w:rPr>
          <w:rFonts w:hint="eastAsia" w:ascii="仿宋" w:hAnsi="仿宋" w:eastAsia="仿宋" w:cs="仿宋"/>
          <w:color w:val="000000"/>
          <w:kern w:val="0"/>
          <w:sz w:val="32"/>
          <w:szCs w:val="32"/>
          <w:shd w:val="clear" w:color="auto" w:fill="FFFFFF"/>
          <w:lang w:val="zh-CN"/>
        </w:rPr>
        <w:t>%，其中：预算结余率大于</w:t>
      </w:r>
      <w:r>
        <w:rPr>
          <w:rFonts w:hint="eastAsia" w:ascii="仿宋" w:hAnsi="仿宋" w:eastAsia="仿宋" w:cs="仿宋"/>
          <w:color w:val="000000"/>
          <w:kern w:val="0"/>
          <w:sz w:val="32"/>
          <w:szCs w:val="32"/>
          <w:shd w:val="clear" w:color="auto" w:fill="FFFFFF"/>
        </w:rPr>
        <w:t>10%</w:t>
      </w:r>
      <w:r>
        <w:rPr>
          <w:rFonts w:hint="eastAsia" w:ascii="仿宋" w:hAnsi="仿宋" w:eastAsia="仿宋" w:cs="仿宋"/>
          <w:color w:val="000000"/>
          <w:kern w:val="0"/>
          <w:sz w:val="32"/>
          <w:szCs w:val="32"/>
          <w:shd w:val="clear" w:color="auto" w:fill="FFFFFF"/>
          <w:lang w:val="zh-CN"/>
        </w:rPr>
        <w:t>的项目共计</w:t>
      </w:r>
      <w:r>
        <w:rPr>
          <w:rFonts w:hint="eastAsia" w:ascii="仿宋" w:hAnsi="仿宋" w:eastAsia="仿宋" w:cs="仿宋"/>
          <w:color w:val="000000"/>
          <w:kern w:val="0"/>
          <w:sz w:val="32"/>
          <w:szCs w:val="32"/>
          <w:shd w:val="clear" w:color="auto" w:fill="FFFFFF"/>
          <w:lang w:val="en-US" w:eastAsia="zh-CN"/>
        </w:rPr>
        <w:t>1</w:t>
      </w:r>
      <w:r>
        <w:rPr>
          <w:rFonts w:hint="eastAsia" w:ascii="仿宋" w:hAnsi="仿宋" w:eastAsia="仿宋" w:cs="仿宋"/>
          <w:color w:val="000000"/>
          <w:kern w:val="0"/>
          <w:sz w:val="32"/>
          <w:szCs w:val="32"/>
          <w:shd w:val="clear" w:color="auto" w:fill="FFFFFF"/>
          <w:lang w:val="zh-CN"/>
        </w:rPr>
        <w:t>个。</w:t>
      </w:r>
      <w:r>
        <w:rPr>
          <w:rFonts w:hint="eastAsia" w:ascii="仿宋" w:hAnsi="仿宋" w:eastAsia="仿宋" w:cs="仿宋"/>
          <w:color w:val="000000"/>
          <w:kern w:val="0"/>
          <w:sz w:val="32"/>
          <w:szCs w:val="32"/>
          <w:shd w:val="clear" w:color="auto" w:fill="FFFFFF"/>
          <w:lang w:val="en-US" w:eastAsia="zh-CN"/>
        </w:rPr>
        <w:t>主要是1号楼装修，为跨年项目，需在2026年继续推进。</w:t>
      </w:r>
    </w:p>
    <w:p>
      <w:pPr>
        <w:pStyle w:val="37"/>
        <w:keepNext w:val="0"/>
        <w:keepLines w:val="0"/>
        <w:pageBreakBefore w:val="0"/>
        <w:widowControl/>
        <w:suppressLineNumbers w:val="0"/>
        <w:shd w:val="clear" w:color="auto" w:fill="FFFFFF"/>
        <w:kinsoku/>
        <w:wordWrap/>
        <w:overflowPunct/>
        <w:topLinePunct w:val="0"/>
        <w:autoSpaceDE/>
        <w:autoSpaceDN/>
        <w:bidi w:val="0"/>
        <w:adjustRightInd/>
        <w:snapToGrid/>
        <w:spacing w:line="578" w:lineRule="exact"/>
        <w:ind w:left="0"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shd w:val="clear" w:color="auto" w:fill="FFFFFF"/>
          <w:lang w:val="en-US" w:eastAsia="zh-CN"/>
        </w:rPr>
        <w:t>本单位部门预算项目均为常规保运转项目，无专项项目。</w:t>
      </w:r>
      <w:r>
        <w:rPr>
          <w:rFonts w:hint="eastAsia" w:ascii="仿宋" w:hAnsi="仿宋" w:eastAsia="仿宋" w:cs="仿宋"/>
          <w:kern w:val="0"/>
          <w:sz w:val="32"/>
          <w:szCs w:val="32"/>
          <w:shd w:val="clear" w:color="auto" w:fill="FFFFFF"/>
        </w:rPr>
        <w:t>202</w:t>
      </w:r>
      <w:r>
        <w:rPr>
          <w:rFonts w:hint="eastAsia" w:ascii="仿宋" w:hAnsi="仿宋" w:eastAsia="仿宋" w:cs="仿宋"/>
          <w:kern w:val="0"/>
          <w:sz w:val="32"/>
          <w:szCs w:val="32"/>
          <w:shd w:val="clear" w:color="auto" w:fill="FFFFFF"/>
          <w:lang w:val="en-US" w:eastAsia="zh-CN"/>
        </w:rPr>
        <w:t>5</w:t>
      </w:r>
      <w:r>
        <w:rPr>
          <w:rFonts w:hint="eastAsia" w:ascii="仿宋" w:hAnsi="仿宋" w:eastAsia="仿宋" w:cs="仿宋"/>
          <w:kern w:val="0"/>
          <w:sz w:val="32"/>
          <w:szCs w:val="32"/>
          <w:shd w:val="clear" w:color="auto" w:fill="FFFFFF"/>
        </w:rPr>
        <w:t>年初项目经费预算为</w:t>
      </w:r>
      <w:r>
        <w:rPr>
          <w:rFonts w:hint="eastAsia" w:ascii="仿宋" w:hAnsi="仿宋" w:eastAsia="仿宋" w:cs="仿宋"/>
          <w:kern w:val="0"/>
          <w:sz w:val="32"/>
          <w:szCs w:val="32"/>
          <w:shd w:val="clear" w:color="auto" w:fill="FFFFFF"/>
          <w:lang w:val="en-US" w:eastAsia="zh-CN"/>
        </w:rPr>
        <w:t>492.5</w:t>
      </w:r>
      <w:r>
        <w:rPr>
          <w:rFonts w:hint="eastAsia" w:ascii="仿宋" w:hAnsi="仿宋" w:eastAsia="仿宋" w:cs="仿宋"/>
          <w:kern w:val="0"/>
          <w:sz w:val="32"/>
          <w:szCs w:val="32"/>
          <w:shd w:val="clear" w:color="auto" w:fill="FFFFFF"/>
        </w:rPr>
        <w:t>万元，</w:t>
      </w:r>
      <w:r>
        <w:rPr>
          <w:rFonts w:hint="eastAsia" w:ascii="仿宋" w:hAnsi="仿宋" w:eastAsia="仿宋" w:cs="仿宋"/>
          <w:kern w:val="0"/>
          <w:sz w:val="32"/>
          <w:szCs w:val="32"/>
          <w:shd w:val="clear" w:color="auto" w:fill="FFFFFF"/>
          <w:lang w:val="en-US" w:eastAsia="zh-CN"/>
        </w:rPr>
        <w:t>各预算项目均按年初预算正常推进并完成，如中心运行费、摄影活动工作经费、诗书画工作经费和服务中心老干部活动费等保障了活动中心正常运转及各协会、老干部大学、离退休老干部活动的正常开展，让老干部感受到了党和国家的关心关爱，并积极建言献策，为党和国家的建设事业添砖加瓦、发挥余热。物业管理费、维修维护费和变压器维修费等都为活动中心安全及设施设备安全保驾护航，为老干部提供了安全、舒适整洁的活动环境。</w:t>
      </w:r>
      <w:r>
        <w:rPr>
          <w:rFonts w:hint="eastAsia" w:ascii="仿宋" w:hAnsi="仿宋" w:eastAsia="仿宋" w:cs="仿宋"/>
          <w:kern w:val="0"/>
          <w:sz w:val="32"/>
          <w:szCs w:val="32"/>
        </w:rPr>
        <w:t>本年预算指标的拨付能严格按照国库集中支付制度及本单位工作计划拨付资金。</w:t>
      </w:r>
    </w:p>
    <w:p>
      <w:pPr>
        <w:pStyle w:val="16"/>
        <w:widowControl/>
        <w:numPr>
          <w:ilvl w:val="0"/>
          <w:numId w:val="3"/>
        </w:numPr>
        <w:shd w:val="clear" w:color="auto" w:fill="FFFFFF"/>
        <w:spacing w:line="576" w:lineRule="exact"/>
        <w:ind w:left="0" w:leftChars="0" w:firstLine="643" w:firstLineChars="200"/>
        <w:rPr>
          <w:rFonts w:hint="eastAsia" w:ascii="仿宋_GB2312" w:hAnsi="仿宋_GB2312" w:eastAsia="仿宋_GB2312" w:cs="仿宋_GB2312"/>
          <w:color w:val="000000"/>
          <w:sz w:val="32"/>
          <w:szCs w:val="32"/>
          <w:u w:val="none" w:color="000000"/>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 w:hAnsi="仿宋" w:eastAsia="仿宋" w:cs="仿宋"/>
          <w:color w:val="000000"/>
          <w:sz w:val="32"/>
          <w:szCs w:val="32"/>
          <w:u w:val="none" w:color="000000"/>
        </w:rPr>
        <w:t>绩效</w:t>
      </w:r>
      <w:r>
        <w:rPr>
          <w:rFonts w:hint="eastAsia" w:ascii="仿宋" w:hAnsi="仿宋" w:eastAsia="仿宋" w:cs="仿宋_GB2312"/>
          <w:color w:val="000000"/>
          <w:sz w:val="32"/>
          <w:szCs w:val="32"/>
          <w:u w:val="none" w:color="000000"/>
        </w:rPr>
        <w:t>管理严格按照上级部门要求，开展自评工作，对评价结果及时总结上报，用于指导下一步工作的开展</w:t>
      </w:r>
      <w:r>
        <w:rPr>
          <w:rFonts w:hint="eastAsia" w:ascii="仿宋_GB2312" w:hAnsi="仿宋_GB2312" w:eastAsia="仿宋_GB2312" w:cs="仿宋_GB2312"/>
          <w:color w:val="000000"/>
          <w:sz w:val="32"/>
          <w:szCs w:val="32"/>
          <w:u w:val="none" w:color="000000"/>
        </w:rPr>
        <w:t>。</w:t>
      </w:r>
    </w:p>
    <w:p>
      <w:pPr>
        <w:pStyle w:val="16"/>
        <w:widowControl/>
        <w:numPr>
          <w:ilvl w:val="0"/>
          <w:numId w:val="0"/>
        </w:numPr>
        <w:shd w:val="clear" w:color="auto" w:fill="FFFFFF"/>
        <w:spacing w:line="576" w:lineRule="exact"/>
        <w:ind w:firstLine="960" w:firstLineChars="300"/>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pStyle w:val="16"/>
        <w:widowControl/>
        <w:shd w:val="clear" w:color="auto" w:fill="FFFFFF"/>
        <w:spacing w:line="576" w:lineRule="exact"/>
        <w:ind w:firstLine="720"/>
        <w:rPr>
          <w:rFonts w:hint="eastAsia" w:ascii="仿宋" w:hAnsi="仿宋" w:eastAsia="仿宋" w:cs="仿宋_GB2312"/>
          <w:color w:val="000000"/>
          <w:sz w:val="32"/>
          <w:szCs w:val="32"/>
          <w:u w:val="none" w:color="000000"/>
        </w:rPr>
      </w:pPr>
      <w:r>
        <w:rPr>
          <w:rFonts w:hint="eastAsia" w:ascii="仿宋" w:hAnsi="仿宋" w:eastAsia="仿宋" w:cs="仿宋"/>
          <w:b/>
          <w:bCs/>
          <w:color w:val="000000"/>
          <w:kern w:val="0"/>
          <w:sz w:val="32"/>
          <w:szCs w:val="32"/>
          <w:shd w:val="clear" w:color="auto" w:fill="FFFFFF"/>
          <w:lang w:val="zh-CN"/>
        </w:rPr>
        <w:t>（一）评价结论</w:t>
      </w:r>
      <w:r>
        <w:rPr>
          <w:rFonts w:eastAsia="楷体_GB2312"/>
          <w:b/>
          <w:bCs/>
          <w:color w:val="000000"/>
          <w:kern w:val="0"/>
          <w:szCs w:val="32"/>
          <w:shd w:val="clear" w:color="auto" w:fill="FFFFFF"/>
          <w:lang w:val="zh-CN"/>
        </w:rPr>
        <w:t>。</w:t>
      </w:r>
      <w:r>
        <w:rPr>
          <w:rFonts w:hint="eastAsia" w:ascii="仿宋" w:hAnsi="仿宋" w:eastAsia="仿宋" w:cs="仿宋_GB2312"/>
          <w:color w:val="000000"/>
          <w:sz w:val="32"/>
          <w:szCs w:val="32"/>
          <w:u w:val="none" w:color="000000"/>
        </w:rPr>
        <w:t>阿坝州都江堰老干部休养所预算执行情况良好，无不良记录及违规违纪行为，预算支出和决算支出情况相符。</w:t>
      </w:r>
    </w:p>
    <w:p>
      <w:pPr>
        <w:pStyle w:val="16"/>
        <w:widowControl/>
        <w:shd w:val="clear" w:color="auto" w:fill="FFFFFF"/>
        <w:spacing w:line="576" w:lineRule="exact"/>
        <w:ind w:firstLine="720"/>
        <w:rPr>
          <w:rFonts w:hint="eastAsia" w:ascii="仿宋_GB2312" w:hAnsi="仿宋_GB2312" w:eastAsia="仿宋_GB2312" w:cs="仿宋_GB2312"/>
          <w:color w:val="000000"/>
          <w:sz w:val="32"/>
          <w:szCs w:val="32"/>
          <w:u w:val="none" w:color="000000"/>
        </w:rPr>
      </w:pPr>
      <w:r>
        <w:rPr>
          <w:rFonts w:hint="eastAsia" w:ascii="仿宋" w:hAnsi="仿宋" w:eastAsia="仿宋" w:cs="仿宋"/>
          <w:b/>
          <w:bCs/>
          <w:color w:val="000000"/>
          <w:kern w:val="0"/>
          <w:sz w:val="32"/>
          <w:szCs w:val="32"/>
          <w:shd w:val="clear" w:color="auto" w:fill="FFFFFF"/>
          <w:lang w:val="zh-CN"/>
        </w:rPr>
        <w:t>（二）存在问题。</w:t>
      </w:r>
      <w:r>
        <w:rPr>
          <w:rFonts w:hint="eastAsia" w:ascii="仿宋" w:hAnsi="仿宋" w:eastAsia="仿宋" w:cs="仿宋_GB2312"/>
          <w:color w:val="000000"/>
          <w:sz w:val="32"/>
          <w:szCs w:val="32"/>
          <w:u w:val="none" w:color="000000"/>
        </w:rPr>
        <w:t>一是单位没有专业的财务人员，在账务处理及预决算编报上存在问题，导致大错不犯，小错不断；二是未严格按资金用途使用资金，年底办公费不够的情况下与其他行政运行经费打捆使用；三是部门决算上报处理效率还待提升。</w:t>
      </w:r>
    </w:p>
    <w:p>
      <w:pPr>
        <w:widowControl/>
        <w:adjustRightInd w:val="0"/>
        <w:snapToGrid w:val="0"/>
        <w:spacing w:line="578" w:lineRule="exact"/>
        <w:ind w:firstLine="643" w:firstLineChars="200"/>
        <w:contextualSpacing/>
        <w:jc w:val="left"/>
        <w:rPr>
          <w:rFonts w:hint="eastAsia" w:ascii="仿宋" w:hAnsi="仿宋" w:eastAsia="仿宋" w:cs="仿宋"/>
          <w:kern w:val="0"/>
          <w:sz w:val="32"/>
          <w:szCs w:val="32"/>
          <w:lang w:val="en-US" w:eastAsia="zh-CN"/>
        </w:rPr>
      </w:pPr>
      <w:r>
        <w:rPr>
          <w:rFonts w:hint="eastAsia" w:ascii="仿宋" w:hAnsi="仿宋" w:eastAsia="仿宋" w:cs="仿宋"/>
          <w:b/>
          <w:bCs/>
          <w:color w:val="000000"/>
          <w:kern w:val="0"/>
          <w:sz w:val="32"/>
          <w:szCs w:val="32"/>
          <w:shd w:val="clear" w:color="auto" w:fill="FFFFFF"/>
          <w:lang w:val="zh-CN"/>
        </w:rPr>
        <w:t>（三）改进建议。</w:t>
      </w:r>
      <w:r>
        <w:rPr>
          <w:rFonts w:hint="eastAsia" w:ascii="仿宋" w:hAnsi="仿宋" w:eastAsia="仿宋" w:cs="仿宋"/>
          <w:kern w:val="0"/>
          <w:sz w:val="32"/>
          <w:szCs w:val="32"/>
          <w:lang w:val="en-US" w:eastAsia="zh-CN"/>
        </w:rPr>
        <w:t>无。</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sz w:val="32"/>
          <w:szCs w:val="32"/>
          <w:u w:val="none"/>
          <w:lang w:val="en-US"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6"/>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widowControl/>
        <w:jc w:val="center"/>
        <w:rPr>
          <w:rFonts w:hint="eastAsia" w:ascii="Times New Roman" w:hAnsi="Times New Roman" w:eastAsia="仿宋"/>
          <w:b w:val="0"/>
          <w:color w:val="auto"/>
          <w:highlight w:val="none"/>
        </w:rPr>
      </w:pPr>
      <w:bookmarkStart w:id="48" w:name="_Toc15396618"/>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7"/>
      <w:bookmarkEnd w:id="48"/>
      <w:bookmarkStart w:id="49"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宋体-18030">
    <w:altName w:val="宋体"/>
    <w:panose1 w:val="02010609060101010101"/>
    <w:charset w:val="86"/>
    <w:family w:val="modern"/>
    <w:pitch w:val="default"/>
    <w:sig w:usb0="00000000" w:usb1="00000000" w:usb2="000A005E"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C8A0F71"/>
    <w:multiLevelType w:val="singleLevel"/>
    <w:tmpl w:val="9C8A0F71"/>
    <w:lvl w:ilvl="0" w:tentative="0">
      <w:start w:val="1"/>
      <w:numFmt w:val="decimal"/>
      <w:lvlText w:val="%1."/>
      <w:lvlJc w:val="left"/>
      <w:pPr>
        <w:tabs>
          <w:tab w:val="left" w:pos="312"/>
        </w:tabs>
      </w:pPr>
    </w:lvl>
  </w:abstractNum>
  <w:abstractNum w:abstractNumId="1">
    <w:nsid w:val="C2DA1C93"/>
    <w:multiLevelType w:val="singleLevel"/>
    <w:tmpl w:val="C2DA1C93"/>
    <w:lvl w:ilvl="0" w:tentative="0">
      <w:start w:val="2"/>
      <w:numFmt w:val="chineseCounting"/>
      <w:suff w:val="nothing"/>
      <w:lvlText w:val="（%1）"/>
      <w:lvlJc w:val="left"/>
      <w:rPr>
        <w:rFonts w:hint="eastAsia"/>
      </w:rPr>
    </w:lvl>
  </w:abstractNum>
  <w:abstractNum w:abstractNumId="2">
    <w:nsid w:val="DF6D2164"/>
    <w:multiLevelType w:val="singleLevel"/>
    <w:tmpl w:val="DF6D2164"/>
    <w:lvl w:ilvl="0" w:tentative="0">
      <w:start w:val="1"/>
      <w:numFmt w:val="decimal"/>
      <w:lvlText w:val="%1."/>
      <w:lvlJc w:val="left"/>
      <w:pPr>
        <w:tabs>
          <w:tab w:val="left" w:pos="312"/>
        </w:tabs>
        <w:ind w:left="-178"/>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170610"/>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103839"/>
    <w:rsid w:val="186504BB"/>
    <w:rsid w:val="1938089F"/>
    <w:rsid w:val="19A445FC"/>
    <w:rsid w:val="1B7D550C"/>
    <w:rsid w:val="1BE8440E"/>
    <w:rsid w:val="1CB93DAC"/>
    <w:rsid w:val="1D155CEE"/>
    <w:rsid w:val="1DE178F3"/>
    <w:rsid w:val="1E740ACF"/>
    <w:rsid w:val="1FF35744"/>
    <w:rsid w:val="1FF6BC77"/>
    <w:rsid w:val="21962A9E"/>
    <w:rsid w:val="21AE7C77"/>
    <w:rsid w:val="22BC3C41"/>
    <w:rsid w:val="23860B96"/>
    <w:rsid w:val="23F671EE"/>
    <w:rsid w:val="240371BF"/>
    <w:rsid w:val="25C7750E"/>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33535A"/>
    <w:rsid w:val="364D14C1"/>
    <w:rsid w:val="36AA5135"/>
    <w:rsid w:val="36BE0DA7"/>
    <w:rsid w:val="376B6AA6"/>
    <w:rsid w:val="376D39B2"/>
    <w:rsid w:val="37E16F03"/>
    <w:rsid w:val="37F53A3B"/>
    <w:rsid w:val="389B6C89"/>
    <w:rsid w:val="38D469F0"/>
    <w:rsid w:val="39290C99"/>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247C0B"/>
    <w:rsid w:val="41313393"/>
    <w:rsid w:val="431F58BE"/>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81D7212"/>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8D7A5D"/>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8BA4022"/>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rPr>
      <w:kern w:val="0"/>
      <w:sz w:val="20"/>
      <w:szCs w:val="21"/>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99"/>
    <w:pPr>
      <w:spacing w:beforeAutospacing="1" w:afterAutospacing="1"/>
      <w:jc w:val="left"/>
    </w:pPr>
    <w:rPr>
      <w:kern w:val="0"/>
      <w:sz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character" w:customStyle="1" w:styleId="38">
    <w:name w:val="15"/>
    <w:basedOn w:val="18"/>
    <w:uiPriority w:val="0"/>
    <w:rPr>
      <w:rFonts w:hint="default" w:ascii="Times New Roman" w:hAnsi="Times New Roman" w:cs="Times New Roman"/>
      <w:b/>
    </w:rPr>
  </w:style>
  <w:style w:type="paragraph" w:styleId="39">
    <w:name w:val="No Spacing"/>
    <w:qFormat/>
    <w:uiPriority w:val="1"/>
    <w:pPr>
      <w:jc w:val="both"/>
      <w:textAlignment w:val="baseline"/>
    </w:pPr>
    <w:rPr>
      <w:rFonts w:ascii="Times New Roman" w:hAnsi="Times New Roman" w:eastAsia="宋体" w:cs="Times New Roman"/>
      <w:color w:val="000000"/>
      <w:sz w:val="21"/>
      <w:u w:val="none"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RP\Desktop\&#20915;&#31639;&#20844;&#24320;&#35828;&#26126;&#22270;&#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RP\Desktop\&#20915;&#31639;&#20844;&#24320;&#35828;&#26126;&#22270;&#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RP\Desktop\&#20915;&#31639;&#20844;&#24320;&#35828;&#26126;&#22270;&#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E:\&#36130;&#21153;&#24037;&#20316;\&#39044;&#20915;&#31639;&#20844;&#24320;\&#20915;&#31639;&#20844;&#24320;\&#20915;&#31639;&#20844;&#24320;&#26609;&#29366;&#12289;&#39292;&#29366;&#22270;&#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收入、支出总计</a:t>
            </a:r>
            <a:endParaRPr lang="en-US" altLang="zh-CN"/>
          </a:p>
        </c:rich>
      </c:tx>
      <c:layout/>
      <c:overlay val="0"/>
      <c:spPr>
        <a:noFill/>
        <a:ln>
          <a:noFill/>
        </a:ln>
        <a:effectLst/>
      </c:spPr>
    </c:title>
    <c:autoTitleDeleted val="0"/>
    <c:plotArea>
      <c:layout/>
      <c:barChart>
        <c:barDir val="col"/>
        <c:grouping val="clustered"/>
        <c:varyColors val="0"/>
        <c:ser>
          <c:idx val="0"/>
          <c:order val="0"/>
          <c:tx>
            <c:strRef>
              <c:f>[工作簿1]收入、支出总计对比!$B$3</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[工作簿1]收入、支出总计对比!$A$4:$A$7</c:f>
              <c:strCache>
                <c:ptCount val="4"/>
                <c:pt idx="0">
                  <c:v>总收入（万元）</c:v>
                </c:pt>
                <c:pt idx="1">
                  <c:v>总支出（万元）</c:v>
                </c:pt>
              </c:strCache>
            </c:strRef>
          </c:cat>
          <c:val>
            <c:numRef>
              <c:f>[工作簿1]收入、支出总计对比!$B$4:$B$7</c:f>
              <c:numCache>
                <c:formatCode>General</c:formatCode>
                <c:ptCount val="4"/>
                <c:pt idx="0">
                  <c:v>706.88</c:v>
                </c:pt>
                <c:pt idx="1">
                  <c:v>706.88</c:v>
                </c:pt>
              </c:numCache>
            </c:numRef>
          </c:val>
        </c:ser>
        <c:ser>
          <c:idx val="1"/>
          <c:order val="1"/>
          <c:tx>
            <c:strRef>
              <c:f>[工作簿1]收入、支出总计对比!$C$3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[工作簿1]收入、支出总计对比!$A$4:$A$7</c:f>
              <c:strCache>
                <c:ptCount val="4"/>
                <c:pt idx="0">
                  <c:v>总收入（万元）</c:v>
                </c:pt>
                <c:pt idx="1">
                  <c:v>总支出（万元）</c:v>
                </c:pt>
              </c:strCache>
            </c:strRef>
          </c:cat>
          <c:val>
            <c:numRef>
              <c:f>[工作簿1]收入、支出总计对比!$C$4:$C$7</c:f>
              <c:numCache>
                <c:formatCode>General</c:formatCode>
                <c:ptCount val="4"/>
                <c:pt idx="0">
                  <c:v>853.36</c:v>
                </c:pt>
                <c:pt idx="1">
                  <c:v>853.36</c:v>
                </c:pt>
              </c:numCache>
            </c:numRef>
          </c:val>
        </c:ser>
        <c:dLbls>
          <c:showLegendKey val="0"/>
          <c:showVal val="1"/>
          <c:showCatName val="0"/>
          <c:showSerName val="0"/>
          <c:showPercent val="0"/>
          <c:showBubbleSize val="0"/>
        </c:dLbls>
        <c:gapWidth val="219"/>
        <c:overlap val="-27"/>
        <c:axId val="632595103"/>
        <c:axId val="604255375"/>
      </c:barChart>
      <c:catAx>
        <c:axId val="63259510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255375"/>
        <c:crosses val="autoZero"/>
        <c:auto val="1"/>
        <c:lblAlgn val="ctr"/>
        <c:lblOffset val="100"/>
        <c:noMultiLvlLbl val="0"/>
      </c:catAx>
      <c:valAx>
        <c:axId val="6042553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10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年收入合计</a:t>
            </a:r>
            <a:endParaRPr lang="en-US" altLang="zh-CN"/>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[工作簿1]Sheet1!$D$3:$D$4</c:f>
              <c:strCache>
                <c:ptCount val="2"/>
                <c:pt idx="0">
                  <c:v>一般公共预算财政拨款收入（万元）</c:v>
                </c:pt>
                <c:pt idx="1">
                  <c:v>其他收入（万元）</c:v>
                </c:pt>
              </c:strCache>
            </c:strRef>
          </c:cat>
          <c:val>
            <c:numRef>
              <c:f>[工作簿1]Sheet1!$E$3:$E$4</c:f>
              <c:numCache>
                <c:formatCode>General</c:formatCode>
                <c:ptCount val="2"/>
                <c:pt idx="0">
                  <c:v>837.46</c:v>
                </c:pt>
                <c:pt idx="1">
                  <c:v>6.6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年支出合计</a:t>
            </a:r>
            <a:endParaRPr lang="en-US" altLang="zh-CN"/>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[工作簿1]支出合计!$C$6:$C$7</c:f>
              <c:strCache>
                <c:ptCount val="2"/>
                <c:pt idx="0">
                  <c:v>基本支出（万元）</c:v>
                </c:pt>
                <c:pt idx="1">
                  <c:v>项目支出（万元）</c:v>
                </c:pt>
              </c:strCache>
            </c:strRef>
          </c:cat>
          <c:val>
            <c:numRef>
              <c:f>[工作簿1]支出合计!$D$6:$D$7</c:f>
              <c:numCache>
                <c:formatCode>General</c:formatCode>
                <c:ptCount val="2"/>
                <c:pt idx="0">
                  <c:v>573.87</c:v>
                </c:pt>
                <c:pt idx="1">
                  <c:v>273.31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[决算公开说明图表.xlsx]财政拨款收入、支出对比!$B$7</c:f>
              <c:strCache>
                <c:ptCount val="1"/>
                <c:pt idx="0">
                  <c:v>财政拨款收入、支出总计（万元）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[决算公开说明图表.xlsx]财政拨款收入、支出对比!$C$6:$D$6</c:f>
              <c:strCache>
                <c:ptCount val="2"/>
                <c:pt idx="0">
                  <c:v>2024年</c:v>
                </c:pt>
                <c:pt idx="1">
                  <c:v>2025年</c:v>
                </c:pt>
              </c:strCache>
            </c:strRef>
          </c:cat>
          <c:val>
            <c:numRef>
              <c:f>[决算公开说明图表.xlsx]财政拨款收入、支出对比!$C$7:$D$7</c:f>
              <c:numCache>
                <c:formatCode>General</c:formatCode>
                <c:ptCount val="2"/>
                <c:pt idx="0">
                  <c:v>694.25</c:v>
                </c:pt>
                <c:pt idx="1">
                  <c:v>937.46</c:v>
                </c:pt>
              </c:numCache>
            </c:numRef>
          </c:val>
        </c:ser>
        <c:dLbls>
          <c:showLegendKey val="0"/>
          <c:showVal val="1"/>
          <c:showCatName val="0"/>
          <c:showSerName val="0"/>
          <c:showPercent val="0"/>
          <c:showBubbleSize val="0"/>
        </c:dLbls>
        <c:gapWidth val="219"/>
        <c:overlap val="-27"/>
        <c:axId val="124404135"/>
        <c:axId val="239651481"/>
      </c:barChart>
      <c:catAx>
        <c:axId val="12440413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9651481"/>
        <c:crosses val="autoZero"/>
        <c:auto val="1"/>
        <c:lblAlgn val="ctr"/>
        <c:lblOffset val="100"/>
        <c:noMultiLvlLbl val="0"/>
      </c:catAx>
      <c:valAx>
        <c:axId val="23965148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44041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[决算公开说明图表.xlsx]Sheet5!$A$5:$B$5</c:f>
              <c:strCache>
                <c:ptCount val="1"/>
                <c:pt idx="0">
                  <c:v>一般公共预算财政拨款支出（万元）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[决算公开说明图表.xlsx]Sheet5!$C$4:$D$4</c:f>
              <c:strCache>
                <c:ptCount val="2"/>
                <c:pt idx="0">
                  <c:v>2024年</c:v>
                </c:pt>
                <c:pt idx="1">
                  <c:v>2025年</c:v>
                </c:pt>
              </c:strCache>
            </c:strRef>
          </c:cat>
          <c:val>
            <c:numRef>
              <c:f>[决算公开说明图表.xlsx]Sheet5!$C$5:$D$5</c:f>
              <c:numCache>
                <c:formatCode>General</c:formatCode>
                <c:ptCount val="2"/>
                <c:pt idx="0">
                  <c:v>694.25</c:v>
                </c:pt>
                <c:pt idx="1">
                  <c:v>837.46</c:v>
                </c:pt>
              </c:numCache>
            </c:numRef>
          </c:val>
        </c:ser>
        <c:dLbls>
          <c:showLegendKey val="0"/>
          <c:showVal val="1"/>
          <c:showCatName val="0"/>
          <c:showSerName val="0"/>
          <c:showPercent val="0"/>
          <c:showBubbleSize val="0"/>
        </c:dLbls>
        <c:gapWidth val="219"/>
        <c:overlap val="-27"/>
        <c:axId val="319378411"/>
        <c:axId val="35329120"/>
      </c:barChart>
      <c:catAx>
        <c:axId val="31937841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29120"/>
        <c:crosses val="autoZero"/>
        <c:auto val="1"/>
        <c:lblAlgn val="ctr"/>
        <c:lblOffset val="100"/>
        <c:noMultiLvlLbl val="0"/>
      </c:catAx>
      <c:valAx>
        <c:axId val="35329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93784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[决算公开说明图表.xlsx]Sheet6!$B$5</c:f>
              <c:strCache>
                <c:ptCount val="1"/>
                <c:pt idx="0">
                  <c:v>一般公共预算财政拨款支出（万元）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[决算公开说明图表.xlsx]Sheet6!$A$6:$A$9</c:f>
              <c:strCache>
                <c:ptCount val="4"/>
                <c:pt idx="0">
                  <c:v>一般公共服务支出</c:v>
                </c:pt>
                <c:pt idx="1">
                  <c:v>社会保障和就业支出</c:v>
                </c:pt>
                <c:pt idx="2">
                  <c:v>卫生健康支出</c:v>
                </c:pt>
                <c:pt idx="3">
                  <c:v>住房保障支出</c:v>
                </c:pt>
              </c:strCache>
            </c:strRef>
          </c:cat>
          <c:val>
            <c:numRef>
              <c:f>[决算公开说明图表.xlsx]Sheet6!$B$6:$B$9</c:f>
              <c:numCache>
                <c:formatCode>General</c:formatCode>
                <c:ptCount val="4"/>
                <c:pt idx="0">
                  <c:v>697.92</c:v>
                </c:pt>
                <c:pt idx="1">
                  <c:v>70.73</c:v>
                </c:pt>
                <c:pt idx="2">
                  <c:v>29.32</c:v>
                </c:pt>
                <c:pt idx="3">
                  <c:v>39.48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三公经费支出情况</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[决算公开柱状、饼状图图表.xlsx]三公经费结构图!$C$7:$C$9</c:f>
              <c:strCache>
                <c:ptCount val="3"/>
                <c:pt idx="0">
                  <c:v>因公出国（境）费（万元）</c:v>
                </c:pt>
                <c:pt idx="1">
                  <c:v>公务用车购置及运行维护费（万元）</c:v>
                </c:pt>
                <c:pt idx="2">
                  <c:v>公务接待费（万元）</c:v>
                </c:pt>
              </c:strCache>
            </c:strRef>
          </c:cat>
          <c:val>
            <c:numRef>
              <c:f>[决算公开柱状、饼状图图表.xlsx]三公经费结构图!$D$7:$D$9</c:f>
              <c:numCache>
                <c:formatCode>General</c:formatCode>
                <c:ptCount val="3"/>
                <c:pt idx="0">
                  <c:v>0</c:v>
                </c:pt>
                <c:pt idx="1">
                  <c:v>33.28</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7</TotalTime>
  <ScaleCrop>false</ScaleCrop>
  <LinksUpToDate>false</LinksUpToDate>
  <CharactersWithSpaces>8692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RP</cp:lastModifiedBy>
  <cp:lastPrinted>2026-09-15T02:46:23Z</cp:lastPrinted>
  <dcterms:modified xsi:type="dcterms:W3CDTF">2026-09-15T02:49:41Z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400D301575C74348A5277D00A7902E06</vt:lpwstr>
  </property>
</Properties>
</file>