
<file path=[Content_Types].xml><?xml version="1.0" encoding="utf-8"?>
<Types xmlns="http://schemas.openxmlformats.org/package/2006/content-types">
  <Default Extension="xlsx" ContentType="application/vnd.openxmlformats-officedocument.spreadsheetml.sheet"/>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00589A">
      <w:pPr>
        <w:pStyle w:val="7"/>
        <w:rPr>
          <w:rFonts w:hint="eastAsia" w:ascii="Times New Roman" w:hAnsi="Times New Roman" w:eastAsia="方正小标宋简体" w:cs="Times New Roman"/>
          <w:color w:val="auto"/>
          <w:kern w:val="2"/>
          <w:sz w:val="72"/>
          <w:szCs w:val="72"/>
          <w:highlight w:val="none"/>
          <w:lang w:val="en-US" w:eastAsia="zh-CN" w:bidi="ar-SA"/>
        </w:rPr>
      </w:pPr>
      <w:bookmarkStart w:id="0" w:name="_Toc15306267"/>
      <w:bookmarkStart w:id="1" w:name="_Toc15396475"/>
      <w:bookmarkStart w:id="2" w:name="_Toc15377193"/>
      <w:bookmarkStart w:id="3" w:name="_Toc15377425"/>
      <w:bookmarkStart w:id="4" w:name="_Toc15396597"/>
      <w:bookmarkStart w:id="5" w:name="_Toc15378441"/>
    </w:p>
    <w:p w14:paraId="2B81399B">
      <w:pPr>
        <w:pStyle w:val="7"/>
        <w:rPr>
          <w:rFonts w:hint="eastAsia" w:ascii="Times New Roman" w:hAnsi="Times New Roman" w:eastAsia="方正小标宋简体" w:cs="Times New Roman"/>
          <w:color w:val="auto"/>
          <w:kern w:val="2"/>
          <w:sz w:val="72"/>
          <w:szCs w:val="72"/>
          <w:highlight w:val="none"/>
          <w:lang w:val="en-US" w:eastAsia="zh-CN" w:bidi="ar-SA"/>
        </w:rPr>
      </w:pPr>
    </w:p>
    <w:p w14:paraId="017D3EFE">
      <w:pPr>
        <w:pStyle w:val="7"/>
        <w:rPr>
          <w:rFonts w:hint="eastAsia" w:ascii="Times New Roman" w:hAnsi="Times New Roman" w:eastAsia="方正小标宋简体" w:cs="Times New Roman"/>
          <w:color w:val="auto"/>
          <w:kern w:val="2"/>
          <w:sz w:val="72"/>
          <w:szCs w:val="72"/>
          <w:highlight w:val="none"/>
          <w:lang w:val="en-US" w:eastAsia="zh-CN" w:bidi="ar-SA"/>
        </w:rPr>
      </w:pPr>
    </w:p>
    <w:p w14:paraId="3E179DAE">
      <w:pPr>
        <w:pStyle w:val="7"/>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w:t>
      </w:r>
      <w:r>
        <w:rPr>
          <w:rFonts w:hint="eastAsia" w:ascii="Times New Roman" w:hAnsi="Times New Roman" w:eastAsia="方正小标宋简体" w:cs="Times New Roman"/>
          <w:color w:val="auto"/>
          <w:kern w:val="2"/>
          <w:sz w:val="44"/>
          <w:szCs w:val="44"/>
          <w:highlight w:val="none"/>
          <w:lang w:val="en-US" w:eastAsia="zh-CN" w:bidi="ar-SA"/>
        </w:rPr>
        <w:t>年度</w:t>
      </w:r>
      <w:r>
        <w:rPr>
          <w:rFonts w:hint="eastAsia" w:ascii="Times New Roman" w:eastAsia="方正小标宋简体" w:cs="Times New Roman"/>
          <w:color w:val="auto"/>
          <w:kern w:val="2"/>
          <w:sz w:val="44"/>
          <w:szCs w:val="44"/>
          <w:highlight w:val="none"/>
          <w:lang w:val="en-US" w:eastAsia="zh-CN" w:bidi="ar-SA"/>
        </w:rPr>
        <w:t>中国共产主义青年团阿坝藏族羌族自治州委员会</w:t>
      </w:r>
      <w:r>
        <w:rPr>
          <w:rFonts w:hint="eastAsia" w:ascii="Times New Roman" w:hAnsi="Times New Roman" w:eastAsia="方正小标宋简体" w:cs="Times New Roman"/>
          <w:color w:val="auto"/>
          <w:kern w:val="2"/>
          <w:sz w:val="44"/>
          <w:szCs w:val="44"/>
          <w:highlight w:val="none"/>
          <w:lang w:val="en-US" w:eastAsia="zh-CN" w:bidi="ar-SA"/>
        </w:rPr>
        <w:t>部门决算公开</w:t>
      </w:r>
    </w:p>
    <w:p w14:paraId="4C9B97CC">
      <w:pPr>
        <w:spacing w:line="600" w:lineRule="exact"/>
        <w:jc w:val="center"/>
        <w:outlineLvl w:val="0"/>
        <w:rPr>
          <w:rFonts w:ascii="Times New Roman" w:hAnsi="Times New Roman" w:eastAsia="方正小标宋简体"/>
          <w:color w:val="auto"/>
          <w:sz w:val="72"/>
          <w:szCs w:val="72"/>
          <w:highlight w:val="none"/>
        </w:rPr>
      </w:pPr>
    </w:p>
    <w:p w14:paraId="2201A393">
      <w:pPr>
        <w:pStyle w:val="2"/>
        <w:rPr>
          <w:rFonts w:ascii="Times New Roman" w:hAnsi="Times New Roman"/>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bookmarkStart w:id="94" w:name="_GoBack"/>
      <w:bookmarkEnd w:id="94"/>
    </w:p>
    <w:bookmarkEnd w:id="0"/>
    <w:bookmarkEnd w:id="1"/>
    <w:bookmarkEnd w:id="2"/>
    <w:bookmarkEnd w:id="3"/>
    <w:bookmarkEnd w:id="4"/>
    <w:bookmarkEnd w:id="5"/>
    <w:p w14:paraId="2E99E7A6">
      <w:pPr>
        <w:widowControl/>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p>
    <w:p w14:paraId="7E8FCCD0">
      <w:pPr>
        <w:pStyle w:val="14"/>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8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26 </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highlight w:val="none"/>
          <w:lang w:val="en-US" w:eastAsia="zh-CN" w:bidi="ar-SA"/>
        </w:rPr>
        <w:id w:val="147468918"/>
        <w15:color w:val="DBDBDB"/>
        <w:docPartObj>
          <w:docPartGallery w:val="Table of Contents"/>
          <w:docPartUnique/>
        </w:docPartObj>
      </w:sdtPr>
      <w:sdtEndPr>
        <w:rPr>
          <w:rFonts w:ascii="Times New Roman" w:hAnsi="Times New Roman" w:eastAsia="宋体" w:cs="Times New Roman"/>
          <w:color w:val="auto"/>
          <w:kern w:val="2"/>
          <w:sz w:val="21"/>
          <w:szCs w:val="24"/>
          <w:highlight w:val="none"/>
          <w:lang w:val="en-US" w:eastAsia="zh-CN" w:bidi="ar-SA"/>
        </w:rPr>
      </w:sdtEndPr>
      <w:sdtContent>
        <w:p w14:paraId="30222DBC">
          <w:pPr>
            <w:spacing w:before="0" w:beforeLines="0" w:after="0" w:afterLines="0" w:line="240" w:lineRule="auto"/>
            <w:ind w:left="0" w:leftChars="0" w:right="0" w:rightChars="0" w:firstLine="0" w:firstLineChars="0"/>
            <w:jc w:val="both"/>
            <w:rPr>
              <w:highlight w:val="none"/>
            </w:rPr>
          </w:pPr>
        </w:p>
        <w:p w14:paraId="317749BC">
          <w:pPr>
            <w:pStyle w:val="14"/>
            <w:tabs>
              <w:tab w:val="right" w:leader="dot" w:pos="8306"/>
              <w:tab w:val="clear" w:pos="8296"/>
            </w:tabs>
            <w:jc w:val="both"/>
            <w:rPr>
              <w:highlight w:val="none"/>
            </w:rPr>
          </w:pPr>
          <w:r>
            <w:rPr>
              <w:rFonts w:ascii="Times New Roman" w:hAnsi="Times New Roman"/>
              <w:color w:val="auto"/>
              <w:highlight w:val="none"/>
            </w:rPr>
            <w:fldChar w:fldCharType="begin"/>
          </w:r>
          <w:r>
            <w:rPr>
              <w:rFonts w:ascii="Times New Roman" w:hAnsi="Times New Roman"/>
              <w:color w:val="auto"/>
              <w:highlight w:val="none"/>
            </w:rPr>
            <w:instrText xml:space="preserve">TOC \o "1-2" \h \u </w:instrText>
          </w:r>
          <w:r>
            <w:rPr>
              <w:rFonts w:ascii="Times New Roman" w:hAnsi="Times New Roman"/>
              <w:color w:val="auto"/>
              <w:highlight w:val="none"/>
            </w:rPr>
            <w:fldChar w:fldCharType="separate"/>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_Toc1108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第一部分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 xml:space="preserve"> 部门概况</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_Toc1108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3</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698AC64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_Toc13880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_Toc13880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012E37C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_Toc1296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二、机构设置</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_Toc1296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3</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0DA23601">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_Toc19438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 xml:space="preserve"> </w:t>
          </w:r>
          <w:r>
            <w:rPr>
              <w:rFonts w:hint="eastAsia" w:ascii="Times New Roman" w:hAnsi="Times New Roman" w:eastAsia="黑体" w:cs="黑体"/>
              <w:color w:val="auto"/>
              <w:sz w:val="32"/>
              <w:szCs w:val="32"/>
              <w:highlight w:val="none"/>
              <w:lang w:val="en-US" w:eastAsia="zh-CN"/>
            </w:rPr>
            <w:t>2025年度</w:t>
          </w:r>
          <w:r>
            <w:rPr>
              <w:rFonts w:hint="eastAsia" w:ascii="Times New Roman" w:hAnsi="Times New Roman" w:eastAsia="黑体" w:cs="黑体"/>
              <w:color w:val="auto"/>
              <w:sz w:val="32"/>
              <w:szCs w:val="32"/>
              <w:highlight w:val="none"/>
            </w:rPr>
            <w:t>部门决算情况说明</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_Toc19438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4</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7A10BC3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_Toc31314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一、</w:t>
          </w:r>
          <w:r>
            <w:rPr>
              <w:rFonts w:hint="eastAsia" w:ascii="Times New Roman" w:hAnsi="Times New Roman" w:eastAsia="仿宋_GB2312" w:cs="仿宋_GB2312"/>
              <w:color w:val="auto"/>
              <w:sz w:val="32"/>
              <w:szCs w:val="32"/>
              <w:highlight w:val="none"/>
            </w:rPr>
            <w:t>收入支出决算总体情况说明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_Toc31314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3CC131C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_Toc20121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二、收入决算情况说明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_Toc20121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4</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581A398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_Toc14877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三、</w:t>
          </w:r>
          <w:r>
            <w:rPr>
              <w:rFonts w:hint="eastAsia" w:ascii="Times New Roman" w:hAnsi="Times New Roman" w:eastAsia="仿宋_GB2312" w:cs="仿宋_GB2312"/>
              <w:color w:val="auto"/>
              <w:sz w:val="32"/>
              <w:szCs w:val="32"/>
              <w:highlight w:val="none"/>
            </w:rPr>
            <w:t>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_Toc14877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5</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7E9AE40">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_Toc27251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四、财政拨款收入支出决算总体情况说明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_Toc27251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5</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04987E0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_Toc15614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五、一般公共预算财政拨款支出决算情况说明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_Toc15614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6</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3180EAC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_Toc9770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六、一般公共预算财政拨款基本支出决算情况说明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_Toc9770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9</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1298928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_Toc26098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七、财政拨款“三公”经费支出决算情况说明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_Toc26098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10</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5BBD2C78">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_Toc7073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八、政府性基金预算支出决算情况说明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_Toc7073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12</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289E0B8">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_Toc9897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九、</w:t>
          </w:r>
          <w:r>
            <w:rPr>
              <w:rFonts w:hint="eastAsia" w:ascii="Times New Roman" w:hAnsi="Times New Roman" w:eastAsia="仿宋_GB2312" w:cs="仿宋_GB2312"/>
              <w:color w:val="auto"/>
              <w:sz w:val="32"/>
              <w:szCs w:val="32"/>
              <w:highlight w:val="none"/>
            </w:rPr>
            <w:t>国有资本经营预算支出决算情况说明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_Toc9897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12</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3387671">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_Toc8130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_Toc8130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12</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3B1181B5">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_Toc19091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w:t>
          </w:r>
          <w:r>
            <w:rPr>
              <w:rFonts w:hint="eastAsia" w:ascii="Times New Roman" w:hAnsi="Times New Roman" w:eastAsia="黑体" w:cs="黑体"/>
              <w:color w:val="auto"/>
              <w:sz w:val="32"/>
              <w:szCs w:val="32"/>
              <w:highlight w:val="none"/>
              <w:lang w:eastAsia="zh-CN"/>
            </w:rPr>
            <w:t>三</w:t>
          </w:r>
          <w:r>
            <w:rPr>
              <w:rFonts w:hint="eastAsia" w:ascii="Times New Roman" w:hAnsi="Times New Roman" w:eastAsia="黑体" w:cs="黑体"/>
              <w:color w:val="auto"/>
              <w:sz w:val="32"/>
              <w:szCs w:val="32"/>
              <w:highlight w:val="none"/>
            </w:rPr>
            <w:t>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名词解释</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_Toc19091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15</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0BA4C220">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_Toc6590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第四部分</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 xml:space="preserve"> 附件</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_Toc6590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18</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68290521">
          <w:pPr>
            <w:pStyle w:val="14"/>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HYPERLINK \l _Toc18328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 xml:space="preserve">第五部分 </w:t>
          </w:r>
          <w:r>
            <w:rPr>
              <w:rFonts w:hint="eastAsia" w:ascii="Times New Roman" w:hAnsi="Times New Roman" w:eastAsia="黑体" w:cs="黑体"/>
              <w:color w:val="auto"/>
              <w:sz w:val="32"/>
              <w:szCs w:val="32"/>
              <w:highlight w:val="none"/>
              <w:lang w:val="en-US" w:eastAsia="zh-CN"/>
            </w:rPr>
            <w:t xml:space="preserve"> </w:t>
          </w:r>
          <w:r>
            <w:rPr>
              <w:rFonts w:hint="eastAsia" w:ascii="Times New Roman" w:hAnsi="Times New Roman" w:eastAsia="黑体" w:cs="黑体"/>
              <w:color w:val="auto"/>
              <w:sz w:val="32"/>
              <w:szCs w:val="32"/>
              <w:highlight w:val="none"/>
            </w:rPr>
            <w:t>附表</w:t>
          </w:r>
          <w:r>
            <w:rPr>
              <w:rFonts w:hint="eastAsia" w:ascii="Times New Roman" w:hAnsi="Times New Roman" w:eastAsia="黑体" w:cs="黑体"/>
              <w:color w:val="auto"/>
              <w:sz w:val="32"/>
              <w:szCs w:val="32"/>
              <w:highlight w:val="none"/>
            </w:rPr>
            <w:tab/>
          </w:r>
          <w:r>
            <w:rPr>
              <w:rFonts w:hint="eastAsia" w:ascii="Times New Roman" w:hAnsi="Times New Roman" w:eastAsia="黑体" w:cs="黑体"/>
              <w:color w:val="auto"/>
              <w:sz w:val="32"/>
              <w:szCs w:val="32"/>
              <w:highlight w:val="none"/>
            </w:rPr>
            <w:fldChar w:fldCharType="begin"/>
          </w:r>
          <w:r>
            <w:rPr>
              <w:rFonts w:hint="eastAsia" w:ascii="Times New Roman" w:hAnsi="Times New Roman" w:eastAsia="黑体" w:cs="黑体"/>
              <w:color w:val="auto"/>
              <w:sz w:val="32"/>
              <w:szCs w:val="32"/>
              <w:highlight w:val="none"/>
            </w:rPr>
            <w:instrText xml:space="preserve"> PAGEREF _Toc18328 \h </w:instrText>
          </w:r>
          <w:r>
            <w:rPr>
              <w:rFonts w:hint="eastAsia" w:ascii="Times New Roman" w:hAnsi="Times New Roman" w:eastAsia="黑体" w:cs="黑体"/>
              <w:color w:val="auto"/>
              <w:sz w:val="32"/>
              <w:szCs w:val="32"/>
              <w:highlight w:val="none"/>
            </w:rPr>
            <w:fldChar w:fldCharType="separate"/>
          </w:r>
          <w:r>
            <w:rPr>
              <w:rFonts w:hint="eastAsia" w:ascii="Times New Roman" w:hAnsi="Times New Roman" w:eastAsia="黑体" w:cs="黑体"/>
              <w:color w:val="auto"/>
              <w:sz w:val="32"/>
              <w:szCs w:val="32"/>
              <w:highlight w:val="none"/>
            </w:rPr>
            <w:t>57</w:t>
          </w:r>
          <w:r>
            <w:rPr>
              <w:rFonts w:hint="eastAsia" w:ascii="Times New Roman" w:hAnsi="Times New Roman" w:eastAsia="黑体" w:cs="黑体"/>
              <w:color w:val="auto"/>
              <w:sz w:val="32"/>
              <w:szCs w:val="32"/>
              <w:highlight w:val="none"/>
            </w:rPr>
            <w:fldChar w:fldCharType="end"/>
          </w:r>
          <w:r>
            <w:rPr>
              <w:rFonts w:hint="eastAsia" w:ascii="Times New Roman" w:hAnsi="Times New Roman" w:eastAsia="黑体" w:cs="黑体"/>
              <w:color w:val="auto"/>
              <w:sz w:val="32"/>
              <w:szCs w:val="32"/>
              <w:highlight w:val="none"/>
            </w:rPr>
            <w:fldChar w:fldCharType="end"/>
          </w:r>
        </w:p>
        <w:p w14:paraId="7980F689">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_Toc3436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一、收入支出决算总表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_Toc3436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57</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3FA5E7D">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_Toc10614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二、收入决算表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_Toc10614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57</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61E0465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_Toc14774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三、支出决算表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_Toc14774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57</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669ED753">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_Toc5392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四、财政拨款收入支出决算总表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_Toc5392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57</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697D48B3">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_Toc29475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五、财政拨款支出决算明细表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_Toc29475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57</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1EA6C735">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_Toc2870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六、一般公共预算财政拨款支出决算表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_Toc2870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57</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2371C2FC">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_Toc25605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七、一般公共预算财政拨款支出决算明细表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_Toc25605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57</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1237E438">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_Toc3760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八、一般公共预算财政拨款基本支出决算表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_Toc3760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57</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7EE31675">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_Toc26330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九、一般公共预算财政拨款项目支出决算表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_Toc26330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57</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6FAF1CF1">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_Toc12171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十、政府性基金预算财政拨款收入支出决算表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_Toc12171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57</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4B5B1C0F">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_Toc5335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十一、国有资本经营预算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_Toc5335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57</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799EDF0A">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_Toc19972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eastAsia="zh-CN"/>
            </w:rPr>
            <w:t>国有资本经营预算财政拨款支出决算表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_Toc19972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57</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49D3AC4C">
          <w:pPr>
            <w:pStyle w:val="16"/>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HYPERLINK \l _Toc12736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十三、</w:t>
          </w:r>
          <w:r>
            <w:rPr>
              <w:rFonts w:hint="eastAsia" w:ascii="Times New Roman" w:hAnsi="Times New Roman" w:eastAsia="仿宋_GB2312" w:cs="仿宋_GB2312"/>
              <w:color w:val="auto"/>
              <w:sz w:val="32"/>
              <w:szCs w:val="32"/>
              <w:highlight w:val="none"/>
              <w:lang w:eastAsia="zh-CN"/>
            </w:rPr>
            <w:t>财政拨款“三公”经费支出决算表</w:t>
          </w:r>
          <w:r>
            <w:rPr>
              <w:rFonts w:hint="eastAsia" w:ascii="Times New Roman" w:hAnsi="Times New Roman" w:eastAsia="仿宋_GB2312" w:cs="仿宋_GB2312"/>
              <w:color w:val="auto"/>
              <w:sz w:val="32"/>
              <w:szCs w:val="32"/>
              <w:highlight w:val="none"/>
            </w:rPr>
            <w:tab/>
          </w:r>
          <w:r>
            <w:rPr>
              <w:rFonts w:hint="eastAsia" w:ascii="Times New Roman" w:hAnsi="Times New Roman" w:eastAsia="仿宋_GB2312" w:cs="仿宋_GB2312"/>
              <w:color w:val="auto"/>
              <w:sz w:val="32"/>
              <w:szCs w:val="32"/>
              <w:highlight w:val="none"/>
            </w:rPr>
            <w:fldChar w:fldCharType="begin"/>
          </w:r>
          <w:r>
            <w:rPr>
              <w:rFonts w:hint="eastAsia" w:ascii="Times New Roman" w:hAnsi="Times New Roman" w:eastAsia="仿宋_GB2312" w:cs="仿宋_GB2312"/>
              <w:color w:val="auto"/>
              <w:sz w:val="32"/>
              <w:szCs w:val="32"/>
              <w:highlight w:val="none"/>
            </w:rPr>
            <w:instrText xml:space="preserve"> PAGEREF _Toc12736 \h </w:instrText>
          </w:r>
          <w:r>
            <w:rPr>
              <w:rFonts w:hint="eastAsia" w:ascii="Times New Roman" w:hAnsi="Times New Roman" w:eastAsia="仿宋_GB2312" w:cs="仿宋_GB2312"/>
              <w:color w:val="auto"/>
              <w:sz w:val="32"/>
              <w:szCs w:val="32"/>
              <w:highlight w:val="none"/>
            </w:rPr>
            <w:fldChar w:fldCharType="separate"/>
          </w:r>
          <w:r>
            <w:rPr>
              <w:rFonts w:hint="eastAsia" w:ascii="Times New Roman" w:hAnsi="Times New Roman" w:eastAsia="仿宋_GB2312" w:cs="仿宋_GB2312"/>
              <w:color w:val="auto"/>
              <w:sz w:val="32"/>
              <w:szCs w:val="32"/>
              <w:highlight w:val="none"/>
            </w:rPr>
            <w:t>57</w:t>
          </w:r>
          <w:r>
            <w:rPr>
              <w:rFonts w:hint="eastAsia" w:ascii="Times New Roman" w:hAnsi="Times New Roman" w:eastAsia="仿宋_GB2312" w:cs="仿宋_GB2312"/>
              <w:color w:val="auto"/>
              <w:sz w:val="32"/>
              <w:szCs w:val="32"/>
              <w:highlight w:val="none"/>
            </w:rPr>
            <w:fldChar w:fldCharType="end"/>
          </w:r>
          <w:r>
            <w:rPr>
              <w:rFonts w:hint="eastAsia" w:ascii="Times New Roman" w:hAnsi="Times New Roman" w:eastAsia="仿宋_GB2312" w:cs="仿宋_GB2312"/>
              <w:color w:val="auto"/>
              <w:sz w:val="32"/>
              <w:szCs w:val="32"/>
              <w:highlight w:val="none"/>
            </w:rPr>
            <w:fldChar w:fldCharType="end"/>
          </w:r>
        </w:p>
        <w:p w14:paraId="1667E591">
          <w:pPr>
            <w:rPr>
              <w:rFonts w:ascii="Times New Roman" w:hAnsi="Times New Roman" w:eastAsia="宋体" w:cs="Times New Roman"/>
              <w:color w:val="auto"/>
              <w:kern w:val="2"/>
              <w:sz w:val="21"/>
              <w:szCs w:val="24"/>
              <w:highlight w:val="none"/>
              <w:lang w:val="en-US" w:eastAsia="zh-CN" w:bidi="ar-SA"/>
            </w:rPr>
          </w:pPr>
          <w:r>
            <w:rPr>
              <w:rFonts w:ascii="Times New Roman" w:hAnsi="Times New Roman"/>
              <w:color w:val="auto"/>
              <w:highlight w:val="none"/>
            </w:rPr>
            <w:fldChar w:fldCharType="end"/>
          </w:r>
        </w:p>
      </w:sdtContent>
    </w:sdt>
    <w:p w14:paraId="316C60DE">
      <w:pPr>
        <w:pStyle w:val="15"/>
        <w:rPr>
          <w:highlight w:val="none"/>
        </w:rPr>
      </w:pPr>
    </w:p>
    <w:p w14:paraId="742A448F">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14:paraId="47360B2C">
      <w:pPr>
        <w:pStyle w:val="3"/>
        <w:jc w:val="center"/>
        <w:outlineLvl w:val="0"/>
        <w:rPr>
          <w:rFonts w:ascii="Times New Roman" w:hAnsi="Times New Roman" w:eastAsia="黑体"/>
          <w:color w:val="auto"/>
          <w:sz w:val="32"/>
          <w:szCs w:val="32"/>
          <w:highlight w:val="none"/>
        </w:rPr>
      </w:pPr>
      <w:bookmarkStart w:id="8" w:name="_Toc1108"/>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9"/>
          <w:rFonts w:hint="eastAsia" w:ascii="Times New Roman" w:hAnsi="Times New Roman" w:eastAsia="方正小标宋简体" w:cs="方正小标宋简体"/>
          <w:b w:val="0"/>
          <w:bCs w:val="0"/>
          <w:color w:val="auto"/>
          <w:highlight w:val="none"/>
        </w:rPr>
        <w:t>部门概况</w:t>
      </w:r>
      <w:bookmarkEnd w:id="6"/>
      <w:bookmarkEnd w:id="7"/>
      <w:bookmarkEnd w:id="8"/>
    </w:p>
    <w:p w14:paraId="71FFFD2B">
      <w:pPr>
        <w:pStyle w:val="4"/>
        <w:outlineLvl w:val="1"/>
        <w:rPr>
          <w:rFonts w:hint="eastAsia" w:ascii="Times New Roman" w:hAnsi="Times New Roman" w:eastAsia="黑体"/>
          <w:b w:val="0"/>
          <w:color w:val="auto"/>
          <w:highlight w:val="none"/>
          <w:lang w:eastAsia="zh-CN"/>
        </w:rPr>
      </w:pPr>
      <w:bookmarkStart w:id="9" w:name="_Toc15396600"/>
      <w:bookmarkStart w:id="10" w:name="_Toc15377197"/>
      <w:bookmarkStart w:id="11" w:name="_Toc13880"/>
      <w:r>
        <w:rPr>
          <w:rFonts w:hint="eastAsia" w:ascii="Times New Roman" w:hAnsi="Times New Roman" w:eastAsia="黑体"/>
          <w:b w:val="0"/>
          <w:color w:val="auto"/>
          <w:highlight w:val="none"/>
        </w:rPr>
        <w:t>一、</w:t>
      </w:r>
      <w:bookmarkEnd w:id="9"/>
      <w:bookmarkEnd w:id="10"/>
      <w:r>
        <w:rPr>
          <w:rFonts w:hint="eastAsia" w:ascii="Times New Roman" w:hAnsi="Times New Roman" w:eastAsia="黑体"/>
          <w:b w:val="0"/>
          <w:color w:val="auto"/>
          <w:highlight w:val="none"/>
          <w:lang w:eastAsia="zh-CN"/>
        </w:rPr>
        <w:t>部门职责</w:t>
      </w:r>
      <w:bookmarkEnd w:id="11"/>
    </w:p>
    <w:p w14:paraId="2EAAE240">
      <w:pPr>
        <w:ind w:firstLine="640" w:firstLineChars="200"/>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val="en-US" w:eastAsia="zh-CN"/>
        </w:rPr>
        <w:t>根据阿委办发〔2002〕6号文件规定，团州委主要职责是行使共青团阿坝州委员会赋予的领导全州共青团工作、领导全州青联和少先队工作的职能，对全州性青年社团组织进行指导和管理。参与制定我州青少年事业发展规划和青少年工作方针、政策，对我州青少年活动阵地、青少年服务机构的建设等进行规划和管理。</w:t>
      </w:r>
    </w:p>
    <w:p w14:paraId="25D58AC6">
      <w:pPr>
        <w:pStyle w:val="4"/>
        <w:outlineLvl w:val="1"/>
        <w:rPr>
          <w:rStyle w:val="30"/>
          <w:rFonts w:ascii="Times New Roman" w:hAnsi="Times New Roman"/>
          <w:b w:val="0"/>
          <w:bCs w:val="0"/>
          <w:color w:val="auto"/>
          <w:highlight w:val="none"/>
        </w:rPr>
      </w:pPr>
      <w:bookmarkStart w:id="12" w:name="_Toc15377200"/>
      <w:bookmarkStart w:id="13" w:name="_Toc1296"/>
      <w:bookmarkStart w:id="14" w:name="_Toc15396601"/>
      <w:r>
        <w:rPr>
          <w:rFonts w:hint="eastAsia" w:ascii="Times New Roman" w:hAnsi="Times New Roman" w:eastAsia="黑体"/>
          <w:b w:val="0"/>
          <w:color w:val="auto"/>
          <w:highlight w:val="none"/>
        </w:rPr>
        <w:t>二、机</w:t>
      </w:r>
      <w:r>
        <w:rPr>
          <w:rStyle w:val="30"/>
          <w:rFonts w:hint="eastAsia" w:ascii="Times New Roman" w:hAnsi="Times New Roman" w:eastAsia="黑体"/>
          <w:b w:val="0"/>
          <w:bCs w:val="0"/>
          <w:color w:val="auto"/>
          <w:highlight w:val="none"/>
        </w:rPr>
        <w:t>构设置</w:t>
      </w:r>
      <w:bookmarkEnd w:id="12"/>
      <w:bookmarkEnd w:id="13"/>
      <w:bookmarkEnd w:id="14"/>
    </w:p>
    <w:p w14:paraId="3DE87EA1">
      <w:pPr>
        <w:ind w:firstLine="800" w:firstLineChars="250"/>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中国共产主义青年团阿坝藏族羌族自治州委员会下属二级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p>
    <w:p w14:paraId="49CDDB14">
      <w:pPr>
        <w:pStyle w:val="7"/>
        <w:adjustRightInd w:val="0"/>
        <w:snapToGrid w:val="0"/>
        <w:spacing w:before="93" w:line="600" w:lineRule="exact"/>
        <w:ind w:firstLine="672" w:firstLineChars="210"/>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纳入中国共产主义青年团阿坝藏族羌族自治州委员会</w:t>
      </w:r>
      <w:r>
        <w:rPr>
          <w:rFonts w:hint="eastAsia" w:ascii="Times New Roman" w:cs="仿宋_GB2312"/>
          <w:color w:val="auto"/>
          <w:sz w:val="32"/>
          <w:szCs w:val="32"/>
          <w:highlight w:val="none"/>
          <w:lang w:eastAsia="zh-CN"/>
        </w:rPr>
        <w:t>2025</w:t>
      </w:r>
      <w:r>
        <w:rPr>
          <w:rFonts w:hint="eastAsia" w:ascii="Times New Roman" w:hAnsi="Times New Roman" w:eastAsia="仿宋_GB2312" w:cs="仿宋_GB2312"/>
          <w:color w:val="auto"/>
          <w:sz w:val="32"/>
          <w:szCs w:val="32"/>
          <w:highlight w:val="none"/>
          <w:lang w:eastAsia="zh-CN"/>
        </w:rPr>
        <w:t>年度</w:t>
      </w:r>
      <w:r>
        <w:rPr>
          <w:rFonts w:hint="eastAsia" w:ascii="Times New Roman" w:hAnsi="Times New Roman" w:eastAsia="仿宋_GB2312" w:cs="仿宋_GB2312"/>
          <w:color w:val="auto"/>
          <w:sz w:val="32"/>
          <w:szCs w:val="32"/>
          <w:highlight w:val="none"/>
        </w:rPr>
        <w:t>部门决算编制范围的二级预算单位包括：</w:t>
      </w:r>
    </w:p>
    <w:p w14:paraId="426D8746">
      <w:pPr>
        <w:widowControl/>
        <w:ind w:firstLine="640" w:firstLineChars="200"/>
        <w:jc w:val="left"/>
        <w:rPr>
          <w:rFonts w:ascii="Times New Roman" w:hAnsi="Times New Roman" w:eastAsia="仿宋"/>
          <w:color w:val="auto"/>
          <w:kern w:val="0"/>
          <w:sz w:val="32"/>
          <w:szCs w:val="32"/>
          <w:highlight w:val="none"/>
        </w:rPr>
      </w:pPr>
      <w:r>
        <w:rPr>
          <w:rFonts w:hint="eastAsia" w:eastAsia="仿宋_GB2312" w:cs="仿宋_GB2312"/>
          <w:color w:val="auto"/>
          <w:sz w:val="32"/>
          <w:szCs w:val="32"/>
          <w:highlight w:val="none"/>
          <w:lang w:val="en-US" w:eastAsia="zh-CN"/>
        </w:rPr>
        <w:t>无。</w:t>
      </w:r>
      <w:r>
        <w:rPr>
          <w:rFonts w:ascii="Times New Roman" w:hAnsi="Times New Roman" w:eastAsia="仿宋"/>
          <w:color w:val="auto"/>
          <w:sz w:val="32"/>
          <w:szCs w:val="32"/>
          <w:highlight w:val="none"/>
        </w:rPr>
        <w:br w:type="page"/>
      </w:r>
    </w:p>
    <w:p w14:paraId="232534A1">
      <w:pPr>
        <w:pStyle w:val="3"/>
        <w:jc w:val="center"/>
        <w:outlineLvl w:val="0"/>
        <w:rPr>
          <w:rFonts w:hint="eastAsia" w:ascii="Times New Roman" w:hAnsi="Times New Roman" w:eastAsia="方正小标宋简体" w:cs="方正小标宋简体"/>
          <w:b w:val="0"/>
          <w:color w:val="auto"/>
          <w:highlight w:val="none"/>
        </w:rPr>
      </w:pPr>
      <w:bookmarkStart w:id="15" w:name="_Toc19438"/>
      <w:bookmarkStart w:id="16" w:name="_Toc15377204"/>
      <w:bookmarkStart w:id="17"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w:t>
      </w:r>
      <w:r>
        <w:rPr>
          <w:rFonts w:hint="eastAsia" w:ascii="Times New Roman" w:hAnsi="Times New Roman" w:eastAsia="方正小标宋简体" w:cs="方正小标宋简体"/>
          <w:b w:val="0"/>
          <w:color w:val="auto"/>
          <w:highlight w:val="none"/>
          <w:lang w:val="en-US" w:eastAsia="zh-CN"/>
        </w:rPr>
        <w:t>年度</w:t>
      </w:r>
      <w:r>
        <w:rPr>
          <w:rFonts w:hint="eastAsia" w:ascii="Times New Roman" w:hAnsi="Times New Roman" w:eastAsia="方正小标宋简体" w:cs="方正小标宋简体"/>
          <w:b w:val="0"/>
          <w:color w:val="auto"/>
          <w:highlight w:val="none"/>
        </w:rPr>
        <w:t>部门决算情况说明</w:t>
      </w:r>
      <w:bookmarkEnd w:id="15"/>
      <w:bookmarkEnd w:id="16"/>
      <w:bookmarkEnd w:id="17"/>
    </w:p>
    <w:p w14:paraId="7545F8D8">
      <w:pPr>
        <w:rPr>
          <w:rFonts w:ascii="Times New Roman" w:hAnsi="Times New Roman"/>
          <w:color w:val="auto"/>
          <w:highlight w:val="none"/>
        </w:rPr>
      </w:pPr>
    </w:p>
    <w:p w14:paraId="08D37E5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8" w:name="_Toc15377205"/>
      <w:bookmarkStart w:id="19" w:name="_Toc15396603"/>
      <w:bookmarkStart w:id="20" w:name="_Toc31314"/>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8"/>
      <w:bookmarkEnd w:id="19"/>
      <w:bookmarkEnd w:id="20"/>
    </w:p>
    <w:p w14:paraId="00476742">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0288" behindDoc="0" locked="0" layoutInCell="1" allowOverlap="1">
            <wp:simplePos x="0" y="0"/>
            <wp:positionH relativeFrom="column">
              <wp:posOffset>78105</wp:posOffset>
            </wp:positionH>
            <wp:positionV relativeFrom="paragraph">
              <wp:posOffset>1532255</wp:posOffset>
            </wp:positionV>
            <wp:extent cx="5256530" cy="2988310"/>
            <wp:effectExtent l="5080" t="4445" r="15240" b="17145"/>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eastAsia="仿宋_GB2312" w:cs="仿宋_GB2312"/>
          <w:color w:val="auto"/>
          <w:sz w:val="32"/>
          <w:szCs w:val="32"/>
          <w:highlight w:val="none"/>
          <w:lang w:eastAsia="zh-CN"/>
        </w:rPr>
        <w:t>2025</w:t>
      </w:r>
      <w:r>
        <w:rPr>
          <w:rFonts w:hint="eastAsia" w:ascii="Times New Roman" w:hAnsi="Times New Roman" w:eastAsia="仿宋_GB2312" w:cs="仿宋_GB2312"/>
          <w:color w:val="auto"/>
          <w:sz w:val="32"/>
          <w:szCs w:val="32"/>
          <w:highlight w:val="none"/>
          <w:lang w:eastAsia="zh-CN"/>
        </w:rPr>
        <w:t>年度收入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highlight w:val="none"/>
          <w:lang w:val="en-US" w:eastAsia="zh-CN"/>
        </w:rPr>
        <w:t>668.24</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2024</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w:t>
      </w:r>
      <w:r>
        <w:rPr>
          <w:rFonts w:hint="eastAsia" w:eastAsia="仿宋_GB2312" w:cs="仿宋_GB2312"/>
          <w:color w:val="auto"/>
          <w:sz w:val="32"/>
          <w:szCs w:val="32"/>
          <w:highlight w:val="none"/>
          <w:lang w:eastAsia="zh-CN"/>
        </w:rPr>
        <w:t>减少</w:t>
      </w:r>
      <w:r>
        <w:rPr>
          <w:rFonts w:hint="eastAsia" w:ascii="仿宋_GB2312" w:hAnsi="仿宋_GB2312" w:eastAsia="仿宋_GB2312" w:cs="仿宋_GB2312"/>
          <w:sz w:val="32"/>
          <w:szCs w:val="32"/>
          <w:highlight w:val="none"/>
          <w:lang w:val="en-US" w:eastAsia="zh-CN"/>
        </w:rPr>
        <w:t>165.78</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eastAsia="zh-CN"/>
        </w:rPr>
        <w:t>下降</w:t>
      </w:r>
      <w:r>
        <w:rPr>
          <w:rFonts w:hint="eastAsia" w:ascii="仿宋_GB2312" w:hAnsi="仿宋_GB2312" w:eastAsia="仿宋_GB2312" w:cs="仿宋_GB2312"/>
          <w:sz w:val="32"/>
          <w:szCs w:val="32"/>
          <w:highlight w:val="none"/>
          <w:lang w:val="en-US" w:eastAsia="zh-CN"/>
        </w:rPr>
        <w:t>19.88</w:t>
      </w:r>
      <w:r>
        <w:rPr>
          <w:rFonts w:hint="eastAsia" w:ascii="Times New Roman" w:hAnsi="Times New Roman" w:eastAsia="仿宋_GB2312" w:cs="仿宋_GB2312"/>
          <w:color w:val="auto"/>
          <w:sz w:val="32"/>
          <w:szCs w:val="32"/>
          <w:highlight w:val="none"/>
        </w:rPr>
        <w:t>%。主要变动原因是</w:t>
      </w:r>
      <w:r>
        <w:rPr>
          <w:rFonts w:hint="eastAsia" w:ascii="仿宋_GB2312" w:hAnsi="仿宋_GB2312" w:eastAsia="仿宋_GB2312" w:cs="仿宋_GB2312"/>
          <w:sz w:val="32"/>
          <w:szCs w:val="32"/>
          <w:highlight w:val="none"/>
          <w:lang w:val="en-US" w:eastAsia="zh-CN"/>
        </w:rPr>
        <w:t>单位收支随单位人员经费、公用经费及项目资金变化</w:t>
      </w:r>
      <w:r>
        <w:rPr>
          <w:rFonts w:hint="eastAsia" w:ascii="仿宋_GB2312" w:hAnsi="仿宋_GB2312" w:eastAsia="仿宋_GB2312" w:cs="仿宋_GB2312"/>
          <w:sz w:val="32"/>
          <w:szCs w:val="32"/>
          <w:highlight w:val="none"/>
          <w:lang w:val="en-US" w:eastAsia="zh-CN"/>
        </w:rPr>
        <w:t>。</w:t>
      </w:r>
    </w:p>
    <w:p w14:paraId="4A78A499">
      <w:pPr>
        <w:keepNext w:val="0"/>
        <w:keepLines w:val="0"/>
        <w:pageBreakBefore w:val="0"/>
        <w:widowControl w:val="0"/>
        <w:kinsoku/>
        <w:wordWrap/>
        <w:overflowPunct/>
        <w:topLinePunct w:val="0"/>
        <w:autoSpaceDE/>
        <w:autoSpaceDN/>
        <w:bidi w:val="0"/>
        <w:adjustRightInd/>
        <w:snapToGrid/>
        <w:jc w:val="center"/>
        <w:textAlignment w:val="auto"/>
        <w:outlineLvl w:val="9"/>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0506EA6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1" w:name="_Toc20121"/>
      <w:bookmarkStart w:id="22" w:name="_Toc15377206"/>
      <w:bookmarkStart w:id="23" w:name="_Toc15396604"/>
      <w:r>
        <w:rPr>
          <w:rFonts w:hint="eastAsia" w:ascii="Times New Roman" w:hAnsi="Times New Roman" w:eastAsia="黑体"/>
          <w:color w:val="auto"/>
          <w:sz w:val="32"/>
          <w:szCs w:val="32"/>
          <w:highlight w:val="none"/>
          <w:lang w:eastAsia="zh-CN"/>
        </w:rPr>
        <w:t>二、收入决算情况说明</w:t>
      </w:r>
      <w:bookmarkEnd w:id="21"/>
      <w:bookmarkEnd w:id="22"/>
      <w:bookmarkEnd w:id="23"/>
    </w:p>
    <w:p w14:paraId="3911322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2025年度本年收入合计</w:t>
      </w:r>
      <w:r>
        <w:rPr>
          <w:rFonts w:hint="eastAsia" w:ascii="仿宋_GB2312" w:hAnsi="仿宋_GB2312" w:eastAsia="仿宋_GB2312" w:cs="仿宋_GB2312"/>
          <w:sz w:val="32"/>
          <w:szCs w:val="32"/>
          <w:highlight w:val="none"/>
          <w:lang w:val="en-US" w:eastAsia="zh-CN"/>
        </w:rPr>
        <w:t>668.24</w:t>
      </w:r>
      <w:r>
        <w:rPr>
          <w:rFonts w:hint="eastAsia" w:ascii="仿宋_GB2312" w:hAnsi="仿宋_GB2312" w:eastAsia="仿宋_GB2312" w:cs="仿宋_GB2312"/>
          <w:sz w:val="32"/>
          <w:szCs w:val="32"/>
          <w:highlight w:val="none"/>
        </w:rPr>
        <w:t>万元，其中：一般公共预算财政拨款收入</w:t>
      </w:r>
      <w:r>
        <w:rPr>
          <w:rFonts w:hint="eastAsia" w:ascii="仿宋_GB2312" w:hAnsi="仿宋_GB2312" w:eastAsia="仿宋_GB2312" w:cs="仿宋_GB2312"/>
          <w:sz w:val="32"/>
          <w:szCs w:val="32"/>
          <w:highlight w:val="none"/>
          <w:lang w:val="en-US" w:eastAsia="zh-CN"/>
        </w:rPr>
        <w:t>664.27</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99</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其他收入</w:t>
      </w:r>
      <w:r>
        <w:rPr>
          <w:rFonts w:hint="eastAsia" w:ascii="仿宋_GB2312" w:hAnsi="仿宋_GB2312" w:eastAsia="仿宋_GB2312" w:cs="仿宋_GB2312"/>
          <w:sz w:val="32"/>
          <w:szCs w:val="32"/>
          <w:highlight w:val="none"/>
          <w:lang w:val="en-US" w:eastAsia="zh-CN"/>
        </w:rPr>
        <w:t>3.97</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w:t>
      </w:r>
    </w:p>
    <w:p w14:paraId="0BC78930">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仿宋_GB2312" w:hAnsi="仿宋_GB2312" w:eastAsia="仿宋_GB2312" w:cs="仿宋_GB2312"/>
          <w:color w:val="auto"/>
          <w:sz w:val="32"/>
          <w:szCs w:val="32"/>
          <w:highlight w:val="none"/>
          <w:lang w:eastAsia="zh-CN"/>
        </w:rPr>
      </w:pPr>
    </w:p>
    <w:p w14:paraId="620BA407">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jc w:val="center"/>
        <w:textAlignment w:val="auto"/>
        <w:outlineLvl w:val="9"/>
        <w:rPr>
          <w:rFonts w:hint="eastAsia" w:ascii="Times New Roman" w:hAnsi="Times New Roman" w:eastAsia="仿宋_GB2312" w:cs="仿宋_GB2312"/>
          <w:color w:val="auto"/>
          <w:sz w:val="32"/>
          <w:szCs w:val="32"/>
          <w:highlight w:val="none"/>
          <w:lang w:eastAsia="zh-CN"/>
        </w:rPr>
      </w:pPr>
      <w:r>
        <w:rPr>
          <w:rFonts w:hint="default" w:ascii="仿宋" w:hAnsi="仿宋" w:eastAsia="仿宋"/>
          <w:color w:val="auto"/>
          <w:sz w:val="32"/>
          <w:szCs w:val="32"/>
          <w:highlight w:val="none"/>
          <w:lang w:val="en-US"/>
        </w:rPr>
        <w:drawing>
          <wp:anchor distT="0" distB="0" distL="114300" distR="114300" simplePos="0" relativeHeight="251661312" behindDoc="0" locked="0" layoutInCell="1" allowOverlap="1">
            <wp:simplePos x="0" y="0"/>
            <wp:positionH relativeFrom="column">
              <wp:posOffset>34290</wp:posOffset>
            </wp:positionH>
            <wp:positionV relativeFrom="paragraph">
              <wp:posOffset>33655</wp:posOffset>
            </wp:positionV>
            <wp:extent cx="5256530" cy="2988310"/>
            <wp:effectExtent l="5080" t="4445" r="15240" b="17145"/>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Times New Roman" w:hAnsi="Times New Roman" w:eastAsia="仿宋_GB2312" w:cs="仿宋_GB2312"/>
          <w:color w:val="auto"/>
          <w:sz w:val="32"/>
          <w:szCs w:val="32"/>
          <w:highlight w:val="none"/>
          <w:lang w:eastAsia="zh-CN"/>
        </w:rPr>
        <w:t>（图2：收入决算结构图）（饼状图）</w:t>
      </w:r>
    </w:p>
    <w:p w14:paraId="59AFF399">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24" w:name="_Toc15377207"/>
      <w:bookmarkStart w:id="25" w:name="_Toc15396605"/>
      <w:bookmarkStart w:id="26" w:name="_Toc1487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30"/>
          <w:rFonts w:hint="eastAsia" w:ascii="Times New Roman" w:hAnsi="Times New Roman" w:eastAsia="黑体"/>
          <w:b w:val="0"/>
          <w:color w:val="auto"/>
          <w:highlight w:val="none"/>
        </w:rPr>
        <w:t>出决算情况说明</w:t>
      </w:r>
      <w:bookmarkEnd w:id="24"/>
      <w:bookmarkEnd w:id="25"/>
      <w:bookmarkEnd w:id="26"/>
    </w:p>
    <w:p w14:paraId="265AC5D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2025年度本年支出合计</w:t>
      </w:r>
      <w:r>
        <w:rPr>
          <w:rFonts w:hint="eastAsia" w:ascii="仿宋_GB2312" w:hAnsi="仿宋_GB2312" w:eastAsia="仿宋_GB2312" w:cs="仿宋_GB2312"/>
          <w:sz w:val="32"/>
          <w:szCs w:val="32"/>
          <w:highlight w:val="none"/>
          <w:lang w:val="en-US" w:eastAsia="zh-CN"/>
        </w:rPr>
        <w:t>664.27</w:t>
      </w:r>
      <w:r>
        <w:rPr>
          <w:rFonts w:hint="eastAsia" w:ascii="仿宋_GB2312" w:hAnsi="仿宋_GB2312"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highlight w:val="none"/>
          <w:lang w:val="en-US" w:eastAsia="zh-CN"/>
        </w:rPr>
        <w:t>398.37</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60</w:t>
      </w:r>
      <w:r>
        <w:rPr>
          <w:rFonts w:hint="eastAsia" w:ascii="仿宋_GB2312" w:hAnsi="仿宋_GB2312"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highlight w:val="none"/>
          <w:lang w:val="en-US" w:eastAsia="zh-CN"/>
        </w:rPr>
        <w:t>265.9</w:t>
      </w:r>
      <w:r>
        <w:rPr>
          <w:rFonts w:hint="eastAsia" w:ascii="仿宋_GB2312" w:hAnsi="仿宋_GB2312"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lang w:val="en-US" w:eastAsia="zh-CN"/>
        </w:rPr>
        <w:t>40</w:t>
      </w:r>
      <w:r>
        <w:rPr>
          <w:rFonts w:hint="eastAsia" w:ascii="仿宋_GB2312" w:hAnsi="仿宋_GB2312" w:eastAsia="仿宋_GB2312" w:cs="仿宋_GB2312"/>
          <w:color w:val="auto"/>
          <w:sz w:val="32"/>
          <w:szCs w:val="32"/>
          <w:highlight w:val="none"/>
          <w:lang w:eastAsia="zh-CN"/>
        </w:rPr>
        <w:t>%。</w:t>
      </w:r>
    </w:p>
    <w:p w14:paraId="21FFD143">
      <w:pPr>
        <w:jc w:val="center"/>
        <w:outlineLvl w:val="9"/>
        <w:rPr>
          <w:rFonts w:hint="eastAsia" w:ascii="Times New Roman" w:hAnsi="Times New Roman" w:eastAsia="仿宋_GB2312" w:cs="仿宋_GB2312"/>
          <w:color w:val="auto"/>
          <w:sz w:val="32"/>
          <w:szCs w:val="32"/>
          <w:highlight w:val="none"/>
          <w:lang w:eastAsia="zh-CN"/>
        </w:rPr>
      </w:pPr>
      <w:r>
        <w:rPr>
          <w:rFonts w:hint="default" w:ascii="仿宋" w:hAnsi="仿宋" w:eastAsia="仿宋"/>
          <w:color w:val="auto"/>
          <w:sz w:val="32"/>
          <w:szCs w:val="32"/>
          <w:highlight w:val="none"/>
          <w:lang w:val="en-US"/>
        </w:rPr>
        <w:drawing>
          <wp:anchor distT="0" distB="0" distL="114300" distR="114300" simplePos="0" relativeHeight="251662336" behindDoc="0" locked="0" layoutInCell="1" allowOverlap="1">
            <wp:simplePos x="0" y="0"/>
            <wp:positionH relativeFrom="column">
              <wp:posOffset>43180</wp:posOffset>
            </wp:positionH>
            <wp:positionV relativeFrom="paragraph">
              <wp:posOffset>76200</wp:posOffset>
            </wp:positionV>
            <wp:extent cx="5256530" cy="2988310"/>
            <wp:effectExtent l="5080" t="4445" r="15240" b="1714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Times New Roman" w:hAnsi="Times New Roman" w:eastAsia="仿宋_GB2312" w:cs="仿宋_GB2312"/>
          <w:color w:val="auto"/>
          <w:sz w:val="32"/>
          <w:szCs w:val="32"/>
          <w:highlight w:val="none"/>
          <w:lang w:eastAsia="zh-CN"/>
        </w:rPr>
        <w:t>（图3：支出决算结构图）（饼状图）</w:t>
      </w:r>
    </w:p>
    <w:p w14:paraId="5A01262A">
      <w:pPr>
        <w:spacing w:line="600" w:lineRule="exact"/>
        <w:ind w:firstLine="640" w:firstLineChars="200"/>
        <w:outlineLvl w:val="1"/>
        <w:rPr>
          <w:rStyle w:val="30"/>
          <w:rFonts w:ascii="Times New Roman" w:hAnsi="Times New Roman" w:eastAsia="黑体"/>
          <w:b w:val="0"/>
          <w:color w:val="auto"/>
          <w:highlight w:val="none"/>
        </w:rPr>
      </w:pPr>
      <w:bookmarkStart w:id="27" w:name="_Toc15377208"/>
      <w:bookmarkStart w:id="28" w:name="_Toc15396606"/>
      <w:bookmarkStart w:id="29" w:name="_Toc27251"/>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7"/>
      <w:bookmarkEnd w:id="28"/>
      <w:bookmarkEnd w:id="29"/>
    </w:p>
    <w:p w14:paraId="06E577E6">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年度财政拨款收入、支出总计均为</w:t>
      </w:r>
      <w:r>
        <w:rPr>
          <w:rFonts w:hint="eastAsia" w:ascii="仿宋_GB2312" w:hAnsi="仿宋_GB2312" w:eastAsia="仿宋_GB2312" w:cs="仿宋_GB2312"/>
          <w:sz w:val="32"/>
          <w:szCs w:val="32"/>
          <w:highlight w:val="none"/>
          <w:lang w:val="en-US" w:eastAsia="zh-CN"/>
        </w:rPr>
        <w:t>668.24</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年度相比，财政拨款收入总计、支出总计各</w:t>
      </w:r>
      <w:r>
        <w:rPr>
          <w:rFonts w:hint="eastAsia" w:eastAsia="仿宋_GB2312" w:cs="仿宋_GB2312"/>
          <w:color w:val="auto"/>
          <w:kern w:val="2"/>
          <w:sz w:val="32"/>
          <w:szCs w:val="32"/>
          <w:highlight w:val="none"/>
          <w:lang w:val="en-US" w:eastAsia="zh-CN" w:bidi="ar-SA"/>
        </w:rPr>
        <w:t>减少</w:t>
      </w:r>
      <w:r>
        <w:rPr>
          <w:rFonts w:hint="eastAsia" w:ascii="仿宋_GB2312" w:hAnsi="仿宋_GB2312" w:eastAsia="仿宋_GB2312" w:cs="仿宋_GB2312"/>
          <w:sz w:val="32"/>
          <w:szCs w:val="32"/>
          <w:highlight w:val="none"/>
          <w:lang w:val="en-US" w:eastAsia="zh-CN"/>
        </w:rPr>
        <w:t>165.78</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w:t>
      </w:r>
      <w:r>
        <w:rPr>
          <w:rFonts w:hint="eastAsia" w:ascii="仿宋_GB2312" w:hAnsi="仿宋_GB2312" w:eastAsia="仿宋_GB2312" w:cs="仿宋_GB2312"/>
          <w:sz w:val="32"/>
          <w:szCs w:val="32"/>
          <w:highlight w:val="none"/>
          <w:lang w:val="en-US" w:eastAsia="zh-CN"/>
        </w:rPr>
        <w:t>19.88</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sz w:val="32"/>
          <w:szCs w:val="32"/>
          <w:highlight w:val="none"/>
          <w:lang w:val="en-US" w:eastAsia="zh-CN"/>
        </w:rPr>
        <w:t>单位收支随单位人员经费、公用经费及项目资金变化。</w:t>
      </w:r>
    </w:p>
    <w:p w14:paraId="47B10279">
      <w:pPr>
        <w:pStyle w:val="15"/>
        <w:outlineLvl w:val="9"/>
        <w:rPr>
          <w:rFonts w:hint="eastAsia"/>
          <w:highlight w:val="none"/>
          <w:lang w:val="en-US" w:eastAsia="zh-CN"/>
        </w:rPr>
      </w:pPr>
    </w:p>
    <w:p w14:paraId="5774FC8E">
      <w:pPr>
        <w:spacing w:line="600" w:lineRule="exact"/>
        <w:jc w:val="center"/>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3360" behindDoc="0" locked="0" layoutInCell="1" allowOverlap="1">
            <wp:simplePos x="0" y="0"/>
            <wp:positionH relativeFrom="column">
              <wp:posOffset>43815</wp:posOffset>
            </wp:positionH>
            <wp:positionV relativeFrom="paragraph">
              <wp:posOffset>10795</wp:posOffset>
            </wp:positionV>
            <wp:extent cx="5256530" cy="2988310"/>
            <wp:effectExtent l="5080" t="4445" r="15240" b="17145"/>
            <wp:wrapTopAndBottom/>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56DC149D">
      <w:pPr>
        <w:spacing w:line="600" w:lineRule="exact"/>
        <w:ind w:firstLine="640" w:firstLineChars="200"/>
        <w:outlineLvl w:val="1"/>
        <w:rPr>
          <w:rStyle w:val="30"/>
          <w:rFonts w:ascii="Times New Roman" w:hAnsi="Times New Roman" w:eastAsia="黑体"/>
          <w:b w:val="0"/>
          <w:color w:val="auto"/>
          <w:highlight w:val="none"/>
        </w:rPr>
      </w:pPr>
      <w:bookmarkStart w:id="30" w:name="_Toc15614"/>
      <w:bookmarkStart w:id="31" w:name="_Toc15377209"/>
      <w:bookmarkStart w:id="32"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30"/>
      <w:bookmarkEnd w:id="31"/>
      <w:bookmarkEnd w:id="32"/>
    </w:p>
    <w:p w14:paraId="48CD862A">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3"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33"/>
    </w:p>
    <w:p w14:paraId="2B99C60C">
      <w:pPr>
        <w:spacing w:line="600" w:lineRule="exact"/>
        <w:ind w:firstLine="640"/>
        <w:outlineLvl w:val="9"/>
        <w:rPr>
          <w:rFonts w:hint="default"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2025年度一般公共预算财政拨款支出</w:t>
      </w:r>
      <w:r>
        <w:rPr>
          <w:rFonts w:hint="eastAsia" w:ascii="仿宋_GB2312" w:hAnsi="仿宋_GB2312" w:eastAsia="仿宋_GB2312" w:cs="仿宋_GB2312"/>
          <w:sz w:val="32"/>
          <w:szCs w:val="32"/>
          <w:highlight w:val="none"/>
          <w:lang w:val="en-US" w:eastAsia="zh-CN"/>
        </w:rPr>
        <w:t>664.27</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99</w:t>
      </w:r>
      <w:r>
        <w:rPr>
          <w:rFonts w:hint="eastAsia" w:ascii="仿宋_GB2312" w:hAnsi="仿宋_GB2312" w:eastAsia="仿宋_GB2312" w:cs="仿宋_GB2312"/>
          <w:color w:val="auto"/>
          <w:kern w:val="2"/>
          <w:sz w:val="32"/>
          <w:szCs w:val="32"/>
          <w:highlight w:val="none"/>
          <w:lang w:val="en-US" w:eastAsia="zh-CN" w:bidi="ar-SA"/>
        </w:rPr>
        <w:t>%。与2024年度相比，一般公共预算财政拨款支出减少</w:t>
      </w:r>
      <w:r>
        <w:rPr>
          <w:rFonts w:hint="eastAsia" w:ascii="仿宋_GB2312" w:hAnsi="仿宋_GB2312" w:eastAsia="仿宋_GB2312" w:cs="仿宋_GB2312"/>
          <w:sz w:val="32"/>
          <w:szCs w:val="32"/>
          <w:highlight w:val="none"/>
          <w:lang w:val="en-US" w:eastAsia="zh-CN"/>
        </w:rPr>
        <w:t>169.75</w:t>
      </w:r>
      <w:r>
        <w:rPr>
          <w:rFonts w:hint="eastAsia" w:ascii="仿宋_GB2312" w:hAnsi="仿宋_GB2312" w:eastAsia="仿宋_GB2312" w:cs="仿宋_GB2312"/>
          <w:color w:val="auto"/>
          <w:kern w:val="2"/>
          <w:sz w:val="32"/>
          <w:szCs w:val="32"/>
          <w:highlight w:val="none"/>
          <w:lang w:val="en-US" w:eastAsia="zh-CN" w:bidi="ar-SA"/>
        </w:rPr>
        <w:t>万元，下降</w:t>
      </w:r>
      <w:r>
        <w:rPr>
          <w:rFonts w:hint="eastAsia" w:ascii="仿宋_GB2312" w:hAnsi="仿宋_GB2312" w:eastAsia="仿宋_GB2312" w:cs="仿宋_GB2312"/>
          <w:sz w:val="32"/>
          <w:szCs w:val="32"/>
          <w:highlight w:val="none"/>
          <w:lang w:val="en-US" w:eastAsia="zh-CN"/>
        </w:rPr>
        <w:t>20.35</w:t>
      </w:r>
      <w:r>
        <w:rPr>
          <w:rFonts w:hint="eastAsia" w:ascii="仿宋_GB2312" w:hAnsi="仿宋_GB2312" w:eastAsia="仿宋_GB2312" w:cs="仿宋_GB2312"/>
          <w:color w:val="auto"/>
          <w:kern w:val="2"/>
          <w:sz w:val="32"/>
          <w:szCs w:val="32"/>
          <w:highlight w:val="none"/>
          <w:lang w:val="en-US" w:eastAsia="zh-CN" w:bidi="ar-SA"/>
        </w:rPr>
        <w:t>%。主要变动原因是</w:t>
      </w:r>
      <w:r>
        <w:rPr>
          <w:rFonts w:hint="eastAsia" w:ascii="仿宋_GB2312" w:hAnsi="仿宋_GB2312" w:eastAsia="仿宋_GB2312" w:cs="仿宋_GB2312"/>
          <w:sz w:val="32"/>
          <w:szCs w:val="32"/>
          <w:highlight w:val="none"/>
          <w:lang w:val="en-US" w:eastAsia="zh-CN"/>
        </w:rPr>
        <w:t>单位收支随单位人员经费、公用经费及项目资金变化。</w:t>
      </w:r>
    </w:p>
    <w:p w14:paraId="0911C3F2">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p>
    <w:p w14:paraId="33DBE715">
      <w:pPr>
        <w:spacing w:line="600" w:lineRule="exact"/>
        <w:jc w:val="center"/>
        <w:outlineLvl w:val="9"/>
        <w:rPr>
          <w:rFonts w:hint="eastAsia" w:ascii="Times New Roman" w:hAnsi="Times New Roman" w:eastAsia="仿宋_GB2312" w:cs="仿宋_GB2312"/>
          <w:color w:val="auto"/>
          <w:kern w:val="2"/>
          <w:sz w:val="32"/>
          <w:szCs w:val="32"/>
          <w:highlight w:val="none"/>
          <w:lang w:val="en-US" w:eastAsia="zh-CN" w:bidi="ar-SA"/>
        </w:rPr>
      </w:pPr>
    </w:p>
    <w:p w14:paraId="6AE4BCB4">
      <w:pPr>
        <w:spacing w:line="600" w:lineRule="exact"/>
        <w:jc w:val="center"/>
        <w:outlineLvl w:val="9"/>
        <w:rPr>
          <w:rFonts w:hint="eastAsia" w:ascii="Times New Roman" w:hAnsi="Times New Roman" w:eastAsia="仿宋_GB2312" w:cs="仿宋_GB2312"/>
          <w:color w:val="auto"/>
          <w:kern w:val="2"/>
          <w:sz w:val="32"/>
          <w:szCs w:val="32"/>
          <w:highlight w:val="none"/>
          <w:lang w:val="en-US" w:eastAsia="zh-CN" w:bidi="ar-SA"/>
        </w:rPr>
      </w:pPr>
    </w:p>
    <w:p w14:paraId="5EA93293">
      <w:pPr>
        <w:spacing w:line="600" w:lineRule="exact"/>
        <w:jc w:val="both"/>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4384" behindDoc="0" locked="0" layoutInCell="1" allowOverlap="1">
            <wp:simplePos x="0" y="0"/>
            <wp:positionH relativeFrom="column">
              <wp:posOffset>61595</wp:posOffset>
            </wp:positionH>
            <wp:positionV relativeFrom="paragraph">
              <wp:posOffset>42545</wp:posOffset>
            </wp:positionV>
            <wp:extent cx="5256530" cy="2988310"/>
            <wp:effectExtent l="5080" t="4445" r="15240" b="17145"/>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5176ACCA">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p>
    <w:p w14:paraId="628C330E">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4"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4"/>
    </w:p>
    <w:p w14:paraId="4B7FC44E">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2025年度一般公共预算财政拨款支出664.27万元，主要用于以下方面：一般公共服务支出570.39万元，占85.87%；社会保障和就业支出43.62万元，占6.57%；卫生健康支出23.46万元，占3.53%；住房保障支出26.8万元，占4.03%。</w:t>
      </w:r>
    </w:p>
    <w:p w14:paraId="27483D30">
      <w:pPr>
        <w:pStyle w:val="2"/>
        <w:rPr>
          <w:rFonts w:hint="eastAsia"/>
          <w:highlight w:val="none"/>
          <w:lang w:val="en-US" w:eastAsia="zh-CN"/>
        </w:rPr>
      </w:pPr>
    </w:p>
    <w:p w14:paraId="1128E98B">
      <w:pPr>
        <w:pStyle w:val="9"/>
        <w:ind w:left="0" w:leftChars="0" w:firstLine="0" w:firstLineChars="0"/>
        <w:outlineLvl w:val="9"/>
        <w:rPr>
          <w:rFonts w:hint="eastAsia"/>
          <w:highlight w:val="none"/>
          <w:lang w:val="en-US" w:eastAsia="zh-CN"/>
        </w:rPr>
      </w:pPr>
    </w:p>
    <w:p w14:paraId="373F564D">
      <w:pPr>
        <w:pStyle w:val="9"/>
        <w:ind w:left="0" w:leftChars="0" w:firstLine="0" w:firstLineChars="0"/>
        <w:jc w:val="center"/>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 w:hAnsi="仿宋" w:eastAsia="仿宋" w:cs="仿宋"/>
          <w:color w:val="auto"/>
          <w:sz w:val="32"/>
          <w:szCs w:val="32"/>
          <w:highlight w:val="none"/>
          <w:lang w:val="zh-CN" w:eastAsia="zh-CN"/>
        </w:rPr>
        <w:drawing>
          <wp:inline distT="0" distB="0" distL="114300" distR="114300">
            <wp:extent cx="5256530" cy="2988310"/>
            <wp:effectExtent l="5080" t="4445" r="15240"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360E76A0">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p>
    <w:p w14:paraId="57FBB1A0">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35"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5"/>
    </w:p>
    <w:p w14:paraId="32C683C3">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bookmarkStart w:id="36" w:name="_Toc15377444"/>
      <w:bookmarkStart w:id="37" w:name="_Toc15377213"/>
      <w:bookmarkStart w:id="38" w:name="_Toc15378460"/>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年度一般公共预算财政拨款支出决算数为</w:t>
      </w:r>
      <w:r>
        <w:rPr>
          <w:rFonts w:hint="eastAsia" w:ascii="仿宋_GB2312" w:hAnsi="仿宋_GB2312" w:eastAsia="仿宋_GB2312" w:cs="仿宋_GB2312"/>
          <w:sz w:val="32"/>
          <w:szCs w:val="32"/>
          <w:highlight w:val="none"/>
          <w:lang w:val="en-US" w:eastAsia="zh-CN"/>
        </w:rPr>
        <w:t>664.27</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6"/>
      <w:bookmarkEnd w:id="37"/>
      <w:bookmarkEnd w:id="38"/>
    </w:p>
    <w:p w14:paraId="42D5145D">
      <w:pPr>
        <w:numPr>
          <w:ilvl w:val="0"/>
          <w:numId w:val="1"/>
        </w:numPr>
        <w:spacing w:line="600" w:lineRule="exact"/>
        <w:ind w:left="0" w:leftChars="0" w:firstLine="40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一般公共服务支出（20</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）群众团体事务（</w:t>
      </w:r>
      <w:r>
        <w:rPr>
          <w:rFonts w:hint="eastAsia" w:eastAsia="仿宋_GB2312" w:cs="仿宋_GB2312"/>
          <w:color w:val="auto"/>
          <w:kern w:val="2"/>
          <w:sz w:val="32"/>
          <w:szCs w:val="32"/>
          <w:highlight w:val="none"/>
          <w:lang w:val="en-US" w:eastAsia="zh-CN" w:bidi="ar-SA"/>
        </w:rPr>
        <w:t>29</w:t>
      </w:r>
      <w:r>
        <w:rPr>
          <w:rFonts w:hint="eastAsia" w:ascii="Times New Roman" w:hAnsi="Times New Roman" w:eastAsia="仿宋_GB2312" w:cs="仿宋_GB2312"/>
          <w:color w:val="auto"/>
          <w:kern w:val="2"/>
          <w:sz w:val="32"/>
          <w:szCs w:val="32"/>
          <w:highlight w:val="none"/>
          <w:lang w:val="en-US" w:eastAsia="zh-CN" w:bidi="ar-SA"/>
        </w:rPr>
        <w:t>）行政运行（01）:支出决算为</w:t>
      </w:r>
      <w:r>
        <w:rPr>
          <w:rFonts w:hint="eastAsia" w:eastAsia="仿宋_GB2312" w:cs="仿宋_GB2312"/>
          <w:color w:val="auto"/>
          <w:kern w:val="2"/>
          <w:sz w:val="32"/>
          <w:szCs w:val="32"/>
          <w:highlight w:val="none"/>
          <w:lang w:val="en-US" w:eastAsia="zh-CN" w:bidi="ar-SA"/>
        </w:rPr>
        <w:t>304.49</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3B45C0AD">
      <w:pPr>
        <w:numPr>
          <w:ilvl w:val="0"/>
          <w:numId w:val="1"/>
        </w:numPr>
        <w:spacing w:line="600" w:lineRule="exact"/>
        <w:ind w:left="0" w:leftChars="0" w:firstLine="40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一般公共服务支出（20</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）群众团体事务（</w:t>
      </w:r>
      <w:r>
        <w:rPr>
          <w:rFonts w:hint="eastAsia" w:eastAsia="仿宋_GB2312" w:cs="仿宋_GB2312"/>
          <w:color w:val="auto"/>
          <w:kern w:val="2"/>
          <w:sz w:val="32"/>
          <w:szCs w:val="32"/>
          <w:highlight w:val="none"/>
          <w:lang w:val="en-US" w:eastAsia="zh-CN" w:bidi="ar-SA"/>
        </w:rPr>
        <w:t>29</w:t>
      </w:r>
      <w:r>
        <w:rPr>
          <w:rFonts w:hint="eastAsia" w:ascii="Times New Roman" w:hAnsi="Times New Roman" w:eastAsia="仿宋_GB2312" w:cs="仿宋_GB2312"/>
          <w:color w:val="auto"/>
          <w:kern w:val="2"/>
          <w:sz w:val="32"/>
          <w:szCs w:val="32"/>
          <w:highlight w:val="none"/>
          <w:lang w:val="en-US" w:eastAsia="zh-CN" w:bidi="ar-SA"/>
        </w:rPr>
        <w:t>）一般行政管理事务（02）:支出决算为</w:t>
      </w:r>
      <w:r>
        <w:rPr>
          <w:rFonts w:hint="eastAsia" w:eastAsia="仿宋_GB2312" w:cs="仿宋_GB2312"/>
          <w:color w:val="auto"/>
          <w:kern w:val="2"/>
          <w:sz w:val="32"/>
          <w:szCs w:val="32"/>
          <w:highlight w:val="none"/>
          <w:lang w:val="en-US" w:eastAsia="zh-CN" w:bidi="ar-SA"/>
        </w:rPr>
        <w:t>258.4</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18C22B0F">
      <w:pPr>
        <w:numPr>
          <w:ilvl w:val="0"/>
          <w:numId w:val="1"/>
        </w:numPr>
        <w:spacing w:line="600" w:lineRule="exact"/>
        <w:ind w:left="0" w:leftChars="0" w:firstLine="400" w:firstLineChars="0"/>
        <w:rPr>
          <w:rFonts w:hint="eastAsia"/>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一般公共服务支出（20</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）群众团体事务（</w:t>
      </w:r>
      <w:r>
        <w:rPr>
          <w:rFonts w:hint="eastAsia" w:eastAsia="仿宋_GB2312" w:cs="仿宋_GB2312"/>
          <w:color w:val="auto"/>
          <w:kern w:val="2"/>
          <w:sz w:val="32"/>
          <w:szCs w:val="32"/>
          <w:highlight w:val="none"/>
          <w:lang w:val="en-US" w:eastAsia="zh-CN" w:bidi="ar-SA"/>
        </w:rPr>
        <w:t>29</w:t>
      </w:r>
      <w:r>
        <w:rPr>
          <w:rFonts w:hint="eastAsia" w:ascii="Times New Roman" w:hAnsi="Times New Roman" w:eastAsia="仿宋_GB2312" w:cs="仿宋_GB2312"/>
          <w:color w:val="auto"/>
          <w:kern w:val="2"/>
          <w:sz w:val="32"/>
          <w:szCs w:val="32"/>
          <w:highlight w:val="none"/>
          <w:lang w:val="en-US" w:eastAsia="zh-CN" w:bidi="ar-SA"/>
        </w:rPr>
        <w:t>）其他群众团体事务支出（99）:支出决算为</w:t>
      </w:r>
      <w:r>
        <w:rPr>
          <w:rFonts w:hint="eastAsia" w:eastAsia="仿宋_GB2312" w:cs="仿宋_GB2312"/>
          <w:color w:val="auto"/>
          <w:kern w:val="2"/>
          <w:sz w:val="32"/>
          <w:szCs w:val="32"/>
          <w:highlight w:val="none"/>
          <w:lang w:val="en-US" w:eastAsia="zh-CN" w:bidi="ar-SA"/>
        </w:rPr>
        <w:t>7.5</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2FC3AF1B">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社会保障和就业支出（208）行政事业单位养老支出（05）机关事业单位基本养老保险缴费支出（05）:支出决算为</w:t>
      </w:r>
      <w:r>
        <w:rPr>
          <w:rFonts w:hint="eastAsia" w:eastAsia="仿宋_GB2312" w:cs="仿宋_GB2312"/>
          <w:color w:val="auto"/>
          <w:kern w:val="2"/>
          <w:sz w:val="32"/>
          <w:szCs w:val="32"/>
          <w:highlight w:val="none"/>
          <w:lang w:val="en-US" w:eastAsia="zh-CN" w:bidi="ar-SA"/>
        </w:rPr>
        <w:t>28.32</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16C22E91">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社会保障和就业支出（208）行政事业单位养老支出（05）机关事业单位职业年金缴费支出（06）:支出决算为</w:t>
      </w:r>
      <w:r>
        <w:rPr>
          <w:rFonts w:hint="eastAsia" w:eastAsia="仿宋_GB2312" w:cs="仿宋_GB2312"/>
          <w:color w:val="auto"/>
          <w:kern w:val="2"/>
          <w:sz w:val="32"/>
          <w:szCs w:val="32"/>
          <w:highlight w:val="none"/>
          <w:lang w:val="en-US" w:eastAsia="zh-CN" w:bidi="ar-SA"/>
        </w:rPr>
        <w:t>15.3</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03478D89">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卫生健康支出（210）行政事业单位医疗（11）行政单位医疗（01）:支出决算为</w:t>
      </w:r>
      <w:r>
        <w:rPr>
          <w:rFonts w:hint="eastAsia" w:eastAsia="仿宋_GB2312" w:cs="仿宋_GB2312"/>
          <w:color w:val="auto"/>
          <w:kern w:val="2"/>
          <w:sz w:val="32"/>
          <w:szCs w:val="32"/>
          <w:highlight w:val="none"/>
          <w:lang w:val="en-US" w:eastAsia="zh-CN" w:bidi="ar-SA"/>
        </w:rPr>
        <w:t>21.5</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4209C673">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卫生健康支出（210）行政事业单位医疗（11）公务员医疗补助（03）:支出决算为</w:t>
      </w:r>
      <w:r>
        <w:rPr>
          <w:rFonts w:hint="eastAsia" w:eastAsia="仿宋_GB2312" w:cs="仿宋_GB2312"/>
          <w:color w:val="auto"/>
          <w:kern w:val="2"/>
          <w:sz w:val="32"/>
          <w:szCs w:val="32"/>
          <w:highlight w:val="none"/>
          <w:lang w:val="en-US" w:eastAsia="zh-CN" w:bidi="ar-SA"/>
        </w:rPr>
        <w:t>1.95</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p>
    <w:p w14:paraId="5A6AA2B7">
      <w:pPr>
        <w:numPr>
          <w:ilvl w:val="0"/>
          <w:numId w:val="1"/>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住房保障支出（221）住房改革支出（02）住房公积金（01）:支出决算为</w:t>
      </w:r>
      <w:r>
        <w:rPr>
          <w:rFonts w:hint="eastAsia" w:eastAsia="仿宋_GB2312" w:cs="仿宋_GB2312"/>
          <w:color w:val="auto"/>
          <w:kern w:val="2"/>
          <w:sz w:val="32"/>
          <w:szCs w:val="32"/>
          <w:highlight w:val="none"/>
          <w:lang w:val="en-US" w:eastAsia="zh-CN" w:bidi="ar-SA"/>
        </w:rPr>
        <w:t>26.8</w:t>
      </w:r>
      <w:r>
        <w:rPr>
          <w:rFonts w:hint="eastAsia" w:ascii="Times New Roman" w:hAnsi="Times New Roman" w:eastAsia="仿宋_GB2312" w:cs="仿宋_GB2312"/>
          <w:color w:val="auto"/>
          <w:kern w:val="2"/>
          <w:sz w:val="32"/>
          <w:szCs w:val="32"/>
          <w:highlight w:val="none"/>
          <w:lang w:val="en-US" w:eastAsia="zh-CN" w:bidi="ar-SA"/>
        </w:rPr>
        <w:t>万元，完成预算100%，决算数等于预算数</w:t>
      </w:r>
      <w:r>
        <w:rPr>
          <w:rFonts w:hint="eastAsia" w:eastAsia="仿宋_GB2312" w:cs="仿宋_GB2312"/>
          <w:color w:val="auto"/>
          <w:kern w:val="2"/>
          <w:sz w:val="32"/>
          <w:szCs w:val="32"/>
          <w:highlight w:val="none"/>
          <w:lang w:val="en-US" w:eastAsia="zh-CN" w:bidi="ar-SA"/>
        </w:rPr>
        <w:t>。</w:t>
      </w:r>
    </w:p>
    <w:p w14:paraId="0FFAFEC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92899EA">
      <w:pPr>
        <w:tabs>
          <w:tab w:val="right" w:pos="8306"/>
        </w:tabs>
        <w:spacing w:line="600" w:lineRule="exact"/>
        <w:ind w:firstLine="640"/>
        <w:outlineLvl w:val="1"/>
        <w:rPr>
          <w:rStyle w:val="30"/>
          <w:rFonts w:ascii="Times New Roman" w:hAnsi="Times New Roman"/>
          <w:color w:val="auto"/>
          <w:highlight w:val="none"/>
        </w:rPr>
      </w:pPr>
      <w:bookmarkStart w:id="39" w:name="_Toc15377214"/>
      <w:bookmarkStart w:id="40" w:name="_Toc15396608"/>
      <w:bookmarkStart w:id="41" w:name="_Toc9770"/>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般公共预算财政拨款基本支出决算情况说明</w:t>
      </w:r>
      <w:bookmarkEnd w:id="39"/>
      <w:bookmarkEnd w:id="40"/>
      <w:bookmarkEnd w:id="41"/>
      <w:r>
        <w:rPr>
          <w:rStyle w:val="30"/>
          <w:rFonts w:ascii="Times New Roman" w:hAnsi="Times New Roman" w:eastAsia="黑体"/>
          <w:b w:val="0"/>
          <w:color w:val="auto"/>
          <w:highlight w:val="none"/>
        </w:rPr>
        <w:tab/>
      </w:r>
    </w:p>
    <w:p w14:paraId="3F8DB63B">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年度一般公共预算财政拨款基本支出</w:t>
      </w:r>
      <w:r>
        <w:rPr>
          <w:rFonts w:hint="eastAsia" w:ascii="仿宋_GB2312" w:hAnsi="仿宋_GB2312" w:eastAsia="仿宋_GB2312" w:cs="仿宋_GB2312"/>
          <w:sz w:val="32"/>
          <w:szCs w:val="32"/>
          <w:highlight w:val="none"/>
          <w:lang w:val="en-US" w:eastAsia="zh-CN"/>
        </w:rPr>
        <w:t>398.37</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元，其中：</w:t>
      </w:r>
    </w:p>
    <w:p w14:paraId="652D97BC">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highlight w:val="none"/>
          <w:lang w:val="en-US" w:eastAsia="zh-CN"/>
        </w:rPr>
        <w:t>341.12</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主要包括：基本工资、津贴补贴、奖金、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highlight w:val="none"/>
          <w:lang w:val="en-US" w:eastAsia="zh-CN"/>
        </w:rPr>
        <w:t>57.25</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w:t>
      </w:r>
      <w:r>
        <w:rPr>
          <w:rFonts w:hint="eastAsia" w:eastAsia="仿宋_GB2312" w:cs="仿宋_GB2312"/>
          <w:color w:val="auto"/>
          <w:kern w:val="2"/>
          <w:sz w:val="32"/>
          <w:szCs w:val="32"/>
          <w:highlight w:val="none"/>
          <w:lang w:val="en-US" w:eastAsia="zh-CN" w:bidi="ar-SA"/>
        </w:rPr>
        <w:t>主要包括：办公费、印刷费、咨询费、手续费、水费、电费、邮电费、物业管理费、差旅费、维修（护）费、租赁费、会议费、培训费、公务接待费、劳务费、委托业务费、工会经费、福利费、公务用车运行维护费、其他交通费、其他商品和服务支出、办公设备购置、专用设备购置、信息网络及软件购置更新等。</w:t>
      </w:r>
    </w:p>
    <w:p w14:paraId="081D479E">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032232BB">
      <w:pPr>
        <w:spacing w:line="600" w:lineRule="exact"/>
        <w:ind w:firstLine="640"/>
        <w:outlineLvl w:val="1"/>
        <w:rPr>
          <w:rStyle w:val="30"/>
          <w:rFonts w:ascii="Times New Roman" w:hAnsi="Times New Roman" w:eastAsia="黑体"/>
          <w:b w:val="0"/>
          <w:color w:val="auto"/>
          <w:highlight w:val="none"/>
        </w:rPr>
      </w:pPr>
      <w:bookmarkStart w:id="42" w:name="_Toc15396609"/>
      <w:bookmarkStart w:id="43" w:name="_Toc15377215"/>
      <w:bookmarkStart w:id="44" w:name="_Toc26098"/>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42"/>
      <w:bookmarkEnd w:id="43"/>
      <w:bookmarkEnd w:id="44"/>
    </w:p>
    <w:p w14:paraId="3CCB4AC1">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45" w:name="_Toc15377216"/>
      <w:r>
        <w:rPr>
          <w:rFonts w:hint="eastAsia" w:ascii="Times New Roman" w:hAnsi="Times New Roman" w:eastAsia="楷体_GB2312" w:cs="楷体_GB2312"/>
          <w:b/>
          <w:color w:val="auto"/>
          <w:sz w:val="32"/>
          <w:szCs w:val="32"/>
          <w:highlight w:val="none"/>
        </w:rPr>
        <w:t>（一）“三公”经费财政拨款支出决算总体情况说明</w:t>
      </w:r>
      <w:bookmarkEnd w:id="45"/>
    </w:p>
    <w:p w14:paraId="2370DED8">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年度“三公”经费财政拨款支出决算为</w:t>
      </w:r>
      <w:r>
        <w:rPr>
          <w:rFonts w:hint="eastAsia" w:ascii="仿宋_GB2312" w:hAnsi="仿宋_GB2312" w:eastAsia="仿宋_GB2312" w:cs="仿宋_GB2312"/>
          <w:sz w:val="32"/>
          <w:szCs w:val="32"/>
          <w:highlight w:val="none"/>
          <w:lang w:val="en-US" w:eastAsia="zh-CN"/>
        </w:rPr>
        <w:t>14.06</w:t>
      </w:r>
      <w:r>
        <w:rPr>
          <w:rFonts w:hint="eastAsia" w:ascii="仿宋_GB2312" w:hAnsi="仿宋_GB2312"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highlight w:val="none"/>
          <w:lang w:val="en-US" w:eastAsia="zh-CN"/>
        </w:rPr>
        <w:t>100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ascii="仿宋_GB2312" w:hAnsi="仿宋_GB2312" w:eastAsia="仿宋_GB2312" w:cs="仿宋_GB2312"/>
          <w:sz w:val="32"/>
          <w:szCs w:val="32"/>
          <w:highlight w:val="none"/>
          <w:lang w:val="en-US" w:eastAsia="zh-CN"/>
        </w:rPr>
        <w:t>2.72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23.98</w:t>
      </w:r>
      <w:r>
        <w:rPr>
          <w:rFonts w:hint="eastAsia" w:ascii="Times New Roman" w:hAnsi="Times New Roman" w:eastAsia="仿宋_GB2312" w:cs="仿宋_GB2312"/>
          <w:color w:val="auto"/>
          <w:kern w:val="2"/>
          <w:sz w:val="32"/>
          <w:szCs w:val="32"/>
          <w:highlight w:val="none"/>
          <w:lang w:val="en-US" w:eastAsia="zh-CN" w:bidi="ar-SA"/>
        </w:rPr>
        <w:t>%。决算数与预算数持平</w:t>
      </w:r>
      <w:r>
        <w:rPr>
          <w:rFonts w:hint="eastAsia" w:ascii="仿宋_GB2312" w:hAnsi="仿宋_GB2312" w:eastAsia="仿宋_GB2312" w:cs="仿宋_GB2312"/>
          <w:sz w:val="32"/>
          <w:szCs w:val="32"/>
          <w:highlight w:val="none"/>
          <w:lang w:val="en-US" w:eastAsia="zh-CN"/>
        </w:rPr>
        <w:t>。</w:t>
      </w:r>
    </w:p>
    <w:p w14:paraId="46323A85">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46" w:name="_Toc15377217"/>
      <w:r>
        <w:rPr>
          <w:rFonts w:hint="eastAsia" w:ascii="Times New Roman" w:hAnsi="Times New Roman" w:eastAsia="楷体_GB2312" w:cs="楷体_GB2312"/>
          <w:b/>
          <w:color w:val="auto"/>
          <w:sz w:val="32"/>
          <w:szCs w:val="32"/>
          <w:highlight w:val="none"/>
        </w:rPr>
        <w:t>（二）“三公”经费财政拨款支出决算具体情况说明</w:t>
      </w:r>
      <w:bookmarkEnd w:id="46"/>
    </w:p>
    <w:p w14:paraId="73ED10F1">
      <w:pPr>
        <w:spacing w:line="600" w:lineRule="exact"/>
        <w:ind w:firstLine="640"/>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2025年度“三公”经费财政拨款支出决算中，因公出国（境）费支出决算</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万元，占0%；公务用车购置及运行维护费支出决算</w:t>
      </w:r>
      <w:r>
        <w:rPr>
          <w:rFonts w:hint="eastAsia" w:ascii="仿宋_GB2312" w:hAnsi="仿宋_GB2312" w:eastAsia="仿宋_GB2312" w:cs="仿宋_GB2312"/>
          <w:sz w:val="32"/>
          <w:szCs w:val="32"/>
          <w:highlight w:val="none"/>
          <w:lang w:val="en-US" w:eastAsia="zh-CN"/>
        </w:rPr>
        <w:t>14.06</w:t>
      </w:r>
      <w:r>
        <w:rPr>
          <w:rFonts w:hint="eastAsia" w:ascii="仿宋_GB2312" w:hAnsi="仿宋_GB2312" w:eastAsia="仿宋_GB2312" w:cs="仿宋_GB2312"/>
          <w:color w:val="auto"/>
          <w:kern w:val="2"/>
          <w:sz w:val="32"/>
          <w:szCs w:val="32"/>
          <w:highlight w:val="none"/>
          <w:lang w:val="en-US" w:eastAsia="zh-CN" w:bidi="ar-SA"/>
        </w:rPr>
        <w:t>万元，占100%；公务接待费支出决算</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万元，占0%。具体情况如下：</w:t>
      </w:r>
    </w:p>
    <w:p w14:paraId="67DF90F9">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highlight w:val="none"/>
          <w:lang w:val="en-US" w:eastAsia="zh-CN"/>
        </w:rPr>
        <w:drawing>
          <wp:anchor distT="0" distB="0" distL="114300" distR="114300" simplePos="0" relativeHeight="251659264" behindDoc="0" locked="0" layoutInCell="1" allowOverlap="1">
            <wp:simplePos x="0" y="0"/>
            <wp:positionH relativeFrom="column">
              <wp:posOffset>71755</wp:posOffset>
            </wp:positionH>
            <wp:positionV relativeFrom="paragraph">
              <wp:posOffset>90170</wp:posOffset>
            </wp:positionV>
            <wp:extent cx="5256530" cy="2988310"/>
            <wp:effectExtent l="5080" t="4445" r="15240" b="17145"/>
            <wp:wrapTopAndBottom/>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Times New Roman" w:hAnsi="Times New Roman" w:eastAsia="仿宋_GB2312" w:cs="仿宋_GB2312"/>
          <w:color w:val="auto"/>
          <w:kern w:val="2"/>
          <w:sz w:val="32"/>
          <w:szCs w:val="32"/>
          <w:highlight w:val="none"/>
          <w:lang w:val="en-US" w:eastAsia="zh-CN" w:bidi="ar-SA"/>
        </w:rPr>
        <w:t>（图7：“三公”经费财政拨款支出结构）（饼状图）</w:t>
      </w:r>
    </w:p>
    <w:p w14:paraId="5F9EB77E">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w:t>
      </w:r>
      <w:r>
        <w:rPr>
          <w:rFonts w:hint="eastAsia" w:ascii="仿宋_GB2312" w:hAnsi="仿宋_GB2312" w:eastAsia="仿宋_GB2312" w:cs="仿宋_GB2312"/>
          <w:color w:val="auto"/>
          <w:kern w:val="2"/>
          <w:sz w:val="32"/>
          <w:szCs w:val="32"/>
          <w:highlight w:val="none"/>
          <w:lang w:val="en-US" w:eastAsia="zh-CN" w:bidi="ar-SA"/>
        </w:rPr>
        <w:t>组</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人</w:t>
      </w:r>
      <w:r>
        <w:rPr>
          <w:rFonts w:hint="eastAsia" w:ascii="Times New Roman" w:hAnsi="Times New Roman" w:eastAsia="仿宋_GB2312" w:cs="仿宋_GB2312"/>
          <w:color w:val="auto"/>
          <w:kern w:val="2"/>
          <w:sz w:val="32"/>
          <w:szCs w:val="32"/>
          <w:highlight w:val="none"/>
          <w:lang w:val="en-US" w:eastAsia="zh-CN" w:bidi="ar-SA"/>
        </w:rPr>
        <w:t>。因公出国（境）支出决算比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0A53B0D3">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sz w:val="32"/>
          <w:szCs w:val="32"/>
          <w:highlight w:val="none"/>
          <w:lang w:val="en-US" w:eastAsia="zh-CN"/>
        </w:rPr>
        <w:t>14.06</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ascii="仿宋_GB2312" w:hAnsi="仿宋_GB2312" w:eastAsia="仿宋_GB2312" w:cs="仿宋_GB2312"/>
          <w:sz w:val="32"/>
          <w:szCs w:val="32"/>
          <w:highlight w:val="none"/>
          <w:lang w:val="en-US" w:eastAsia="zh-CN"/>
        </w:rPr>
        <w:t>2.72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23.98</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highlight w:val="none"/>
          <w:lang w:val="en-US" w:eastAsia="zh-CN"/>
        </w:rPr>
        <w:t>随工作开展需要导致变动。</w:t>
      </w:r>
    </w:p>
    <w:p w14:paraId="4A38F644">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辆。截至</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ascii="仿宋_GB2312" w:hAnsi="仿宋_GB2312" w:eastAsia="仿宋_GB2312" w:cs="仿宋_GB2312"/>
          <w:sz w:val="32"/>
          <w:szCs w:val="32"/>
          <w:highlight w:val="none"/>
          <w:lang w:val="en-US" w:eastAsia="zh-CN"/>
        </w:rPr>
        <w:t>3</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425EFF96">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14.06</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日常公务</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5A264BEB">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b/>
          <w:bCs/>
          <w:color w:val="auto"/>
          <w:kern w:val="2"/>
          <w:sz w:val="32"/>
          <w:szCs w:val="32"/>
          <w:highlight w:val="none"/>
          <w:lang w:val="en-US" w:eastAsia="zh-CN" w:bidi="ar-SA"/>
        </w:rPr>
        <w:t>万</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w:t>
      </w:r>
    </w:p>
    <w:p w14:paraId="4D9B6310">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元。国内公务接</w:t>
      </w:r>
      <w:r>
        <w:rPr>
          <w:rFonts w:hint="eastAsia" w:ascii="仿宋_GB2312" w:hAnsi="仿宋_GB2312" w:eastAsia="仿宋_GB2312" w:cs="仿宋_GB2312"/>
          <w:color w:val="auto"/>
          <w:kern w:val="2"/>
          <w:sz w:val="32"/>
          <w:szCs w:val="32"/>
          <w:highlight w:val="none"/>
          <w:lang w:val="en-US" w:eastAsia="zh-CN" w:bidi="ar-SA"/>
        </w:rPr>
        <w:t>待</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w:t>
      </w:r>
    </w:p>
    <w:p w14:paraId="609F30AC">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w:t>
      </w:r>
      <w:r>
        <w:rPr>
          <w:rFonts w:hint="eastAsia" w:ascii="仿宋_GB2312" w:hAnsi="仿宋_GB2312" w:eastAsia="仿宋_GB2312" w:cs="仿宋_GB2312"/>
          <w:color w:val="auto"/>
          <w:kern w:val="2"/>
          <w:sz w:val="32"/>
          <w:szCs w:val="32"/>
          <w:highlight w:val="none"/>
          <w:lang w:val="en-US" w:eastAsia="zh-CN" w:bidi="ar-SA"/>
        </w:rPr>
        <w:t>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人次（不包括陪同人员），共计支出0万</w:t>
      </w:r>
      <w:r>
        <w:rPr>
          <w:rFonts w:hint="eastAsia" w:ascii="Times New Roman" w:hAnsi="Times New Roman" w:eastAsia="仿宋_GB2312" w:cs="仿宋_GB2312"/>
          <w:color w:val="auto"/>
          <w:kern w:val="2"/>
          <w:sz w:val="32"/>
          <w:szCs w:val="32"/>
          <w:highlight w:val="none"/>
          <w:lang w:val="en-US" w:eastAsia="zh-CN" w:bidi="ar-SA"/>
        </w:rPr>
        <w:t>元。</w:t>
      </w:r>
      <w:bookmarkStart w:id="47" w:name="_Toc15396610"/>
      <w:bookmarkStart w:id="48" w:name="_Toc15377218"/>
    </w:p>
    <w:p w14:paraId="16B733E7">
      <w:pPr>
        <w:spacing w:line="600" w:lineRule="exact"/>
        <w:ind w:firstLine="640"/>
        <w:outlineLvl w:val="1"/>
        <w:rPr>
          <w:rStyle w:val="30"/>
          <w:rFonts w:ascii="Times New Roman" w:hAnsi="Times New Roman" w:eastAsia="黑体"/>
          <w:color w:val="auto"/>
          <w:highlight w:val="none"/>
        </w:rPr>
      </w:pPr>
      <w:bookmarkStart w:id="49" w:name="_Toc7073"/>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7"/>
      <w:bookmarkEnd w:id="48"/>
      <w:bookmarkEnd w:id="49"/>
    </w:p>
    <w:p w14:paraId="05B5037C">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2025年度政府性基金预算财政拨款支出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ascii="仿宋_GB2312" w:hAnsi="仿宋_GB2312" w:eastAsia="仿宋_GB2312" w:cs="仿宋_GB2312"/>
          <w:sz w:val="32"/>
          <w:szCs w:val="32"/>
          <w:highlight w:val="none"/>
          <w:lang w:val="en-US" w:eastAsia="zh-CN"/>
        </w:rPr>
        <w:t>0</w:t>
      </w:r>
      <w:r>
        <w:rPr>
          <w:rFonts w:hint="eastAsia" w:ascii="Times New Roman" w:hAnsi="Times New Roman" w:eastAsia="仿宋_GB2312" w:cs="仿宋_GB2312"/>
          <w:color w:val="auto"/>
          <w:kern w:val="2"/>
          <w:sz w:val="32"/>
          <w:szCs w:val="32"/>
          <w:highlight w:val="none"/>
          <w:lang w:val="en-US" w:eastAsia="zh-CN" w:bidi="ar-SA"/>
        </w:rPr>
        <w:t>%。</w:t>
      </w:r>
    </w:p>
    <w:p w14:paraId="0116953A">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50" w:name="_Toc15396611"/>
      <w:bookmarkStart w:id="51" w:name="_Toc15377219"/>
      <w:bookmarkStart w:id="52" w:name="_Toc9897"/>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50"/>
      <w:bookmarkEnd w:id="51"/>
      <w:bookmarkEnd w:id="52"/>
    </w:p>
    <w:p w14:paraId="10E1E4C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年度国有资本经营预算财政拨款支出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4370398F">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53" w:name="_Toc15377221"/>
      <w:bookmarkStart w:id="54" w:name="_Toc8130"/>
      <w:bookmarkStart w:id="55" w:name="_Toc15396612"/>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53"/>
      <w:bookmarkEnd w:id="54"/>
      <w:bookmarkEnd w:id="55"/>
    </w:p>
    <w:p w14:paraId="0DCF67A4">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56" w:name="_Toc15377222"/>
      <w:r>
        <w:rPr>
          <w:rFonts w:hint="eastAsia" w:ascii="Times New Roman" w:hAnsi="Times New Roman" w:eastAsia="楷体_GB2312" w:cs="楷体_GB2312"/>
          <w:b/>
          <w:color w:val="auto"/>
          <w:sz w:val="32"/>
          <w:szCs w:val="32"/>
          <w:highlight w:val="none"/>
        </w:rPr>
        <w:t>（一）机关运行经费支出情况</w:t>
      </w:r>
      <w:bookmarkEnd w:id="56"/>
    </w:p>
    <w:p w14:paraId="3AA99B37">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lang w:val="en-US" w:eastAsia="zh-CN"/>
        </w:rPr>
        <w:t>中国共产主义青年团阿坝藏族羌族自治州委员会</w:t>
      </w:r>
      <w:r>
        <w:rPr>
          <w:rFonts w:hint="eastAsia" w:ascii="仿宋_GB2312" w:hAnsi="仿宋_GB2312"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highlight w:val="none"/>
          <w:lang w:val="en-US" w:eastAsia="zh-CN"/>
        </w:rPr>
        <w:t>57.25</w:t>
      </w:r>
      <w:r>
        <w:rPr>
          <w:rFonts w:hint="eastAsia" w:ascii="仿宋_GB2312" w:hAnsi="仿宋_GB2312" w:eastAsia="仿宋_GB2312" w:cs="仿宋_GB2312"/>
          <w:color w:val="auto"/>
          <w:kern w:val="2"/>
          <w:sz w:val="32"/>
          <w:szCs w:val="32"/>
          <w:highlight w:val="none"/>
          <w:lang w:val="en-US" w:eastAsia="zh-CN" w:bidi="ar-SA"/>
        </w:rPr>
        <w:t>万</w:t>
      </w:r>
      <w:r>
        <w:rPr>
          <w:rFonts w:hint="eastAsia" w:ascii="Times New Roman" w:hAnsi="Times New Roman" w:eastAsia="仿宋_GB2312" w:cs="仿宋_GB2312"/>
          <w:color w:val="auto"/>
          <w:kern w:val="2"/>
          <w:sz w:val="32"/>
          <w:szCs w:val="32"/>
          <w:highlight w:val="none"/>
          <w:lang w:val="en-US" w:eastAsia="zh-CN" w:bidi="ar-SA"/>
        </w:rPr>
        <w:t>元，比</w:t>
      </w:r>
      <w:r>
        <w:rPr>
          <w:rFonts w:hint="eastAsia" w:eastAsia="仿宋_GB2312" w:cs="仿宋_GB2312"/>
          <w:color w:val="auto"/>
          <w:kern w:val="2"/>
          <w:sz w:val="32"/>
          <w:szCs w:val="32"/>
          <w:highlight w:val="none"/>
          <w:lang w:val="en-US" w:eastAsia="zh-CN" w:bidi="ar-SA"/>
        </w:rPr>
        <w:t>2024</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减少</w:t>
      </w:r>
      <w:r>
        <w:rPr>
          <w:rFonts w:hint="eastAsia" w:ascii="仿宋_GB2312" w:hAnsi="仿宋_GB2312" w:eastAsia="仿宋_GB2312" w:cs="仿宋_GB2312"/>
          <w:sz w:val="32"/>
          <w:szCs w:val="32"/>
          <w:highlight w:val="none"/>
          <w:lang w:val="en-US" w:eastAsia="zh-CN"/>
        </w:rPr>
        <w:t>22.08</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下降</w:t>
      </w:r>
      <w:r>
        <w:rPr>
          <w:rFonts w:hint="eastAsia" w:ascii="仿宋_GB2312" w:hAnsi="仿宋_GB2312" w:eastAsia="仿宋_GB2312" w:cs="仿宋_GB2312"/>
          <w:sz w:val="32"/>
          <w:szCs w:val="32"/>
          <w:highlight w:val="none"/>
          <w:lang w:val="en-US" w:eastAsia="zh-CN"/>
        </w:rPr>
        <w:t>27.83</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ascii="仿宋_GB2312" w:hAnsi="仿宋_GB2312" w:eastAsia="仿宋_GB2312" w:cs="仿宋_GB2312"/>
          <w:sz w:val="32"/>
          <w:szCs w:val="32"/>
          <w:highlight w:val="none"/>
          <w:lang w:val="en-US" w:eastAsia="zh-CN"/>
        </w:rPr>
        <w:t>厉行节约，压缩经费。</w:t>
      </w:r>
    </w:p>
    <w:p w14:paraId="22965F37">
      <w:pPr>
        <w:spacing w:line="600" w:lineRule="exact"/>
        <w:ind w:firstLine="643" w:firstLineChars="200"/>
        <w:outlineLvl w:val="9"/>
        <w:rPr>
          <w:rFonts w:hint="eastAsia" w:ascii="Times New Roman" w:hAnsi="Times New Roman" w:eastAsia="楷体_GB2312" w:cs="楷体_GB2312"/>
          <w:b/>
          <w:color w:val="FF0000"/>
          <w:sz w:val="32"/>
          <w:szCs w:val="32"/>
          <w:highlight w:val="none"/>
          <w:lang w:eastAsia="zh-CN"/>
        </w:rPr>
      </w:pPr>
      <w:bookmarkStart w:id="57" w:name="_Toc15377223"/>
      <w:r>
        <w:rPr>
          <w:rFonts w:hint="eastAsia" w:ascii="Times New Roman" w:hAnsi="Times New Roman" w:eastAsia="楷体_GB2312" w:cs="楷体_GB2312"/>
          <w:b/>
          <w:color w:val="auto"/>
          <w:sz w:val="32"/>
          <w:szCs w:val="32"/>
          <w:highlight w:val="none"/>
        </w:rPr>
        <w:t>（二）政府采购支出情况</w:t>
      </w:r>
      <w:bookmarkEnd w:id="57"/>
    </w:p>
    <w:p w14:paraId="75840CD0">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2025年度，</w:t>
      </w:r>
      <w:r>
        <w:rPr>
          <w:rFonts w:hint="eastAsia" w:ascii="仿宋_GB2312" w:hAnsi="仿宋_GB2312" w:eastAsia="仿宋_GB2312" w:cs="仿宋_GB2312"/>
          <w:sz w:val="32"/>
          <w:szCs w:val="32"/>
          <w:highlight w:val="none"/>
          <w:lang w:val="en-US" w:eastAsia="zh-CN"/>
        </w:rPr>
        <w:t>中国共产主义青年团阿坝藏族羌族自治州委员会</w:t>
      </w:r>
      <w:r>
        <w:rPr>
          <w:rFonts w:hint="eastAsia" w:ascii="仿宋_GB2312" w:hAnsi="仿宋_GB2312"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highlight w:val="none"/>
          <w:lang w:val="en-US" w:eastAsia="zh-CN"/>
        </w:rPr>
        <w:t>180.01</w:t>
      </w:r>
      <w:r>
        <w:rPr>
          <w:rFonts w:hint="eastAsia" w:ascii="仿宋_GB2312" w:hAnsi="仿宋_GB2312"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highlight w:val="none"/>
          <w:lang w:val="en-US" w:eastAsia="zh-CN"/>
        </w:rPr>
        <w:t>4.48</w:t>
      </w:r>
      <w:r>
        <w:rPr>
          <w:rFonts w:hint="eastAsia" w:ascii="仿宋_GB2312" w:hAnsi="仿宋_GB2312"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highlight w:val="none"/>
          <w:lang w:val="en-US" w:eastAsia="zh-CN"/>
        </w:rPr>
        <w:t>175.54</w:t>
      </w:r>
      <w:r>
        <w:rPr>
          <w:rFonts w:hint="eastAsia" w:ascii="仿宋_GB2312" w:hAnsi="仿宋_GB2312" w:eastAsia="仿宋_GB2312" w:cs="仿宋_GB2312"/>
          <w:color w:val="auto"/>
          <w:kern w:val="2"/>
          <w:sz w:val="32"/>
          <w:szCs w:val="32"/>
          <w:highlight w:val="none"/>
          <w:lang w:val="en-US" w:eastAsia="zh-CN" w:bidi="ar-SA"/>
        </w:rPr>
        <w:t>万元。主要用于日常工作开展所需要的政府采购。授予中小企业合同金额</w:t>
      </w:r>
      <w:r>
        <w:rPr>
          <w:rFonts w:hint="eastAsia" w:ascii="仿宋_GB2312" w:hAnsi="仿宋_GB2312" w:eastAsia="仿宋_GB2312" w:cs="仿宋_GB2312"/>
          <w:sz w:val="32"/>
          <w:szCs w:val="32"/>
          <w:highlight w:val="none"/>
          <w:lang w:val="en-US" w:eastAsia="zh-CN"/>
        </w:rPr>
        <w:t>178.85</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highlight w:val="none"/>
          <w:lang w:val="en-US" w:eastAsia="zh-CN"/>
        </w:rPr>
        <w:t>99.36</w:t>
      </w:r>
      <w:r>
        <w:rPr>
          <w:rFonts w:hint="eastAsia" w:ascii="仿宋_GB2312" w:hAnsi="仿宋_GB2312"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highlight w:val="none"/>
          <w:lang w:val="en-US" w:eastAsia="zh-CN"/>
        </w:rPr>
        <w:t>31.95</w:t>
      </w:r>
      <w:r>
        <w:rPr>
          <w:rFonts w:hint="eastAsia" w:ascii="仿宋_GB2312" w:hAnsi="仿宋_GB2312"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highlight w:val="none"/>
          <w:lang w:val="en-US" w:eastAsia="zh-CN"/>
        </w:rPr>
        <w:t>17.75</w:t>
      </w:r>
      <w:r>
        <w:rPr>
          <w:rFonts w:hint="eastAsia" w:ascii="仿宋_GB2312" w:hAnsi="仿宋_GB2312" w:eastAsia="仿宋_GB2312" w:cs="仿宋_GB2312"/>
          <w:color w:val="auto"/>
          <w:kern w:val="2"/>
          <w:sz w:val="32"/>
          <w:szCs w:val="32"/>
          <w:highlight w:val="none"/>
          <w:lang w:val="en-US" w:eastAsia="zh-CN" w:bidi="ar-SA"/>
        </w:rPr>
        <w:t>%。</w:t>
      </w:r>
    </w:p>
    <w:p w14:paraId="5C24164F">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bookmarkStart w:id="58" w:name="_Toc15377224"/>
      <w:r>
        <w:rPr>
          <w:rFonts w:hint="eastAsia" w:ascii="Times New Roman" w:hAnsi="Times New Roman" w:eastAsia="楷体_GB2312" w:cs="楷体_GB2312"/>
          <w:b/>
          <w:color w:val="auto"/>
          <w:sz w:val="32"/>
          <w:szCs w:val="32"/>
          <w:highlight w:val="none"/>
        </w:rPr>
        <w:t>（三）国有资产占有使用情况</w:t>
      </w:r>
      <w:bookmarkEnd w:id="58"/>
    </w:p>
    <w:p w14:paraId="7CD4817E">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截至2025年12月31日，</w:t>
      </w:r>
      <w:r>
        <w:rPr>
          <w:rFonts w:hint="eastAsia" w:ascii="仿宋_GB2312" w:hAnsi="仿宋_GB2312" w:eastAsia="仿宋_GB2312" w:cs="仿宋_GB2312"/>
          <w:sz w:val="32"/>
          <w:szCs w:val="32"/>
          <w:highlight w:val="none"/>
          <w:lang w:val="en-US" w:eastAsia="zh-CN"/>
        </w:rPr>
        <w:t>中国共产主义青年团阿坝藏族羌族自治州委员会</w:t>
      </w:r>
      <w:r>
        <w:rPr>
          <w:rFonts w:hint="eastAsia" w:ascii="仿宋_GB2312" w:hAnsi="仿宋_GB2312"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color w:val="auto"/>
          <w:kern w:val="2"/>
          <w:sz w:val="32"/>
          <w:szCs w:val="32"/>
          <w:highlight w:val="none"/>
          <w:lang w:val="en-US" w:eastAsia="zh-CN" w:bidi="ar-SA"/>
        </w:rPr>
        <w:t>辆，其中：主要负责人用车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color w:val="auto"/>
          <w:kern w:val="2"/>
          <w:sz w:val="32"/>
          <w:szCs w:val="32"/>
          <w:highlight w:val="none"/>
          <w:lang w:val="en-US" w:eastAsia="zh-CN" w:bidi="ar-SA"/>
        </w:rPr>
        <w:t>辆，其他用车主要是用于日常公务用车。单价100万元（含）以上设备（不含车辆）</w:t>
      </w:r>
      <w:r>
        <w:rPr>
          <w:rFonts w:hint="eastAsia" w:ascii="仿宋_GB2312" w:hAnsi="仿宋_GB2312" w:eastAsia="仿宋_GB2312" w:cs="仿宋_GB2312"/>
          <w:sz w:val="32"/>
          <w:szCs w:val="32"/>
          <w:highlight w:val="none"/>
          <w:lang w:val="en-US" w:eastAsia="zh-CN"/>
        </w:rPr>
        <w:t>0</w:t>
      </w:r>
      <w:r>
        <w:rPr>
          <w:rFonts w:hint="eastAsia" w:ascii="仿宋_GB2312" w:hAnsi="仿宋_GB2312" w:eastAsia="仿宋_GB2312" w:cs="仿宋_GB2312"/>
          <w:color w:val="auto"/>
          <w:kern w:val="2"/>
          <w:sz w:val="32"/>
          <w:szCs w:val="32"/>
          <w:highlight w:val="none"/>
          <w:lang w:val="en-US" w:eastAsia="zh-CN" w:bidi="ar-SA"/>
        </w:rPr>
        <w:t>台（套）</w:t>
      </w:r>
      <w:r>
        <w:rPr>
          <w:rFonts w:hint="eastAsia" w:ascii="Times New Roman" w:hAnsi="Times New Roman" w:eastAsia="仿宋_GB2312" w:cs="仿宋_GB2312"/>
          <w:color w:val="auto"/>
          <w:kern w:val="2"/>
          <w:sz w:val="32"/>
          <w:szCs w:val="32"/>
          <w:highlight w:val="none"/>
          <w:lang w:val="en-US" w:eastAsia="zh-CN" w:bidi="ar-SA"/>
        </w:rPr>
        <w:t>。</w:t>
      </w:r>
    </w:p>
    <w:p w14:paraId="00986637">
      <w:pPr>
        <w:spacing w:line="600" w:lineRule="exact"/>
        <w:ind w:firstLine="643" w:firstLineChars="200"/>
        <w:outlineLvl w:val="9"/>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26D0C606">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ascii="仿宋_GB2312" w:hAnsi="仿宋_GB2312" w:eastAsia="仿宋_GB2312" w:cs="仿宋_GB2312"/>
          <w:sz w:val="32"/>
          <w:szCs w:val="32"/>
          <w:highlight w:val="none"/>
          <w:lang w:val="en-US" w:eastAsia="zh-CN"/>
        </w:rPr>
        <w:t>中国共产主义青年团阿坝藏族羌族自治州委员会</w:t>
      </w:r>
      <w:r>
        <w:rPr>
          <w:rFonts w:hint="eastAsia" w:ascii="Times New Roman" w:hAnsi="Times New Roman" w:eastAsia="仿宋_GB2312" w:cs="仿宋_GB2312"/>
          <w:color w:val="auto"/>
          <w:kern w:val="2"/>
          <w:sz w:val="32"/>
          <w:szCs w:val="32"/>
          <w:highlight w:val="none"/>
          <w:lang w:val="en-US" w:eastAsia="zh-CN" w:bidi="ar-SA"/>
        </w:rPr>
        <w:t>在</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年度预算编制阶段，组织对基层团组织建设及“五四”活动</w:t>
      </w:r>
      <w:r>
        <w:rPr>
          <w:rFonts w:hint="eastAsia" w:eastAsia="仿宋_GB2312" w:cs="仿宋_GB2312"/>
          <w:color w:val="auto"/>
          <w:kern w:val="2"/>
          <w:sz w:val="32"/>
          <w:szCs w:val="32"/>
          <w:highlight w:val="none"/>
          <w:lang w:val="en-US" w:eastAsia="zh-CN" w:bidi="ar-SA"/>
        </w:rPr>
        <w:t>、基层团干部、学校和少先队辅导员培训</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个项目开展了预算事前绩效评估，对</w:t>
      </w: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6BD846FE">
      <w:pPr>
        <w:spacing w:line="600" w:lineRule="exact"/>
        <w:ind w:firstLine="640"/>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w:t>
      </w:r>
      <w:r>
        <w:rPr>
          <w:rFonts w:hint="eastAsia" w:eastAsia="仿宋_GB2312" w:cs="仿宋_GB2312"/>
          <w:color w:val="auto"/>
          <w:kern w:val="2"/>
          <w:sz w:val="32"/>
          <w:szCs w:val="32"/>
          <w:highlight w:val="none"/>
          <w:lang w:val="en-US" w:eastAsia="zh-CN" w:bidi="ar-SA"/>
        </w:rPr>
        <w:t>2025</w:t>
      </w:r>
      <w:r>
        <w:rPr>
          <w:rFonts w:hint="eastAsia" w:ascii="Times New Roman" w:hAnsi="Times New Roman" w:eastAsia="仿宋_GB2312" w:cs="仿宋_GB2312"/>
          <w:color w:val="auto"/>
          <w:kern w:val="2"/>
          <w:sz w:val="32"/>
          <w:szCs w:val="32"/>
          <w:highlight w:val="none"/>
          <w:lang w:val="en-US" w:eastAsia="zh-CN" w:bidi="ar-SA"/>
        </w:rPr>
        <w:t>年度一般公共预算</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等全面开展</w:t>
      </w:r>
      <w:r>
        <w:rPr>
          <w:rFonts w:hint="eastAsia" w:eastAsia="仿宋_GB2312" w:cs="仿宋_GB2312"/>
          <w:color w:val="auto"/>
          <w:kern w:val="2"/>
          <w:sz w:val="32"/>
          <w:szCs w:val="32"/>
          <w:highlight w:val="none"/>
          <w:lang w:val="en-US" w:eastAsia="zh-CN" w:bidi="ar-SA"/>
        </w:rPr>
        <w:t>了</w:t>
      </w:r>
      <w:r>
        <w:rPr>
          <w:rFonts w:hint="eastAsia" w:ascii="Times New Roman" w:hAnsi="Times New Roman" w:eastAsia="仿宋_GB2312" w:cs="仿宋_GB2312"/>
          <w:color w:val="auto"/>
          <w:kern w:val="2"/>
          <w:sz w:val="32"/>
          <w:szCs w:val="32"/>
          <w:highlight w:val="none"/>
          <w:lang w:val="en-US" w:eastAsia="zh-CN" w:bidi="ar-SA"/>
        </w:rPr>
        <w:t>绩效自评，形成</w:t>
      </w:r>
      <w:r>
        <w:rPr>
          <w:rFonts w:hint="eastAsia" w:ascii="仿宋_GB2312" w:hAnsi="仿宋_GB2312" w:eastAsia="仿宋_GB2312" w:cs="仿宋_GB2312"/>
          <w:sz w:val="32"/>
          <w:szCs w:val="32"/>
          <w:highlight w:val="none"/>
          <w:lang w:val="en-US" w:eastAsia="zh-CN"/>
        </w:rPr>
        <w:t>中国共产主义青年团阿坝藏族羌族自治州委员会</w:t>
      </w:r>
      <w:r>
        <w:rPr>
          <w:rFonts w:hint="eastAsia" w:ascii="Times New Roman" w:hAnsi="Times New Roman" w:eastAsia="仿宋_GB2312" w:cs="仿宋_GB2312"/>
          <w:color w:val="auto"/>
          <w:kern w:val="2"/>
          <w:sz w:val="32"/>
          <w:szCs w:val="32"/>
          <w:highlight w:val="none"/>
          <w:lang w:val="en-US" w:eastAsia="zh-CN" w:bidi="ar-SA"/>
        </w:rPr>
        <w:t>部门整体（含部门预算项目）绩效自评报告</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其中</w:t>
      </w:r>
      <w:r>
        <w:rPr>
          <w:rFonts w:hint="eastAsia"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lang w:val="en-US" w:eastAsia="zh-CN"/>
        </w:rPr>
        <w:t>中国共产主义青年团阿坝藏族羌族自治州委员会</w:t>
      </w:r>
      <w:r>
        <w:rPr>
          <w:rFonts w:hint="eastAsia" w:ascii="Times New Roman" w:hAnsi="Times New Roman" w:eastAsia="仿宋_GB2312" w:cs="仿宋_GB2312"/>
          <w:color w:val="auto"/>
          <w:kern w:val="2"/>
          <w:sz w:val="32"/>
          <w:szCs w:val="32"/>
          <w:highlight w:val="none"/>
          <w:lang w:val="en-US" w:eastAsia="zh-CN" w:bidi="ar-SA"/>
        </w:rPr>
        <w:t>部门整体绩效自评得分为</w:t>
      </w:r>
      <w:r>
        <w:rPr>
          <w:rFonts w:hint="eastAsia" w:eastAsia="仿宋_GB2312" w:cs="仿宋_GB2312"/>
          <w:color w:val="auto"/>
          <w:kern w:val="2"/>
          <w:sz w:val="32"/>
          <w:szCs w:val="32"/>
          <w:highlight w:val="none"/>
          <w:lang w:val="en-US" w:eastAsia="zh-CN" w:bidi="ar-SA"/>
        </w:rPr>
        <w:t>92.26</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w:t>
      </w:r>
      <w:r>
        <w:rPr>
          <w:rFonts w:ascii="Times New Roman" w:hAnsi="Times New Roman" w:eastAsia="仿宋_GB2312" w:cs="Times New Roman"/>
          <w:i w:val="0"/>
          <w:caps w:val="0"/>
          <w:smallCaps w:val="0"/>
          <w:color w:val="auto"/>
          <w:spacing w:val="0"/>
          <w:kern w:val="0"/>
          <w:sz w:val="32"/>
          <w:szCs w:val="32"/>
          <w:highlight w:val="none"/>
          <w:lang w:val="en-US" w:eastAsia="zh-CN"/>
        </w:rPr>
        <w:t>加快支出标准体系建设，加强预算项目管理，进一步细化预算编制工作，认真做好预算编制不断提高预算编制的科学性、严谨性和可控性，推动全过程预算绩效管理提质增效。及时分析单位的项目目标完成情况，对确实在本年度项目实施难度大的情况多沟通、多汇报，在确保资金支出安全有序高效的前提下，正确进行项目的实施，力争完成年度目标任务</w:t>
      </w:r>
      <w:r>
        <w:rPr>
          <w:rFonts w:hint="eastAsia" w:ascii="Times New Roman" w:hAnsi="Times New Roman" w:eastAsia="仿宋_GB2312" w:cs="仿宋_GB2312"/>
          <w:color w:val="auto"/>
          <w:kern w:val="2"/>
          <w:sz w:val="32"/>
          <w:szCs w:val="32"/>
          <w:highlight w:val="none"/>
          <w:lang w:val="en-US" w:eastAsia="zh-CN" w:bidi="ar-SA"/>
        </w:rPr>
        <w:t>。</w:t>
      </w:r>
    </w:p>
    <w:p w14:paraId="6B419B7D">
      <w:pPr>
        <w:spacing w:line="600" w:lineRule="exact"/>
        <w:ind w:firstLine="640"/>
        <w:outlineLvl w:val="9"/>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部门整体</w:t>
      </w:r>
      <w:r>
        <w:rPr>
          <w:rFonts w:hint="eastAsia" w:ascii="Times New Roman" w:hAnsi="Times New Roman" w:eastAsia="仿宋_GB2312" w:cs="仿宋_GB2312"/>
          <w:color w:val="auto"/>
          <w:kern w:val="2"/>
          <w:sz w:val="32"/>
          <w:szCs w:val="32"/>
          <w:highlight w:val="none"/>
          <w:lang w:val="en-US" w:eastAsia="zh-CN" w:bidi="ar-SA"/>
        </w:rPr>
        <w:t>绩效自评报告详见附件</w:t>
      </w:r>
      <w:r>
        <w:rPr>
          <w:rFonts w:hint="eastAsia" w:eastAsia="仿宋_GB2312" w:cs="仿宋_GB2312"/>
          <w:color w:val="auto"/>
          <w:kern w:val="2"/>
          <w:sz w:val="32"/>
          <w:szCs w:val="32"/>
          <w:highlight w:val="none"/>
          <w:lang w:val="en-US" w:eastAsia="zh-CN" w:bidi="ar-SA"/>
        </w:rPr>
        <w:t>1、</w:t>
      </w:r>
    </w:p>
    <w:p w14:paraId="35777AAA">
      <w:pPr>
        <w:spacing w:line="600" w:lineRule="exact"/>
        <w:ind w:firstLine="640"/>
        <w:outlineLvl w:val="9"/>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部门项目</w:t>
      </w:r>
      <w:r>
        <w:rPr>
          <w:rFonts w:hint="eastAsia" w:ascii="Times New Roman" w:hAnsi="Times New Roman" w:eastAsia="仿宋_GB2312" w:cs="仿宋_GB2312"/>
          <w:color w:val="auto"/>
          <w:kern w:val="2"/>
          <w:sz w:val="32"/>
          <w:szCs w:val="32"/>
          <w:highlight w:val="none"/>
          <w:lang w:val="en-US" w:eastAsia="zh-CN" w:bidi="ar-SA"/>
        </w:rPr>
        <w:t>自评</w:t>
      </w:r>
      <w:r>
        <w:rPr>
          <w:rFonts w:hint="eastAsia" w:eastAsia="仿宋_GB2312" w:cs="仿宋_GB2312"/>
          <w:color w:val="auto"/>
          <w:kern w:val="2"/>
          <w:sz w:val="32"/>
          <w:szCs w:val="32"/>
          <w:highlight w:val="none"/>
          <w:lang w:val="en-US" w:eastAsia="zh-CN" w:bidi="ar-SA"/>
        </w:rPr>
        <w:t>表</w:t>
      </w:r>
      <w:r>
        <w:rPr>
          <w:rFonts w:hint="eastAsia" w:ascii="Times New Roman" w:hAnsi="Times New Roman" w:eastAsia="仿宋_GB2312" w:cs="仿宋_GB2312"/>
          <w:color w:val="auto"/>
          <w:kern w:val="2"/>
          <w:sz w:val="32"/>
          <w:szCs w:val="32"/>
          <w:highlight w:val="none"/>
          <w:lang w:val="en-US" w:eastAsia="zh-CN" w:bidi="ar-SA"/>
        </w:rPr>
        <w:t>详见附件</w:t>
      </w:r>
      <w:r>
        <w:rPr>
          <w:rFonts w:hint="eastAsia" w:eastAsia="仿宋_GB2312" w:cs="仿宋_GB2312"/>
          <w:color w:val="auto"/>
          <w:kern w:val="2"/>
          <w:sz w:val="32"/>
          <w:szCs w:val="32"/>
          <w:highlight w:val="none"/>
          <w:lang w:val="en-US" w:eastAsia="zh-CN" w:bidi="ar-SA"/>
        </w:rPr>
        <w:t>2。</w:t>
      </w:r>
    </w:p>
    <w:p w14:paraId="6814729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0FE555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671B0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EB8B4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D432EF4">
      <w:pPr>
        <w:pStyle w:val="15"/>
        <w:rPr>
          <w:rFonts w:hint="eastAsia" w:ascii="Times New Roman" w:hAnsi="Times New Roman" w:eastAsia="仿宋_GB2312" w:cs="仿宋_GB2312"/>
          <w:color w:val="auto"/>
          <w:kern w:val="2"/>
          <w:sz w:val="32"/>
          <w:szCs w:val="32"/>
          <w:highlight w:val="none"/>
          <w:lang w:val="en-US" w:eastAsia="zh-CN" w:bidi="ar-SA"/>
        </w:rPr>
      </w:pPr>
    </w:p>
    <w:p w14:paraId="73621C4F">
      <w:pPr>
        <w:pStyle w:val="9"/>
        <w:rPr>
          <w:rFonts w:hint="eastAsia" w:ascii="Times New Roman" w:hAnsi="Times New Roman" w:eastAsia="仿宋_GB2312" w:cs="仿宋_GB2312"/>
          <w:color w:val="auto"/>
          <w:kern w:val="2"/>
          <w:sz w:val="32"/>
          <w:szCs w:val="32"/>
          <w:highlight w:val="none"/>
          <w:lang w:val="en-US" w:eastAsia="zh-CN" w:bidi="ar-SA"/>
        </w:rPr>
      </w:pPr>
    </w:p>
    <w:p w14:paraId="156CDA8A">
      <w:pPr>
        <w:pStyle w:val="9"/>
        <w:rPr>
          <w:rFonts w:hint="eastAsia" w:ascii="Times New Roman" w:hAnsi="Times New Roman" w:eastAsia="仿宋_GB2312" w:cs="仿宋_GB2312"/>
          <w:color w:val="auto"/>
          <w:kern w:val="2"/>
          <w:sz w:val="32"/>
          <w:szCs w:val="32"/>
          <w:highlight w:val="none"/>
          <w:lang w:val="en-US" w:eastAsia="zh-CN" w:bidi="ar-SA"/>
        </w:rPr>
      </w:pPr>
    </w:p>
    <w:p w14:paraId="43788B64">
      <w:pPr>
        <w:pStyle w:val="9"/>
        <w:rPr>
          <w:rFonts w:hint="eastAsia" w:ascii="Times New Roman" w:hAnsi="Times New Roman" w:eastAsia="仿宋_GB2312" w:cs="仿宋_GB2312"/>
          <w:color w:val="auto"/>
          <w:kern w:val="2"/>
          <w:sz w:val="32"/>
          <w:szCs w:val="32"/>
          <w:highlight w:val="none"/>
          <w:lang w:val="en-US" w:eastAsia="zh-CN" w:bidi="ar-SA"/>
        </w:rPr>
      </w:pPr>
    </w:p>
    <w:p w14:paraId="3BB19C87">
      <w:pPr>
        <w:pStyle w:val="9"/>
        <w:rPr>
          <w:rFonts w:hint="eastAsia" w:ascii="Times New Roman" w:hAnsi="Times New Roman" w:eastAsia="仿宋_GB2312" w:cs="仿宋_GB2312"/>
          <w:color w:val="auto"/>
          <w:kern w:val="2"/>
          <w:sz w:val="32"/>
          <w:szCs w:val="32"/>
          <w:highlight w:val="none"/>
          <w:lang w:val="en-US" w:eastAsia="zh-CN" w:bidi="ar-SA"/>
        </w:rPr>
      </w:pPr>
    </w:p>
    <w:p w14:paraId="3C5966BB">
      <w:pPr>
        <w:pStyle w:val="9"/>
        <w:rPr>
          <w:rFonts w:hint="eastAsia" w:ascii="Times New Roman" w:hAnsi="Times New Roman" w:eastAsia="仿宋_GB2312" w:cs="仿宋_GB2312"/>
          <w:color w:val="auto"/>
          <w:kern w:val="2"/>
          <w:sz w:val="32"/>
          <w:szCs w:val="32"/>
          <w:highlight w:val="none"/>
          <w:lang w:val="en-US" w:eastAsia="zh-CN" w:bidi="ar-SA"/>
        </w:rPr>
      </w:pPr>
    </w:p>
    <w:p w14:paraId="14573093">
      <w:pPr>
        <w:pStyle w:val="9"/>
        <w:rPr>
          <w:rFonts w:hint="eastAsia" w:ascii="Times New Roman" w:hAnsi="Times New Roman" w:eastAsia="仿宋_GB2312" w:cs="仿宋_GB2312"/>
          <w:color w:val="auto"/>
          <w:kern w:val="2"/>
          <w:sz w:val="32"/>
          <w:szCs w:val="32"/>
          <w:highlight w:val="none"/>
          <w:lang w:val="en-US" w:eastAsia="zh-CN" w:bidi="ar-SA"/>
        </w:rPr>
      </w:pPr>
    </w:p>
    <w:p w14:paraId="52B95E16">
      <w:pPr>
        <w:pStyle w:val="9"/>
        <w:rPr>
          <w:rFonts w:hint="eastAsia" w:ascii="Times New Roman" w:hAnsi="Times New Roman" w:eastAsia="仿宋_GB2312" w:cs="仿宋_GB2312"/>
          <w:color w:val="auto"/>
          <w:kern w:val="2"/>
          <w:sz w:val="32"/>
          <w:szCs w:val="32"/>
          <w:highlight w:val="none"/>
          <w:lang w:val="en-US" w:eastAsia="zh-CN" w:bidi="ar-SA"/>
        </w:rPr>
      </w:pPr>
    </w:p>
    <w:p w14:paraId="458EAE3B">
      <w:pPr>
        <w:pStyle w:val="9"/>
        <w:rPr>
          <w:rFonts w:hint="eastAsia" w:ascii="Times New Roman" w:hAnsi="Times New Roman" w:eastAsia="仿宋_GB2312" w:cs="仿宋_GB2312"/>
          <w:color w:val="auto"/>
          <w:kern w:val="2"/>
          <w:sz w:val="32"/>
          <w:szCs w:val="32"/>
          <w:highlight w:val="none"/>
          <w:lang w:val="en-US" w:eastAsia="zh-CN" w:bidi="ar-SA"/>
        </w:rPr>
      </w:pPr>
    </w:p>
    <w:p w14:paraId="56FF6A21">
      <w:pPr>
        <w:pStyle w:val="9"/>
        <w:rPr>
          <w:rFonts w:hint="eastAsia" w:ascii="Times New Roman" w:hAnsi="Times New Roman" w:eastAsia="仿宋_GB2312" w:cs="仿宋_GB2312"/>
          <w:color w:val="auto"/>
          <w:kern w:val="2"/>
          <w:sz w:val="32"/>
          <w:szCs w:val="32"/>
          <w:highlight w:val="none"/>
          <w:lang w:val="en-US" w:eastAsia="zh-CN" w:bidi="ar-SA"/>
        </w:rPr>
      </w:pPr>
    </w:p>
    <w:p w14:paraId="4DEF709E">
      <w:pPr>
        <w:pStyle w:val="9"/>
        <w:rPr>
          <w:rFonts w:hint="eastAsia" w:ascii="Times New Roman" w:hAnsi="Times New Roman" w:eastAsia="仿宋_GB2312" w:cs="仿宋_GB2312"/>
          <w:color w:val="auto"/>
          <w:kern w:val="2"/>
          <w:sz w:val="32"/>
          <w:szCs w:val="32"/>
          <w:highlight w:val="none"/>
          <w:lang w:val="en-US" w:eastAsia="zh-CN" w:bidi="ar-SA"/>
        </w:rPr>
      </w:pPr>
    </w:p>
    <w:p w14:paraId="4DF8422F">
      <w:pPr>
        <w:numPr>
          <w:ilvl w:val="0"/>
          <w:numId w:val="0"/>
        </w:numPr>
        <w:spacing w:line="600" w:lineRule="exact"/>
        <w:jc w:val="center"/>
        <w:outlineLvl w:val="0"/>
        <w:rPr>
          <w:rFonts w:ascii="Times New Roman" w:hAnsi="Times New Roman"/>
          <w:b/>
          <w:color w:val="auto"/>
          <w:sz w:val="44"/>
          <w:szCs w:val="44"/>
          <w:highlight w:val="none"/>
        </w:rPr>
      </w:pPr>
      <w:bookmarkStart w:id="59" w:name="_Toc15377225"/>
      <w:bookmarkStart w:id="60" w:name="_Toc19091"/>
      <w:bookmarkStart w:id="61"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9"/>
      <w:bookmarkEnd w:id="60"/>
      <w:bookmarkEnd w:id="61"/>
    </w:p>
    <w:p w14:paraId="6B7BB26E">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财政拨款收入：指单位从同级财政部门取得的财政预算资金。</w:t>
      </w:r>
    </w:p>
    <w:p w14:paraId="6D922F47">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事业收入：指事业单位开展专业业务活动及辅助活动取得的收入。</w:t>
      </w:r>
    </w:p>
    <w:p w14:paraId="7EB7EED8">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经营收入：指事业单位在专业业务活动及其辅助活动之外开展非独立核算经营活动取得的收入。</w:t>
      </w:r>
    </w:p>
    <w:p w14:paraId="25AF3148">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其他收入：指单位取得的除上述收入以外的各项收入。</w:t>
      </w:r>
    </w:p>
    <w:p w14:paraId="232D4C9D">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使用非财政拨款结余（含专用结余）：指事业单位使用以前年度积累的非财政拨款结余弥补当年收支差额的金额。 </w:t>
      </w:r>
    </w:p>
    <w:p w14:paraId="438D32DC">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14:paraId="1D74F9F0">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结余分配：指事业单位按照会计制度规定缴纳的所得税、提取的专用结余以及转入非财政拨款结余的金额等。</w:t>
      </w:r>
    </w:p>
    <w:p w14:paraId="2B56474C">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年末结转和结余：指单位按有关规定结转到下年或以后年度继续使用的资金。</w:t>
      </w:r>
    </w:p>
    <w:p w14:paraId="43E18AB8">
      <w:pPr>
        <w:numPr>
          <w:ilvl w:val="0"/>
          <w:numId w:val="2"/>
        </w:numPr>
        <w:spacing w:line="600" w:lineRule="exact"/>
        <w:ind w:left="0" w:leftChars="0" w:firstLine="40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一般公共服务支出（20</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）群众团体事务（</w:t>
      </w:r>
      <w:r>
        <w:rPr>
          <w:rFonts w:hint="eastAsia" w:eastAsia="仿宋_GB2312" w:cs="仿宋_GB2312"/>
          <w:color w:val="auto"/>
          <w:kern w:val="2"/>
          <w:sz w:val="32"/>
          <w:szCs w:val="32"/>
          <w:highlight w:val="none"/>
          <w:lang w:val="en-US" w:eastAsia="zh-CN" w:bidi="ar-SA"/>
        </w:rPr>
        <w:t>29</w:t>
      </w:r>
      <w:r>
        <w:rPr>
          <w:rFonts w:hint="eastAsia" w:ascii="Times New Roman" w:hAnsi="Times New Roman" w:eastAsia="仿宋_GB2312" w:cs="仿宋_GB2312"/>
          <w:color w:val="auto"/>
          <w:kern w:val="2"/>
          <w:sz w:val="32"/>
          <w:szCs w:val="32"/>
          <w:highlight w:val="none"/>
          <w:lang w:val="en-US" w:eastAsia="zh-CN" w:bidi="ar-SA"/>
        </w:rPr>
        <w:t>）行政运行（01）:反映行政单位 (包括实行公务员管理的事业单位) 的基本支出</w:t>
      </w:r>
      <w:r>
        <w:rPr>
          <w:rFonts w:hint="eastAsia" w:eastAsia="仿宋_GB2312" w:cs="仿宋_GB2312"/>
          <w:color w:val="auto"/>
          <w:kern w:val="2"/>
          <w:sz w:val="32"/>
          <w:szCs w:val="32"/>
          <w:highlight w:val="none"/>
          <w:lang w:val="en-US" w:eastAsia="zh-CN" w:bidi="ar-SA"/>
        </w:rPr>
        <w:t>。</w:t>
      </w:r>
    </w:p>
    <w:p w14:paraId="2C2992A1">
      <w:pPr>
        <w:numPr>
          <w:ilvl w:val="0"/>
          <w:numId w:val="2"/>
        </w:numPr>
        <w:spacing w:line="600" w:lineRule="exact"/>
        <w:ind w:left="0" w:leftChars="0" w:firstLine="400" w:firstLineChars="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一般公共服务支出（20</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）群众团体事务（</w:t>
      </w:r>
      <w:r>
        <w:rPr>
          <w:rFonts w:hint="eastAsia" w:eastAsia="仿宋_GB2312" w:cs="仿宋_GB2312"/>
          <w:color w:val="auto"/>
          <w:kern w:val="2"/>
          <w:sz w:val="32"/>
          <w:szCs w:val="32"/>
          <w:highlight w:val="none"/>
          <w:lang w:val="en-US" w:eastAsia="zh-CN" w:bidi="ar-SA"/>
        </w:rPr>
        <w:t>29</w:t>
      </w:r>
      <w:r>
        <w:rPr>
          <w:rFonts w:hint="eastAsia" w:ascii="Times New Roman" w:hAnsi="Times New Roman" w:eastAsia="仿宋_GB2312" w:cs="仿宋_GB2312"/>
          <w:color w:val="auto"/>
          <w:kern w:val="2"/>
          <w:sz w:val="32"/>
          <w:szCs w:val="32"/>
          <w:highlight w:val="none"/>
          <w:lang w:val="en-US" w:eastAsia="zh-CN" w:bidi="ar-SA"/>
        </w:rPr>
        <w:t>）一般行政管理事务（02）:反映行政单位 (包括实行公务员管理的事业单位) 未单独设置项级科目的其他项目支出</w:t>
      </w:r>
      <w:r>
        <w:rPr>
          <w:rFonts w:hint="eastAsia" w:eastAsia="仿宋_GB2312" w:cs="仿宋_GB2312"/>
          <w:color w:val="auto"/>
          <w:kern w:val="2"/>
          <w:sz w:val="32"/>
          <w:szCs w:val="32"/>
          <w:highlight w:val="none"/>
          <w:lang w:val="en-US" w:eastAsia="zh-CN" w:bidi="ar-SA"/>
        </w:rPr>
        <w:t>。</w:t>
      </w:r>
    </w:p>
    <w:p w14:paraId="6C41FA34">
      <w:pPr>
        <w:numPr>
          <w:ilvl w:val="0"/>
          <w:numId w:val="2"/>
        </w:numPr>
        <w:spacing w:line="600" w:lineRule="exact"/>
        <w:ind w:left="0" w:leftChars="0" w:firstLine="400" w:firstLineChars="0"/>
        <w:rPr>
          <w:rFonts w:hint="eastAsia"/>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一般公共服务支出（20</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）群众团体事务（</w:t>
      </w:r>
      <w:r>
        <w:rPr>
          <w:rFonts w:hint="eastAsia" w:eastAsia="仿宋_GB2312" w:cs="仿宋_GB2312"/>
          <w:color w:val="auto"/>
          <w:kern w:val="2"/>
          <w:sz w:val="32"/>
          <w:szCs w:val="32"/>
          <w:highlight w:val="none"/>
          <w:lang w:val="en-US" w:eastAsia="zh-CN" w:bidi="ar-SA"/>
        </w:rPr>
        <w:t>29</w:t>
      </w:r>
      <w:r>
        <w:rPr>
          <w:rFonts w:hint="eastAsia" w:ascii="Times New Roman" w:hAnsi="Times New Roman" w:eastAsia="仿宋_GB2312" w:cs="仿宋_GB2312"/>
          <w:color w:val="auto"/>
          <w:kern w:val="2"/>
          <w:sz w:val="32"/>
          <w:szCs w:val="32"/>
          <w:highlight w:val="none"/>
          <w:lang w:val="en-US" w:eastAsia="zh-CN" w:bidi="ar-SA"/>
        </w:rPr>
        <w:t>）其他群众团体事务支出（99）:反映除上述项目以外其他用于群众团体事务方面的支出</w:t>
      </w:r>
      <w:r>
        <w:rPr>
          <w:rFonts w:hint="eastAsia" w:eastAsia="仿宋_GB2312" w:cs="仿宋_GB2312"/>
          <w:color w:val="auto"/>
          <w:kern w:val="2"/>
          <w:sz w:val="32"/>
          <w:szCs w:val="32"/>
          <w:highlight w:val="none"/>
          <w:lang w:val="en-US" w:eastAsia="zh-CN" w:bidi="ar-SA"/>
        </w:rPr>
        <w:t>。</w:t>
      </w:r>
    </w:p>
    <w:p w14:paraId="4FF3DC8E">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社会保障和就业支出（208）行政事业单位养老支出（05）机关事业单位基本养老保险缴费支出（05）:反映机关事业单位实施养老保险制度由单位缴纳的基本养老保险费支出。</w:t>
      </w:r>
    </w:p>
    <w:p w14:paraId="737BC4A3">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社会保障和就业支出（208）行政事业单位养老支出（05）机关事业单位职业年金缴费支出（06）:反映机关事业单位实施养老保险制度由单位实际缴纳的职业年金支出。</w:t>
      </w:r>
    </w:p>
    <w:p w14:paraId="23F84E9F">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210）行政事业单位医疗（11）行政单位医疗（01）:反映财政部门安排的行政单位(包括实行公务员管理的事业单位，下同)基本医疗保险缴费经费，未参加医疗保险的行政单位的公费医疗经费，按国家规定享受离休人员、红军老战士待遇人员的医疗经费。</w:t>
      </w:r>
    </w:p>
    <w:p w14:paraId="6A553AE1">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卫生健康支出（210）行政事业单位医疗（11）公务员医疗补助（03）:反映财政部门安排的公务员医疗补助经费。</w:t>
      </w:r>
    </w:p>
    <w:p w14:paraId="54A80552">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住房保障支出（221）住房改革支出（02）住房公积金（01）:反映行政事业单位按人力资源和社会保障部、财政部规定的基本工资和津贴补贴以及规定比例为职工缴纳的住房公积金</w:t>
      </w:r>
      <w:r>
        <w:rPr>
          <w:rFonts w:hint="eastAsia" w:eastAsia="仿宋_GB2312" w:cs="仿宋_GB2312"/>
          <w:color w:val="auto"/>
          <w:kern w:val="2"/>
          <w:sz w:val="32"/>
          <w:szCs w:val="32"/>
          <w:highlight w:val="none"/>
          <w:lang w:val="en-US" w:eastAsia="zh-CN" w:bidi="ar-SA"/>
        </w:rPr>
        <w:t>。</w:t>
      </w:r>
    </w:p>
    <w:p w14:paraId="423C2645">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645B0735">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2EC48A33">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6BC477E5">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13F1420">
      <w:pPr>
        <w:numPr>
          <w:ilvl w:val="0"/>
          <w:numId w:val="2"/>
        </w:numPr>
        <w:spacing w:line="600" w:lineRule="exact"/>
        <w:ind w:left="0" w:leftChars="0" w:firstLine="40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525DCDB">
      <w:pPr>
        <w:spacing w:line="600" w:lineRule="exact"/>
        <w:jc w:val="center"/>
        <w:outlineLvl w:val="0"/>
        <w:rPr>
          <w:rFonts w:hint="eastAsia" w:ascii="Times New Roman" w:hAnsi="Times New Roman" w:eastAsia="黑体" w:cs="黑体"/>
          <w:color w:val="FF0000"/>
          <w:sz w:val="32"/>
          <w:szCs w:val="32"/>
          <w:highlight w:val="none"/>
        </w:rPr>
      </w:pPr>
      <w:bookmarkStart w:id="62"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63" w:name="_Toc15396614"/>
      <w:bookmarkStart w:id="64" w:name="_Toc6590"/>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63"/>
      <w:bookmarkEnd w:id="64"/>
    </w:p>
    <w:p w14:paraId="4FD69E6C">
      <w:pPr>
        <w:keepNext w:val="0"/>
        <w:keepLines w:val="0"/>
        <w:pageBreakBefore w:val="0"/>
        <w:kinsoku/>
        <w:wordWrap/>
        <w:overflowPunct/>
        <w:topLinePunct w:val="0"/>
        <w:autoSpaceDE/>
        <w:autoSpaceDN/>
        <w:bidi w:val="0"/>
        <w:spacing w:line="572" w:lineRule="exact"/>
        <w:jc w:val="left"/>
        <w:textAlignment w:val="auto"/>
        <w:outlineLvl w:val="9"/>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18979F7C">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046392C0">
      <w:pPr>
        <w:widowControl/>
        <w:spacing w:line="578" w:lineRule="exact"/>
        <w:contextualSpacing/>
        <w:jc w:val="center"/>
        <w:rPr>
          <w:rFonts w:ascii="Times New Roman" w:hAnsi="Times New Roman" w:eastAsia="方正小标宋简体" w:cs="Times New Roman"/>
          <w:bCs/>
          <w:sz w:val="44"/>
          <w:szCs w:val="44"/>
          <w:highlight w:val="none"/>
          <w:shd w:val="clear" w:color="auto" w:fill="FFFFFF"/>
        </w:rPr>
      </w:pPr>
      <w:bookmarkStart w:id="65" w:name="_Hlk110546638"/>
      <w:r>
        <w:rPr>
          <w:rFonts w:hint="eastAsia" w:ascii="Times New Roman" w:hAnsi="Times New Roman" w:eastAsia="方正小标宋简体" w:cs="Times New Roman"/>
          <w:bCs/>
          <w:sz w:val="44"/>
          <w:szCs w:val="44"/>
          <w:highlight w:val="none"/>
          <w:shd w:val="clear" w:color="auto" w:fill="FFFFFF"/>
          <w:lang w:eastAsia="zh-CN"/>
        </w:rPr>
        <w:t>团州委</w:t>
      </w:r>
      <w:r>
        <w:rPr>
          <w:rFonts w:ascii="Times New Roman" w:hAnsi="Times New Roman" w:eastAsia="方正小标宋简体" w:cs="Times New Roman"/>
          <w:bCs/>
          <w:sz w:val="44"/>
          <w:szCs w:val="44"/>
          <w:highlight w:val="none"/>
          <w:shd w:val="clear" w:color="auto" w:fill="FFFFFF"/>
        </w:rPr>
        <w:t>部门预算绩效</w:t>
      </w:r>
      <w:r>
        <w:rPr>
          <w:rFonts w:hint="eastAsia" w:ascii="Times New Roman" w:hAnsi="Times New Roman" w:eastAsia="方正小标宋简体" w:cs="Times New Roman"/>
          <w:bCs/>
          <w:sz w:val="44"/>
          <w:szCs w:val="44"/>
          <w:highlight w:val="none"/>
          <w:shd w:val="clear" w:color="auto" w:fill="FFFFFF"/>
        </w:rPr>
        <w:t>自评</w:t>
      </w:r>
      <w:r>
        <w:rPr>
          <w:rFonts w:ascii="Times New Roman" w:hAnsi="Times New Roman" w:eastAsia="方正小标宋简体" w:cs="Times New Roman"/>
          <w:bCs/>
          <w:sz w:val="44"/>
          <w:szCs w:val="44"/>
          <w:highlight w:val="none"/>
          <w:shd w:val="clear" w:color="auto" w:fill="FFFFFF"/>
        </w:rPr>
        <w:t>报告</w:t>
      </w:r>
    </w:p>
    <w:p w14:paraId="01630A69">
      <w:pPr>
        <w:widowControl/>
        <w:adjustRightInd w:val="0"/>
        <w:snapToGrid w:val="0"/>
        <w:spacing w:line="578" w:lineRule="exact"/>
        <w:ind w:firstLine="480" w:firstLineChars="200"/>
        <w:contextualSpacing/>
        <w:jc w:val="left"/>
        <w:rPr>
          <w:rFonts w:ascii="Times New Roman" w:hAnsi="Times New Roman" w:eastAsia="黑体" w:cs="Times New Roman"/>
          <w:color w:val="000000"/>
          <w:kern w:val="0"/>
          <w:sz w:val="24"/>
          <w:szCs w:val="32"/>
          <w:highlight w:val="none"/>
          <w:shd w:val="clear" w:color="auto" w:fill="FFFFFF"/>
        </w:rPr>
      </w:pPr>
    </w:p>
    <w:p w14:paraId="21E6B873">
      <w:pPr>
        <w:widowControl/>
        <w:adjustRightInd w:val="0"/>
        <w:snapToGrid w:val="0"/>
        <w:spacing w:line="578" w:lineRule="exact"/>
        <w:ind w:firstLine="640" w:firstLineChars="200"/>
        <w:contextualSpacing/>
        <w:jc w:val="left"/>
        <w:rPr>
          <w:rFonts w:ascii="Times New Roman" w:hAnsi="Times New Roman" w:eastAsia="仿宋_GB2312" w:cs="Times New Roman"/>
          <w:sz w:val="32"/>
          <w:szCs w:val="32"/>
          <w:highlight w:val="none"/>
        </w:rPr>
      </w:pPr>
      <w:r>
        <w:rPr>
          <w:rFonts w:ascii="Times New Roman" w:hAnsi="Times New Roman" w:eastAsia="黑体" w:cs="Times New Roman"/>
          <w:color w:val="000000"/>
          <w:kern w:val="0"/>
          <w:sz w:val="32"/>
          <w:szCs w:val="32"/>
          <w:highlight w:val="none"/>
          <w:shd w:val="clear" w:color="auto" w:fill="FFFFFF"/>
          <w:lang w:val="zh-CN"/>
        </w:rPr>
        <w:t>一、部门（单位）基本情况</w:t>
      </w:r>
    </w:p>
    <w:p w14:paraId="08B135CB">
      <w:pPr>
        <w:widowControl/>
        <w:adjustRightInd w:val="0"/>
        <w:snapToGrid w:val="0"/>
        <w:spacing w:line="578" w:lineRule="exact"/>
        <w:ind w:firstLine="643" w:firstLineChars="200"/>
        <w:contextualSpacing/>
        <w:jc w:val="left"/>
        <w:rPr>
          <w:rFonts w:hint="eastAsia" w:ascii="Times New Roman" w:hAnsi="Times New Roman" w:eastAsia="楷体_GB2312" w:cs="Times New Roman"/>
          <w:b w:val="0"/>
          <w:bCs w:val="0"/>
          <w:color w:val="000000"/>
          <w:kern w:val="0"/>
          <w:sz w:val="32"/>
          <w:szCs w:val="32"/>
          <w:highlight w:val="none"/>
          <w:shd w:val="clear" w:color="auto" w:fill="FFFFFF"/>
          <w:lang w:val="zh-CN"/>
        </w:rPr>
      </w:pPr>
      <w:r>
        <w:rPr>
          <w:rFonts w:ascii="Times New Roman" w:hAnsi="Times New Roman" w:eastAsia="楷体_GB2312" w:cs="Times New Roman"/>
          <w:b/>
          <w:bCs/>
          <w:color w:val="000000"/>
          <w:kern w:val="0"/>
          <w:sz w:val="32"/>
          <w:szCs w:val="32"/>
          <w:highlight w:val="none"/>
          <w:shd w:val="clear" w:color="auto" w:fill="FFFFFF"/>
          <w:lang w:val="zh-CN"/>
        </w:rPr>
        <w:t>（一）机构组成。</w:t>
      </w:r>
      <w:r>
        <w:rPr>
          <w:rFonts w:hint="eastAsia" w:ascii="Times New Roman" w:hAnsi="Times New Roman" w:eastAsia="楷体_GB2312" w:cs="Times New Roman"/>
          <w:b w:val="0"/>
          <w:bCs w:val="0"/>
          <w:color w:val="000000"/>
          <w:kern w:val="0"/>
          <w:sz w:val="32"/>
          <w:szCs w:val="32"/>
          <w:highlight w:val="none"/>
          <w:shd w:val="clear" w:color="auto" w:fill="FFFFFF"/>
          <w:lang w:val="zh-CN"/>
        </w:rPr>
        <w:t>共青团阿坝州委为州委领导下的群团组织，纳入决算编制范围的独立编制机构 1 个、独立核算机构 1 个，与上年一致，无变动。</w:t>
      </w:r>
    </w:p>
    <w:p w14:paraId="7EBB7F40">
      <w:pPr>
        <w:keepNext w:val="0"/>
        <w:keepLines w:val="0"/>
        <w:widowControl/>
        <w:suppressLineNumbers w:val="0"/>
        <w:pBdr>
          <w:top w:val="none" w:color="auto" w:sz="0" w:space="0"/>
          <w:left w:val="none" w:color="auto" w:sz="0" w:space="0"/>
          <w:bottom w:val="none" w:color="auto" w:sz="0" w:space="0"/>
          <w:right w:val="none" w:color="auto" w:sz="0" w:space="0"/>
        </w:pBdr>
        <w:shd w:val="clear" w:color="auto" w:fill="auto"/>
        <w:suppressAutoHyphens/>
        <w:spacing w:line="576" w:lineRule="atLeast"/>
        <w:ind w:left="0" w:firstLine="640"/>
        <w:rPr>
          <w:rFonts w:ascii="Calibri" w:hAnsi="Calibri" w:eastAsia="仿宋_GB2312" w:cs="Calibri"/>
          <w:color w:val="000000"/>
          <w:sz w:val="21"/>
          <w:szCs w:val="21"/>
          <w:highlight w:val="none"/>
        </w:rPr>
      </w:pPr>
      <w:r>
        <w:rPr>
          <w:rFonts w:ascii="Times New Roman" w:hAnsi="Times New Roman" w:eastAsia="楷体_GB2312" w:cs="Times New Roman"/>
          <w:b/>
          <w:bCs/>
          <w:color w:val="000000"/>
          <w:kern w:val="0"/>
          <w:sz w:val="32"/>
          <w:szCs w:val="32"/>
          <w:highlight w:val="none"/>
          <w:shd w:val="clear" w:color="auto" w:fill="FFFFFF"/>
          <w:lang w:val="zh-CN"/>
        </w:rPr>
        <w:t>（二）机构职能。</w:t>
      </w:r>
      <w:r>
        <w:rPr>
          <w:rFonts w:hint="eastAsia" w:ascii="仿宋_GB2312" w:hAnsi="Times New Roman" w:eastAsia="仿宋_GB2312" w:cs="仿宋_GB2312"/>
          <w:i w:val="0"/>
          <w:caps w:val="0"/>
          <w:smallCaps w:val="0"/>
          <w:color w:val="000000"/>
          <w:spacing w:val="0"/>
          <w:kern w:val="0"/>
          <w:sz w:val="32"/>
          <w:szCs w:val="32"/>
          <w:highlight w:val="none"/>
          <w:lang w:val="en-US" w:eastAsia="zh-CN" w:bidi="ar-SA"/>
        </w:rPr>
        <w:t>根据阿委办发〔2002〕6号文件规定，团州委主要职责是：1、行使共青团阿坝州委员会赋予的领导全州共青团工作、领导全州青联和少先队工作的职能，对全州性青年社团组织进行指导和管理。2、参与制定我州青少年事业发展规划和青少年工作方针、政策，对我州青少年活动阵地、青少年服务机构的建设等进行规划和管理。3、参与有关我州青少年事务的法律、法规的制定和实施，协助州委和州政府有关部门处理、协调与青少年利益相关的事务。4、调查青年思想动态和青年工作状况，研究青少年运动、青少年工作理论和思想教育问题，提出相应对策，开展各种活动。5、协助政府教育部门做好大、中、小学学生的教育管理工作，维护学校稳定和社会安定团结。6、组织带领青年在国家经济建设中发挥生力军和突击队作用。7、会同有关部门对全州青少年外事工作进行归口管理和提供服务，负责与国外青少年团体、政府青年机构、国际地区性青年组织及其它友好团体的交流工作。8、参与制定我州有关青年统战工作的政策，做好我州青年统战对象的团结教育工作，维护、促进祖国统一和民族团结。9、承担州委、州政府和上级团委交办的有关事项。</w:t>
      </w:r>
    </w:p>
    <w:p w14:paraId="14BF3665">
      <w:pPr>
        <w:spacing w:line="578" w:lineRule="exact"/>
        <w:ind w:firstLine="643" w:firstLineChars="200"/>
        <w:jc w:val="left"/>
        <w:rPr>
          <w:rFonts w:ascii="Times New Roman" w:hAnsi="Times New Roman" w:eastAsia="仿宋_GB2312" w:cs="Times New Roman"/>
          <w:sz w:val="32"/>
          <w:szCs w:val="32"/>
          <w:highlight w:val="none"/>
        </w:rPr>
      </w:pPr>
      <w:r>
        <w:rPr>
          <w:rFonts w:ascii="Times New Roman" w:hAnsi="Times New Roman" w:eastAsia="楷体_GB2312" w:cs="Times New Roman"/>
          <w:b/>
          <w:bCs/>
          <w:color w:val="000000"/>
          <w:kern w:val="0"/>
          <w:sz w:val="32"/>
          <w:szCs w:val="32"/>
          <w:highlight w:val="none"/>
          <w:shd w:val="clear" w:color="auto" w:fill="FFFFFF"/>
          <w:lang w:val="zh-CN"/>
        </w:rPr>
        <w:t>（三）人员概况。</w:t>
      </w:r>
      <w:r>
        <w:rPr>
          <w:rFonts w:hint="eastAsia" w:ascii="Times New Roman" w:hAnsi="Times New Roman" w:eastAsia="仿宋_GB2312" w:cs="Times New Roman"/>
          <w:sz w:val="32"/>
          <w:szCs w:val="32"/>
          <w:highlight w:val="none"/>
        </w:rPr>
        <w:t>截至 2025 年末，团州委核定行政编制及工勤编制共计</w:t>
      </w:r>
      <w:r>
        <w:rPr>
          <w:rFonts w:hint="eastAsia" w:ascii="Times New Roman" w:hAnsi="Times New Roman" w:eastAsia="仿宋_GB2312" w:cs="Times New Roman"/>
          <w:sz w:val="32"/>
          <w:szCs w:val="32"/>
          <w:highlight w:val="none"/>
          <w:lang w:val="en-US" w:eastAsia="zh-CN"/>
        </w:rPr>
        <w:t>14</w:t>
      </w:r>
      <w:r>
        <w:rPr>
          <w:rFonts w:hint="eastAsia" w:ascii="Times New Roman" w:hAnsi="Times New Roman" w:eastAsia="仿宋_GB2312" w:cs="Times New Roman"/>
          <w:sz w:val="32"/>
          <w:szCs w:val="32"/>
          <w:highlight w:val="none"/>
        </w:rPr>
        <w:t xml:space="preserve"> 名，年末实有在职人员 </w:t>
      </w:r>
      <w:r>
        <w:rPr>
          <w:rFonts w:hint="eastAsia" w:ascii="Times New Roman" w:hAnsi="Times New Roman" w:eastAsia="仿宋_GB2312" w:cs="Times New Roman"/>
          <w:sz w:val="32"/>
          <w:szCs w:val="32"/>
          <w:highlight w:val="none"/>
          <w:lang w:val="en-US" w:eastAsia="zh-CN"/>
        </w:rPr>
        <w:t>13</w:t>
      </w:r>
      <w:r>
        <w:rPr>
          <w:rFonts w:hint="eastAsia" w:ascii="Times New Roman" w:hAnsi="Times New Roman" w:eastAsia="仿宋_GB2312" w:cs="Times New Roman"/>
          <w:sz w:val="32"/>
          <w:szCs w:val="32"/>
          <w:highlight w:val="none"/>
        </w:rPr>
        <w:t xml:space="preserve"> 名，人员配置与年度工作任务、预算执行需求相匹配。</w:t>
      </w:r>
    </w:p>
    <w:p w14:paraId="082211CC">
      <w:pPr>
        <w:widowControl/>
        <w:adjustRightInd w:val="0"/>
        <w:snapToGrid w:val="0"/>
        <w:spacing w:line="578" w:lineRule="exact"/>
        <w:ind w:firstLine="640" w:firstLineChars="200"/>
        <w:contextualSpacing/>
        <w:jc w:val="left"/>
        <w:rPr>
          <w:rFonts w:ascii="Times New Roman" w:hAnsi="Times New Roman" w:eastAsia="黑体" w:cs="Times New Roman"/>
          <w:color w:val="000000"/>
          <w:kern w:val="0"/>
          <w:sz w:val="32"/>
          <w:szCs w:val="32"/>
          <w:highlight w:val="none"/>
          <w:shd w:val="clear" w:color="auto" w:fill="FFFFFF"/>
        </w:rPr>
      </w:pPr>
      <w:r>
        <w:rPr>
          <w:rFonts w:ascii="Times New Roman" w:hAnsi="Times New Roman" w:eastAsia="黑体" w:cs="Times New Roman"/>
          <w:color w:val="000000"/>
          <w:kern w:val="0"/>
          <w:sz w:val="32"/>
          <w:szCs w:val="32"/>
          <w:highlight w:val="none"/>
          <w:shd w:val="clear" w:color="auto" w:fill="FFFFFF"/>
        </w:rPr>
        <w:t>二、部门资金收支情况</w:t>
      </w:r>
    </w:p>
    <w:p w14:paraId="64C5C1FA">
      <w:pPr>
        <w:widowControl/>
        <w:adjustRightInd w:val="0"/>
        <w:snapToGrid w:val="0"/>
        <w:spacing w:line="578" w:lineRule="exact"/>
        <w:ind w:firstLine="643" w:firstLineChars="200"/>
        <w:contextualSpacing/>
        <w:jc w:val="left"/>
        <w:rPr>
          <w:rFonts w:hint="eastAsia" w:ascii="Times New Roman" w:hAnsi="Times New Roman" w:eastAsia="仿宋_GB2312" w:cs="Times New Roman"/>
          <w:sz w:val="32"/>
          <w:szCs w:val="32"/>
          <w:highlight w:val="none"/>
          <w:lang w:val="zh-CN"/>
        </w:rPr>
      </w:pPr>
      <w:r>
        <w:rPr>
          <w:rFonts w:ascii="Times New Roman" w:hAnsi="Times New Roman" w:eastAsia="楷体_GB2312" w:cs="Times New Roman"/>
          <w:b/>
          <w:bCs/>
          <w:color w:val="000000"/>
          <w:kern w:val="0"/>
          <w:sz w:val="32"/>
          <w:szCs w:val="32"/>
          <w:highlight w:val="none"/>
          <w:shd w:val="clear" w:color="auto" w:fill="FFFFFF"/>
          <w:lang w:val="zh-CN"/>
        </w:rPr>
        <w:t>（一）收入情况。</w:t>
      </w:r>
      <w:r>
        <w:rPr>
          <w:rFonts w:hint="eastAsia" w:ascii="Times New Roman" w:hAnsi="Times New Roman" w:eastAsia="楷体_GB2312" w:cs="Times New Roman"/>
          <w:sz w:val="32"/>
          <w:szCs w:val="32"/>
          <w:highlight w:val="none"/>
          <w:lang w:eastAsia="zh-CN"/>
        </w:rPr>
        <w:t>团州委</w:t>
      </w: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rPr>
        <w:t>5</w:t>
      </w:r>
      <w:r>
        <w:rPr>
          <w:rFonts w:ascii="Times New Roman" w:hAnsi="Times New Roman" w:eastAsia="仿宋_GB2312" w:cs="Times New Roman"/>
          <w:sz w:val="32"/>
          <w:szCs w:val="32"/>
          <w:highlight w:val="none"/>
        </w:rPr>
        <w:t>年年初</w:t>
      </w:r>
      <w:r>
        <w:rPr>
          <w:rFonts w:hint="eastAsia" w:ascii="Times New Roman" w:hAnsi="Times New Roman" w:eastAsia="仿宋_GB2312" w:cs="Times New Roman"/>
          <w:sz w:val="32"/>
          <w:szCs w:val="32"/>
          <w:highlight w:val="none"/>
          <w:lang w:val="zh-CN"/>
        </w:rPr>
        <w:t>年初预算收入：491.37 万元，较上年减少 116.65 万元，主要因项目缩减、临聘人员减少。</w:t>
      </w:r>
    </w:p>
    <w:p w14:paraId="2DDE2DF2">
      <w:pPr>
        <w:widowControl/>
        <w:adjustRightInd w:val="0"/>
        <w:snapToGrid w:val="0"/>
        <w:spacing w:line="578" w:lineRule="exact"/>
        <w:ind w:firstLine="640" w:firstLineChars="200"/>
        <w:contextualSpacing/>
        <w:jc w:val="left"/>
        <w:rPr>
          <w:rFonts w:hint="eastAsia" w:ascii="Times New Roman" w:hAnsi="Times New Roman" w:eastAsia="仿宋_GB2312" w:cs="Times New Roman"/>
          <w:sz w:val="32"/>
          <w:szCs w:val="32"/>
          <w:highlight w:val="none"/>
          <w:lang w:val="zh-CN"/>
        </w:rPr>
      </w:pPr>
      <w:r>
        <w:rPr>
          <w:rFonts w:hint="eastAsia" w:ascii="Times New Roman" w:hAnsi="Times New Roman" w:eastAsia="仿宋_GB2312" w:cs="Times New Roman"/>
          <w:sz w:val="32"/>
          <w:szCs w:val="32"/>
          <w:highlight w:val="none"/>
          <w:lang w:val="zh-CN"/>
        </w:rPr>
        <w:t>调整预算收入：668.24 万元，决算收入668.24 万元，预算完成率100%。</w:t>
      </w:r>
    </w:p>
    <w:p w14:paraId="37969386">
      <w:pPr>
        <w:widowControl/>
        <w:adjustRightInd w:val="0"/>
        <w:snapToGrid w:val="0"/>
        <w:spacing w:line="578" w:lineRule="exact"/>
        <w:ind w:firstLine="640" w:firstLineChars="200"/>
        <w:contextualSpacing/>
        <w:jc w:val="left"/>
        <w:rPr>
          <w:rFonts w:ascii="Times New Roman" w:hAnsi="Times New Roman" w:eastAsia="楷体_GB2312" w:cs="Times New Roman"/>
          <w:b/>
          <w:bCs/>
          <w:color w:val="000000"/>
          <w:kern w:val="0"/>
          <w:sz w:val="32"/>
          <w:szCs w:val="32"/>
          <w:highlight w:val="none"/>
          <w:shd w:val="clear" w:color="auto" w:fill="FFFFFF"/>
        </w:rPr>
      </w:pPr>
      <w:r>
        <w:rPr>
          <w:rFonts w:hint="eastAsia" w:ascii="Times New Roman" w:hAnsi="Times New Roman" w:eastAsia="仿宋_GB2312" w:cs="Times New Roman"/>
          <w:sz w:val="32"/>
          <w:szCs w:val="32"/>
          <w:highlight w:val="none"/>
          <w:lang w:val="zh-CN"/>
        </w:rPr>
        <w:t>收入结构：一般公共预算财政拨款664.27 万元（占 99.41%）；其他收入3.97 万元（占 0.59%），含省青年志愿者服务中心、省青基会项目资金。</w:t>
      </w:r>
    </w:p>
    <w:p w14:paraId="71347DF7">
      <w:pPr>
        <w:widowControl/>
        <w:adjustRightInd w:val="0"/>
        <w:snapToGrid w:val="0"/>
        <w:spacing w:line="578" w:lineRule="exact"/>
        <w:ind w:firstLine="643" w:firstLineChars="200"/>
        <w:contextualSpacing/>
        <w:jc w:val="left"/>
        <w:rPr>
          <w:rFonts w:hint="eastAsia" w:ascii="Times New Roman" w:hAnsi="Times New Roman" w:eastAsia="仿宋_GB2312" w:cs="Times New Roman"/>
          <w:sz w:val="32"/>
          <w:szCs w:val="32"/>
          <w:highlight w:val="none"/>
        </w:rPr>
      </w:pPr>
      <w:r>
        <w:rPr>
          <w:rFonts w:ascii="Times New Roman" w:hAnsi="Times New Roman" w:eastAsia="楷体_GB2312" w:cs="Times New Roman"/>
          <w:b/>
          <w:bCs/>
          <w:color w:val="000000"/>
          <w:kern w:val="0"/>
          <w:sz w:val="32"/>
          <w:szCs w:val="32"/>
          <w:highlight w:val="none"/>
          <w:shd w:val="clear" w:color="auto" w:fill="FFFFFF"/>
          <w:lang w:val="zh-CN"/>
        </w:rPr>
        <w:t>（二）支出情况。</w:t>
      </w:r>
      <w:r>
        <w:rPr>
          <w:rFonts w:hint="eastAsia" w:ascii="Times New Roman" w:hAnsi="Times New Roman" w:eastAsia="楷体_GB2312" w:cs="Times New Roman"/>
          <w:sz w:val="32"/>
          <w:szCs w:val="32"/>
          <w:highlight w:val="none"/>
          <w:lang w:eastAsia="zh-CN"/>
        </w:rPr>
        <w:t>团州委</w:t>
      </w:r>
      <w:r>
        <w:rPr>
          <w:rFonts w:hint="eastAsia" w:ascii="Times New Roman" w:hAnsi="Times New Roman" w:eastAsia="楷体_GB2312" w:cs="Times New Roman"/>
          <w:sz w:val="32"/>
          <w:szCs w:val="32"/>
          <w:highlight w:val="none"/>
          <w:lang w:val="en-US" w:eastAsia="zh-CN"/>
        </w:rPr>
        <w:t xml:space="preserve"> </w:t>
      </w: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rPr>
        <w:t>5</w:t>
      </w:r>
      <w:r>
        <w:rPr>
          <w:rFonts w:ascii="Times New Roman" w:hAnsi="Times New Roman" w:eastAsia="仿宋_GB2312" w:cs="Times New Roman"/>
          <w:sz w:val="32"/>
          <w:szCs w:val="32"/>
          <w:highlight w:val="none"/>
        </w:rPr>
        <w:t>年年初预算支出</w:t>
      </w:r>
      <w:r>
        <w:rPr>
          <w:rFonts w:hint="eastAsia" w:ascii="Times New Roman" w:hAnsi="Times New Roman" w:eastAsia="仿宋_GB2312" w:cs="Times New Roman"/>
          <w:sz w:val="32"/>
          <w:szCs w:val="32"/>
          <w:highlight w:val="none"/>
        </w:rPr>
        <w:t>年初预算支出：491.37 万元，较上年减少 41.73 万元。调整预算支出：668.24 万元，决算支出664.27 万元，预算完成率99.41%。</w:t>
      </w:r>
    </w:p>
    <w:p w14:paraId="2563415C">
      <w:pPr>
        <w:widowControl/>
        <w:adjustRightInd w:val="0"/>
        <w:snapToGrid w:val="0"/>
        <w:spacing w:line="578" w:lineRule="exact"/>
        <w:ind w:firstLine="640" w:firstLineChars="200"/>
        <w:contextualSpacing/>
        <w:jc w:val="left"/>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按功能分类：一般公共服务支出 570.39 万元（85.87%）、社会保障和就业支出 43.62 万元（6.57%）、卫生健康支出 23.46 万元（3.53%）、住房保障支出 26.80 万元（4.03%）。</w:t>
      </w:r>
    </w:p>
    <w:p w14:paraId="7705B62E">
      <w:pPr>
        <w:widowControl/>
        <w:adjustRightInd w:val="0"/>
        <w:snapToGrid w:val="0"/>
        <w:spacing w:line="578" w:lineRule="exact"/>
        <w:ind w:firstLine="640" w:firstLineChars="200"/>
        <w:contextualSpacing/>
        <w:jc w:val="left"/>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按性质分类：基本支出 398.37 万元（100% 完成），其中人员经费 341.12 万元、公用经费 57.25 万元；项目支出 265.90 万元，完成率 98.53%。</w:t>
      </w:r>
    </w:p>
    <w:p w14:paraId="7873DD4E">
      <w:pPr>
        <w:widowControl/>
        <w:adjustRightInd w:val="0"/>
        <w:snapToGrid w:val="0"/>
        <w:spacing w:line="578" w:lineRule="exact"/>
        <w:ind w:firstLine="640" w:firstLineChars="200"/>
        <w:contextualSpacing/>
        <w:jc w:val="left"/>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重点支出：“三公” 经费 14.06 万元（均为公车运行费）；培训费 21.55 万元；差旅费 23.73 万元；会议费 0 万元。</w:t>
      </w:r>
    </w:p>
    <w:p w14:paraId="5B45699A">
      <w:pPr>
        <w:widowControl/>
        <w:adjustRightInd w:val="0"/>
        <w:snapToGrid w:val="0"/>
        <w:spacing w:line="578" w:lineRule="exact"/>
        <w:ind w:firstLine="640" w:firstLineChars="200"/>
        <w:contextualSpacing/>
        <w:jc w:val="left"/>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完成成包括：一年来，阿坝州共青团紧扣中心、服务大局，聚焦思想引领、青年发展、大局服务、改革创新四大主线，扎实推进各项工作，团结带领全州青年展现新担当、实现新作为。</w:t>
      </w:r>
    </w:p>
    <w:p w14:paraId="0EFBB13B">
      <w:pPr>
        <w:widowControl/>
        <w:adjustRightInd w:val="0"/>
        <w:snapToGrid w:val="0"/>
        <w:spacing w:line="578" w:lineRule="exact"/>
        <w:ind w:firstLine="640" w:firstLineChars="200"/>
        <w:contextualSpacing/>
        <w:jc w:val="left"/>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强化思想政治引领，筑牢青春信仰根基。以习近平新时代中国特色社会主义思想为指导，抓实理论学习，开展理论学习中心组学习 11 次、集中研讨 6 次，落实 “三会一课”，开展主题党日 26 次，深化八项规定精神学习 16 次，举办廉政大讲堂 2 期，覆盖 80 余名青年。创新宣传载体，依托新媒体矩阵发布推文 150 余条、视频 40 期，打造 “青眼看阿坝”“阿坝‘青’锋” 等栏目，39 期内容获省级平台转载。夯实组织基础，完成机关支部换届，新建新兴领域团组织 679 个、覆盖 938 个单位；开展青少年发展调研，回收有效问卷 6900 余份，形成高质量报告。</w:t>
      </w:r>
    </w:p>
    <w:p w14:paraId="75B5165F">
      <w:pPr>
        <w:widowControl/>
        <w:adjustRightInd w:val="0"/>
        <w:snapToGrid w:val="0"/>
        <w:spacing w:line="578" w:lineRule="exact"/>
        <w:ind w:firstLine="640" w:firstLineChars="200"/>
        <w:contextualSpacing/>
        <w:jc w:val="left"/>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服务青年成长发展，搭建青春建功平台。促进就业创业，“阿如藏项目” 获 “创青春” 大赛金、铜奖，评审创业项目 11 个，成立青年企业家协会，对接优质岗位 3000 个。深化人才培养，实施 “青年英才计划”，组织 75 名青年赴浙交流，开展联谊活动 20 场服务 945 人，培育乡村振兴青年骨干。拓展服务渠道，新招募志愿者 148 名，深化宜阿就业协作；创新 “团团带娃” 项目，设 38 个托管点服务青少年 3115 人次，实现 “零事故零舆情”。</w:t>
      </w:r>
    </w:p>
    <w:p w14:paraId="2D9F8814">
      <w:pPr>
        <w:widowControl/>
        <w:adjustRightInd w:val="0"/>
        <w:snapToGrid w:val="0"/>
        <w:spacing w:line="578" w:lineRule="exact"/>
        <w:ind w:firstLine="640" w:firstLineChars="200"/>
        <w:contextualSpacing/>
        <w:jc w:val="left"/>
        <w:rPr>
          <w:rFonts w:hint="eastAsia"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聚焦中心服务大局，展现青春担当作为。助力乡村振兴，开展 “青年建功” 行动，赴浙交流学习，落实帮扶项目 4 个，发放物资 3.08 万元。促进民族团结，实施共同体意识三年行动，组织 23 名青年僧人参训，开展宣讲 11 场；深化 “浙里阿坝石榴红” 品牌，组织 80 名学子赴京研学，增强 “五个认同”。弘扬志愿精神，组建防汛突击队 60 支，6000 余名志愿者服务时长 3.8 万小时，开展文旅志愿行动提升景区形象。</w:t>
      </w:r>
    </w:p>
    <w:p w14:paraId="31FD25C0">
      <w:pPr>
        <w:widowControl/>
        <w:adjustRightInd w:val="0"/>
        <w:snapToGrid w:val="0"/>
        <w:spacing w:line="578" w:lineRule="exact"/>
        <w:ind w:firstLine="640" w:firstLineChars="200"/>
        <w:contextualSpacing/>
        <w:jc w:val="left"/>
        <w:rPr>
          <w:rFonts w:ascii="Times New Roman" w:hAnsi="Times New Roman" w:eastAsia="仿宋_GB2312" w:cs="Times New Roman"/>
          <w:sz w:val="32"/>
          <w:highlight w:val="none"/>
          <w:lang w:val="zh-CN"/>
        </w:rPr>
      </w:pPr>
      <w:r>
        <w:rPr>
          <w:rFonts w:hint="eastAsia" w:ascii="Times New Roman" w:hAnsi="Times New Roman" w:eastAsia="仿宋_GB2312" w:cs="Times New Roman"/>
          <w:sz w:val="32"/>
          <w:szCs w:val="32"/>
          <w:highlight w:val="none"/>
        </w:rPr>
        <w:t>深化改革创新，提升团队育人实效。推进团队改革，发展团员 638 名，建成 4 个少先队名师工作室，实现省级辅导员赛事荣誉零突破。选树先进典型，格西王姆获 “四川青年五四奖章”，4 个集体个人获省级 “两红两优”，7 人入选省青年讲师团。整合社会资源，争取省青基会项目 8 个、资金 623.89 万元，惠及师生 4098 名，切实服务青少年成长需求。</w:t>
      </w:r>
    </w:p>
    <w:p w14:paraId="689A2B95">
      <w:pPr>
        <w:widowControl/>
        <w:adjustRightInd w:val="0"/>
        <w:snapToGrid w:val="0"/>
        <w:spacing w:line="578" w:lineRule="exact"/>
        <w:ind w:firstLine="643" w:firstLineChars="200"/>
        <w:contextualSpacing/>
        <w:jc w:val="left"/>
        <w:rPr>
          <w:rFonts w:ascii="Times New Roman" w:hAnsi="Times New Roman" w:eastAsia="仿宋_GB2312" w:cs="Times New Roman"/>
          <w:color w:val="000000"/>
          <w:kern w:val="0"/>
          <w:sz w:val="32"/>
          <w:szCs w:val="32"/>
          <w:highlight w:val="none"/>
          <w:shd w:val="clear" w:color="auto" w:fill="FFFFFF"/>
          <w:lang w:val="zh-CN"/>
        </w:rPr>
      </w:pPr>
      <w:r>
        <w:rPr>
          <w:rFonts w:ascii="Times New Roman" w:hAnsi="Times New Roman" w:eastAsia="楷体_GB2312" w:cs="Times New Roman"/>
          <w:b/>
          <w:bCs/>
          <w:color w:val="000000"/>
          <w:kern w:val="0"/>
          <w:sz w:val="32"/>
          <w:szCs w:val="32"/>
          <w:highlight w:val="none"/>
          <w:shd w:val="clear" w:color="auto" w:fill="FFFFFF"/>
          <w:lang w:val="zh-CN"/>
        </w:rPr>
        <w:t>（三）</w:t>
      </w:r>
      <w:r>
        <w:rPr>
          <w:rFonts w:ascii="Times New Roman" w:hAnsi="Times New Roman" w:eastAsia="楷体_GB2312" w:cs="Times New Roman"/>
          <w:b/>
          <w:sz w:val="32"/>
          <w:szCs w:val="32"/>
          <w:highlight w:val="none"/>
        </w:rPr>
        <w:t>结余分配和结转结余情况。</w:t>
      </w:r>
      <w:r>
        <w:rPr>
          <w:rFonts w:hint="eastAsia" w:ascii="Times New Roman" w:hAnsi="Times New Roman" w:eastAsia="楷体_GB2312" w:cs="Times New Roman"/>
          <w:sz w:val="32"/>
          <w:szCs w:val="32"/>
          <w:highlight w:val="none"/>
          <w:lang w:eastAsia="zh-CN"/>
        </w:rPr>
        <w:t>团州委</w:t>
      </w:r>
      <w:r>
        <w:rPr>
          <w:rFonts w:ascii="Times New Roman" w:hAnsi="Times New Roman" w:eastAsia="仿宋_GB2312" w:cs="Times New Roman"/>
          <w:sz w:val="32"/>
          <w:szCs w:val="32"/>
          <w:highlight w:val="none"/>
        </w:rPr>
        <w:t>202</w:t>
      </w:r>
      <w:r>
        <w:rPr>
          <w:rFonts w:hint="eastAsia" w:ascii="Times New Roman" w:hAnsi="Times New Roman" w:eastAsia="仿宋_GB2312" w:cs="Times New Roman"/>
          <w:sz w:val="32"/>
          <w:szCs w:val="32"/>
          <w:highlight w:val="none"/>
        </w:rPr>
        <w:t>5</w:t>
      </w:r>
      <w:r>
        <w:rPr>
          <w:rFonts w:ascii="Times New Roman" w:hAnsi="Times New Roman" w:eastAsia="仿宋_GB2312" w:cs="Times New Roman"/>
          <w:sz w:val="32"/>
          <w:szCs w:val="32"/>
          <w:highlight w:val="none"/>
        </w:rPr>
        <w:t>年</w:t>
      </w:r>
      <w:r>
        <w:rPr>
          <w:rFonts w:hint="eastAsia" w:ascii="Times New Roman" w:hAnsi="Times New Roman" w:eastAsia="仿宋_GB2312" w:cs="Times New Roman"/>
          <w:sz w:val="32"/>
          <w:szCs w:val="32"/>
          <w:highlight w:val="none"/>
        </w:rPr>
        <w:t>年末无结转结余资金，资金使用高效，无长期沉淀</w:t>
      </w:r>
      <w:r>
        <w:rPr>
          <w:rFonts w:ascii="Times New Roman" w:hAnsi="Times New Roman" w:eastAsia="仿宋_GB2312" w:cs="Times New Roman"/>
          <w:color w:val="000000"/>
          <w:kern w:val="0"/>
          <w:sz w:val="32"/>
          <w:szCs w:val="32"/>
          <w:highlight w:val="none"/>
          <w:shd w:val="clear" w:color="auto" w:fill="FFFFFF"/>
        </w:rPr>
        <w:t>。</w:t>
      </w:r>
    </w:p>
    <w:p w14:paraId="30CD662C">
      <w:pPr>
        <w:widowControl/>
        <w:adjustRightInd w:val="0"/>
        <w:snapToGrid w:val="0"/>
        <w:spacing w:line="578" w:lineRule="exact"/>
        <w:ind w:firstLine="640" w:firstLineChars="200"/>
        <w:contextualSpacing/>
        <w:jc w:val="left"/>
        <w:rPr>
          <w:rFonts w:ascii="Times New Roman" w:hAnsi="Times New Roman" w:eastAsia="黑体" w:cs="Times New Roman"/>
          <w:color w:val="000000"/>
          <w:kern w:val="0"/>
          <w:sz w:val="32"/>
          <w:szCs w:val="32"/>
          <w:highlight w:val="none"/>
          <w:shd w:val="clear" w:color="auto" w:fill="FFFFFF"/>
        </w:rPr>
      </w:pPr>
      <w:r>
        <w:rPr>
          <w:rFonts w:ascii="Times New Roman" w:hAnsi="Times New Roman" w:eastAsia="黑体" w:cs="Times New Roman"/>
          <w:color w:val="000000"/>
          <w:kern w:val="0"/>
          <w:sz w:val="32"/>
          <w:szCs w:val="32"/>
          <w:highlight w:val="none"/>
          <w:shd w:val="clear" w:color="auto" w:fill="FFFFFF"/>
        </w:rPr>
        <w:t>三、部门预算绩效分析</w:t>
      </w:r>
    </w:p>
    <w:p w14:paraId="64F0DDFE">
      <w:pPr>
        <w:adjustRightInd w:val="0"/>
        <w:snapToGrid w:val="0"/>
        <w:spacing w:line="578" w:lineRule="exact"/>
        <w:ind w:firstLine="643" w:firstLineChars="200"/>
        <w:contextualSpacing/>
        <w:jc w:val="left"/>
        <w:rPr>
          <w:rFonts w:ascii="Times New Roman" w:hAnsi="Times New Roman" w:eastAsia="仿宋_GB2312" w:cs="Times New Roman"/>
          <w:color w:val="000000"/>
          <w:kern w:val="0"/>
          <w:sz w:val="32"/>
          <w:szCs w:val="32"/>
          <w:highlight w:val="none"/>
          <w:shd w:val="clear" w:color="auto" w:fill="FFFFFF"/>
          <w:lang w:val="zh-CN"/>
        </w:rPr>
      </w:pPr>
      <w:r>
        <w:rPr>
          <w:rFonts w:ascii="Times New Roman" w:hAnsi="Times New Roman" w:eastAsia="楷体_GB2312" w:cs="Times New Roman"/>
          <w:b/>
          <w:bCs/>
          <w:color w:val="000000"/>
          <w:kern w:val="0"/>
          <w:sz w:val="32"/>
          <w:szCs w:val="32"/>
          <w:highlight w:val="none"/>
          <w:shd w:val="clear" w:color="auto" w:fill="FFFFFF"/>
          <w:lang w:val="zh-CN"/>
        </w:rPr>
        <w:t>（一）部门预算总体绩效分析。</w:t>
      </w:r>
      <w:r>
        <w:rPr>
          <w:rFonts w:ascii="Times New Roman" w:hAnsi="Times New Roman" w:eastAsia="仿宋_GB2312" w:cs="Times New Roman"/>
          <w:color w:val="000000"/>
          <w:kern w:val="0"/>
          <w:sz w:val="32"/>
          <w:szCs w:val="32"/>
          <w:highlight w:val="none"/>
          <w:shd w:val="clear" w:color="auto" w:fill="FFFFFF"/>
          <w:lang w:val="zh-CN"/>
        </w:rPr>
        <w:t>根据部门预算绩效评价指标体系“总体绩效”涉及二、三级指标进行逐项绩效分析并评分，依次包括履职效能、预算管理、财务管理、资产管理、采购管理等情况。</w:t>
      </w:r>
    </w:p>
    <w:p w14:paraId="5BBB468B">
      <w:pPr>
        <w:snapToGrid w:val="0"/>
        <w:spacing w:line="520" w:lineRule="exact"/>
        <w:ind w:firstLine="640" w:firstLineChars="200"/>
        <w:rPr>
          <w:rFonts w:hint="eastAsia" w:ascii="仿宋_GB2312" w:hAnsi="Times New Roman" w:eastAsia="仿宋_GB2312" w:cs="Times New Roman"/>
          <w:sz w:val="32"/>
          <w:szCs w:val="32"/>
          <w:highlight w:val="none"/>
        </w:rPr>
      </w:pPr>
      <w:r>
        <w:rPr>
          <w:rFonts w:ascii="Times New Roman" w:hAnsi="Times New Roman" w:eastAsia="楷体_GB2312" w:cs="Times New Roman"/>
          <w:color w:val="000000"/>
          <w:kern w:val="0"/>
          <w:sz w:val="32"/>
          <w:szCs w:val="32"/>
          <w:highlight w:val="none"/>
          <w:shd w:val="clear" w:color="auto" w:fill="FFFFFF"/>
        </w:rPr>
        <w:t>1.</w:t>
      </w:r>
      <w:r>
        <w:rPr>
          <w:rFonts w:ascii="Times New Roman" w:hAnsi="Times New Roman" w:eastAsia="楷体_GB2312" w:cs="Times New Roman"/>
          <w:color w:val="000000"/>
          <w:kern w:val="0"/>
          <w:sz w:val="32"/>
          <w:szCs w:val="32"/>
          <w:highlight w:val="none"/>
          <w:shd w:val="clear" w:color="auto" w:fill="FFFFFF"/>
          <w:lang w:val="zh-CN"/>
        </w:rPr>
        <w:t>履职效能。</w:t>
      </w:r>
      <w:r>
        <w:rPr>
          <w:rFonts w:ascii="Times New Roman" w:hAnsi="Times New Roman" w:eastAsia="楷体_GB2312" w:cs="Times New Roman"/>
          <w:b/>
          <w:bCs/>
          <w:kern w:val="0"/>
          <w:sz w:val="32"/>
          <w:szCs w:val="32"/>
          <w:highlight w:val="none"/>
          <w:lang w:val="zh-CN"/>
        </w:rPr>
        <w:t>核心职能目标：</w:t>
      </w:r>
      <w:r>
        <w:rPr>
          <w:rFonts w:ascii="Times New Roman" w:hAnsi="Times New Roman" w:eastAsia="仿宋_GB2312" w:cs="Times New Roman"/>
          <w:kern w:val="0"/>
          <w:sz w:val="32"/>
          <w:szCs w:val="32"/>
          <w:highlight w:val="none"/>
          <w:lang w:val="zh-CN"/>
        </w:rPr>
        <w:t>学习贯彻党的二十大精神，提升青少年思想政治引领；落实新时代全面从严治团要求，不断加强团的自身建设；深入实施青春建功“十四五”行动，发挥青年积极作用；聚焦“急难愁盼”问题，加快青年发展型城市建设步伐</w:t>
      </w:r>
      <w:r>
        <w:rPr>
          <w:rFonts w:ascii="Times New Roman" w:hAnsi="Times New Roman" w:eastAsia="仿宋_GB2312" w:cs="Times New Roman"/>
          <w:kern w:val="0"/>
          <w:sz w:val="32"/>
          <w:szCs w:val="32"/>
          <w:highlight w:val="none"/>
          <w:lang w:val="zh-CN"/>
        </w:rPr>
        <w:t>。</w:t>
      </w:r>
      <w:r>
        <w:rPr>
          <w:rFonts w:ascii="Times New Roman" w:hAnsi="Times New Roman" w:eastAsia="仿宋_GB2312" w:cs="Times New Roman"/>
          <w:b/>
          <w:bCs/>
          <w:kern w:val="0"/>
          <w:sz w:val="32"/>
          <w:szCs w:val="32"/>
          <w:highlight w:val="none"/>
          <w:lang w:val="zh-CN"/>
        </w:rPr>
        <w:t>职能目标完成效果情况绩效分析：</w:t>
      </w:r>
      <w:r>
        <w:rPr>
          <w:rFonts w:ascii="Times New Roman" w:hAnsi="Times New Roman" w:eastAsia="仿宋_GB2312" w:cs="Times New Roman"/>
          <w:kern w:val="0"/>
          <w:sz w:val="32"/>
          <w:szCs w:val="32"/>
          <w:highlight w:val="none"/>
          <w:lang w:val="zh-CN"/>
        </w:rPr>
        <w:t>1.设定宣传场次大于等于50场，截止202</w:t>
      </w:r>
      <w:r>
        <w:rPr>
          <w:rFonts w:hint="eastAsia" w:ascii="Times New Roman" w:hAnsi="Times New Roman" w:eastAsia="仿宋_GB2312" w:cs="Times New Roman"/>
          <w:kern w:val="0"/>
          <w:sz w:val="32"/>
          <w:szCs w:val="32"/>
          <w:highlight w:val="none"/>
          <w:lang w:val="en-US" w:eastAsia="zh-CN"/>
        </w:rPr>
        <w:t>5</w:t>
      </w:r>
      <w:r>
        <w:rPr>
          <w:rFonts w:ascii="Times New Roman" w:hAnsi="Times New Roman" w:eastAsia="仿宋_GB2312" w:cs="Times New Roman"/>
          <w:kern w:val="0"/>
          <w:sz w:val="32"/>
          <w:szCs w:val="32"/>
          <w:highlight w:val="none"/>
          <w:lang w:val="zh-CN"/>
        </w:rPr>
        <w:t>年底开展“红领巾心向党”活动72场、“石榴籽一家亲”巡讲109场。2.设定团属信息发布数量≥50条，实际</w:t>
      </w:r>
      <w:r>
        <w:rPr>
          <w:rFonts w:hint="eastAsia" w:ascii="仿宋_GB2312" w:hAnsi="Times New Roman" w:eastAsia="仿宋_GB2312" w:cs="Times New Roman"/>
          <w:sz w:val="32"/>
          <w:szCs w:val="32"/>
          <w:highlight w:val="none"/>
        </w:rPr>
        <w:t>微信公众号发布推文150余条，浏览量突破10万；视频号发布作品40期，点击量达7万；微博发布内容30条，粉丝量增至1.3万人。精心打造“青眼看阿坝”系列视频12期、“阿坝‘青’锋”专栏8期，39期优质内容被“川观新闻”等省级平台转载采用，有效扩大阿坝青年工作的影响力</w:t>
      </w:r>
      <w:r>
        <w:rPr>
          <w:rFonts w:ascii="Times New Roman" w:hAnsi="Times New Roman" w:eastAsia="仿宋_GB2312" w:cs="Times New Roman"/>
          <w:kern w:val="0"/>
          <w:sz w:val="32"/>
          <w:szCs w:val="32"/>
          <w:highlight w:val="none"/>
          <w:lang w:val="zh-CN"/>
        </w:rPr>
        <w:t>。3.设定团属媒体传新闻通过率≥90%，实际</w:t>
      </w:r>
      <w:r>
        <w:rPr>
          <w:rFonts w:hint="eastAsia" w:ascii="仿宋_GB2312" w:hAnsi="Times New Roman" w:eastAsia="仿宋_GB2312" w:cs="Times New Roman"/>
          <w:sz w:val="32"/>
          <w:szCs w:val="32"/>
          <w:highlight w:val="none"/>
        </w:rPr>
        <w:t>微信公众号发布推文150余条，</w:t>
      </w:r>
      <w:r>
        <w:rPr>
          <w:rFonts w:ascii="仿宋_GB2312" w:hAnsi="Times New Roman" w:eastAsia="仿宋_GB2312" w:cs="Times New Roman"/>
          <w:sz w:val="32"/>
          <w:szCs w:val="32"/>
          <w:highlight w:val="none"/>
        </w:rPr>
        <w:t>达100%</w:t>
      </w:r>
      <w:r>
        <w:rPr>
          <w:rFonts w:ascii="Times New Roman" w:hAnsi="Times New Roman" w:eastAsia="仿宋_GB2312" w:cs="Times New Roman"/>
          <w:kern w:val="0"/>
          <w:sz w:val="32"/>
          <w:szCs w:val="32"/>
          <w:highlight w:val="none"/>
          <w:lang w:val="zh-CN"/>
        </w:rPr>
        <w:t>。4.设定发动青少年参与社会实践活动场次≥50次，实际开展“红领巾心向党”等实践活动72场。5.设定有效提升团</w:t>
      </w:r>
      <w:r>
        <w:rPr>
          <w:rFonts w:hint="eastAsia" w:ascii="仿宋_GB2312" w:hAnsi="Times New Roman" w:eastAsia="仿宋_GB2312" w:cs="Times New Roman"/>
          <w:sz w:val="32"/>
          <w:szCs w:val="32"/>
          <w:highlight w:val="none"/>
        </w:rPr>
        <w:t>组织基础</w:t>
      </w:r>
      <w:r>
        <w:rPr>
          <w:rFonts w:ascii="Times New Roman" w:hAnsi="Times New Roman" w:eastAsia="仿宋_GB2312" w:cs="Times New Roman"/>
          <w:kern w:val="0"/>
          <w:sz w:val="32"/>
          <w:szCs w:val="32"/>
          <w:highlight w:val="none"/>
          <w:lang w:val="zh-CN"/>
        </w:rPr>
        <w:t>，实际</w:t>
      </w:r>
      <w:r>
        <w:rPr>
          <w:rFonts w:hint="eastAsia" w:ascii="仿宋_GB2312" w:hAnsi="Times New Roman" w:eastAsia="仿宋_GB2312" w:cs="Times New Roman"/>
          <w:sz w:val="32"/>
          <w:szCs w:val="32"/>
          <w:highlight w:val="none"/>
        </w:rPr>
        <w:t>完成机关党支部换届选举，规范党费收缴管理。新建新兴领域团组织679个，覆盖938个单位，团的组织和工作覆盖面持续扩大。</w:t>
      </w:r>
      <w:r>
        <w:rPr>
          <w:rFonts w:ascii="Times New Roman" w:hAnsi="Times New Roman" w:eastAsia="楷体_GB2312" w:cs="Times New Roman"/>
          <w:b/>
          <w:bCs/>
          <w:kern w:val="0"/>
          <w:sz w:val="32"/>
          <w:szCs w:val="32"/>
          <w:highlight w:val="none"/>
          <w:lang w:val="zh-CN"/>
        </w:rPr>
        <w:t>（得分15）</w:t>
      </w:r>
    </w:p>
    <w:p w14:paraId="34A049FB">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楷体_GB2312" w:cs="Times New Roman"/>
          <w:color w:val="000000"/>
          <w:kern w:val="0"/>
          <w:sz w:val="32"/>
          <w:szCs w:val="32"/>
          <w:highlight w:val="none"/>
          <w:shd w:val="clear" w:color="auto" w:fill="FFFFFF"/>
          <w:lang w:val="zh-CN"/>
        </w:rPr>
      </w:pPr>
      <w:r>
        <w:rPr>
          <w:rFonts w:ascii="Times New Roman" w:hAnsi="Times New Roman" w:eastAsia="楷体_GB2312" w:cs="Times New Roman"/>
          <w:color w:val="000000"/>
          <w:kern w:val="0"/>
          <w:sz w:val="32"/>
          <w:szCs w:val="32"/>
          <w:highlight w:val="none"/>
          <w:shd w:val="clear" w:color="auto" w:fill="FFFFFF"/>
        </w:rPr>
        <w:t>2.</w:t>
      </w:r>
      <w:r>
        <w:rPr>
          <w:rFonts w:ascii="Times New Roman" w:hAnsi="Times New Roman" w:eastAsia="楷体_GB2312" w:cs="Times New Roman"/>
          <w:color w:val="000000"/>
          <w:kern w:val="0"/>
          <w:sz w:val="32"/>
          <w:szCs w:val="32"/>
          <w:highlight w:val="none"/>
          <w:shd w:val="clear" w:color="auto" w:fill="FFFFFF"/>
          <w:lang w:val="zh-CN"/>
        </w:rPr>
        <w:t>预算管理。</w:t>
      </w:r>
    </w:p>
    <w:p w14:paraId="45D2D9A1">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仿宋_GB2312" w:cs="Times New Roman"/>
          <w:color w:val="000000"/>
          <w:kern w:val="0"/>
          <w:sz w:val="32"/>
          <w:szCs w:val="32"/>
          <w:highlight w:val="none"/>
          <w:lang w:val="zh-CN"/>
        </w:rPr>
      </w:pPr>
      <w:r>
        <w:rPr>
          <w:rFonts w:ascii="Times New Roman" w:hAnsi="Times New Roman" w:eastAsia="仿宋_GB2312" w:cs="Times New Roman"/>
          <w:color w:val="000000"/>
          <w:kern w:val="0"/>
          <w:sz w:val="32"/>
          <w:szCs w:val="32"/>
          <w:highlight w:val="none"/>
          <w:lang w:val="zh-CN"/>
        </w:rPr>
        <w:t>（1.1）预算编制质量。财政拨款预算偏离度：|财政拨款预算执行数（</w:t>
      </w:r>
      <w:r>
        <w:rPr>
          <w:rFonts w:hint="eastAsia" w:ascii="Times New Roman" w:hAnsi="Times New Roman" w:eastAsia="仿宋_GB2312" w:cs="Times New Roman"/>
          <w:color w:val="000000"/>
          <w:kern w:val="0"/>
          <w:sz w:val="32"/>
          <w:szCs w:val="32"/>
          <w:highlight w:val="none"/>
          <w:lang w:val="en-US" w:eastAsia="zh-CN"/>
        </w:rPr>
        <w:t>685.6</w:t>
      </w:r>
      <w:r>
        <w:rPr>
          <w:rFonts w:ascii="Times New Roman" w:hAnsi="Times New Roman" w:eastAsia="仿宋_GB2312" w:cs="Times New Roman"/>
          <w:color w:val="000000"/>
          <w:kern w:val="0"/>
          <w:sz w:val="32"/>
          <w:szCs w:val="32"/>
          <w:highlight w:val="none"/>
          <w:lang w:val="zh-CN"/>
        </w:rPr>
        <w:t>万元）-财政拨款年初预算数（</w:t>
      </w:r>
      <w:r>
        <w:rPr>
          <w:rFonts w:hint="eastAsia" w:ascii="Times New Roman" w:hAnsi="Times New Roman" w:eastAsia="仿宋_GB2312" w:cs="Times New Roman"/>
          <w:color w:val="000000"/>
          <w:kern w:val="0"/>
          <w:sz w:val="32"/>
          <w:szCs w:val="32"/>
          <w:highlight w:val="none"/>
          <w:lang w:val="en-US" w:eastAsia="zh-CN"/>
        </w:rPr>
        <w:t>795.01</w:t>
      </w:r>
      <w:r>
        <w:rPr>
          <w:rFonts w:ascii="Times New Roman" w:hAnsi="Times New Roman" w:eastAsia="仿宋_GB2312" w:cs="Times New Roman"/>
          <w:color w:val="000000"/>
          <w:kern w:val="0"/>
          <w:sz w:val="32"/>
          <w:szCs w:val="32"/>
          <w:highlight w:val="none"/>
          <w:lang w:val="zh-CN"/>
        </w:rPr>
        <w:t>万元）÷|财政拨款年初预算数（</w:t>
      </w:r>
      <w:r>
        <w:rPr>
          <w:rFonts w:hint="eastAsia" w:ascii="Times New Roman" w:hAnsi="Times New Roman" w:eastAsia="仿宋_GB2312" w:cs="Times New Roman"/>
          <w:color w:val="000000"/>
          <w:kern w:val="0"/>
          <w:sz w:val="32"/>
          <w:szCs w:val="32"/>
          <w:highlight w:val="none"/>
          <w:lang w:val="en-US" w:eastAsia="zh-CN"/>
        </w:rPr>
        <w:t>795.01</w:t>
      </w:r>
      <w:r>
        <w:rPr>
          <w:rFonts w:ascii="Times New Roman" w:hAnsi="Times New Roman" w:eastAsia="仿宋_GB2312" w:cs="Times New Roman"/>
          <w:color w:val="000000"/>
          <w:kern w:val="0"/>
          <w:sz w:val="32"/>
          <w:szCs w:val="32"/>
          <w:highlight w:val="none"/>
          <w:lang w:val="zh-CN"/>
        </w:rPr>
        <w:t>万元）=</w:t>
      </w:r>
      <w:r>
        <w:rPr>
          <w:rFonts w:hint="eastAsia" w:ascii="Times New Roman" w:hAnsi="Times New Roman" w:eastAsia="仿宋_GB2312" w:cs="Times New Roman"/>
          <w:color w:val="000000"/>
          <w:kern w:val="0"/>
          <w:sz w:val="32"/>
          <w:szCs w:val="32"/>
          <w:highlight w:val="none"/>
          <w:lang w:val="en-US" w:eastAsia="zh-CN"/>
        </w:rPr>
        <w:t>-13.76</w:t>
      </w:r>
      <w:r>
        <w:rPr>
          <w:rFonts w:ascii="Times New Roman" w:hAnsi="Times New Roman" w:eastAsia="仿宋_GB2312" w:cs="Times New Roman"/>
          <w:color w:val="000000"/>
          <w:kern w:val="0"/>
          <w:sz w:val="32"/>
          <w:szCs w:val="32"/>
          <w:highlight w:val="none"/>
          <w:lang w:val="zh-CN"/>
        </w:rPr>
        <w:t xml:space="preserve">%。 </w:t>
      </w:r>
    </w:p>
    <w:p w14:paraId="6BD84489">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ascii="Times New Roman" w:hAnsi="Times New Roman" w:eastAsia="仿宋_GB2312" w:cs="Times New Roman"/>
          <w:color w:val="000000"/>
          <w:kern w:val="0"/>
          <w:sz w:val="32"/>
          <w:szCs w:val="32"/>
          <w:highlight w:val="none"/>
          <w:lang w:val="zh-CN"/>
        </w:rPr>
      </w:pPr>
      <w:r>
        <w:rPr>
          <w:rFonts w:ascii="Times New Roman" w:hAnsi="Times New Roman" w:eastAsia="仿宋_GB2312" w:cs="Times New Roman"/>
          <w:color w:val="000000"/>
          <w:kern w:val="0"/>
          <w:sz w:val="32"/>
          <w:szCs w:val="32"/>
          <w:highlight w:val="none"/>
          <w:lang w:val="zh-CN"/>
        </w:rPr>
        <w:t>（1.2）资产配置预算偏离度：|资产配置预算执行数（</w:t>
      </w:r>
      <w:r>
        <w:rPr>
          <w:rFonts w:hint="eastAsia" w:ascii="Times New Roman" w:hAnsi="Times New Roman" w:eastAsia="仿宋_GB2312" w:cs="Times New Roman"/>
          <w:color w:val="000000"/>
          <w:kern w:val="0"/>
          <w:sz w:val="32"/>
          <w:szCs w:val="32"/>
          <w:highlight w:val="none"/>
          <w:lang w:val="en-US" w:eastAsia="zh-CN"/>
        </w:rPr>
        <w:t>4.48</w:t>
      </w:r>
      <w:r>
        <w:rPr>
          <w:rFonts w:ascii="Times New Roman" w:hAnsi="Times New Roman" w:eastAsia="仿宋_GB2312" w:cs="Times New Roman"/>
          <w:color w:val="000000"/>
          <w:kern w:val="0"/>
          <w:sz w:val="32"/>
          <w:szCs w:val="32"/>
          <w:highlight w:val="none"/>
          <w:lang w:val="zh-CN"/>
        </w:rPr>
        <w:t>万元）-资产配置年初预算数（</w:t>
      </w:r>
      <w:r>
        <w:rPr>
          <w:rFonts w:hint="eastAsia" w:ascii="Times New Roman" w:hAnsi="Times New Roman" w:eastAsia="仿宋_GB2312" w:cs="Times New Roman"/>
          <w:color w:val="000000"/>
          <w:kern w:val="0"/>
          <w:sz w:val="32"/>
          <w:szCs w:val="32"/>
          <w:highlight w:val="none"/>
          <w:lang w:val="en-US" w:eastAsia="zh-CN"/>
        </w:rPr>
        <w:t>4.48</w:t>
      </w:r>
      <w:r>
        <w:rPr>
          <w:rFonts w:ascii="Times New Roman" w:hAnsi="Times New Roman" w:eastAsia="仿宋_GB2312" w:cs="Times New Roman"/>
          <w:color w:val="000000"/>
          <w:kern w:val="0"/>
          <w:sz w:val="32"/>
          <w:szCs w:val="32"/>
          <w:highlight w:val="none"/>
          <w:lang w:val="zh-CN"/>
        </w:rPr>
        <w:t>万元）|÷资产配置年初预算数（</w:t>
      </w:r>
      <w:r>
        <w:rPr>
          <w:rFonts w:hint="eastAsia" w:ascii="Times New Roman" w:hAnsi="Times New Roman" w:eastAsia="仿宋_GB2312" w:cs="Times New Roman"/>
          <w:color w:val="000000"/>
          <w:kern w:val="0"/>
          <w:sz w:val="32"/>
          <w:szCs w:val="32"/>
          <w:highlight w:val="none"/>
          <w:lang w:val="en-US" w:eastAsia="zh-CN"/>
        </w:rPr>
        <w:t>4.48</w:t>
      </w:r>
      <w:r>
        <w:rPr>
          <w:rFonts w:ascii="Times New Roman" w:hAnsi="Times New Roman" w:eastAsia="仿宋_GB2312" w:cs="Times New Roman"/>
          <w:color w:val="000000"/>
          <w:kern w:val="0"/>
          <w:sz w:val="32"/>
          <w:szCs w:val="32"/>
          <w:highlight w:val="none"/>
          <w:lang w:val="zh-CN"/>
        </w:rPr>
        <w:t>万元）=</w:t>
      </w:r>
      <w:r>
        <w:rPr>
          <w:rFonts w:hint="eastAsia" w:ascii="Times New Roman" w:hAnsi="Times New Roman" w:eastAsia="仿宋_GB2312" w:cs="Times New Roman"/>
          <w:color w:val="000000"/>
          <w:kern w:val="0"/>
          <w:sz w:val="32"/>
          <w:szCs w:val="32"/>
          <w:highlight w:val="none"/>
          <w:lang w:val="en-US" w:eastAsia="zh-CN"/>
        </w:rPr>
        <w:t>0</w:t>
      </w:r>
      <w:r>
        <w:rPr>
          <w:rFonts w:ascii="Times New Roman" w:hAnsi="Times New Roman" w:eastAsia="仿宋_GB2312" w:cs="Times New Roman"/>
          <w:color w:val="000000"/>
          <w:kern w:val="0"/>
          <w:sz w:val="32"/>
          <w:szCs w:val="32"/>
          <w:highlight w:val="none"/>
          <w:lang w:val="zh-CN"/>
        </w:rPr>
        <w:t xml:space="preserve">%。    </w:t>
      </w:r>
    </w:p>
    <w:p w14:paraId="5E602D6C">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仿宋_GB2312" w:cs="Times New Roman"/>
          <w:color w:val="000000"/>
          <w:kern w:val="0"/>
          <w:sz w:val="32"/>
          <w:szCs w:val="32"/>
          <w:highlight w:val="none"/>
          <w:lang w:val="en-US" w:eastAsia="zh-CN"/>
        </w:rPr>
      </w:pPr>
      <w:r>
        <w:rPr>
          <w:rFonts w:ascii="Times New Roman" w:hAnsi="Times New Roman" w:eastAsia="仿宋_GB2312" w:cs="Times New Roman"/>
          <w:color w:val="000000"/>
          <w:kern w:val="0"/>
          <w:sz w:val="32"/>
          <w:szCs w:val="32"/>
          <w:highlight w:val="none"/>
          <w:lang w:val="zh-CN"/>
        </w:rPr>
        <w:t>（1.3）政府采购预算偏离度=|政府采购预算执行数（</w:t>
      </w:r>
      <w:r>
        <w:rPr>
          <w:rFonts w:hint="eastAsia" w:ascii="Times New Roman" w:hAnsi="Times New Roman" w:eastAsia="仿宋_GB2312" w:cs="Times New Roman"/>
          <w:color w:val="000000"/>
          <w:kern w:val="0"/>
          <w:sz w:val="32"/>
          <w:szCs w:val="32"/>
          <w:highlight w:val="none"/>
          <w:lang w:val="en-US" w:eastAsia="zh-CN"/>
        </w:rPr>
        <w:t>180.01</w:t>
      </w:r>
      <w:r>
        <w:rPr>
          <w:rFonts w:ascii="Times New Roman" w:hAnsi="Times New Roman" w:eastAsia="仿宋_GB2312" w:cs="Times New Roman"/>
          <w:color w:val="000000"/>
          <w:kern w:val="0"/>
          <w:sz w:val="32"/>
          <w:szCs w:val="32"/>
          <w:highlight w:val="none"/>
          <w:lang w:val="zh-CN"/>
        </w:rPr>
        <w:t>万元）-政府采购年初预算数（</w:t>
      </w:r>
      <w:r>
        <w:rPr>
          <w:rFonts w:hint="eastAsia" w:ascii="Times New Roman" w:hAnsi="Times New Roman" w:eastAsia="仿宋_GB2312" w:cs="Times New Roman"/>
          <w:color w:val="000000"/>
          <w:kern w:val="0"/>
          <w:sz w:val="32"/>
          <w:szCs w:val="32"/>
          <w:highlight w:val="none"/>
          <w:lang w:val="en-US" w:eastAsia="zh-CN"/>
        </w:rPr>
        <w:t>206.76</w:t>
      </w:r>
      <w:r>
        <w:rPr>
          <w:rFonts w:ascii="Times New Roman" w:hAnsi="Times New Roman" w:eastAsia="仿宋_GB2312" w:cs="Times New Roman"/>
          <w:color w:val="000000"/>
          <w:kern w:val="0"/>
          <w:sz w:val="32"/>
          <w:szCs w:val="32"/>
          <w:highlight w:val="none"/>
          <w:lang w:val="zh-CN"/>
        </w:rPr>
        <w:t>万元）|÷政府采购年初预算数</w:t>
      </w:r>
      <w:r>
        <w:rPr>
          <w:rFonts w:hint="eastAsia" w:ascii="Times New Roman" w:hAnsi="Times New Roman" w:eastAsia="仿宋_GB2312" w:cs="Times New Roman"/>
          <w:color w:val="000000"/>
          <w:kern w:val="0"/>
          <w:sz w:val="32"/>
          <w:szCs w:val="32"/>
          <w:highlight w:val="none"/>
          <w:lang w:val="en-US" w:eastAsia="zh-CN"/>
        </w:rPr>
        <w:t>206.76</w:t>
      </w:r>
      <w:r>
        <w:rPr>
          <w:rFonts w:ascii="Times New Roman" w:hAnsi="Times New Roman" w:eastAsia="仿宋_GB2312" w:cs="Times New Roman"/>
          <w:color w:val="000000"/>
          <w:kern w:val="0"/>
          <w:sz w:val="32"/>
          <w:szCs w:val="32"/>
          <w:highlight w:val="none"/>
          <w:lang w:val="zh-CN"/>
        </w:rPr>
        <w:t>=</w:t>
      </w:r>
      <w:r>
        <w:rPr>
          <w:rFonts w:hint="eastAsia" w:ascii="Times New Roman" w:hAnsi="Times New Roman" w:eastAsia="仿宋_GB2312" w:cs="Times New Roman"/>
          <w:color w:val="000000"/>
          <w:kern w:val="0"/>
          <w:sz w:val="32"/>
          <w:szCs w:val="32"/>
          <w:highlight w:val="none"/>
          <w:lang w:val="en-US" w:eastAsia="zh-CN"/>
        </w:rPr>
        <w:t>-12.93</w:t>
      </w:r>
      <w:r>
        <w:rPr>
          <w:rFonts w:ascii="Times New Roman" w:hAnsi="Times New Roman" w:eastAsia="仿宋_GB2312" w:cs="Times New Roman"/>
          <w:color w:val="000000"/>
          <w:kern w:val="0"/>
          <w:sz w:val="32"/>
          <w:szCs w:val="32"/>
          <w:highlight w:val="none"/>
          <w:lang w:val="zh-CN"/>
        </w:rPr>
        <w:t>%。（该项指标得分=（1-财政拨款预算偏离度</w:t>
      </w:r>
      <w:r>
        <w:rPr>
          <w:rFonts w:hint="eastAsia" w:ascii="Times New Roman" w:hAnsi="Times New Roman" w:eastAsia="仿宋_GB2312" w:cs="Times New Roman"/>
          <w:color w:val="000000"/>
          <w:kern w:val="0"/>
          <w:sz w:val="32"/>
          <w:szCs w:val="32"/>
          <w:highlight w:val="none"/>
          <w:lang w:val="en-US" w:eastAsia="zh-CN"/>
        </w:rPr>
        <w:t>-13.76</w:t>
      </w:r>
      <w:r>
        <w:rPr>
          <w:rFonts w:ascii="Times New Roman" w:hAnsi="Times New Roman" w:eastAsia="仿宋_GB2312" w:cs="Times New Roman"/>
          <w:color w:val="000000"/>
          <w:kern w:val="0"/>
          <w:sz w:val="32"/>
          <w:szCs w:val="32"/>
          <w:highlight w:val="none"/>
          <w:lang w:val="zh-CN"/>
        </w:rPr>
        <w:t>%）×100%×4+（1-资产配置预算偏离度0%）×100%×2+（1-政府采购预算偏离度</w:t>
      </w:r>
      <w:r>
        <w:rPr>
          <w:rFonts w:hint="eastAsia" w:ascii="Times New Roman" w:hAnsi="Times New Roman" w:eastAsia="仿宋_GB2312" w:cs="Times New Roman"/>
          <w:color w:val="000000"/>
          <w:kern w:val="0"/>
          <w:sz w:val="32"/>
          <w:szCs w:val="32"/>
          <w:highlight w:val="none"/>
          <w:lang w:val="en-US" w:eastAsia="zh-CN"/>
        </w:rPr>
        <w:t>-12.93</w:t>
      </w:r>
      <w:r>
        <w:rPr>
          <w:rFonts w:ascii="Times New Roman" w:hAnsi="Times New Roman" w:eastAsia="仿宋_GB2312" w:cs="Times New Roman"/>
          <w:color w:val="000000"/>
          <w:kern w:val="0"/>
          <w:sz w:val="32"/>
          <w:szCs w:val="32"/>
          <w:highlight w:val="none"/>
          <w:lang w:val="zh-CN"/>
        </w:rPr>
        <w:t>%）×100%×2。偏离度=|预算执行数-年初预算数|÷年初预算数。该项指标得分=</w:t>
      </w:r>
      <w:r>
        <w:rPr>
          <w:rFonts w:hint="eastAsia" w:ascii="Times New Roman" w:hAnsi="Times New Roman" w:eastAsia="仿宋_GB2312" w:cs="Times New Roman"/>
          <w:color w:val="000000"/>
          <w:kern w:val="0"/>
          <w:sz w:val="32"/>
          <w:szCs w:val="32"/>
          <w:highlight w:val="none"/>
          <w:lang w:val="en-US" w:eastAsia="zh-CN"/>
        </w:rPr>
        <w:t>8.80</w:t>
      </w:r>
    </w:p>
    <w:p w14:paraId="23EAAD93">
      <w:pPr>
        <w:keepNext w:val="0"/>
        <w:keepLines w:val="0"/>
        <w:pageBreakBefore w:val="0"/>
        <w:widowControl w:val="0"/>
        <w:kinsoku/>
        <w:wordWrap/>
        <w:overflowPunct/>
        <w:topLinePunct w:val="0"/>
        <w:autoSpaceDE/>
        <w:autoSpaceDN/>
        <w:adjustRightInd w:val="0"/>
        <w:snapToGrid w:val="0"/>
        <w:spacing w:line="578" w:lineRule="exact"/>
        <w:ind w:left="0" w:firstLine="640" w:firstLineChars="200"/>
        <w:contextualSpacing/>
        <w:jc w:val="left"/>
        <w:rPr>
          <w:rFonts w:ascii="Times New Roman" w:hAnsi="Times New Roman" w:eastAsia="仿宋_GB2312" w:cs="Times New Roman"/>
          <w:color w:val="000000"/>
          <w:kern w:val="0"/>
          <w:sz w:val="32"/>
          <w:szCs w:val="32"/>
          <w:highlight w:val="none"/>
          <w:lang w:val="zh-CN"/>
        </w:rPr>
      </w:pPr>
      <w:r>
        <w:rPr>
          <w:rFonts w:ascii="Times New Roman" w:hAnsi="Times New Roman" w:eastAsia="仿宋_GB2312" w:cs="Times New Roman"/>
          <w:color w:val="000000"/>
          <w:kern w:val="0"/>
          <w:sz w:val="32"/>
          <w:szCs w:val="32"/>
          <w:highlight w:val="none"/>
          <w:lang w:val="zh-CN"/>
        </w:rPr>
        <w:t>（2）支出执行进度。</w:t>
      </w:r>
      <w:r>
        <w:rPr>
          <w:rFonts w:ascii="Times New Roman" w:hAnsi="Times New Roman" w:eastAsia="仿宋_GB2312" w:cs="Times New Roman"/>
          <w:color w:val="000000"/>
          <w:kern w:val="0"/>
          <w:sz w:val="32"/>
          <w:szCs w:val="32"/>
          <w:highlight w:val="none"/>
          <w:lang w:val="zh-CN"/>
        </w:rPr>
        <w:t>该项指标得分=（1至6月预算执行数</w:t>
      </w:r>
      <w:r>
        <w:rPr>
          <w:rFonts w:hint="eastAsia" w:ascii="Times New Roman" w:hAnsi="Times New Roman" w:eastAsia="仿宋_GB2312" w:cs="Times New Roman"/>
          <w:color w:val="000000"/>
          <w:kern w:val="0"/>
          <w:sz w:val="32"/>
          <w:szCs w:val="32"/>
          <w:highlight w:val="none"/>
          <w:lang w:val="en-US" w:eastAsia="zh-CN"/>
        </w:rPr>
        <w:t>218.61</w:t>
      </w:r>
      <w:r>
        <w:rPr>
          <w:rFonts w:ascii="Times New Roman" w:hAnsi="Times New Roman" w:eastAsia="仿宋_GB2312" w:cs="Times New Roman"/>
          <w:color w:val="000000"/>
          <w:kern w:val="0"/>
          <w:sz w:val="32"/>
          <w:szCs w:val="32"/>
          <w:highlight w:val="none"/>
          <w:lang w:val="zh-CN"/>
        </w:rPr>
        <w:t>万元÷（部门预算数</w:t>
      </w:r>
      <w:r>
        <w:rPr>
          <w:rFonts w:hint="eastAsia" w:ascii="Times New Roman" w:hAnsi="Times New Roman" w:eastAsia="仿宋_GB2312" w:cs="Times New Roman"/>
          <w:color w:val="000000"/>
          <w:kern w:val="0"/>
          <w:sz w:val="32"/>
          <w:szCs w:val="32"/>
          <w:highlight w:val="none"/>
          <w:lang w:val="en-US" w:eastAsia="zh-CN"/>
        </w:rPr>
        <w:t>795.01</w:t>
      </w:r>
      <w:r>
        <w:rPr>
          <w:rFonts w:ascii="Times New Roman" w:hAnsi="Times New Roman" w:eastAsia="仿宋_GB2312" w:cs="Times New Roman"/>
          <w:color w:val="000000"/>
          <w:kern w:val="0"/>
          <w:sz w:val="32"/>
          <w:szCs w:val="32"/>
          <w:highlight w:val="none"/>
          <w:lang w:val="zh-CN"/>
        </w:rPr>
        <w:t>×50%）×2）+（1-1至6月支出预警金额占比0</w:t>
      </w:r>
      <w:r>
        <w:rPr>
          <w:rFonts w:hint="eastAsia" w:ascii="Times New Roman" w:hAnsi="Times New Roman" w:eastAsia="仿宋_GB2312" w:cs="Times New Roman"/>
          <w:color w:val="000000"/>
          <w:kern w:val="0"/>
          <w:sz w:val="32"/>
          <w:szCs w:val="32"/>
          <w:highlight w:val="none"/>
          <w:lang w:val="en-US" w:eastAsia="zh-CN"/>
        </w:rPr>
        <w:t>.036</w:t>
      </w:r>
      <w:r>
        <w:rPr>
          <w:rFonts w:ascii="Times New Roman" w:hAnsi="Times New Roman" w:eastAsia="仿宋_GB2312" w:cs="Times New Roman"/>
          <w:color w:val="000000"/>
          <w:kern w:val="0"/>
          <w:sz w:val="32"/>
          <w:szCs w:val="32"/>
          <w:highlight w:val="none"/>
          <w:lang w:val="zh-CN"/>
        </w:rPr>
        <w:t>×0.8-1至6月支出违规金额占比0×0.2）+（1至10月预算执行数</w:t>
      </w:r>
      <w:r>
        <w:rPr>
          <w:rFonts w:hint="eastAsia" w:ascii="Times New Roman" w:hAnsi="Times New Roman" w:eastAsia="仿宋_GB2312" w:cs="Times New Roman"/>
          <w:color w:val="000000"/>
          <w:kern w:val="0"/>
          <w:sz w:val="32"/>
          <w:szCs w:val="32"/>
          <w:highlight w:val="none"/>
          <w:lang w:val="en-US" w:eastAsia="zh-CN"/>
        </w:rPr>
        <w:t>552.49</w:t>
      </w:r>
      <w:r>
        <w:rPr>
          <w:rFonts w:ascii="Times New Roman" w:hAnsi="Times New Roman" w:eastAsia="仿宋_GB2312" w:cs="Times New Roman"/>
          <w:color w:val="000000"/>
          <w:kern w:val="0"/>
          <w:sz w:val="32"/>
          <w:szCs w:val="32"/>
          <w:highlight w:val="none"/>
          <w:lang w:val="zh-CN"/>
        </w:rPr>
        <w:t>÷（部门预算数</w:t>
      </w:r>
      <w:r>
        <w:rPr>
          <w:rFonts w:hint="eastAsia" w:ascii="Times New Roman" w:hAnsi="Times New Roman" w:eastAsia="仿宋_GB2312" w:cs="Times New Roman"/>
          <w:color w:val="000000"/>
          <w:kern w:val="0"/>
          <w:sz w:val="32"/>
          <w:szCs w:val="32"/>
          <w:highlight w:val="none"/>
          <w:lang w:val="en-US" w:eastAsia="zh-CN"/>
        </w:rPr>
        <w:t>795.01</w:t>
      </w:r>
      <w:r>
        <w:rPr>
          <w:rFonts w:ascii="Times New Roman" w:hAnsi="Times New Roman" w:eastAsia="仿宋_GB2312" w:cs="Times New Roman"/>
          <w:color w:val="000000"/>
          <w:kern w:val="0"/>
          <w:sz w:val="32"/>
          <w:szCs w:val="32"/>
          <w:highlight w:val="none"/>
          <w:lang w:val="zh-CN"/>
        </w:rPr>
        <w:t>×83.33%）×2）+（1-1至10月支出预警金额占比0×0.8-1至10月支出违规金额占比0×0.2）=</w:t>
      </w:r>
      <w:r>
        <w:rPr>
          <w:rFonts w:hint="eastAsia" w:ascii="Times New Roman" w:hAnsi="Times New Roman" w:eastAsia="仿宋_GB2312" w:cs="Times New Roman"/>
          <w:color w:val="000000"/>
          <w:kern w:val="0"/>
          <w:sz w:val="32"/>
          <w:szCs w:val="32"/>
          <w:highlight w:val="none"/>
          <w:lang w:val="en-US" w:eastAsia="zh-CN"/>
        </w:rPr>
        <w:t>4.34</w:t>
      </w:r>
      <w:r>
        <w:rPr>
          <w:rFonts w:ascii="Times New Roman" w:hAnsi="Times New Roman" w:eastAsia="仿宋_GB2312" w:cs="Times New Roman"/>
          <w:color w:val="000000"/>
          <w:kern w:val="0"/>
          <w:sz w:val="32"/>
          <w:szCs w:val="32"/>
          <w:highlight w:val="none"/>
          <w:lang w:val="zh-CN"/>
        </w:rPr>
        <w:t>。</w:t>
      </w:r>
    </w:p>
    <w:p w14:paraId="3470E0F1">
      <w:pPr>
        <w:keepNext w:val="0"/>
        <w:keepLines w:val="0"/>
        <w:pageBreakBefore w:val="0"/>
        <w:widowControl w:val="0"/>
        <w:kinsoku/>
        <w:wordWrap/>
        <w:overflowPunct/>
        <w:topLinePunct w:val="0"/>
        <w:autoSpaceDE/>
        <w:autoSpaceDN/>
        <w:adjustRightInd w:val="0"/>
        <w:snapToGrid w:val="0"/>
        <w:spacing w:line="578" w:lineRule="exact"/>
        <w:ind w:left="0" w:firstLine="640" w:firstLineChars="200"/>
        <w:contextualSpacing/>
        <w:jc w:val="left"/>
        <w:rPr>
          <w:rFonts w:ascii="Times New Roman" w:hAnsi="Times New Roman" w:eastAsia="仿宋_GB2312" w:cs="Times New Roman"/>
          <w:color w:val="000000"/>
          <w:kern w:val="0"/>
          <w:sz w:val="32"/>
          <w:szCs w:val="32"/>
          <w:highlight w:val="none"/>
          <w:lang w:val="zh-CN"/>
        </w:rPr>
      </w:pPr>
      <w:r>
        <w:rPr>
          <w:rFonts w:ascii="Times New Roman" w:hAnsi="Times New Roman" w:eastAsia="仿宋_GB2312" w:cs="Times New Roman"/>
          <w:color w:val="000000"/>
          <w:kern w:val="0"/>
          <w:sz w:val="32"/>
          <w:szCs w:val="32"/>
          <w:highlight w:val="none"/>
          <w:lang w:val="zh-CN"/>
        </w:rPr>
        <w:t>（3）预算年终结余。部门整体预算结余率：（年终部门预算注销金额合计</w:t>
      </w:r>
      <w:r>
        <w:rPr>
          <w:rFonts w:hint="eastAsia" w:ascii="Times New Roman" w:hAnsi="Times New Roman" w:eastAsia="仿宋_GB2312" w:cs="Times New Roman"/>
          <w:color w:val="000000"/>
          <w:kern w:val="0"/>
          <w:sz w:val="32"/>
          <w:szCs w:val="32"/>
          <w:highlight w:val="none"/>
          <w:lang w:val="en-US" w:eastAsia="zh-CN"/>
        </w:rPr>
        <w:t>0</w:t>
      </w:r>
      <w:r>
        <w:rPr>
          <w:rFonts w:ascii="Times New Roman" w:hAnsi="Times New Roman" w:eastAsia="仿宋_GB2312" w:cs="Times New Roman"/>
          <w:color w:val="000000"/>
          <w:kern w:val="0"/>
          <w:sz w:val="32"/>
          <w:szCs w:val="32"/>
          <w:highlight w:val="none"/>
          <w:lang w:val="zh-CN"/>
        </w:rPr>
        <w:t>+年终部门预算结转金额合计</w:t>
      </w:r>
      <w:r>
        <w:rPr>
          <w:rFonts w:hint="eastAsia" w:ascii="Times New Roman" w:hAnsi="Times New Roman" w:eastAsia="仿宋_GB2312" w:cs="Times New Roman"/>
          <w:color w:val="000000"/>
          <w:kern w:val="0"/>
          <w:sz w:val="32"/>
          <w:szCs w:val="32"/>
          <w:highlight w:val="none"/>
          <w:lang w:val="en-US" w:eastAsia="zh-CN"/>
        </w:rPr>
        <w:t>109.4</w:t>
      </w:r>
      <w:r>
        <w:rPr>
          <w:rFonts w:ascii="Times New Roman" w:hAnsi="Times New Roman" w:eastAsia="仿宋_GB2312" w:cs="Times New Roman"/>
          <w:color w:val="000000"/>
          <w:kern w:val="0"/>
          <w:sz w:val="32"/>
          <w:szCs w:val="32"/>
          <w:highlight w:val="none"/>
          <w:lang w:val="zh-CN"/>
        </w:rPr>
        <w:t>万元）÷调整后的年度部门预算数</w:t>
      </w:r>
      <w:r>
        <w:rPr>
          <w:rFonts w:hint="eastAsia" w:ascii="Times New Roman" w:hAnsi="Times New Roman" w:eastAsia="仿宋_GB2312" w:cs="Times New Roman"/>
          <w:color w:val="000000"/>
          <w:kern w:val="0"/>
          <w:sz w:val="32"/>
          <w:szCs w:val="32"/>
          <w:highlight w:val="none"/>
          <w:lang w:val="en-US" w:eastAsia="zh-CN"/>
        </w:rPr>
        <w:t>795.01</w:t>
      </w:r>
      <w:r>
        <w:rPr>
          <w:rFonts w:ascii="Times New Roman" w:hAnsi="Times New Roman" w:eastAsia="仿宋_GB2312" w:cs="Times New Roman"/>
          <w:color w:val="000000"/>
          <w:kern w:val="0"/>
          <w:sz w:val="32"/>
          <w:szCs w:val="32"/>
          <w:highlight w:val="none"/>
          <w:lang w:val="zh-CN"/>
        </w:rPr>
        <w:t>万元=</w:t>
      </w:r>
      <w:r>
        <w:rPr>
          <w:rFonts w:hint="eastAsia" w:ascii="Times New Roman" w:hAnsi="Times New Roman" w:eastAsia="仿宋_GB2312" w:cs="Times New Roman"/>
          <w:color w:val="000000"/>
          <w:kern w:val="0"/>
          <w:sz w:val="32"/>
          <w:szCs w:val="32"/>
          <w:highlight w:val="none"/>
          <w:lang w:val="en-US" w:eastAsia="zh-CN"/>
        </w:rPr>
        <w:t>13.76</w:t>
      </w:r>
      <w:r>
        <w:rPr>
          <w:rFonts w:ascii="Times New Roman" w:hAnsi="Times New Roman" w:eastAsia="仿宋_GB2312" w:cs="Times New Roman"/>
          <w:color w:val="000000"/>
          <w:kern w:val="0"/>
          <w:sz w:val="32"/>
          <w:szCs w:val="32"/>
          <w:highlight w:val="none"/>
          <w:lang w:val="zh-CN"/>
        </w:rPr>
        <w:t>%。该项指标得分=（1-部门整体预算结余率</w:t>
      </w:r>
      <w:r>
        <w:rPr>
          <w:rFonts w:hint="eastAsia" w:ascii="Times New Roman" w:hAnsi="Times New Roman" w:eastAsia="仿宋_GB2312" w:cs="Times New Roman"/>
          <w:color w:val="000000"/>
          <w:kern w:val="0"/>
          <w:sz w:val="32"/>
          <w:szCs w:val="32"/>
          <w:highlight w:val="none"/>
          <w:lang w:val="en-US" w:eastAsia="zh-CN"/>
        </w:rPr>
        <w:t>13.76</w:t>
      </w:r>
      <w:r>
        <w:rPr>
          <w:rFonts w:ascii="Times New Roman" w:hAnsi="Times New Roman" w:eastAsia="仿宋_GB2312" w:cs="Times New Roman"/>
          <w:color w:val="000000"/>
          <w:kern w:val="0"/>
          <w:sz w:val="32"/>
          <w:szCs w:val="32"/>
          <w:highlight w:val="none"/>
          <w:lang w:val="zh-CN"/>
        </w:rPr>
        <w:t>%）×100%×2=</w:t>
      </w:r>
      <w:r>
        <w:rPr>
          <w:rFonts w:hint="eastAsia" w:ascii="Times New Roman" w:hAnsi="Times New Roman" w:eastAsia="仿宋_GB2312" w:cs="Times New Roman"/>
          <w:color w:val="000000"/>
          <w:kern w:val="0"/>
          <w:sz w:val="32"/>
          <w:szCs w:val="32"/>
          <w:highlight w:val="none"/>
          <w:lang w:val="en-US" w:eastAsia="zh-CN"/>
        </w:rPr>
        <w:t>1.72</w:t>
      </w:r>
      <w:r>
        <w:rPr>
          <w:rFonts w:ascii="Times New Roman" w:hAnsi="Times New Roman" w:eastAsia="仿宋_GB2312" w:cs="Times New Roman"/>
          <w:color w:val="000000"/>
          <w:kern w:val="0"/>
          <w:sz w:val="32"/>
          <w:szCs w:val="32"/>
          <w:highlight w:val="none"/>
          <w:lang w:val="zh-CN"/>
        </w:rPr>
        <w:t>。</w:t>
      </w:r>
    </w:p>
    <w:p w14:paraId="2B5008A4">
      <w:pPr>
        <w:keepNext w:val="0"/>
        <w:keepLines w:val="0"/>
        <w:pageBreakBefore w:val="0"/>
        <w:widowControl w:val="0"/>
        <w:kinsoku/>
        <w:wordWrap/>
        <w:overflowPunct/>
        <w:topLinePunct w:val="0"/>
        <w:autoSpaceDE/>
        <w:autoSpaceDN/>
        <w:bidi w:val="0"/>
        <w:adjustRightInd w:val="0"/>
        <w:snapToGrid w:val="0"/>
        <w:spacing w:line="578" w:lineRule="exact"/>
        <w:ind w:firstLine="480" w:firstLineChars="150"/>
        <w:contextualSpacing/>
        <w:jc w:val="left"/>
        <w:textAlignment w:val="auto"/>
        <w:outlineLvl w:val="9"/>
        <w:rPr>
          <w:rFonts w:ascii="Times New Roman" w:hAnsi="Times New Roman" w:eastAsia="仿宋_GB2312" w:cs="Times New Roman"/>
          <w:color w:val="000000"/>
          <w:kern w:val="0"/>
          <w:sz w:val="32"/>
          <w:szCs w:val="32"/>
          <w:highlight w:val="none"/>
          <w:lang w:val="zh-CN"/>
        </w:rPr>
      </w:pPr>
      <w:r>
        <w:rPr>
          <w:rFonts w:ascii="Times New Roman" w:hAnsi="Times New Roman" w:eastAsia="仿宋_GB2312" w:cs="Times New Roman"/>
          <w:color w:val="000000"/>
          <w:kern w:val="0"/>
          <w:sz w:val="32"/>
          <w:szCs w:val="32"/>
          <w:highlight w:val="none"/>
          <w:lang w:val="zh-CN"/>
        </w:rPr>
        <w:t>（4）严控一般性支出。</w:t>
      </w:r>
      <w:r>
        <w:rPr>
          <w:rFonts w:ascii="Times New Roman" w:hAnsi="Times New Roman" w:eastAsia="仿宋_GB2312" w:cs="Times New Roman"/>
          <w:color w:val="000000"/>
          <w:kern w:val="0"/>
          <w:sz w:val="32"/>
          <w:szCs w:val="32"/>
          <w:highlight w:val="none"/>
          <w:lang w:val="zh-CN"/>
        </w:rPr>
        <w:t>该项指标得分=基础分值+加分值=2+3=5分。</w:t>
      </w:r>
    </w:p>
    <w:p w14:paraId="78E53B52">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仿宋_GB2312" w:cs="Times New Roman"/>
          <w:color w:val="000000"/>
          <w:kern w:val="0"/>
          <w:sz w:val="32"/>
          <w:szCs w:val="32"/>
          <w:highlight w:val="none"/>
          <w:lang w:val="zh-CN"/>
        </w:rPr>
      </w:pPr>
      <w:r>
        <w:rPr>
          <w:rFonts w:ascii="Times New Roman" w:hAnsi="Times New Roman" w:eastAsia="仿宋_GB2312" w:cs="Times New Roman"/>
          <w:color w:val="000000"/>
          <w:kern w:val="0"/>
          <w:sz w:val="32"/>
          <w:szCs w:val="32"/>
          <w:highlight w:val="none"/>
          <w:lang w:val="zh-CN"/>
        </w:rPr>
        <w:t>（4.1）一般性支出财政拨款年初预算数</w:t>
      </w:r>
      <w:r>
        <w:rPr>
          <w:rFonts w:hint="eastAsia" w:ascii="Times New Roman" w:hAnsi="Times New Roman" w:eastAsia="仿宋_GB2312" w:cs="Times New Roman"/>
          <w:color w:val="000000"/>
          <w:kern w:val="0"/>
          <w:sz w:val="32"/>
          <w:szCs w:val="32"/>
          <w:highlight w:val="none"/>
          <w:lang w:val="en-US" w:eastAsia="zh-CN"/>
        </w:rPr>
        <w:t>53.68</w:t>
      </w:r>
      <w:r>
        <w:rPr>
          <w:rFonts w:ascii="Times New Roman" w:hAnsi="Times New Roman" w:eastAsia="仿宋_GB2312" w:cs="Times New Roman"/>
          <w:color w:val="000000"/>
          <w:kern w:val="0"/>
          <w:sz w:val="32"/>
          <w:szCs w:val="32"/>
          <w:highlight w:val="none"/>
          <w:lang w:val="zh-CN"/>
        </w:rPr>
        <w:t>万元小于上年</w:t>
      </w:r>
      <w:r>
        <w:rPr>
          <w:rFonts w:hint="eastAsia" w:ascii="Times New Roman" w:hAnsi="Times New Roman" w:eastAsia="仿宋_GB2312" w:cs="Times New Roman"/>
          <w:color w:val="000000"/>
          <w:kern w:val="0"/>
          <w:sz w:val="32"/>
          <w:szCs w:val="32"/>
          <w:highlight w:val="none"/>
          <w:lang w:val="en-US" w:eastAsia="zh-CN"/>
        </w:rPr>
        <w:t>70.31</w:t>
      </w:r>
      <w:r>
        <w:rPr>
          <w:rFonts w:ascii="Times New Roman" w:hAnsi="Times New Roman" w:eastAsia="仿宋_GB2312" w:cs="Times New Roman"/>
          <w:color w:val="000000"/>
          <w:kern w:val="0"/>
          <w:sz w:val="32"/>
          <w:szCs w:val="32"/>
          <w:highlight w:val="none"/>
          <w:lang w:val="zh-CN"/>
        </w:rPr>
        <w:t>万元，实现压减得1分。一般性支出财政拨款执行数</w:t>
      </w:r>
      <w:r>
        <w:rPr>
          <w:rFonts w:hint="eastAsia" w:ascii="Times New Roman" w:hAnsi="Times New Roman" w:eastAsia="仿宋_GB2312" w:cs="Times New Roman"/>
          <w:color w:val="000000"/>
          <w:kern w:val="0"/>
          <w:sz w:val="32"/>
          <w:szCs w:val="32"/>
          <w:highlight w:val="none"/>
          <w:lang w:val="en-US" w:eastAsia="zh-CN"/>
        </w:rPr>
        <w:t>53.34</w:t>
      </w:r>
      <w:r>
        <w:rPr>
          <w:rFonts w:ascii="Times New Roman" w:hAnsi="Times New Roman" w:eastAsia="仿宋_GB2312" w:cs="Times New Roman"/>
          <w:color w:val="000000"/>
          <w:kern w:val="0"/>
          <w:sz w:val="32"/>
          <w:szCs w:val="32"/>
          <w:highlight w:val="none"/>
          <w:lang w:val="zh-CN"/>
        </w:rPr>
        <w:t>万元小于上年</w:t>
      </w:r>
      <w:r>
        <w:rPr>
          <w:rFonts w:hint="eastAsia" w:ascii="Times New Roman" w:hAnsi="Times New Roman" w:eastAsia="仿宋_GB2312" w:cs="Times New Roman"/>
          <w:color w:val="000000"/>
          <w:kern w:val="0"/>
          <w:sz w:val="32"/>
          <w:szCs w:val="32"/>
          <w:highlight w:val="none"/>
          <w:lang w:val="en-US" w:eastAsia="zh-CN"/>
        </w:rPr>
        <w:t>70.31</w:t>
      </w:r>
      <w:r>
        <w:rPr>
          <w:rFonts w:ascii="Times New Roman" w:hAnsi="Times New Roman" w:eastAsia="仿宋_GB2312" w:cs="Times New Roman"/>
          <w:color w:val="000000"/>
          <w:kern w:val="0"/>
          <w:sz w:val="32"/>
          <w:szCs w:val="32"/>
          <w:highlight w:val="none"/>
          <w:lang w:val="zh-CN"/>
        </w:rPr>
        <w:t>万元，实现压减得1分。</w:t>
      </w:r>
    </w:p>
    <w:p w14:paraId="2DDF68F2">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楷体_GB2312" w:cs="Times New Roman"/>
          <w:color w:val="000000"/>
          <w:kern w:val="0"/>
          <w:sz w:val="32"/>
          <w:szCs w:val="32"/>
          <w:highlight w:val="none"/>
          <w:lang w:val="zh-CN"/>
        </w:rPr>
      </w:pPr>
      <w:r>
        <w:rPr>
          <w:rFonts w:ascii="Times New Roman" w:hAnsi="Times New Roman" w:eastAsia="仿宋_GB2312" w:cs="Times New Roman"/>
          <w:color w:val="000000"/>
          <w:kern w:val="0"/>
          <w:sz w:val="32"/>
          <w:szCs w:val="32"/>
          <w:highlight w:val="none"/>
          <w:lang w:val="zh-CN"/>
        </w:rPr>
        <w:t>（4.2）加分值。压减率=（上年执行数</w:t>
      </w:r>
      <w:r>
        <w:rPr>
          <w:rFonts w:hint="eastAsia" w:ascii="Times New Roman" w:hAnsi="Times New Roman" w:eastAsia="仿宋_GB2312" w:cs="Times New Roman"/>
          <w:color w:val="000000"/>
          <w:kern w:val="0"/>
          <w:sz w:val="32"/>
          <w:szCs w:val="32"/>
          <w:highlight w:val="none"/>
          <w:lang w:val="en-US" w:eastAsia="zh-CN"/>
        </w:rPr>
        <w:t>70.31</w:t>
      </w:r>
      <w:r>
        <w:rPr>
          <w:rFonts w:ascii="Times New Roman" w:hAnsi="Times New Roman" w:eastAsia="仿宋_GB2312" w:cs="Times New Roman"/>
          <w:color w:val="000000"/>
          <w:kern w:val="0"/>
          <w:sz w:val="32"/>
          <w:szCs w:val="32"/>
          <w:highlight w:val="none"/>
          <w:lang w:val="zh-CN"/>
        </w:rPr>
        <w:t>-本年执行数</w:t>
      </w:r>
      <w:r>
        <w:rPr>
          <w:rFonts w:hint="eastAsia" w:ascii="Times New Roman" w:hAnsi="Times New Roman" w:eastAsia="仿宋_GB2312" w:cs="Times New Roman"/>
          <w:color w:val="000000"/>
          <w:kern w:val="0"/>
          <w:sz w:val="32"/>
          <w:szCs w:val="32"/>
          <w:highlight w:val="none"/>
          <w:lang w:val="en-US" w:eastAsia="zh-CN"/>
        </w:rPr>
        <w:t>53.68</w:t>
      </w:r>
      <w:r>
        <w:rPr>
          <w:rFonts w:ascii="Times New Roman" w:hAnsi="Times New Roman" w:eastAsia="仿宋_GB2312" w:cs="Times New Roman"/>
          <w:color w:val="000000"/>
          <w:kern w:val="0"/>
          <w:sz w:val="32"/>
          <w:szCs w:val="32"/>
          <w:highlight w:val="none"/>
          <w:lang w:val="zh-CN"/>
        </w:rPr>
        <w:t>）÷上年执行书</w:t>
      </w:r>
      <w:r>
        <w:rPr>
          <w:rFonts w:hint="eastAsia" w:ascii="Times New Roman" w:hAnsi="Times New Roman" w:eastAsia="仿宋_GB2312" w:cs="Times New Roman"/>
          <w:color w:val="000000"/>
          <w:kern w:val="0"/>
          <w:sz w:val="32"/>
          <w:szCs w:val="32"/>
          <w:highlight w:val="none"/>
          <w:lang w:val="en-US" w:eastAsia="zh-CN"/>
        </w:rPr>
        <w:t>70.31</w:t>
      </w:r>
      <w:r>
        <w:rPr>
          <w:rFonts w:ascii="Times New Roman" w:hAnsi="Times New Roman" w:eastAsia="仿宋_GB2312" w:cs="Times New Roman"/>
          <w:color w:val="000000"/>
          <w:kern w:val="0"/>
          <w:sz w:val="32"/>
          <w:szCs w:val="32"/>
          <w:highlight w:val="none"/>
          <w:lang w:val="zh-CN"/>
        </w:rPr>
        <w:t>=</w:t>
      </w:r>
      <w:r>
        <w:rPr>
          <w:rFonts w:hint="eastAsia" w:ascii="Times New Roman" w:hAnsi="Times New Roman" w:eastAsia="仿宋_GB2312" w:cs="Times New Roman"/>
          <w:color w:val="000000"/>
          <w:kern w:val="0"/>
          <w:sz w:val="32"/>
          <w:szCs w:val="32"/>
          <w:highlight w:val="none"/>
          <w:lang w:val="en-US" w:eastAsia="zh-CN"/>
        </w:rPr>
        <w:t>23</w:t>
      </w:r>
      <w:r>
        <w:rPr>
          <w:rFonts w:ascii="Times New Roman" w:hAnsi="Times New Roman" w:eastAsia="仿宋_GB2312" w:cs="Times New Roman"/>
          <w:color w:val="000000"/>
          <w:kern w:val="0"/>
          <w:sz w:val="32"/>
          <w:szCs w:val="32"/>
          <w:highlight w:val="none"/>
          <w:lang w:val="zh-CN"/>
        </w:rPr>
        <w:t>% 累计不超过1分；一般性支出财政拨款预算执行较上年每压减1%得0.4分，累计不超过2分。得2分。总计3分。</w:t>
      </w:r>
      <w:r>
        <w:rPr>
          <w:rFonts w:ascii="Times New Roman" w:hAnsi="Times New Roman" w:eastAsia="楷体_GB2312" w:cs="Times New Roman"/>
          <w:color w:val="000000"/>
          <w:kern w:val="0"/>
          <w:sz w:val="32"/>
          <w:szCs w:val="32"/>
          <w:highlight w:val="none"/>
          <w:lang w:val="zh-CN"/>
        </w:rPr>
        <w:t>（得分</w:t>
      </w:r>
      <w:r>
        <w:rPr>
          <w:rFonts w:hint="eastAsia" w:ascii="Times New Roman" w:hAnsi="Times New Roman" w:eastAsia="楷体_GB2312" w:cs="Times New Roman"/>
          <w:color w:val="000000"/>
          <w:kern w:val="0"/>
          <w:sz w:val="32"/>
          <w:szCs w:val="32"/>
          <w:highlight w:val="none"/>
          <w:lang w:val="en-US" w:eastAsia="zh-CN"/>
        </w:rPr>
        <w:t>19.06</w:t>
      </w:r>
      <w:r>
        <w:rPr>
          <w:rFonts w:ascii="Times New Roman" w:hAnsi="Times New Roman" w:eastAsia="楷体_GB2312" w:cs="Times New Roman"/>
          <w:color w:val="000000"/>
          <w:kern w:val="0"/>
          <w:sz w:val="32"/>
          <w:szCs w:val="32"/>
          <w:highlight w:val="none"/>
          <w:lang w:val="zh-CN"/>
        </w:rPr>
        <w:t>）</w:t>
      </w:r>
    </w:p>
    <w:p w14:paraId="6F510D32">
      <w:pPr>
        <w:keepNext w:val="0"/>
        <w:keepLines w:val="0"/>
        <w:pageBreakBefore w:val="0"/>
        <w:widowControl w:val="0"/>
        <w:kinsoku/>
        <w:wordWrap/>
        <w:overflowPunct/>
        <w:topLinePunct w:val="0"/>
        <w:autoSpaceDE/>
        <w:autoSpaceDN/>
        <w:adjustRightInd w:val="0"/>
        <w:snapToGrid w:val="0"/>
        <w:spacing w:line="578" w:lineRule="exact"/>
        <w:ind w:left="0" w:firstLine="640" w:firstLineChars="200"/>
        <w:contextualSpacing/>
        <w:jc w:val="left"/>
        <w:rPr>
          <w:rFonts w:ascii="Times New Roman" w:hAnsi="Times New Roman" w:eastAsia="楷体_GB2312" w:cs="Times New Roman"/>
          <w:color w:val="000000"/>
          <w:kern w:val="0"/>
          <w:sz w:val="32"/>
          <w:szCs w:val="32"/>
          <w:highlight w:val="none"/>
          <w:shd w:val="clear" w:color="auto" w:fill="FFFFFF"/>
          <w:lang w:val="zh-CN"/>
        </w:rPr>
      </w:pPr>
      <w:r>
        <w:rPr>
          <w:rFonts w:ascii="Times New Roman" w:hAnsi="Times New Roman" w:eastAsia="楷体_GB2312" w:cs="Times New Roman"/>
          <w:color w:val="000000"/>
          <w:kern w:val="0"/>
          <w:sz w:val="32"/>
          <w:szCs w:val="32"/>
          <w:highlight w:val="none"/>
          <w:shd w:val="clear" w:color="auto" w:fill="FFFFFF"/>
        </w:rPr>
        <w:t>3.</w:t>
      </w:r>
      <w:r>
        <w:rPr>
          <w:rFonts w:ascii="Times New Roman" w:hAnsi="Times New Roman" w:eastAsia="楷体_GB2312" w:cs="Times New Roman"/>
          <w:color w:val="000000"/>
          <w:kern w:val="0"/>
          <w:sz w:val="32"/>
          <w:szCs w:val="32"/>
          <w:highlight w:val="none"/>
          <w:shd w:val="clear" w:color="auto" w:fill="FFFFFF"/>
          <w:lang w:val="zh-CN"/>
        </w:rPr>
        <w:t>财务管理。</w:t>
      </w:r>
      <w:r>
        <w:rPr>
          <w:rFonts w:ascii="Times New Roman" w:hAnsi="Times New Roman" w:eastAsia="仿宋_GB2312" w:cs="Times New Roman"/>
          <w:color w:val="000000"/>
          <w:kern w:val="0"/>
          <w:sz w:val="32"/>
          <w:szCs w:val="32"/>
          <w:highlight w:val="none"/>
          <w:lang w:val="zh-CN"/>
        </w:rPr>
        <w:t>我委在岗位设置方面，设置会计机构、配备会计人员，会计岗、出纳岗等不相容岗位分离；在财务管理制度方面，根据内控要求建设涵盖预算管理、收支管理、政府采购管理、国有资产管理、合同管理、建设项目管理等主要经济业务领域；按照分事行权、分岗设权、分级授权要求落实不相容岗位分离和定期轮岗等内部权力制衡基本举措；建立决策权、管理权、执行权和监督权“四权分立”机制；建立重大事项议事决策机制，建立健全集体研究、专家论证和技术咨询相结合的辅助决策机制；在资金规范使用方面，我委不存在超预算或无预算安排、虚列支出、超范围超标准使用经费、违规使用“三公”经费、滥发津补贴、报销不合规等情况。（得分10）</w:t>
      </w:r>
    </w:p>
    <w:p w14:paraId="119CC1C8">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楷体_GB2312" w:cs="Times New Roman"/>
          <w:color w:val="000000"/>
          <w:kern w:val="0"/>
          <w:sz w:val="32"/>
          <w:szCs w:val="32"/>
          <w:highlight w:val="none"/>
          <w:shd w:val="clear" w:color="auto" w:fill="FFFFFF"/>
          <w:lang w:val="zh-CN"/>
        </w:rPr>
      </w:pPr>
      <w:r>
        <w:rPr>
          <w:rFonts w:ascii="Times New Roman" w:hAnsi="Times New Roman" w:eastAsia="楷体_GB2312" w:cs="Times New Roman"/>
          <w:color w:val="000000"/>
          <w:kern w:val="0"/>
          <w:sz w:val="32"/>
          <w:szCs w:val="32"/>
          <w:highlight w:val="none"/>
          <w:shd w:val="clear" w:color="auto" w:fill="FFFFFF"/>
        </w:rPr>
        <w:t>4.</w:t>
      </w:r>
      <w:r>
        <w:rPr>
          <w:rFonts w:ascii="Times New Roman" w:hAnsi="Times New Roman" w:eastAsia="楷体_GB2312" w:cs="Times New Roman"/>
          <w:color w:val="000000"/>
          <w:kern w:val="0"/>
          <w:sz w:val="32"/>
          <w:szCs w:val="32"/>
          <w:highlight w:val="none"/>
          <w:shd w:val="clear" w:color="auto" w:fill="FFFFFF"/>
          <w:lang w:val="zh-CN"/>
        </w:rPr>
        <w:t>资产管理。</w:t>
      </w:r>
    </w:p>
    <w:p w14:paraId="32738EFD">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仿宋_GB2312" w:cs="Times New Roman"/>
          <w:color w:val="000000"/>
          <w:kern w:val="0"/>
          <w:sz w:val="32"/>
          <w:szCs w:val="32"/>
          <w:highlight w:val="none"/>
          <w:lang w:val="zh-CN"/>
        </w:rPr>
      </w:pPr>
      <w:r>
        <w:rPr>
          <w:rFonts w:ascii="Times New Roman" w:hAnsi="Times New Roman" w:eastAsia="仿宋_GB2312" w:cs="Times New Roman"/>
          <w:color w:val="000000"/>
          <w:kern w:val="0"/>
          <w:sz w:val="32"/>
          <w:szCs w:val="32"/>
          <w:highlight w:val="none"/>
          <w:lang w:val="zh-CN"/>
        </w:rPr>
        <w:t>（4.1）人均资产变化率。</w:t>
      </w:r>
      <w:r>
        <w:rPr>
          <w:rFonts w:ascii="Times New Roman" w:hAnsi="Times New Roman" w:eastAsia="仿宋_GB2312" w:cs="Times New Roman"/>
          <w:color w:val="000000"/>
          <w:kern w:val="0"/>
          <w:sz w:val="32"/>
          <w:szCs w:val="32"/>
          <w:highlight w:val="none"/>
          <w:lang w:val="zh-CN"/>
        </w:rPr>
        <w:t>202</w:t>
      </w:r>
      <w:r>
        <w:rPr>
          <w:rFonts w:hint="eastAsia" w:ascii="Times New Roman" w:hAnsi="Times New Roman" w:eastAsia="仿宋_GB2312" w:cs="Times New Roman"/>
          <w:color w:val="000000"/>
          <w:kern w:val="0"/>
          <w:sz w:val="32"/>
          <w:szCs w:val="32"/>
          <w:highlight w:val="none"/>
          <w:lang w:val="en-US" w:eastAsia="zh-CN"/>
        </w:rPr>
        <w:t>4</w:t>
      </w:r>
      <w:r>
        <w:rPr>
          <w:rFonts w:ascii="Times New Roman" w:hAnsi="Times New Roman" w:eastAsia="仿宋_GB2312" w:cs="Times New Roman"/>
          <w:color w:val="000000"/>
          <w:kern w:val="0"/>
          <w:sz w:val="32"/>
          <w:szCs w:val="32"/>
          <w:highlight w:val="none"/>
          <w:lang w:val="zh-CN"/>
        </w:rPr>
        <w:t>年人均占有资产=（固定资产净值</w:t>
      </w:r>
      <w:r>
        <w:rPr>
          <w:rFonts w:hint="eastAsia" w:ascii="Times New Roman" w:hAnsi="Times New Roman" w:eastAsia="仿宋_GB2312" w:cs="Times New Roman"/>
          <w:color w:val="000000"/>
          <w:kern w:val="0"/>
          <w:sz w:val="32"/>
          <w:szCs w:val="32"/>
          <w:highlight w:val="none"/>
          <w:lang w:val="en-US" w:eastAsia="zh-CN"/>
        </w:rPr>
        <w:t>584348.25</w:t>
      </w:r>
      <w:r>
        <w:rPr>
          <w:rFonts w:ascii="Times New Roman" w:hAnsi="Times New Roman" w:eastAsia="仿宋_GB2312" w:cs="Times New Roman"/>
          <w:color w:val="000000"/>
          <w:kern w:val="0"/>
          <w:sz w:val="32"/>
          <w:szCs w:val="32"/>
          <w:highlight w:val="none"/>
          <w:lang w:val="zh-CN"/>
        </w:rPr>
        <w:t>元+无形资产净值</w:t>
      </w:r>
      <w:r>
        <w:rPr>
          <w:rFonts w:hint="eastAsia" w:ascii="Times New Roman" w:hAnsi="Times New Roman" w:eastAsia="仿宋_GB2312" w:cs="Times New Roman"/>
          <w:color w:val="000000"/>
          <w:kern w:val="0"/>
          <w:sz w:val="32"/>
          <w:szCs w:val="32"/>
          <w:highlight w:val="none"/>
          <w:lang w:val="en-US" w:eastAsia="zh-CN"/>
        </w:rPr>
        <w:t>33461.26</w:t>
      </w:r>
      <w:r>
        <w:rPr>
          <w:rFonts w:ascii="Times New Roman" w:hAnsi="Times New Roman" w:eastAsia="仿宋_GB2312" w:cs="Times New Roman"/>
          <w:color w:val="000000"/>
          <w:kern w:val="0"/>
          <w:sz w:val="32"/>
          <w:szCs w:val="32"/>
          <w:highlight w:val="none"/>
          <w:lang w:val="zh-CN"/>
        </w:rPr>
        <w:t>元）÷年末实有人数</w:t>
      </w:r>
      <w:r>
        <w:rPr>
          <w:rFonts w:hint="eastAsia" w:ascii="Times New Roman" w:hAnsi="Times New Roman" w:eastAsia="仿宋_GB2312" w:cs="Times New Roman"/>
          <w:color w:val="000000"/>
          <w:kern w:val="0"/>
          <w:sz w:val="32"/>
          <w:szCs w:val="32"/>
          <w:highlight w:val="none"/>
          <w:lang w:val="en-US" w:eastAsia="zh-CN"/>
        </w:rPr>
        <w:t>14</w:t>
      </w:r>
      <w:r>
        <w:rPr>
          <w:rFonts w:ascii="Times New Roman" w:hAnsi="Times New Roman" w:eastAsia="仿宋_GB2312" w:cs="Times New Roman"/>
          <w:color w:val="000000"/>
          <w:kern w:val="0"/>
          <w:sz w:val="32"/>
          <w:szCs w:val="32"/>
          <w:highlight w:val="none"/>
          <w:lang w:val="zh-CN"/>
        </w:rPr>
        <w:t>人=</w:t>
      </w:r>
      <w:r>
        <w:rPr>
          <w:rFonts w:hint="eastAsia" w:ascii="Times New Roman" w:hAnsi="Times New Roman" w:eastAsia="仿宋_GB2312" w:cs="Times New Roman"/>
          <w:color w:val="000000"/>
          <w:kern w:val="0"/>
          <w:sz w:val="32"/>
          <w:szCs w:val="32"/>
          <w:highlight w:val="none"/>
          <w:lang w:val="en-US" w:eastAsia="zh-CN"/>
        </w:rPr>
        <w:t>44129.25</w:t>
      </w:r>
      <w:r>
        <w:rPr>
          <w:rFonts w:ascii="Times New Roman" w:hAnsi="Times New Roman" w:eastAsia="仿宋_GB2312" w:cs="Times New Roman"/>
          <w:color w:val="000000"/>
          <w:kern w:val="0"/>
          <w:sz w:val="32"/>
          <w:szCs w:val="32"/>
          <w:highlight w:val="none"/>
          <w:lang w:val="zh-CN"/>
        </w:rPr>
        <w:t>元 。202</w:t>
      </w:r>
      <w:r>
        <w:rPr>
          <w:rFonts w:hint="eastAsia" w:ascii="Times New Roman" w:hAnsi="Times New Roman" w:eastAsia="仿宋_GB2312" w:cs="Times New Roman"/>
          <w:color w:val="000000"/>
          <w:kern w:val="0"/>
          <w:sz w:val="32"/>
          <w:szCs w:val="32"/>
          <w:highlight w:val="none"/>
          <w:lang w:val="en-US" w:eastAsia="zh-CN"/>
        </w:rPr>
        <w:t>5</w:t>
      </w:r>
      <w:r>
        <w:rPr>
          <w:rFonts w:ascii="Times New Roman" w:hAnsi="Times New Roman" w:eastAsia="仿宋_GB2312" w:cs="Times New Roman"/>
          <w:color w:val="000000"/>
          <w:kern w:val="0"/>
          <w:sz w:val="32"/>
          <w:szCs w:val="32"/>
          <w:highlight w:val="none"/>
          <w:lang w:val="zh-CN"/>
        </w:rPr>
        <w:t>年人均占有资产=（固定资产净值</w:t>
      </w:r>
      <w:r>
        <w:rPr>
          <w:rFonts w:hint="eastAsia" w:ascii="Times New Roman" w:hAnsi="Times New Roman" w:eastAsia="仿宋_GB2312" w:cs="Times New Roman"/>
          <w:color w:val="000000"/>
          <w:kern w:val="0"/>
          <w:sz w:val="32"/>
          <w:szCs w:val="32"/>
          <w:highlight w:val="none"/>
          <w:lang w:val="en-US" w:eastAsia="zh-CN"/>
        </w:rPr>
        <w:t>521337.13</w:t>
      </w:r>
      <w:r>
        <w:rPr>
          <w:rFonts w:ascii="Times New Roman" w:hAnsi="Times New Roman" w:eastAsia="仿宋_GB2312" w:cs="Times New Roman"/>
          <w:color w:val="000000"/>
          <w:kern w:val="0"/>
          <w:sz w:val="32"/>
          <w:szCs w:val="32"/>
          <w:highlight w:val="none"/>
          <w:lang w:val="zh-CN"/>
        </w:rPr>
        <w:t>元+无形资产净值</w:t>
      </w:r>
      <w:r>
        <w:rPr>
          <w:rFonts w:hint="eastAsia" w:ascii="Times New Roman" w:hAnsi="Times New Roman" w:eastAsia="仿宋_GB2312" w:cs="Times New Roman"/>
          <w:color w:val="000000"/>
          <w:kern w:val="0"/>
          <w:sz w:val="32"/>
          <w:szCs w:val="32"/>
          <w:highlight w:val="none"/>
          <w:lang w:val="en-US" w:eastAsia="zh-CN"/>
        </w:rPr>
        <w:t>30653.02</w:t>
      </w:r>
      <w:r>
        <w:rPr>
          <w:rFonts w:ascii="Times New Roman" w:hAnsi="Times New Roman" w:eastAsia="仿宋_GB2312" w:cs="Times New Roman"/>
          <w:color w:val="000000"/>
          <w:kern w:val="0"/>
          <w:sz w:val="32"/>
          <w:szCs w:val="32"/>
          <w:highlight w:val="none"/>
          <w:lang w:val="zh-CN"/>
        </w:rPr>
        <w:t>元）÷年末实有人数</w:t>
      </w:r>
      <w:r>
        <w:rPr>
          <w:rFonts w:hint="eastAsia" w:ascii="Times New Roman" w:hAnsi="Times New Roman" w:eastAsia="仿宋_GB2312" w:cs="Times New Roman"/>
          <w:color w:val="000000"/>
          <w:kern w:val="0"/>
          <w:sz w:val="32"/>
          <w:szCs w:val="32"/>
          <w:highlight w:val="none"/>
          <w:lang w:val="en-US" w:eastAsia="zh-CN"/>
        </w:rPr>
        <w:t>13</w:t>
      </w:r>
      <w:r>
        <w:rPr>
          <w:rFonts w:ascii="Times New Roman" w:hAnsi="Times New Roman" w:eastAsia="仿宋_GB2312" w:cs="Times New Roman"/>
          <w:color w:val="000000"/>
          <w:kern w:val="0"/>
          <w:sz w:val="32"/>
          <w:szCs w:val="32"/>
          <w:highlight w:val="none"/>
          <w:lang w:val="zh-CN"/>
        </w:rPr>
        <w:t>人=</w:t>
      </w:r>
      <w:r>
        <w:rPr>
          <w:rFonts w:hint="eastAsia" w:ascii="Times New Roman" w:hAnsi="Times New Roman" w:eastAsia="仿宋_GB2312" w:cs="Times New Roman"/>
          <w:color w:val="000000"/>
          <w:kern w:val="0"/>
          <w:sz w:val="32"/>
          <w:szCs w:val="32"/>
          <w:highlight w:val="none"/>
          <w:lang w:val="en-US" w:eastAsia="zh-CN"/>
        </w:rPr>
        <w:t>42460.78</w:t>
      </w:r>
      <w:r>
        <w:rPr>
          <w:rFonts w:ascii="Times New Roman" w:hAnsi="Times New Roman" w:eastAsia="仿宋_GB2312" w:cs="Times New Roman"/>
          <w:color w:val="000000"/>
          <w:kern w:val="0"/>
          <w:sz w:val="32"/>
          <w:szCs w:val="32"/>
          <w:highlight w:val="none"/>
          <w:lang w:val="zh-CN"/>
        </w:rPr>
        <w:t>元。</w:t>
      </w:r>
    </w:p>
    <w:p w14:paraId="18558A34">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仿宋_GB2312" w:cs="Times New Roman"/>
          <w:color w:val="000000"/>
          <w:kern w:val="0"/>
          <w:sz w:val="32"/>
          <w:szCs w:val="32"/>
          <w:highlight w:val="none"/>
          <w:lang w:val="zh-CN"/>
        </w:rPr>
      </w:pPr>
      <w:r>
        <w:rPr>
          <w:rFonts w:ascii="Times New Roman" w:hAnsi="Times New Roman" w:eastAsia="仿宋_GB2312" w:cs="Times New Roman"/>
          <w:color w:val="000000"/>
          <w:kern w:val="0"/>
          <w:sz w:val="32"/>
          <w:szCs w:val="32"/>
          <w:highlight w:val="none"/>
          <w:lang w:val="zh-CN"/>
        </w:rPr>
        <w:t>部门人均资产变化率X：（当年单位人均占有资产</w:t>
      </w:r>
      <w:r>
        <w:rPr>
          <w:rFonts w:hint="eastAsia" w:ascii="Times New Roman" w:hAnsi="Times New Roman" w:eastAsia="仿宋_GB2312" w:cs="Times New Roman"/>
          <w:color w:val="000000"/>
          <w:kern w:val="0"/>
          <w:sz w:val="32"/>
          <w:szCs w:val="32"/>
          <w:highlight w:val="none"/>
          <w:lang w:val="en-US" w:eastAsia="zh-CN"/>
        </w:rPr>
        <w:t>42460.78</w:t>
      </w:r>
      <w:r>
        <w:rPr>
          <w:rFonts w:ascii="Times New Roman" w:hAnsi="Times New Roman" w:eastAsia="仿宋_GB2312" w:cs="Times New Roman"/>
          <w:color w:val="000000"/>
          <w:kern w:val="0"/>
          <w:sz w:val="32"/>
          <w:szCs w:val="32"/>
          <w:highlight w:val="none"/>
          <w:lang w:val="zh-CN"/>
        </w:rPr>
        <w:t>上年单位人均占有资产</w:t>
      </w:r>
      <w:r>
        <w:rPr>
          <w:rFonts w:hint="eastAsia" w:ascii="Times New Roman" w:hAnsi="Times New Roman" w:eastAsia="仿宋_GB2312" w:cs="Times New Roman"/>
          <w:color w:val="000000"/>
          <w:kern w:val="0"/>
          <w:sz w:val="32"/>
          <w:szCs w:val="32"/>
          <w:highlight w:val="none"/>
          <w:lang w:val="en-US" w:eastAsia="zh-CN"/>
        </w:rPr>
        <w:t>44129.25</w:t>
      </w:r>
      <w:r>
        <w:rPr>
          <w:rFonts w:ascii="Times New Roman" w:hAnsi="Times New Roman" w:eastAsia="仿宋_GB2312" w:cs="Times New Roman"/>
          <w:color w:val="000000"/>
          <w:kern w:val="0"/>
          <w:sz w:val="32"/>
          <w:szCs w:val="32"/>
          <w:highlight w:val="none"/>
          <w:lang w:val="zh-CN"/>
        </w:rPr>
        <w:t>）÷上年单位人均占有资产</w:t>
      </w:r>
      <w:r>
        <w:rPr>
          <w:rFonts w:hint="eastAsia" w:ascii="Times New Roman" w:hAnsi="Times New Roman" w:eastAsia="仿宋_GB2312" w:cs="Times New Roman"/>
          <w:color w:val="000000"/>
          <w:kern w:val="0"/>
          <w:sz w:val="32"/>
          <w:szCs w:val="32"/>
          <w:highlight w:val="none"/>
          <w:lang w:val="en-US" w:eastAsia="zh-CN"/>
        </w:rPr>
        <w:t>44129.25</w:t>
      </w:r>
      <w:r>
        <w:rPr>
          <w:rFonts w:ascii="Times New Roman" w:hAnsi="Times New Roman" w:eastAsia="仿宋_GB2312" w:cs="Times New Roman"/>
          <w:color w:val="000000"/>
          <w:kern w:val="0"/>
          <w:sz w:val="32"/>
          <w:szCs w:val="32"/>
          <w:highlight w:val="none"/>
          <w:lang w:val="zh-CN"/>
        </w:rPr>
        <w:t>=</w:t>
      </w:r>
      <w:r>
        <w:rPr>
          <w:rFonts w:hint="eastAsia" w:ascii="Times New Roman" w:hAnsi="Times New Roman" w:eastAsia="仿宋_GB2312" w:cs="Times New Roman"/>
          <w:color w:val="000000"/>
          <w:kern w:val="0"/>
          <w:sz w:val="32"/>
          <w:szCs w:val="32"/>
          <w:highlight w:val="none"/>
          <w:lang w:val="en-US" w:eastAsia="zh-CN"/>
        </w:rPr>
        <w:t>-3.78</w:t>
      </w:r>
      <w:r>
        <w:rPr>
          <w:rFonts w:ascii="Times New Roman" w:hAnsi="Times New Roman" w:eastAsia="仿宋_GB2312" w:cs="Times New Roman"/>
          <w:color w:val="000000"/>
          <w:kern w:val="0"/>
          <w:sz w:val="32"/>
          <w:szCs w:val="32"/>
          <w:highlight w:val="none"/>
          <w:lang w:val="zh-CN"/>
        </w:rPr>
        <w:t xml:space="preserve">%。                                 </w:t>
      </w:r>
    </w:p>
    <w:p w14:paraId="09ECC730">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仿宋_GB2312" w:cs="Times New Roman"/>
          <w:color w:val="000000"/>
          <w:kern w:val="0"/>
          <w:sz w:val="32"/>
          <w:szCs w:val="32"/>
          <w:highlight w:val="none"/>
          <w:lang w:val="zh-CN"/>
        </w:rPr>
      </w:pPr>
      <w:r>
        <w:rPr>
          <w:rFonts w:ascii="Times New Roman" w:hAnsi="Times New Roman" w:eastAsia="仿宋_GB2312" w:cs="Times New Roman"/>
          <w:color w:val="000000"/>
          <w:kern w:val="0"/>
          <w:sz w:val="32"/>
          <w:szCs w:val="32"/>
          <w:highlight w:val="none"/>
          <w:lang w:val="zh-CN"/>
        </w:rPr>
        <w:t>部门人均资产变化率X为-</w:t>
      </w:r>
      <w:r>
        <w:rPr>
          <w:rFonts w:hint="eastAsia" w:ascii="Times New Roman" w:hAnsi="Times New Roman" w:eastAsia="仿宋_GB2312" w:cs="Times New Roman"/>
          <w:color w:val="000000"/>
          <w:kern w:val="0"/>
          <w:sz w:val="32"/>
          <w:szCs w:val="32"/>
          <w:highlight w:val="none"/>
          <w:lang w:val="en-US" w:eastAsia="zh-CN"/>
        </w:rPr>
        <w:t>3.78</w:t>
      </w:r>
      <w:r>
        <w:rPr>
          <w:rFonts w:ascii="Times New Roman" w:hAnsi="Times New Roman" w:eastAsia="仿宋_GB2312" w:cs="Times New Roman"/>
          <w:color w:val="000000"/>
          <w:kern w:val="0"/>
          <w:sz w:val="32"/>
          <w:szCs w:val="32"/>
          <w:highlight w:val="none"/>
          <w:lang w:val="zh-CN"/>
        </w:rPr>
        <w:t>%，州直行政事业单位人均资产变化率N为</w:t>
      </w:r>
      <w:r>
        <w:rPr>
          <w:rFonts w:hint="eastAsia" w:ascii="Times New Roman" w:hAnsi="Times New Roman" w:eastAsia="仿宋_GB2312" w:cs="Times New Roman"/>
          <w:color w:val="000000"/>
          <w:kern w:val="0"/>
          <w:sz w:val="32"/>
          <w:szCs w:val="32"/>
          <w:highlight w:val="none"/>
          <w:lang w:val="en-US" w:eastAsia="zh-CN"/>
        </w:rPr>
        <w:t>-3.49</w:t>
      </w:r>
      <w:r>
        <w:rPr>
          <w:rFonts w:ascii="Times New Roman" w:hAnsi="Times New Roman" w:eastAsia="仿宋_GB2312" w:cs="Times New Roman"/>
          <w:color w:val="000000"/>
          <w:kern w:val="0"/>
          <w:sz w:val="32"/>
          <w:szCs w:val="32"/>
          <w:highlight w:val="none"/>
          <w:lang w:val="zh-CN"/>
        </w:rPr>
        <w:t>%，则：</w:t>
      </w:r>
      <w:r>
        <w:rPr>
          <w:rFonts w:hint="eastAsia" w:ascii="Times New Roman" w:hAnsi="Times New Roman" w:eastAsia="仿宋_GB2312" w:cs="Times New Roman"/>
          <w:color w:val="000000"/>
          <w:kern w:val="0"/>
          <w:sz w:val="32"/>
          <w:szCs w:val="32"/>
          <w:highlight w:val="none"/>
          <w:lang w:val="en-US" w:eastAsia="zh-CN"/>
        </w:rPr>
        <w:t>N＜</w:t>
      </w:r>
      <w:r>
        <w:rPr>
          <w:rFonts w:ascii="Times New Roman" w:hAnsi="Times New Roman" w:eastAsia="仿宋_GB2312" w:cs="Times New Roman"/>
          <w:color w:val="000000"/>
          <w:kern w:val="0"/>
          <w:sz w:val="32"/>
          <w:szCs w:val="32"/>
          <w:highlight w:val="none"/>
          <w:lang w:val="zh-CN"/>
        </w:rPr>
        <w:t>X</w:t>
      </w:r>
      <w:r>
        <w:rPr>
          <w:rFonts w:hint="eastAsia" w:ascii="Times New Roman" w:hAnsi="Times New Roman" w:eastAsia="仿宋_GB2312" w:cs="Times New Roman"/>
          <w:color w:val="000000"/>
          <w:kern w:val="0"/>
          <w:sz w:val="32"/>
          <w:szCs w:val="32"/>
          <w:highlight w:val="none"/>
          <w:lang w:val="zh-CN"/>
        </w:rPr>
        <w:t>≤</w:t>
      </w:r>
      <w:r>
        <w:rPr>
          <w:rFonts w:hint="eastAsia" w:ascii="Times New Roman" w:hAnsi="Times New Roman" w:eastAsia="仿宋_GB2312" w:cs="Times New Roman"/>
          <w:color w:val="000000"/>
          <w:kern w:val="0"/>
          <w:sz w:val="32"/>
          <w:szCs w:val="32"/>
          <w:highlight w:val="none"/>
          <w:lang w:val="en-US" w:eastAsia="zh-CN"/>
        </w:rPr>
        <w:t>1.2</w:t>
      </w:r>
      <w:r>
        <w:rPr>
          <w:rFonts w:ascii="Times New Roman" w:hAnsi="Times New Roman" w:eastAsia="仿宋_GB2312" w:cs="Times New Roman"/>
          <w:color w:val="000000"/>
          <w:kern w:val="0"/>
          <w:sz w:val="32"/>
          <w:szCs w:val="32"/>
          <w:highlight w:val="none"/>
          <w:lang w:val="zh-CN"/>
        </w:rPr>
        <w:t>N，得</w:t>
      </w:r>
      <w:r>
        <w:rPr>
          <w:rFonts w:hint="eastAsia" w:ascii="Times New Roman" w:hAnsi="Times New Roman" w:eastAsia="仿宋_GB2312" w:cs="Times New Roman"/>
          <w:color w:val="000000"/>
          <w:kern w:val="0"/>
          <w:sz w:val="32"/>
          <w:szCs w:val="32"/>
          <w:highlight w:val="none"/>
          <w:lang w:val="en-US" w:eastAsia="zh-CN"/>
        </w:rPr>
        <w:t>0.9</w:t>
      </w:r>
      <w:r>
        <w:rPr>
          <w:rFonts w:ascii="Times New Roman" w:hAnsi="Times New Roman" w:eastAsia="仿宋_GB2312" w:cs="Times New Roman"/>
          <w:color w:val="000000"/>
          <w:kern w:val="0"/>
          <w:sz w:val="32"/>
          <w:szCs w:val="32"/>
          <w:highlight w:val="none"/>
          <w:lang w:val="zh-CN"/>
        </w:rPr>
        <w:t>分</w:t>
      </w:r>
    </w:p>
    <w:p w14:paraId="40696082">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仿宋_GB2312" w:cs="Times New Roman"/>
          <w:color w:val="000000"/>
          <w:kern w:val="0"/>
          <w:sz w:val="32"/>
          <w:szCs w:val="32"/>
          <w:highlight w:val="none"/>
          <w:lang w:val="zh-CN"/>
        </w:rPr>
      </w:pPr>
      <w:r>
        <w:rPr>
          <w:rFonts w:ascii="Times New Roman" w:hAnsi="Times New Roman" w:eastAsia="仿宋_GB2312" w:cs="Times New Roman"/>
          <w:color w:val="000000"/>
          <w:kern w:val="0"/>
          <w:sz w:val="32"/>
          <w:szCs w:val="32"/>
          <w:highlight w:val="none"/>
          <w:lang w:val="zh-CN"/>
        </w:rPr>
        <w:t>部门人均资产增长率X为-</w:t>
      </w:r>
      <w:r>
        <w:rPr>
          <w:rFonts w:hint="eastAsia" w:ascii="Times New Roman" w:hAnsi="Times New Roman" w:eastAsia="仿宋_GB2312" w:cs="Times New Roman"/>
          <w:color w:val="000000"/>
          <w:kern w:val="0"/>
          <w:sz w:val="32"/>
          <w:szCs w:val="32"/>
          <w:highlight w:val="none"/>
          <w:lang w:val="en-US" w:eastAsia="zh-CN"/>
        </w:rPr>
        <w:t>3.92</w:t>
      </w:r>
      <w:r>
        <w:rPr>
          <w:rFonts w:ascii="Times New Roman" w:hAnsi="Times New Roman" w:eastAsia="仿宋_GB2312" w:cs="Times New Roman"/>
          <w:color w:val="000000"/>
          <w:kern w:val="0"/>
          <w:sz w:val="32"/>
          <w:szCs w:val="32"/>
          <w:highlight w:val="none"/>
          <w:lang w:val="zh-CN"/>
        </w:rPr>
        <w:t>%，同期州级财政收入增长率N为</w:t>
      </w:r>
      <w:r>
        <w:rPr>
          <w:rFonts w:hint="eastAsia" w:ascii="Times New Roman" w:hAnsi="Times New Roman" w:eastAsia="仿宋_GB2312" w:cs="Times New Roman"/>
          <w:color w:val="000000"/>
          <w:kern w:val="0"/>
          <w:sz w:val="32"/>
          <w:szCs w:val="32"/>
          <w:highlight w:val="none"/>
          <w:lang w:val="en-US" w:eastAsia="zh-CN"/>
        </w:rPr>
        <w:t>17.1</w:t>
      </w:r>
      <w:r>
        <w:rPr>
          <w:rFonts w:ascii="Times New Roman" w:hAnsi="Times New Roman" w:eastAsia="仿宋_GB2312" w:cs="Times New Roman"/>
          <w:color w:val="000000"/>
          <w:kern w:val="0"/>
          <w:sz w:val="32"/>
          <w:szCs w:val="32"/>
          <w:highlight w:val="none"/>
          <w:lang w:val="zh-CN"/>
        </w:rPr>
        <w:t>%，则：X</w:t>
      </w:r>
      <w:r>
        <w:rPr>
          <w:rFonts w:hint="eastAsia" w:ascii="Times New Roman" w:hAnsi="Times New Roman" w:eastAsia="仿宋_GB2312" w:cs="Times New Roman"/>
          <w:color w:val="000000"/>
          <w:kern w:val="0"/>
          <w:sz w:val="32"/>
          <w:szCs w:val="32"/>
          <w:highlight w:val="none"/>
          <w:lang w:val="zh-CN"/>
        </w:rPr>
        <w:t>≤</w:t>
      </w:r>
      <w:r>
        <w:rPr>
          <w:rFonts w:hint="eastAsia" w:ascii="Times New Roman" w:hAnsi="Times New Roman" w:eastAsia="仿宋_GB2312" w:cs="Times New Roman"/>
          <w:color w:val="000000"/>
          <w:kern w:val="0"/>
          <w:sz w:val="32"/>
          <w:szCs w:val="32"/>
          <w:highlight w:val="none"/>
          <w:lang w:val="en-US" w:eastAsia="zh-CN"/>
        </w:rPr>
        <w:t>0</w:t>
      </w:r>
      <w:r>
        <w:rPr>
          <w:rFonts w:ascii="Times New Roman" w:hAnsi="Times New Roman" w:eastAsia="仿宋_GB2312" w:cs="Times New Roman"/>
          <w:color w:val="000000"/>
          <w:kern w:val="0"/>
          <w:sz w:val="32"/>
          <w:szCs w:val="32"/>
          <w:highlight w:val="none"/>
          <w:lang w:val="zh-CN"/>
        </w:rPr>
        <w:t>，得</w:t>
      </w:r>
      <w:r>
        <w:rPr>
          <w:rFonts w:hint="eastAsia" w:ascii="Times New Roman" w:hAnsi="Times New Roman" w:eastAsia="仿宋_GB2312" w:cs="Times New Roman"/>
          <w:color w:val="000000"/>
          <w:kern w:val="0"/>
          <w:sz w:val="32"/>
          <w:szCs w:val="32"/>
          <w:highlight w:val="none"/>
          <w:lang w:val="en-US" w:eastAsia="zh-CN"/>
        </w:rPr>
        <w:t>1.5</w:t>
      </w:r>
      <w:r>
        <w:rPr>
          <w:rFonts w:ascii="Times New Roman" w:hAnsi="Times New Roman" w:eastAsia="仿宋_GB2312" w:cs="Times New Roman"/>
          <w:color w:val="000000"/>
          <w:kern w:val="0"/>
          <w:sz w:val="32"/>
          <w:szCs w:val="32"/>
          <w:highlight w:val="none"/>
          <w:lang w:val="zh-CN"/>
        </w:rPr>
        <w:t>分，总计2.</w:t>
      </w:r>
      <w:r>
        <w:rPr>
          <w:rFonts w:hint="eastAsia" w:ascii="Times New Roman" w:hAnsi="Times New Roman" w:eastAsia="仿宋_GB2312" w:cs="Times New Roman"/>
          <w:color w:val="000000"/>
          <w:kern w:val="0"/>
          <w:sz w:val="32"/>
          <w:szCs w:val="32"/>
          <w:highlight w:val="none"/>
          <w:lang w:val="en-US" w:eastAsia="zh-CN"/>
        </w:rPr>
        <w:t>4</w:t>
      </w:r>
      <w:r>
        <w:rPr>
          <w:rFonts w:ascii="Times New Roman" w:hAnsi="Times New Roman" w:eastAsia="仿宋_GB2312" w:cs="Times New Roman"/>
          <w:color w:val="000000"/>
          <w:kern w:val="0"/>
          <w:sz w:val="32"/>
          <w:szCs w:val="32"/>
          <w:highlight w:val="none"/>
          <w:lang w:val="zh-CN"/>
        </w:rPr>
        <w:t>分</w:t>
      </w:r>
    </w:p>
    <w:p w14:paraId="2DA85E12">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仿宋_GB2312" w:cs="Times New Roman"/>
          <w:color w:val="000000"/>
          <w:kern w:val="0"/>
          <w:sz w:val="32"/>
          <w:szCs w:val="32"/>
          <w:highlight w:val="none"/>
          <w:lang w:val="zh-CN"/>
        </w:rPr>
      </w:pPr>
      <w:r>
        <w:rPr>
          <w:rFonts w:ascii="Times New Roman" w:hAnsi="Times New Roman" w:eastAsia="仿宋_GB2312" w:cs="Times New Roman"/>
          <w:color w:val="000000"/>
          <w:kern w:val="0"/>
          <w:sz w:val="32"/>
          <w:szCs w:val="32"/>
          <w:highlight w:val="none"/>
          <w:lang w:val="zh-CN"/>
        </w:rPr>
        <w:t>（4.2）资产利用率</w:t>
      </w:r>
    </w:p>
    <w:p w14:paraId="4EEDD15D">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仿宋_GB2312" w:cs="Times New Roman"/>
          <w:color w:val="000000"/>
          <w:kern w:val="0"/>
          <w:sz w:val="32"/>
          <w:szCs w:val="32"/>
          <w:highlight w:val="none"/>
          <w:lang w:val="zh-CN"/>
        </w:rPr>
      </w:pPr>
      <w:r>
        <w:rPr>
          <w:rFonts w:ascii="Times New Roman" w:hAnsi="Times New Roman" w:eastAsia="仿宋_GB2312" w:cs="Times New Roman"/>
          <w:color w:val="000000"/>
          <w:kern w:val="0"/>
          <w:sz w:val="32"/>
          <w:szCs w:val="32"/>
          <w:highlight w:val="none"/>
          <w:lang w:val="zh-CN"/>
        </w:rPr>
        <w:t>部门办公家具超最低使用年限资产利用率=超最低使用年限的办公家具账面价值</w:t>
      </w:r>
      <w:r>
        <w:rPr>
          <w:rFonts w:hint="eastAsia" w:ascii="Times New Roman" w:hAnsi="Times New Roman" w:eastAsia="仿宋_GB2312" w:cs="Times New Roman"/>
          <w:color w:val="000000"/>
          <w:kern w:val="0"/>
          <w:sz w:val="32"/>
          <w:szCs w:val="32"/>
          <w:highlight w:val="none"/>
          <w:lang w:val="en-US" w:eastAsia="zh-CN"/>
        </w:rPr>
        <w:t>0</w:t>
      </w:r>
      <w:r>
        <w:rPr>
          <w:rFonts w:ascii="Times New Roman" w:hAnsi="Times New Roman" w:eastAsia="仿宋_GB2312" w:cs="Times New Roman"/>
          <w:color w:val="000000"/>
          <w:kern w:val="0"/>
          <w:sz w:val="32"/>
          <w:szCs w:val="32"/>
          <w:highlight w:val="none"/>
          <w:lang w:val="zh-CN"/>
        </w:rPr>
        <w:t>÷办公家具账面价值</w:t>
      </w:r>
      <w:r>
        <w:rPr>
          <w:rFonts w:ascii="Times New Roman" w:hAnsi="Times New Roman" w:eastAsia="仿宋_GB2312" w:cs="Times New Roman"/>
          <w:color w:val="000000"/>
          <w:kern w:val="0"/>
          <w:sz w:val="32"/>
          <w:szCs w:val="32"/>
          <w:highlight w:val="none"/>
          <w:lang w:val="en-US" w:eastAsia="zh-CN"/>
        </w:rPr>
        <w:t>85,314.53</w:t>
      </w:r>
      <w:r>
        <w:rPr>
          <w:rFonts w:ascii="Times New Roman" w:hAnsi="Times New Roman" w:eastAsia="仿宋_GB2312" w:cs="Times New Roman"/>
          <w:color w:val="000000"/>
          <w:kern w:val="0"/>
          <w:sz w:val="32"/>
          <w:szCs w:val="32"/>
          <w:highlight w:val="none"/>
          <w:lang w:val="zh-CN"/>
        </w:rPr>
        <w:t>×100%=</w:t>
      </w:r>
      <w:r>
        <w:rPr>
          <w:rFonts w:hint="eastAsia" w:ascii="Times New Roman" w:hAnsi="Times New Roman" w:eastAsia="仿宋_GB2312" w:cs="Times New Roman"/>
          <w:color w:val="000000"/>
          <w:kern w:val="0"/>
          <w:sz w:val="32"/>
          <w:szCs w:val="32"/>
          <w:highlight w:val="none"/>
          <w:lang w:val="en-US" w:eastAsia="zh-CN"/>
        </w:rPr>
        <w:t>0</w:t>
      </w:r>
      <w:r>
        <w:rPr>
          <w:rFonts w:ascii="Times New Roman" w:hAnsi="Times New Roman" w:eastAsia="仿宋_GB2312" w:cs="Times New Roman"/>
          <w:color w:val="000000"/>
          <w:kern w:val="0"/>
          <w:sz w:val="32"/>
          <w:szCs w:val="32"/>
          <w:highlight w:val="none"/>
          <w:lang w:val="zh-CN"/>
        </w:rPr>
        <w:t>%。办公家具超最低使用年限资产利用率X为</w:t>
      </w:r>
      <w:r>
        <w:rPr>
          <w:rFonts w:hint="eastAsia" w:ascii="Times New Roman" w:hAnsi="Times New Roman" w:eastAsia="仿宋_GB2312" w:cs="Times New Roman"/>
          <w:color w:val="000000"/>
          <w:kern w:val="0"/>
          <w:sz w:val="32"/>
          <w:szCs w:val="32"/>
          <w:highlight w:val="none"/>
          <w:lang w:val="en-US" w:eastAsia="zh-CN"/>
        </w:rPr>
        <w:t>0</w:t>
      </w:r>
      <w:r>
        <w:rPr>
          <w:rFonts w:ascii="Times New Roman" w:hAnsi="Times New Roman" w:eastAsia="仿宋_GB2312" w:cs="Times New Roman"/>
          <w:color w:val="000000"/>
          <w:kern w:val="0"/>
          <w:sz w:val="32"/>
          <w:szCs w:val="32"/>
          <w:highlight w:val="none"/>
          <w:lang w:val="zh-CN"/>
        </w:rPr>
        <w:t>%，州直行政事业单位平均值N为</w:t>
      </w:r>
      <w:r>
        <w:rPr>
          <w:rFonts w:hint="eastAsia" w:ascii="Times New Roman" w:hAnsi="Times New Roman" w:eastAsia="仿宋_GB2312" w:cs="Times New Roman"/>
          <w:color w:val="000000"/>
          <w:kern w:val="0"/>
          <w:sz w:val="32"/>
          <w:szCs w:val="32"/>
          <w:highlight w:val="none"/>
          <w:lang w:val="en-US" w:eastAsia="zh-CN"/>
        </w:rPr>
        <w:t>12.93</w:t>
      </w:r>
      <w:r>
        <w:rPr>
          <w:rFonts w:ascii="Times New Roman" w:hAnsi="Times New Roman" w:eastAsia="仿宋_GB2312" w:cs="Times New Roman"/>
          <w:color w:val="000000"/>
          <w:kern w:val="0"/>
          <w:sz w:val="32"/>
          <w:szCs w:val="32"/>
          <w:highlight w:val="none"/>
          <w:lang w:val="zh-CN"/>
        </w:rPr>
        <w:t>%，则：则：X</w:t>
      </w:r>
      <w:r>
        <w:rPr>
          <w:rFonts w:hint="eastAsia" w:ascii="Times New Roman" w:hAnsi="Times New Roman" w:eastAsia="仿宋_GB2312" w:cs="Times New Roman"/>
          <w:color w:val="000000"/>
          <w:kern w:val="0"/>
          <w:sz w:val="32"/>
          <w:szCs w:val="32"/>
          <w:highlight w:val="none"/>
          <w:lang w:val="zh-CN"/>
        </w:rPr>
        <w:t>≤</w:t>
      </w:r>
      <w:r>
        <w:rPr>
          <w:rFonts w:hint="eastAsia" w:ascii="Times New Roman" w:hAnsi="Times New Roman" w:eastAsia="仿宋_GB2312" w:cs="Times New Roman"/>
          <w:color w:val="000000"/>
          <w:kern w:val="0"/>
          <w:sz w:val="32"/>
          <w:szCs w:val="32"/>
          <w:highlight w:val="none"/>
          <w:lang w:val="en-US" w:eastAsia="zh-CN"/>
        </w:rPr>
        <w:t>0.6</w:t>
      </w:r>
      <w:r>
        <w:rPr>
          <w:rFonts w:ascii="Times New Roman" w:hAnsi="Times New Roman" w:eastAsia="仿宋_GB2312" w:cs="Times New Roman"/>
          <w:color w:val="000000"/>
          <w:kern w:val="0"/>
          <w:sz w:val="32"/>
          <w:szCs w:val="32"/>
          <w:highlight w:val="none"/>
          <w:lang w:val="zh-CN"/>
        </w:rPr>
        <w:t>N，得</w:t>
      </w:r>
      <w:r>
        <w:rPr>
          <w:rFonts w:hint="eastAsia" w:ascii="Times New Roman" w:hAnsi="Times New Roman" w:eastAsia="仿宋_GB2312" w:cs="Times New Roman"/>
          <w:color w:val="000000"/>
          <w:kern w:val="0"/>
          <w:sz w:val="32"/>
          <w:szCs w:val="32"/>
          <w:highlight w:val="none"/>
          <w:lang w:val="en-US" w:eastAsia="zh-CN"/>
        </w:rPr>
        <w:t>0.3</w:t>
      </w:r>
      <w:r>
        <w:rPr>
          <w:rFonts w:ascii="Times New Roman" w:hAnsi="Times New Roman" w:eastAsia="仿宋_GB2312" w:cs="Times New Roman"/>
          <w:color w:val="000000"/>
          <w:kern w:val="0"/>
          <w:sz w:val="32"/>
          <w:szCs w:val="32"/>
          <w:highlight w:val="none"/>
          <w:lang w:val="zh-CN"/>
        </w:rPr>
        <w:t>分</w:t>
      </w:r>
    </w:p>
    <w:p w14:paraId="08B2F147">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仿宋_GB2312" w:cs="Times New Roman"/>
          <w:color w:val="000000"/>
          <w:kern w:val="0"/>
          <w:sz w:val="32"/>
          <w:szCs w:val="32"/>
          <w:highlight w:val="none"/>
          <w:lang w:val="zh-CN"/>
        </w:rPr>
      </w:pPr>
      <w:r>
        <w:rPr>
          <w:rFonts w:ascii="Times New Roman" w:hAnsi="Times New Roman" w:eastAsia="仿宋_GB2312" w:cs="Times New Roman"/>
          <w:color w:val="000000"/>
          <w:kern w:val="0"/>
          <w:sz w:val="32"/>
          <w:szCs w:val="32"/>
          <w:highlight w:val="none"/>
          <w:lang w:val="zh-CN"/>
        </w:rPr>
        <w:t>部门办公设备超最低使用年限资产利用率=超最低使用年限的办公设备原值</w:t>
      </w:r>
      <w:r>
        <w:rPr>
          <w:rFonts w:ascii="Times New Roman" w:hAnsi="Times New Roman" w:eastAsia="仿宋_GB2312" w:cs="Times New Roman"/>
          <w:color w:val="000000"/>
          <w:kern w:val="0"/>
          <w:sz w:val="32"/>
          <w:szCs w:val="32"/>
          <w:highlight w:val="none"/>
          <w:lang w:val="en-US" w:eastAsia="zh-CN"/>
        </w:rPr>
        <w:t xml:space="preserve">110,446.00 元  </w:t>
      </w:r>
      <w:r>
        <w:rPr>
          <w:rFonts w:ascii="Times New Roman" w:hAnsi="Times New Roman" w:eastAsia="仿宋_GB2312" w:cs="Times New Roman"/>
          <w:color w:val="000000"/>
          <w:kern w:val="0"/>
          <w:sz w:val="32"/>
          <w:szCs w:val="32"/>
          <w:highlight w:val="none"/>
          <w:lang w:val="zh-CN"/>
        </w:rPr>
        <w:t>÷办公设备原值</w:t>
      </w:r>
      <w:r>
        <w:rPr>
          <w:rFonts w:ascii="Times New Roman" w:hAnsi="Times New Roman" w:eastAsia="仿宋_GB2312" w:cs="Times New Roman"/>
          <w:color w:val="000000"/>
          <w:kern w:val="0"/>
          <w:sz w:val="32"/>
          <w:szCs w:val="32"/>
          <w:highlight w:val="none"/>
          <w:lang w:val="en-US" w:eastAsia="zh-CN"/>
        </w:rPr>
        <w:t>88,632.00</w:t>
      </w:r>
      <w:r>
        <w:rPr>
          <w:rFonts w:ascii="Times New Roman" w:hAnsi="Times New Roman" w:eastAsia="仿宋_GB2312" w:cs="Times New Roman"/>
          <w:color w:val="000000"/>
          <w:kern w:val="0"/>
          <w:sz w:val="32"/>
          <w:szCs w:val="32"/>
          <w:highlight w:val="none"/>
          <w:lang w:val="zh-CN"/>
        </w:rPr>
        <w:t>×100%=</w:t>
      </w:r>
      <w:r>
        <w:rPr>
          <w:rFonts w:hint="eastAsia" w:ascii="Times New Roman" w:hAnsi="Times New Roman" w:eastAsia="仿宋_GB2312" w:cs="Times New Roman"/>
          <w:color w:val="000000"/>
          <w:kern w:val="0"/>
          <w:sz w:val="32"/>
          <w:szCs w:val="32"/>
          <w:highlight w:val="none"/>
          <w:lang w:val="zh-CN"/>
        </w:rPr>
        <w:t>58.55</w:t>
      </w:r>
      <w:r>
        <w:rPr>
          <w:rFonts w:ascii="Times New Roman" w:hAnsi="Times New Roman" w:eastAsia="仿宋_GB2312" w:cs="Times New Roman"/>
          <w:color w:val="000000"/>
          <w:kern w:val="0"/>
          <w:sz w:val="32"/>
          <w:szCs w:val="32"/>
          <w:highlight w:val="none"/>
          <w:lang w:val="zh-CN"/>
        </w:rPr>
        <w:t>%。办公设备超最低使用年限资产利用率为</w:t>
      </w:r>
      <w:r>
        <w:rPr>
          <w:rFonts w:hint="eastAsia" w:ascii="Times New Roman" w:hAnsi="Times New Roman" w:eastAsia="仿宋_GB2312" w:cs="Times New Roman"/>
          <w:color w:val="000000"/>
          <w:kern w:val="0"/>
          <w:sz w:val="32"/>
          <w:szCs w:val="32"/>
          <w:highlight w:val="none"/>
          <w:lang w:val="zh-CN"/>
        </w:rPr>
        <w:t>58.55</w:t>
      </w:r>
      <w:r>
        <w:rPr>
          <w:rFonts w:ascii="Times New Roman" w:hAnsi="Times New Roman" w:eastAsia="仿宋_GB2312" w:cs="Times New Roman"/>
          <w:color w:val="000000"/>
          <w:kern w:val="0"/>
          <w:sz w:val="32"/>
          <w:szCs w:val="32"/>
          <w:highlight w:val="none"/>
          <w:lang w:val="zh-CN"/>
        </w:rPr>
        <w:t>%，州直行政事业单位平均值N为</w:t>
      </w:r>
      <w:r>
        <w:rPr>
          <w:rFonts w:hint="eastAsia" w:ascii="Times New Roman" w:hAnsi="Times New Roman" w:eastAsia="仿宋_GB2312" w:cs="Times New Roman"/>
          <w:color w:val="000000"/>
          <w:kern w:val="0"/>
          <w:sz w:val="32"/>
          <w:szCs w:val="32"/>
          <w:highlight w:val="none"/>
          <w:lang w:val="en-US" w:eastAsia="zh-CN"/>
        </w:rPr>
        <w:t>53.14</w:t>
      </w:r>
      <w:r>
        <w:rPr>
          <w:rFonts w:ascii="Times New Roman" w:hAnsi="Times New Roman" w:eastAsia="仿宋_GB2312" w:cs="Times New Roman"/>
          <w:color w:val="000000"/>
          <w:kern w:val="0"/>
          <w:sz w:val="32"/>
          <w:szCs w:val="32"/>
          <w:highlight w:val="none"/>
          <w:lang w:val="zh-CN"/>
        </w:rPr>
        <w:t>%，则：X＞N，得1.5分。总计得分</w:t>
      </w:r>
      <w:r>
        <w:rPr>
          <w:rFonts w:hint="eastAsia" w:ascii="Times New Roman" w:hAnsi="Times New Roman" w:eastAsia="仿宋_GB2312" w:cs="Times New Roman"/>
          <w:color w:val="000000"/>
          <w:kern w:val="0"/>
          <w:sz w:val="32"/>
          <w:szCs w:val="32"/>
          <w:highlight w:val="none"/>
          <w:lang w:val="en-US" w:eastAsia="zh-CN"/>
        </w:rPr>
        <w:t>1.8</w:t>
      </w:r>
      <w:r>
        <w:rPr>
          <w:rFonts w:ascii="Times New Roman" w:hAnsi="Times New Roman" w:eastAsia="仿宋_GB2312" w:cs="Times New Roman"/>
          <w:color w:val="000000"/>
          <w:kern w:val="0"/>
          <w:sz w:val="32"/>
          <w:szCs w:val="32"/>
          <w:highlight w:val="none"/>
          <w:lang w:val="zh-CN"/>
        </w:rPr>
        <w:t>分。</w:t>
      </w:r>
    </w:p>
    <w:p w14:paraId="4676A0A0">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仿宋_GB2312" w:cs="Times New Roman"/>
          <w:color w:val="000000"/>
          <w:kern w:val="0"/>
          <w:sz w:val="32"/>
          <w:szCs w:val="32"/>
          <w:highlight w:val="none"/>
          <w:lang w:val="zh-CN"/>
        </w:rPr>
      </w:pPr>
      <w:r>
        <w:rPr>
          <w:rFonts w:ascii="Times New Roman" w:hAnsi="Times New Roman" w:eastAsia="仿宋_GB2312" w:cs="Times New Roman"/>
          <w:color w:val="000000"/>
          <w:kern w:val="0"/>
          <w:sz w:val="32"/>
          <w:szCs w:val="32"/>
          <w:highlight w:val="none"/>
          <w:lang w:val="zh-CN"/>
        </w:rPr>
        <w:t>（4.3）资产盘活率</w:t>
      </w:r>
    </w:p>
    <w:p w14:paraId="483A87CE">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楷体_GB2312" w:cs="Times New Roman"/>
          <w:color w:val="000000"/>
          <w:kern w:val="0"/>
          <w:sz w:val="32"/>
          <w:szCs w:val="32"/>
          <w:highlight w:val="none"/>
          <w:shd w:val="clear" w:color="auto" w:fill="FFFFFF"/>
          <w:lang w:val="zh-CN"/>
        </w:rPr>
      </w:pPr>
      <w:r>
        <w:rPr>
          <w:rFonts w:ascii="Times New Roman" w:hAnsi="Times New Roman" w:eastAsia="仿宋_GB2312" w:cs="Times New Roman"/>
          <w:color w:val="000000"/>
          <w:kern w:val="0"/>
          <w:sz w:val="32"/>
          <w:szCs w:val="32"/>
          <w:highlight w:val="none"/>
          <w:lang w:val="zh-CN"/>
        </w:rPr>
        <w:t>部门闲置资产占比变化率=(本年闲置资产账面价值÷本年总资产账面价值)÷(上一年度闲置资产账面价值÷上一年度总资产账面价值)×100%，变化率在60%以下的得2.4分，60%-80%的得1.8分，80-100%的得1.2分，100%以上的不得分。两年均无闲置资产或上年度有闲置资产评价年度无闲置资产的，该项指标得3分。</w:t>
      </w:r>
      <w:r>
        <w:rPr>
          <w:rFonts w:ascii="Times New Roman" w:hAnsi="Times New Roman" w:eastAsia="楷体_GB2312" w:cs="Times New Roman"/>
          <w:color w:val="000000"/>
          <w:kern w:val="0"/>
          <w:sz w:val="32"/>
          <w:szCs w:val="32"/>
          <w:highlight w:val="none"/>
          <w:lang w:val="zh-CN"/>
        </w:rPr>
        <w:t>（得分</w:t>
      </w:r>
      <w:r>
        <w:rPr>
          <w:rFonts w:hint="eastAsia" w:ascii="Times New Roman" w:hAnsi="Times New Roman" w:eastAsia="楷体_GB2312" w:cs="Times New Roman"/>
          <w:color w:val="000000"/>
          <w:kern w:val="0"/>
          <w:sz w:val="32"/>
          <w:szCs w:val="32"/>
          <w:highlight w:val="none"/>
          <w:lang w:val="en-US" w:eastAsia="zh-CN"/>
        </w:rPr>
        <w:t>3</w:t>
      </w:r>
      <w:r>
        <w:rPr>
          <w:rFonts w:ascii="Times New Roman" w:hAnsi="Times New Roman" w:eastAsia="楷体_GB2312" w:cs="Times New Roman"/>
          <w:color w:val="000000"/>
          <w:kern w:val="0"/>
          <w:sz w:val="32"/>
          <w:szCs w:val="32"/>
          <w:highlight w:val="none"/>
          <w:lang w:val="zh-CN"/>
        </w:rPr>
        <w:t>）</w:t>
      </w:r>
    </w:p>
    <w:p w14:paraId="18620576">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楷体_GB2312" w:cs="Times New Roman"/>
          <w:color w:val="000000"/>
          <w:kern w:val="0"/>
          <w:sz w:val="32"/>
          <w:szCs w:val="32"/>
          <w:highlight w:val="none"/>
          <w:lang w:val="zh-CN"/>
        </w:rPr>
      </w:pPr>
      <w:r>
        <w:rPr>
          <w:rFonts w:ascii="Times New Roman" w:hAnsi="Times New Roman" w:eastAsia="楷体_GB2312" w:cs="Times New Roman"/>
          <w:color w:val="000000"/>
          <w:kern w:val="0"/>
          <w:sz w:val="32"/>
          <w:szCs w:val="32"/>
          <w:highlight w:val="none"/>
          <w:shd w:val="clear" w:color="auto" w:fill="FFFFFF"/>
        </w:rPr>
        <w:t>5.</w:t>
      </w:r>
      <w:r>
        <w:rPr>
          <w:rFonts w:ascii="Times New Roman" w:hAnsi="Times New Roman" w:eastAsia="楷体_GB2312" w:cs="Times New Roman"/>
          <w:color w:val="000000"/>
          <w:kern w:val="0"/>
          <w:sz w:val="32"/>
          <w:szCs w:val="32"/>
          <w:highlight w:val="none"/>
          <w:shd w:val="clear" w:color="auto" w:fill="FFFFFF"/>
          <w:lang w:val="zh-CN"/>
        </w:rPr>
        <w:t>采购管理</w:t>
      </w:r>
    </w:p>
    <w:p w14:paraId="3C147582">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仿宋_GB2312" w:cs="Times New Roman"/>
          <w:color w:val="000000"/>
          <w:kern w:val="0"/>
          <w:sz w:val="32"/>
          <w:szCs w:val="32"/>
          <w:highlight w:val="none"/>
          <w:lang w:val="zh-CN"/>
        </w:rPr>
      </w:pPr>
      <w:r>
        <w:rPr>
          <w:rFonts w:ascii="Times New Roman" w:hAnsi="Times New Roman" w:eastAsia="仿宋_GB2312" w:cs="Times New Roman"/>
          <w:color w:val="000000"/>
          <w:kern w:val="0"/>
          <w:sz w:val="32"/>
          <w:szCs w:val="32"/>
          <w:highlight w:val="none"/>
          <w:lang w:val="zh-CN"/>
        </w:rPr>
        <w:t>对适宜由中小企业提供的采购项目和采购包，预留采购份额专门面向中小企业采购，并在采购预算中单独列示。</w:t>
      </w:r>
    </w:p>
    <w:p w14:paraId="18FCE680">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楷体_GB2312" w:cs="Times New Roman"/>
          <w:color w:val="000000"/>
          <w:kern w:val="0"/>
          <w:sz w:val="32"/>
          <w:szCs w:val="32"/>
          <w:highlight w:val="none"/>
          <w:shd w:val="clear" w:color="auto" w:fill="FFFFFF"/>
          <w:lang w:val="zh-CN"/>
        </w:rPr>
      </w:pPr>
      <w:r>
        <w:rPr>
          <w:rFonts w:ascii="Times New Roman" w:hAnsi="Times New Roman" w:eastAsia="仿宋_GB2312" w:cs="Times New Roman"/>
          <w:color w:val="000000"/>
          <w:kern w:val="0"/>
          <w:sz w:val="32"/>
          <w:szCs w:val="32"/>
          <w:highlight w:val="none"/>
          <w:lang w:val="zh-CN"/>
        </w:rPr>
        <w:t>采购执行率。</w:t>
      </w:r>
      <w:r>
        <w:rPr>
          <w:rFonts w:ascii="Times New Roman" w:hAnsi="Times New Roman" w:eastAsia="仿宋_GB2312" w:cs="Times New Roman"/>
          <w:color w:val="000000"/>
          <w:kern w:val="0"/>
          <w:sz w:val="32"/>
          <w:szCs w:val="32"/>
          <w:highlight w:val="none"/>
          <w:lang w:val="zh-CN"/>
        </w:rPr>
        <w:t>该项指标得分=当年政府采购实际支付总金额</w:t>
      </w:r>
      <w:r>
        <w:rPr>
          <w:rFonts w:hint="eastAsia" w:ascii="Times New Roman" w:hAnsi="Times New Roman" w:eastAsia="仿宋_GB2312" w:cs="Times New Roman"/>
          <w:color w:val="000000"/>
          <w:kern w:val="0"/>
          <w:sz w:val="32"/>
          <w:szCs w:val="32"/>
          <w:highlight w:val="none"/>
          <w:lang w:val="en-US" w:eastAsia="zh-CN"/>
        </w:rPr>
        <w:t>180.01</w:t>
      </w:r>
      <w:r>
        <w:rPr>
          <w:rFonts w:ascii="Times New Roman" w:hAnsi="Times New Roman" w:eastAsia="仿宋_GB2312" w:cs="Times New Roman"/>
          <w:color w:val="000000"/>
          <w:kern w:val="0"/>
          <w:sz w:val="32"/>
          <w:szCs w:val="32"/>
          <w:highlight w:val="none"/>
          <w:lang w:val="zh-CN"/>
        </w:rPr>
        <w:t>÷（当年政府采购总预算数</w:t>
      </w:r>
      <w:r>
        <w:rPr>
          <w:rFonts w:hint="eastAsia" w:ascii="Times New Roman" w:hAnsi="Times New Roman" w:eastAsia="仿宋_GB2312" w:cs="Times New Roman"/>
          <w:color w:val="000000"/>
          <w:kern w:val="0"/>
          <w:sz w:val="32"/>
          <w:szCs w:val="32"/>
          <w:highlight w:val="none"/>
          <w:lang w:val="en-US" w:eastAsia="zh-CN"/>
        </w:rPr>
        <w:t>206.75</w:t>
      </w:r>
      <w:r>
        <w:rPr>
          <w:rFonts w:ascii="Times New Roman" w:hAnsi="Times New Roman" w:eastAsia="仿宋_GB2312" w:cs="Times New Roman"/>
          <w:color w:val="000000"/>
          <w:kern w:val="0"/>
          <w:sz w:val="32"/>
          <w:szCs w:val="32"/>
          <w:highlight w:val="none"/>
          <w:lang w:val="zh-CN"/>
        </w:rPr>
        <w:t>-当年已完成采购项目节约金额</w:t>
      </w:r>
      <w:r>
        <w:rPr>
          <w:rFonts w:hint="eastAsia" w:ascii="Times New Roman" w:hAnsi="Times New Roman" w:eastAsia="仿宋_GB2312" w:cs="Times New Roman"/>
          <w:color w:val="000000"/>
          <w:kern w:val="0"/>
          <w:sz w:val="32"/>
          <w:szCs w:val="32"/>
          <w:highlight w:val="none"/>
          <w:lang w:val="en-US" w:eastAsia="zh-CN"/>
        </w:rPr>
        <w:t>0.34</w:t>
      </w:r>
      <w:r>
        <w:rPr>
          <w:rFonts w:ascii="Times New Roman" w:hAnsi="Times New Roman" w:eastAsia="仿宋_GB2312" w:cs="Times New Roman"/>
          <w:color w:val="000000"/>
          <w:kern w:val="0"/>
          <w:sz w:val="32"/>
          <w:szCs w:val="32"/>
          <w:highlight w:val="none"/>
          <w:lang w:val="zh-CN"/>
        </w:rPr>
        <w:t>）×100%×3。</w:t>
      </w:r>
      <w:r>
        <w:rPr>
          <w:rFonts w:ascii="Times New Roman" w:hAnsi="Times New Roman" w:eastAsia="楷体_GB2312" w:cs="Times New Roman"/>
          <w:color w:val="000000"/>
          <w:kern w:val="0"/>
          <w:sz w:val="32"/>
          <w:szCs w:val="32"/>
          <w:highlight w:val="none"/>
          <w:lang w:val="zh-CN"/>
        </w:rPr>
        <w:t>（得分6）</w:t>
      </w:r>
    </w:p>
    <w:p w14:paraId="6C92476F">
      <w:pPr>
        <w:widowControl/>
        <w:adjustRightInd w:val="0"/>
        <w:snapToGrid w:val="0"/>
        <w:spacing w:line="578" w:lineRule="exact"/>
        <w:ind w:firstLine="643" w:firstLineChars="200"/>
        <w:contextualSpacing/>
        <w:jc w:val="left"/>
        <w:rPr>
          <w:rFonts w:ascii="Times New Roman" w:hAnsi="Times New Roman" w:eastAsia="仿宋_GB2312" w:cs="Times New Roman"/>
          <w:color w:val="000000"/>
          <w:kern w:val="0"/>
          <w:sz w:val="32"/>
          <w:szCs w:val="32"/>
          <w:highlight w:val="none"/>
          <w:shd w:val="clear" w:color="auto" w:fill="FFFFFF"/>
        </w:rPr>
      </w:pPr>
      <w:r>
        <w:rPr>
          <w:rFonts w:ascii="Times New Roman" w:hAnsi="Times New Roman" w:eastAsia="楷体_GB2312" w:cs="Times New Roman"/>
          <w:b/>
          <w:bCs/>
          <w:color w:val="000000"/>
          <w:kern w:val="0"/>
          <w:sz w:val="32"/>
          <w:szCs w:val="32"/>
          <w:highlight w:val="none"/>
          <w:shd w:val="clear" w:color="auto" w:fill="FFFFFF"/>
          <w:lang w:val="zh-CN"/>
        </w:rPr>
        <w:t>（二）部门预算项目绩效分析。</w:t>
      </w:r>
    </w:p>
    <w:p w14:paraId="5D843747">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仿宋_GB2312" w:cs="Times New Roman"/>
          <w:color w:val="000000"/>
          <w:kern w:val="0"/>
          <w:sz w:val="32"/>
          <w:szCs w:val="32"/>
          <w:highlight w:val="none"/>
          <w:lang w:val="zh-CN"/>
        </w:rPr>
      </w:pPr>
      <w:r>
        <w:rPr>
          <w:rFonts w:ascii="Times New Roman" w:hAnsi="Times New Roman" w:eastAsia="仿宋_GB2312" w:cs="Times New Roman"/>
          <w:color w:val="000000"/>
          <w:kern w:val="0"/>
          <w:sz w:val="32"/>
          <w:szCs w:val="32"/>
          <w:highlight w:val="none"/>
          <w:lang w:val="zh-CN"/>
        </w:rPr>
        <w:t>常年项目绩效分析。该类项目总数</w:t>
      </w:r>
      <w:r>
        <w:rPr>
          <w:rFonts w:hint="eastAsia" w:ascii="Times New Roman" w:hAnsi="Times New Roman" w:eastAsia="仿宋_GB2312" w:cs="Times New Roman"/>
          <w:color w:val="000000"/>
          <w:kern w:val="0"/>
          <w:sz w:val="32"/>
          <w:szCs w:val="32"/>
          <w:highlight w:val="none"/>
          <w:lang w:val="en-US" w:eastAsia="zh-CN"/>
        </w:rPr>
        <w:t>8</w:t>
      </w:r>
      <w:r>
        <w:rPr>
          <w:rFonts w:ascii="Times New Roman" w:hAnsi="Times New Roman" w:eastAsia="仿宋_GB2312" w:cs="Times New Roman"/>
          <w:color w:val="000000"/>
          <w:kern w:val="0"/>
          <w:sz w:val="32"/>
          <w:szCs w:val="32"/>
          <w:highlight w:val="none"/>
          <w:lang w:val="zh-CN"/>
        </w:rPr>
        <w:t>个，涉及预算总金额万</w:t>
      </w:r>
      <w:r>
        <w:rPr>
          <w:rFonts w:hint="eastAsia" w:ascii="Times New Roman" w:hAnsi="Times New Roman" w:eastAsia="仿宋_GB2312" w:cs="Times New Roman"/>
          <w:color w:val="000000"/>
          <w:kern w:val="0"/>
          <w:sz w:val="32"/>
          <w:szCs w:val="32"/>
          <w:highlight w:val="none"/>
          <w:lang w:val="en-US" w:eastAsia="zh-CN"/>
        </w:rPr>
        <w:t>115.32</w:t>
      </w:r>
      <w:r>
        <w:rPr>
          <w:rFonts w:ascii="Times New Roman" w:hAnsi="Times New Roman" w:eastAsia="仿宋_GB2312" w:cs="Times New Roman"/>
          <w:color w:val="000000"/>
          <w:kern w:val="0"/>
          <w:sz w:val="32"/>
          <w:szCs w:val="32"/>
          <w:highlight w:val="none"/>
          <w:lang w:val="zh-CN"/>
        </w:rPr>
        <w:t>元，1</w:t>
      </w:r>
      <w:r>
        <w:rPr>
          <w:rFonts w:hint="eastAsia" w:ascii="Times New Roman" w:hAnsi="Times New Roman" w:eastAsia="仿宋_GB2312" w:cs="Times New Roman"/>
          <w:color w:val="000000"/>
          <w:kern w:val="0"/>
          <w:sz w:val="32"/>
          <w:szCs w:val="32"/>
          <w:highlight w:val="none"/>
          <w:lang w:val="zh-CN"/>
        </w:rPr>
        <w:t>—</w:t>
      </w:r>
      <w:r>
        <w:rPr>
          <w:rFonts w:ascii="Times New Roman" w:hAnsi="Times New Roman" w:eastAsia="仿宋_GB2312" w:cs="Times New Roman"/>
          <w:color w:val="000000"/>
          <w:kern w:val="0"/>
          <w:sz w:val="32"/>
          <w:szCs w:val="32"/>
          <w:highlight w:val="none"/>
          <w:lang w:val="zh-CN"/>
        </w:rPr>
        <w:t>12月预算执行总体进度为</w:t>
      </w:r>
      <w:r>
        <w:rPr>
          <w:rFonts w:hint="eastAsia" w:ascii="Times New Roman" w:hAnsi="Times New Roman" w:eastAsia="仿宋_GB2312" w:cs="Times New Roman"/>
          <w:color w:val="000000"/>
          <w:kern w:val="0"/>
          <w:sz w:val="32"/>
          <w:szCs w:val="32"/>
          <w:highlight w:val="none"/>
          <w:lang w:val="en-US" w:eastAsia="zh-CN"/>
        </w:rPr>
        <w:t>100</w:t>
      </w:r>
      <w:r>
        <w:rPr>
          <w:rFonts w:ascii="Times New Roman" w:hAnsi="Times New Roman" w:eastAsia="仿宋_GB2312" w:cs="Times New Roman"/>
          <w:color w:val="000000"/>
          <w:kern w:val="0"/>
          <w:sz w:val="32"/>
          <w:szCs w:val="32"/>
          <w:highlight w:val="none"/>
          <w:lang w:val="zh-CN"/>
        </w:rPr>
        <w:t>%，其中：预算结余率大于10%的项目共计</w:t>
      </w:r>
      <w:r>
        <w:rPr>
          <w:rFonts w:hint="eastAsia" w:ascii="Times New Roman" w:hAnsi="Times New Roman" w:eastAsia="仿宋_GB2312" w:cs="Times New Roman"/>
          <w:color w:val="000000"/>
          <w:kern w:val="0"/>
          <w:sz w:val="32"/>
          <w:szCs w:val="32"/>
          <w:highlight w:val="none"/>
          <w:lang w:val="en-US" w:eastAsia="zh-CN"/>
        </w:rPr>
        <w:t>0</w:t>
      </w:r>
      <w:r>
        <w:rPr>
          <w:rFonts w:ascii="Times New Roman" w:hAnsi="Times New Roman" w:eastAsia="仿宋_GB2312" w:cs="Times New Roman"/>
          <w:color w:val="000000"/>
          <w:kern w:val="0"/>
          <w:sz w:val="32"/>
          <w:szCs w:val="32"/>
          <w:highlight w:val="none"/>
          <w:lang w:val="zh-CN"/>
        </w:rPr>
        <w:t>个。</w:t>
      </w:r>
    </w:p>
    <w:p w14:paraId="07D01BD3">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仿宋_GB2312" w:cs="Times New Roman"/>
          <w:color w:val="000000"/>
          <w:kern w:val="0"/>
          <w:sz w:val="32"/>
          <w:szCs w:val="32"/>
          <w:highlight w:val="none"/>
          <w:lang w:val="zh-CN"/>
        </w:rPr>
      </w:pPr>
      <w:r>
        <w:rPr>
          <w:rFonts w:ascii="Times New Roman" w:hAnsi="Times New Roman" w:eastAsia="仿宋_GB2312" w:cs="Times New Roman"/>
          <w:color w:val="000000"/>
          <w:kern w:val="0"/>
          <w:sz w:val="32"/>
          <w:szCs w:val="32"/>
          <w:highlight w:val="none"/>
          <w:lang w:val="zh-CN"/>
        </w:rPr>
        <w:t>阶段（</w:t>
      </w:r>
      <w:r>
        <w:rPr>
          <w:rFonts w:hint="eastAsia" w:ascii="Times New Roman" w:hAnsi="Times New Roman" w:eastAsia="仿宋_GB2312" w:cs="Times New Roman"/>
          <w:color w:val="000000"/>
          <w:kern w:val="0"/>
          <w:sz w:val="32"/>
          <w:szCs w:val="32"/>
          <w:highlight w:val="none"/>
          <w:lang w:val="zh-CN"/>
        </w:rPr>
        <w:t>含</w:t>
      </w:r>
      <w:r>
        <w:rPr>
          <w:rFonts w:ascii="Times New Roman" w:hAnsi="Times New Roman" w:eastAsia="仿宋_GB2312" w:cs="Times New Roman"/>
          <w:color w:val="000000"/>
          <w:kern w:val="0"/>
          <w:sz w:val="32"/>
          <w:szCs w:val="32"/>
          <w:highlight w:val="none"/>
          <w:lang w:val="zh-CN"/>
        </w:rPr>
        <w:t>一次性）项目绩效分析。该类项目总数</w:t>
      </w:r>
      <w:r>
        <w:rPr>
          <w:rFonts w:hint="eastAsia" w:ascii="Times New Roman" w:hAnsi="Times New Roman" w:eastAsia="仿宋_GB2312" w:cs="Times New Roman"/>
          <w:color w:val="000000"/>
          <w:kern w:val="0"/>
          <w:sz w:val="32"/>
          <w:szCs w:val="32"/>
          <w:highlight w:val="none"/>
          <w:lang w:val="en-US" w:eastAsia="zh-CN"/>
        </w:rPr>
        <w:t>2</w:t>
      </w:r>
      <w:r>
        <w:rPr>
          <w:rFonts w:ascii="Times New Roman" w:hAnsi="Times New Roman" w:eastAsia="仿宋_GB2312" w:cs="Times New Roman"/>
          <w:color w:val="000000"/>
          <w:kern w:val="0"/>
          <w:sz w:val="32"/>
          <w:szCs w:val="32"/>
          <w:highlight w:val="none"/>
          <w:lang w:val="zh-CN"/>
        </w:rPr>
        <w:t>个，涉及预算总金额</w:t>
      </w:r>
      <w:r>
        <w:rPr>
          <w:rFonts w:hint="eastAsia" w:ascii="Times New Roman" w:hAnsi="Times New Roman" w:eastAsia="仿宋_GB2312" w:cs="Times New Roman"/>
          <w:color w:val="000000"/>
          <w:kern w:val="0"/>
          <w:sz w:val="32"/>
          <w:szCs w:val="32"/>
          <w:highlight w:val="none"/>
          <w:lang w:val="en-US" w:eastAsia="zh-CN"/>
        </w:rPr>
        <w:t>154.4</w:t>
      </w:r>
      <w:r>
        <w:rPr>
          <w:rFonts w:ascii="Times New Roman" w:hAnsi="Times New Roman" w:eastAsia="仿宋_GB2312" w:cs="Times New Roman"/>
          <w:color w:val="000000"/>
          <w:kern w:val="0"/>
          <w:sz w:val="32"/>
          <w:szCs w:val="32"/>
          <w:highlight w:val="none"/>
          <w:lang w:val="zh-CN"/>
        </w:rPr>
        <w:t>万元，1</w:t>
      </w:r>
      <w:r>
        <w:rPr>
          <w:rFonts w:hint="eastAsia" w:ascii="Times New Roman" w:hAnsi="Times New Roman" w:eastAsia="仿宋_GB2312" w:cs="Times New Roman"/>
          <w:color w:val="000000"/>
          <w:kern w:val="0"/>
          <w:sz w:val="32"/>
          <w:szCs w:val="32"/>
          <w:highlight w:val="none"/>
          <w:lang w:val="zh-CN"/>
        </w:rPr>
        <w:t>—</w:t>
      </w:r>
      <w:r>
        <w:rPr>
          <w:rFonts w:ascii="Times New Roman" w:hAnsi="Times New Roman" w:eastAsia="仿宋_GB2312" w:cs="Times New Roman"/>
          <w:color w:val="000000"/>
          <w:kern w:val="0"/>
          <w:sz w:val="32"/>
          <w:szCs w:val="32"/>
          <w:highlight w:val="none"/>
          <w:lang w:val="zh-CN"/>
        </w:rPr>
        <w:t>12月预算执行总体进度为</w:t>
      </w:r>
      <w:r>
        <w:rPr>
          <w:rFonts w:hint="eastAsia" w:ascii="Times New Roman" w:hAnsi="Times New Roman" w:eastAsia="仿宋_GB2312" w:cs="Times New Roman"/>
          <w:color w:val="000000"/>
          <w:kern w:val="0"/>
          <w:sz w:val="32"/>
          <w:szCs w:val="32"/>
          <w:highlight w:val="none"/>
          <w:lang w:val="en-US" w:eastAsia="zh-CN"/>
        </w:rPr>
        <w:t>100</w:t>
      </w:r>
      <w:r>
        <w:rPr>
          <w:rFonts w:ascii="Times New Roman" w:hAnsi="Times New Roman" w:eastAsia="仿宋_GB2312" w:cs="Times New Roman"/>
          <w:color w:val="000000"/>
          <w:kern w:val="0"/>
          <w:sz w:val="32"/>
          <w:szCs w:val="32"/>
          <w:highlight w:val="none"/>
          <w:lang w:val="zh-CN"/>
        </w:rPr>
        <w:t>%，其中：预算结余率大于10%的项目共计</w:t>
      </w:r>
      <w:r>
        <w:rPr>
          <w:rFonts w:hint="eastAsia" w:ascii="Times New Roman" w:hAnsi="Times New Roman" w:eastAsia="仿宋_GB2312" w:cs="Times New Roman"/>
          <w:color w:val="000000"/>
          <w:kern w:val="0"/>
          <w:sz w:val="32"/>
          <w:szCs w:val="32"/>
          <w:highlight w:val="none"/>
          <w:lang w:val="en-US" w:eastAsia="zh-CN"/>
        </w:rPr>
        <w:t>0</w:t>
      </w:r>
      <w:r>
        <w:rPr>
          <w:rFonts w:ascii="Times New Roman" w:hAnsi="Times New Roman" w:eastAsia="仿宋_GB2312" w:cs="Times New Roman"/>
          <w:color w:val="000000"/>
          <w:kern w:val="0"/>
          <w:sz w:val="32"/>
          <w:szCs w:val="32"/>
          <w:highlight w:val="none"/>
          <w:lang w:val="zh-CN"/>
        </w:rPr>
        <w:t>个。</w:t>
      </w:r>
    </w:p>
    <w:p w14:paraId="0F33EDF7">
      <w:pPr>
        <w:snapToGrid w:val="0"/>
        <w:spacing w:line="578" w:lineRule="exact"/>
        <w:ind w:firstLine="640" w:firstLineChars="200"/>
        <w:jc w:val="left"/>
        <w:rPr>
          <w:rFonts w:hint="eastAsia" w:ascii="Times New Roman" w:hAnsi="Times New Roman" w:eastAsia="楷体_GB2312" w:cs="Times New Roman"/>
          <w:color w:val="000000"/>
          <w:kern w:val="0"/>
          <w:sz w:val="32"/>
          <w:szCs w:val="32"/>
          <w:highlight w:val="none"/>
          <w:shd w:val="clear" w:color="auto" w:fill="FFFFFF"/>
        </w:rPr>
      </w:pPr>
      <w:r>
        <w:rPr>
          <w:rFonts w:hint="eastAsia" w:ascii="Times New Roman" w:hAnsi="Times New Roman" w:eastAsia="楷体_GB2312" w:cs="Times New Roman"/>
          <w:color w:val="000000"/>
          <w:kern w:val="0"/>
          <w:sz w:val="32"/>
          <w:szCs w:val="32"/>
          <w:highlight w:val="none"/>
          <w:shd w:val="clear" w:color="auto" w:fill="FFFFFF"/>
        </w:rPr>
        <w:t>1.项目决策。部门预算项目设立按规定履行评估论证、申报程序。部门预算项目绩效目标与计划期内的任务量、预算安排的资金量相对精准匹配，绩效目标设置科学合理、规范完整。部门预算项目在规定时间完成项目入库。（得分12）</w:t>
      </w:r>
    </w:p>
    <w:p w14:paraId="32F41DB7">
      <w:pPr>
        <w:snapToGrid w:val="0"/>
        <w:spacing w:line="578" w:lineRule="exact"/>
        <w:ind w:firstLine="640" w:firstLineChars="200"/>
        <w:jc w:val="left"/>
        <w:rPr>
          <w:rFonts w:hint="eastAsia" w:ascii="Times New Roman" w:hAnsi="Times New Roman" w:eastAsia="楷体_GB2312" w:cs="Times New Roman"/>
          <w:color w:val="000000"/>
          <w:kern w:val="0"/>
          <w:sz w:val="32"/>
          <w:szCs w:val="32"/>
          <w:highlight w:val="none"/>
          <w:shd w:val="clear" w:color="auto" w:fill="FFFFFF"/>
        </w:rPr>
      </w:pPr>
      <w:r>
        <w:rPr>
          <w:rFonts w:hint="eastAsia" w:ascii="Times New Roman" w:hAnsi="Times New Roman" w:eastAsia="楷体_GB2312" w:cs="Times New Roman"/>
          <w:color w:val="000000"/>
          <w:kern w:val="0"/>
          <w:sz w:val="32"/>
          <w:szCs w:val="32"/>
          <w:highlight w:val="none"/>
          <w:shd w:val="clear" w:color="auto" w:fill="FFFFFF"/>
        </w:rPr>
        <w:t>2.项目执行。</w:t>
      </w:r>
    </w:p>
    <w:p w14:paraId="0B0346BD">
      <w:pPr>
        <w:snapToGrid w:val="0"/>
        <w:spacing w:line="578" w:lineRule="exact"/>
        <w:ind w:firstLine="640" w:firstLineChars="200"/>
        <w:jc w:val="left"/>
        <w:rPr>
          <w:rFonts w:hint="eastAsia" w:ascii="Times New Roman" w:hAnsi="Times New Roman" w:eastAsia="楷体_GB2312" w:cs="Times New Roman"/>
          <w:color w:val="000000"/>
          <w:kern w:val="0"/>
          <w:sz w:val="32"/>
          <w:szCs w:val="32"/>
          <w:highlight w:val="none"/>
          <w:shd w:val="clear" w:color="auto" w:fill="FFFFFF"/>
        </w:rPr>
      </w:pPr>
      <w:r>
        <w:rPr>
          <w:rFonts w:hint="eastAsia" w:ascii="Times New Roman" w:hAnsi="Times New Roman" w:eastAsia="楷体_GB2312" w:cs="Times New Roman"/>
          <w:color w:val="000000"/>
          <w:kern w:val="0"/>
          <w:sz w:val="32"/>
          <w:szCs w:val="32"/>
          <w:highlight w:val="none"/>
          <w:shd w:val="clear" w:color="auto" w:fill="FFFFFF"/>
        </w:rPr>
        <w:t>执行同向性高，严格遵循评估论证和申报程序，绩效目标与任务量、资金量精准匹配；项目调整灵活，动态优化资源分配；执行率结果达成预期；资金使用高效，未出现重大偏差。（得分</w:t>
      </w:r>
      <w:r>
        <w:rPr>
          <w:rFonts w:ascii="Times New Roman" w:hAnsi="Times New Roman" w:eastAsia="楷体_GB2312" w:cs="Times New Roman"/>
          <w:color w:val="000000"/>
          <w:kern w:val="0"/>
          <w:sz w:val="32"/>
          <w:szCs w:val="32"/>
          <w:highlight w:val="none"/>
          <w:shd w:val="clear" w:color="auto" w:fill="FFFFFF"/>
          <w:lang w:val="en-US" w:eastAsia="zh-CN"/>
        </w:rPr>
        <w:t>12</w:t>
      </w:r>
      <w:r>
        <w:rPr>
          <w:rFonts w:hint="eastAsia" w:ascii="Times New Roman" w:hAnsi="Times New Roman" w:eastAsia="楷体_GB2312" w:cs="Times New Roman"/>
          <w:color w:val="000000"/>
          <w:kern w:val="0"/>
          <w:sz w:val="32"/>
          <w:szCs w:val="32"/>
          <w:highlight w:val="none"/>
          <w:shd w:val="clear" w:color="auto" w:fill="FFFFFF"/>
        </w:rPr>
        <w:t>）</w:t>
      </w:r>
    </w:p>
    <w:p w14:paraId="6BB868BA">
      <w:pPr>
        <w:snapToGrid w:val="0"/>
        <w:spacing w:line="578" w:lineRule="exact"/>
        <w:ind w:firstLine="640" w:firstLineChars="200"/>
        <w:jc w:val="left"/>
        <w:rPr>
          <w:rFonts w:hint="eastAsia" w:ascii="Times New Roman" w:hAnsi="Times New Roman" w:eastAsia="楷体_GB2312" w:cs="Times New Roman"/>
          <w:color w:val="000000"/>
          <w:kern w:val="0"/>
          <w:sz w:val="32"/>
          <w:szCs w:val="32"/>
          <w:highlight w:val="none"/>
          <w:shd w:val="clear" w:color="auto" w:fill="FFFFFF"/>
        </w:rPr>
      </w:pPr>
      <w:r>
        <w:rPr>
          <w:rFonts w:hint="eastAsia" w:ascii="Times New Roman" w:hAnsi="Times New Roman" w:eastAsia="楷体_GB2312" w:cs="Times New Roman"/>
          <w:color w:val="000000"/>
          <w:kern w:val="0"/>
          <w:sz w:val="32"/>
          <w:szCs w:val="32"/>
          <w:highlight w:val="none"/>
          <w:shd w:val="clear" w:color="auto" w:fill="FFFFFF"/>
        </w:rPr>
        <w:t>3.目标实现。</w:t>
      </w:r>
    </w:p>
    <w:p w14:paraId="48DC8FBE">
      <w:pPr>
        <w:snapToGrid w:val="0"/>
        <w:spacing w:line="578" w:lineRule="exact"/>
        <w:ind w:firstLine="640" w:firstLineChars="200"/>
        <w:jc w:val="left"/>
        <w:rPr>
          <w:rFonts w:hint="eastAsia" w:ascii="Times New Roman" w:hAnsi="Times New Roman" w:eastAsia="楷体_GB2312" w:cs="Times New Roman"/>
          <w:color w:val="000000"/>
          <w:kern w:val="0"/>
          <w:sz w:val="32"/>
          <w:szCs w:val="32"/>
          <w:highlight w:val="none"/>
          <w:shd w:val="clear" w:color="auto" w:fill="FFFFFF"/>
        </w:rPr>
      </w:pPr>
      <w:r>
        <w:rPr>
          <w:rFonts w:hint="eastAsia" w:ascii="Times New Roman" w:hAnsi="Times New Roman" w:eastAsia="楷体_GB2312" w:cs="Times New Roman"/>
          <w:color w:val="000000"/>
          <w:kern w:val="0"/>
          <w:sz w:val="32"/>
          <w:szCs w:val="32"/>
          <w:highlight w:val="none"/>
          <w:shd w:val="clear" w:color="auto" w:fill="FFFFFF"/>
        </w:rPr>
        <w:t>目标完成度高，严格遵循“任务量-资金量”匹配原则，绩效目标科学设定且量化细化，未出现偏高或脱节现象；实现效果显著，资金使用高效，目标达成率超95%。（得分11）</w:t>
      </w:r>
    </w:p>
    <w:p w14:paraId="78D3FA93">
      <w:pPr>
        <w:snapToGrid w:val="0"/>
        <w:spacing w:line="578" w:lineRule="exact"/>
        <w:ind w:firstLine="643" w:firstLineChars="200"/>
        <w:jc w:val="left"/>
        <w:rPr>
          <w:rFonts w:ascii="Times New Roman" w:hAnsi="Times New Roman" w:eastAsia="仿宋_GB2312" w:cs="Times New Roman"/>
          <w:b/>
          <w:color w:val="000000"/>
          <w:kern w:val="0"/>
          <w:sz w:val="32"/>
          <w:szCs w:val="32"/>
          <w:highlight w:val="none"/>
          <w:shd w:val="clear" w:color="auto" w:fill="FFFFFF"/>
          <w:lang w:val="zh-CN"/>
        </w:rPr>
      </w:pPr>
      <w:r>
        <w:rPr>
          <w:rFonts w:ascii="Times New Roman" w:hAnsi="Times New Roman" w:eastAsia="楷体_GB2312" w:cs="Times New Roman"/>
          <w:b/>
          <w:bCs/>
          <w:color w:val="000000"/>
          <w:kern w:val="0"/>
          <w:sz w:val="32"/>
          <w:szCs w:val="32"/>
          <w:highlight w:val="none"/>
          <w:shd w:val="clear" w:color="auto" w:fill="FFFFFF"/>
          <w:lang w:val="zh-CN"/>
        </w:rPr>
        <w:t>（三）</w:t>
      </w:r>
      <w:r>
        <w:rPr>
          <w:rFonts w:ascii="Times New Roman" w:hAnsi="Times New Roman" w:eastAsia="楷体_GB2312" w:cs="Times New Roman"/>
          <w:b/>
          <w:bCs/>
          <w:sz w:val="32"/>
          <w:szCs w:val="32"/>
          <w:highlight w:val="none"/>
          <w:lang w:val="zh-CN"/>
        </w:rPr>
        <w:t>绩效结果应用情况。</w:t>
      </w:r>
      <w:r>
        <w:rPr>
          <w:rFonts w:hint="eastAsia" w:ascii="Times New Roman" w:hAnsi="Times New Roman" w:eastAsia="仿宋_GB2312" w:cs="Times New Roman"/>
          <w:color w:val="000000"/>
          <w:kern w:val="0"/>
          <w:sz w:val="32"/>
          <w:szCs w:val="32"/>
          <w:highlight w:val="none"/>
          <w:shd w:val="clear" w:color="auto" w:fill="FFFFFF"/>
          <w:lang w:val="zh-CN"/>
        </w:rPr>
        <w:t>我委资金支出符合国家财经法规和财务管理制度以及有关项目资金管理办法的规定，资金的拨付有完整的审批过程和手续，项目的支出按规定经过评估论证，支出符合部门预算批复的用途，资金使用无截留、挤占、挪用、虚列支出等情况。</w:t>
      </w:r>
    </w:p>
    <w:p w14:paraId="7475C83A">
      <w:pPr>
        <w:widowControl/>
        <w:adjustRightInd w:val="0"/>
        <w:snapToGrid w:val="0"/>
        <w:spacing w:line="578" w:lineRule="exact"/>
        <w:ind w:firstLine="640" w:firstLineChars="200"/>
        <w:contextualSpacing/>
        <w:jc w:val="left"/>
        <w:rPr>
          <w:rFonts w:ascii="Times New Roman" w:hAnsi="Times New Roman" w:eastAsia="黑体" w:cs="Times New Roman"/>
          <w:color w:val="000000"/>
          <w:kern w:val="0"/>
          <w:sz w:val="32"/>
          <w:szCs w:val="32"/>
          <w:highlight w:val="none"/>
          <w:shd w:val="clear" w:color="auto" w:fill="FFFFFF"/>
        </w:rPr>
      </w:pPr>
      <w:r>
        <w:rPr>
          <w:rFonts w:ascii="Times New Roman" w:hAnsi="Times New Roman" w:eastAsia="黑体" w:cs="Times New Roman"/>
          <w:color w:val="000000"/>
          <w:kern w:val="0"/>
          <w:sz w:val="32"/>
          <w:szCs w:val="32"/>
          <w:highlight w:val="none"/>
          <w:shd w:val="clear" w:color="auto" w:fill="FFFFFF"/>
        </w:rPr>
        <w:t>四、评价结论及建议</w:t>
      </w:r>
    </w:p>
    <w:p w14:paraId="3AEA2419">
      <w:pPr>
        <w:keepNext w:val="0"/>
        <w:keepLines w:val="0"/>
        <w:pageBreakBefore w:val="0"/>
        <w:widowControl/>
        <w:kinsoku/>
        <w:wordWrap/>
        <w:overflowPunct/>
        <w:topLinePunct w:val="0"/>
        <w:autoSpaceDE/>
        <w:autoSpaceDN/>
        <w:bidi w:val="0"/>
        <w:adjustRightInd w:val="0"/>
        <w:snapToGrid w:val="0"/>
        <w:spacing w:line="576" w:lineRule="exact"/>
        <w:ind w:firstLine="643" w:firstLineChars="200"/>
        <w:contextualSpacing/>
        <w:jc w:val="both"/>
        <w:textAlignment w:val="auto"/>
        <w:outlineLvl w:val="9"/>
        <w:rPr>
          <w:rFonts w:ascii="Times New Roman" w:hAnsi="Times New Roman" w:eastAsia="仿宋_GB2312" w:cs="Times New Roman"/>
          <w:i w:val="0"/>
          <w:caps w:val="0"/>
          <w:smallCaps w:val="0"/>
          <w:color w:val="auto"/>
          <w:spacing w:val="0"/>
          <w:kern w:val="0"/>
          <w:sz w:val="32"/>
          <w:szCs w:val="32"/>
          <w:highlight w:val="none"/>
          <w:lang w:val="en-US" w:eastAsia="zh-CN"/>
        </w:rPr>
      </w:pPr>
      <w:r>
        <w:rPr>
          <w:rFonts w:ascii="Times New Roman" w:hAnsi="Times New Roman" w:eastAsia="楷体_GB2312" w:cs="Times New Roman"/>
          <w:b/>
          <w:bCs/>
          <w:color w:val="000000"/>
          <w:kern w:val="0"/>
          <w:sz w:val="32"/>
          <w:szCs w:val="32"/>
          <w:highlight w:val="none"/>
          <w:lang w:val="zh-CN"/>
        </w:rPr>
        <w:t>（一）评价结论。</w:t>
      </w:r>
      <w:r>
        <w:rPr>
          <w:rFonts w:ascii="Times New Roman" w:hAnsi="Times New Roman" w:eastAsia="仿宋_GB2312" w:cs="Times New Roman"/>
          <w:i w:val="0"/>
          <w:caps w:val="0"/>
          <w:smallCaps w:val="0"/>
          <w:color w:val="auto"/>
          <w:spacing w:val="0"/>
          <w:kern w:val="0"/>
          <w:sz w:val="32"/>
          <w:szCs w:val="32"/>
          <w:highlight w:val="none"/>
          <w:lang w:val="en-US" w:eastAsia="zh-CN"/>
        </w:rPr>
        <w:t>20</w:t>
      </w:r>
      <w:r>
        <w:rPr>
          <w:rFonts w:hint="eastAsia" w:ascii="Times New Roman" w:hAnsi="Times New Roman" w:eastAsia="仿宋_GB2312" w:cs="Times New Roman"/>
          <w:i w:val="0"/>
          <w:caps w:val="0"/>
          <w:smallCaps w:val="0"/>
          <w:color w:val="auto"/>
          <w:spacing w:val="0"/>
          <w:kern w:val="0"/>
          <w:sz w:val="32"/>
          <w:szCs w:val="32"/>
          <w:highlight w:val="none"/>
          <w:lang w:val="en-US" w:eastAsia="zh-CN"/>
        </w:rPr>
        <w:t>25</w:t>
      </w:r>
      <w:r>
        <w:rPr>
          <w:rFonts w:ascii="Times New Roman" w:hAnsi="Times New Roman" w:eastAsia="仿宋_GB2312" w:cs="Times New Roman"/>
          <w:i w:val="0"/>
          <w:caps w:val="0"/>
          <w:smallCaps w:val="0"/>
          <w:color w:val="auto"/>
          <w:spacing w:val="0"/>
          <w:kern w:val="0"/>
          <w:sz w:val="32"/>
          <w:szCs w:val="32"/>
          <w:highlight w:val="none"/>
          <w:lang w:val="en-US" w:eastAsia="zh-CN"/>
        </w:rPr>
        <w:t>年部门整体支出绩效评价指标总分值100分，自评92.26分</w:t>
      </w:r>
      <w:r>
        <w:rPr>
          <w:rFonts w:hint="eastAsia" w:ascii="Times New Roman" w:hAnsi="Times New Roman" w:eastAsia="仿宋_GB2312" w:cs="Times New Roman"/>
          <w:i w:val="0"/>
          <w:caps w:val="0"/>
          <w:smallCaps w:val="0"/>
          <w:color w:val="auto"/>
          <w:spacing w:val="0"/>
          <w:kern w:val="0"/>
          <w:sz w:val="32"/>
          <w:szCs w:val="32"/>
          <w:highlight w:val="none"/>
          <w:lang w:val="en-US" w:eastAsia="zh-CN"/>
        </w:rPr>
        <w:t>，无扣分项</w:t>
      </w:r>
      <w:r>
        <w:rPr>
          <w:rFonts w:ascii="Times New Roman" w:hAnsi="Times New Roman" w:eastAsia="仿宋_GB2312" w:cs="Times New Roman"/>
          <w:i w:val="0"/>
          <w:caps w:val="0"/>
          <w:smallCaps w:val="0"/>
          <w:color w:val="auto"/>
          <w:spacing w:val="0"/>
          <w:kern w:val="0"/>
          <w:sz w:val="32"/>
          <w:szCs w:val="32"/>
          <w:highlight w:val="none"/>
          <w:lang w:val="en-US" w:eastAsia="zh-CN"/>
        </w:rPr>
        <w:t>。一是</w:t>
      </w:r>
      <w:r>
        <w:rPr>
          <w:rFonts w:hint="eastAsia" w:ascii="Times New Roman" w:hAnsi="Times New Roman" w:eastAsia="仿宋_GB2312" w:cs="Times New Roman"/>
          <w:i w:val="0"/>
          <w:caps w:val="0"/>
          <w:smallCaps w:val="0"/>
          <w:color w:val="auto"/>
          <w:spacing w:val="0"/>
          <w:kern w:val="0"/>
          <w:sz w:val="32"/>
          <w:szCs w:val="32"/>
          <w:highlight w:val="none"/>
          <w:lang w:val="en-US" w:eastAsia="zh-CN"/>
        </w:rPr>
        <w:t>预算管理模块</w:t>
      </w:r>
      <w:r>
        <w:rPr>
          <w:rFonts w:ascii="Times New Roman" w:hAnsi="Times New Roman" w:eastAsia="仿宋_GB2312" w:cs="Times New Roman"/>
          <w:i w:val="0"/>
          <w:caps w:val="0"/>
          <w:smallCaps w:val="0"/>
          <w:color w:val="auto"/>
          <w:spacing w:val="0"/>
          <w:kern w:val="0"/>
          <w:sz w:val="32"/>
          <w:szCs w:val="32"/>
          <w:highlight w:val="none"/>
          <w:lang w:val="en-US" w:eastAsia="zh-CN"/>
        </w:rPr>
        <w:t>预算编制质量、</w:t>
      </w:r>
      <w:r>
        <w:rPr>
          <w:rFonts w:hint="eastAsia" w:ascii="Times New Roman" w:hAnsi="Times New Roman" w:eastAsia="仿宋_GB2312" w:cs="Times New Roman"/>
          <w:i w:val="0"/>
          <w:caps w:val="0"/>
          <w:smallCaps w:val="0"/>
          <w:color w:val="auto"/>
          <w:spacing w:val="0"/>
          <w:kern w:val="0"/>
          <w:sz w:val="32"/>
          <w:szCs w:val="32"/>
          <w:highlight w:val="none"/>
          <w:lang w:val="en-US" w:eastAsia="zh-CN"/>
        </w:rPr>
        <w:t>支出执行进度、严控一般性支出等方面还需进一步加强，扣</w:t>
      </w:r>
      <w:r>
        <w:rPr>
          <w:rFonts w:ascii="Times New Roman" w:hAnsi="Times New Roman" w:eastAsia="仿宋_GB2312" w:cs="Times New Roman"/>
          <w:i w:val="0"/>
          <w:caps w:val="0"/>
          <w:smallCaps w:val="0"/>
          <w:color w:val="auto"/>
          <w:spacing w:val="0"/>
          <w:kern w:val="0"/>
          <w:sz w:val="32"/>
          <w:szCs w:val="32"/>
          <w:highlight w:val="none"/>
          <w:lang w:val="en-US" w:eastAsia="zh-CN"/>
        </w:rPr>
        <w:t>11.5</w:t>
      </w:r>
      <w:r>
        <w:rPr>
          <w:rFonts w:hint="eastAsia" w:ascii="Times New Roman" w:hAnsi="Times New Roman" w:eastAsia="仿宋_GB2312" w:cs="Times New Roman"/>
          <w:i w:val="0"/>
          <w:caps w:val="0"/>
          <w:smallCaps w:val="0"/>
          <w:color w:val="auto"/>
          <w:spacing w:val="0"/>
          <w:kern w:val="0"/>
          <w:sz w:val="32"/>
          <w:szCs w:val="32"/>
          <w:highlight w:val="none"/>
          <w:lang w:val="en-US" w:eastAsia="zh-CN"/>
        </w:rPr>
        <w:t>分；二是资产管理模块</w:t>
      </w:r>
      <w:r>
        <w:rPr>
          <w:rFonts w:ascii="Times New Roman" w:hAnsi="Times New Roman" w:eastAsia="仿宋_GB2312" w:cs="Times New Roman"/>
          <w:i w:val="0"/>
          <w:caps w:val="0"/>
          <w:smallCaps w:val="0"/>
          <w:color w:val="auto"/>
          <w:spacing w:val="0"/>
          <w:kern w:val="0"/>
          <w:sz w:val="32"/>
          <w:szCs w:val="32"/>
          <w:highlight w:val="none"/>
          <w:lang w:val="en-US" w:eastAsia="zh-CN"/>
        </w:rPr>
        <w:t>部门人均资产变化情况</w:t>
      </w:r>
      <w:r>
        <w:rPr>
          <w:rFonts w:hint="eastAsia" w:ascii="Times New Roman" w:hAnsi="Times New Roman" w:eastAsia="仿宋_GB2312" w:cs="Times New Roman"/>
          <w:i w:val="0"/>
          <w:caps w:val="0"/>
          <w:smallCaps w:val="0"/>
          <w:color w:val="auto"/>
          <w:spacing w:val="0"/>
          <w:kern w:val="0"/>
          <w:sz w:val="32"/>
          <w:szCs w:val="32"/>
          <w:highlight w:val="none"/>
          <w:lang w:val="en-US" w:eastAsia="zh-CN"/>
        </w:rPr>
        <w:t>较低，</w:t>
      </w:r>
      <w:r>
        <w:rPr>
          <w:rFonts w:ascii="Times New Roman" w:hAnsi="Times New Roman" w:eastAsia="仿宋_GB2312" w:cs="Times New Roman"/>
          <w:i w:val="0"/>
          <w:caps w:val="0"/>
          <w:smallCaps w:val="0"/>
          <w:color w:val="auto"/>
          <w:spacing w:val="0"/>
          <w:kern w:val="0"/>
          <w:sz w:val="32"/>
          <w:szCs w:val="32"/>
          <w:highlight w:val="none"/>
          <w:lang w:val="en-US" w:eastAsia="zh-CN"/>
        </w:rPr>
        <w:t>扣0.9分</w:t>
      </w:r>
      <w:r>
        <w:rPr>
          <w:rFonts w:hint="eastAsia" w:ascii="Times New Roman" w:hAnsi="Times New Roman" w:eastAsia="仿宋_GB2312" w:cs="Times New Roman"/>
          <w:i w:val="0"/>
          <w:caps w:val="0"/>
          <w:smallCaps w:val="0"/>
          <w:color w:val="auto"/>
          <w:spacing w:val="0"/>
          <w:kern w:val="0"/>
          <w:sz w:val="32"/>
          <w:szCs w:val="32"/>
          <w:highlight w:val="none"/>
          <w:lang w:val="en-US" w:eastAsia="zh-CN"/>
        </w:rPr>
        <w:t>。</w:t>
      </w:r>
    </w:p>
    <w:p w14:paraId="201C6E5F">
      <w:pPr>
        <w:keepNext w:val="0"/>
        <w:keepLines w:val="0"/>
        <w:pageBreakBefore w:val="0"/>
        <w:widowControl/>
        <w:kinsoku/>
        <w:wordWrap/>
        <w:overflowPunct/>
        <w:topLinePunct w:val="0"/>
        <w:autoSpaceDE/>
        <w:autoSpaceDN/>
        <w:adjustRightInd w:val="0"/>
        <w:snapToGrid w:val="0"/>
        <w:spacing w:line="576" w:lineRule="exact"/>
        <w:ind w:firstLine="643" w:firstLineChars="200"/>
        <w:contextualSpacing/>
        <w:rPr>
          <w:rFonts w:ascii="Times New Roman" w:hAnsi="Times New Roman" w:eastAsia="仿宋_GB2312" w:cs="Times New Roman"/>
          <w:kern w:val="0"/>
          <w:sz w:val="32"/>
          <w:szCs w:val="32"/>
          <w:highlight w:val="none"/>
        </w:rPr>
      </w:pPr>
      <w:r>
        <w:rPr>
          <w:rFonts w:ascii="Times New Roman" w:hAnsi="Times New Roman" w:eastAsia="楷体_GB2312" w:cs="Times New Roman"/>
          <w:b/>
          <w:bCs/>
          <w:color w:val="auto"/>
          <w:kern w:val="0"/>
          <w:sz w:val="32"/>
          <w:szCs w:val="32"/>
          <w:highlight w:val="none"/>
          <w:lang w:val="zh-CN" w:eastAsia="zh-CN"/>
        </w:rPr>
        <w:t>（二）存在问题</w:t>
      </w:r>
      <w:r>
        <w:rPr>
          <w:rFonts w:hint="eastAsia" w:ascii="Times New Roman" w:hAnsi="Times New Roman" w:eastAsia="楷体_GB2312" w:cs="Times New Roman"/>
          <w:b/>
          <w:bCs/>
          <w:color w:val="auto"/>
          <w:kern w:val="0"/>
          <w:sz w:val="32"/>
          <w:szCs w:val="32"/>
          <w:highlight w:val="none"/>
          <w:lang w:val="zh-CN" w:eastAsia="zh-CN"/>
        </w:rPr>
        <w:t>。</w:t>
      </w:r>
      <w:r>
        <w:rPr>
          <w:rFonts w:hint="eastAsia" w:ascii="Times New Roman" w:hAnsi="Times New Roman" w:eastAsia="仿宋_GB2312" w:cs="Times New Roman"/>
          <w:i w:val="0"/>
          <w:caps w:val="0"/>
          <w:smallCaps w:val="0"/>
          <w:color w:val="auto"/>
          <w:spacing w:val="0"/>
          <w:kern w:val="0"/>
          <w:sz w:val="32"/>
          <w:szCs w:val="32"/>
          <w:highlight w:val="none"/>
          <w:lang w:val="en-US" w:eastAsia="zh-CN"/>
        </w:rPr>
        <w:t>我</w:t>
      </w:r>
      <w:r>
        <w:rPr>
          <w:rFonts w:ascii="Times New Roman" w:hAnsi="Times New Roman" w:eastAsia="仿宋_GB2312" w:cs="Times New Roman"/>
          <w:i w:val="0"/>
          <w:caps w:val="0"/>
          <w:smallCaps w:val="0"/>
          <w:color w:val="auto"/>
          <w:spacing w:val="0"/>
          <w:kern w:val="0"/>
          <w:sz w:val="32"/>
          <w:szCs w:val="32"/>
          <w:highlight w:val="none"/>
          <w:lang w:val="en-US" w:eastAsia="zh-CN"/>
        </w:rPr>
        <w:t>委严格按照预算执行进度相关要求，强化责任主体意识，积极采取有效措施，不断优化支出结构，不断提升预算执行管理水平。但预算编制质量、经费支付进度还有待提高，经费支出没严格按照预算目标进行结算。</w:t>
      </w:r>
    </w:p>
    <w:p w14:paraId="12ABF7DC">
      <w:pPr>
        <w:keepNext w:val="0"/>
        <w:keepLines w:val="0"/>
        <w:pageBreakBefore w:val="0"/>
        <w:widowControl/>
        <w:kinsoku/>
        <w:wordWrap/>
        <w:overflowPunct/>
        <w:topLinePunct w:val="0"/>
        <w:autoSpaceDE/>
        <w:autoSpaceDN/>
        <w:bidi w:val="0"/>
        <w:adjustRightInd w:val="0"/>
        <w:snapToGrid w:val="0"/>
        <w:spacing w:line="578" w:lineRule="exact"/>
        <w:ind w:firstLine="635" w:firstLineChars="200"/>
        <w:contextualSpacing/>
        <w:jc w:val="left"/>
        <w:textAlignment w:val="auto"/>
        <w:outlineLvl w:val="9"/>
        <w:rPr>
          <w:rFonts w:hint="eastAsia" w:ascii="Times New Roman" w:hAnsi="Times New Roman" w:eastAsia="仿宋_GB2312" w:cs="Times New Roman"/>
          <w:sz w:val="32"/>
          <w:szCs w:val="32"/>
          <w:highlight w:val="none"/>
          <w:u w:val="none"/>
          <w:lang w:val="en-US" w:eastAsia="zh-CN" w:bidi="ar"/>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r>
        <w:rPr>
          <w:rFonts w:ascii="Times New Roman" w:hAnsi="Times New Roman" w:eastAsia="楷体" w:cs="Times New Roman"/>
          <w:b/>
          <w:color w:val="auto"/>
          <w:spacing w:val="-2"/>
          <w:kern w:val="0"/>
          <w:sz w:val="32"/>
          <w:szCs w:val="32"/>
          <w:highlight w:val="none"/>
        </w:rPr>
        <w:t>（三）改进建议</w:t>
      </w:r>
      <w:r>
        <w:rPr>
          <w:rFonts w:hint="eastAsia" w:ascii="Times New Roman" w:hAnsi="Times New Roman" w:eastAsia="楷体" w:cs="Times New Roman"/>
          <w:b/>
          <w:color w:val="auto"/>
          <w:spacing w:val="-2"/>
          <w:kern w:val="0"/>
          <w:sz w:val="32"/>
          <w:szCs w:val="32"/>
          <w:highlight w:val="none"/>
          <w:lang w:eastAsia="zh-CN"/>
        </w:rPr>
        <w:t>。</w:t>
      </w:r>
      <w:r>
        <w:rPr>
          <w:rFonts w:ascii="Times New Roman" w:hAnsi="Times New Roman" w:eastAsia="仿宋_GB2312" w:cs="Times New Roman"/>
          <w:i w:val="0"/>
          <w:caps w:val="0"/>
          <w:smallCaps w:val="0"/>
          <w:color w:val="auto"/>
          <w:spacing w:val="0"/>
          <w:kern w:val="0"/>
          <w:sz w:val="32"/>
          <w:szCs w:val="32"/>
          <w:highlight w:val="none"/>
          <w:lang w:val="en-US" w:eastAsia="zh-CN"/>
        </w:rPr>
        <w:t>加快支出标准体系建设，加强预算项目管理，进一步细化预算编制工作，认真做好预算编制不断提高预算编制的科学性、严谨性和可控性，推动全过程预算绩效管理提质增效。及时分析单位的项目目标完成情况，对确实在本年度项目实施难度大的情况多沟通、多汇报，在确保资金支出安全有序高效的前提下，正确进行项目的实施，力争完成年度目标任务</w:t>
      </w:r>
      <w:r>
        <w:rPr>
          <w:rFonts w:hint="eastAsia" w:ascii="Times New Roman" w:hAnsi="Times New Roman" w:eastAsia="仿宋_GB2312" w:cs="Times New Roman"/>
          <w:sz w:val="32"/>
          <w:szCs w:val="32"/>
          <w:highlight w:val="none"/>
          <w:u w:val="none"/>
          <w:lang w:val="en-US" w:eastAsia="zh-CN" w:bidi="ar"/>
        </w:rPr>
        <w:t>。</w:t>
      </w:r>
    </w:p>
    <w:bookmarkEnd w:id="65"/>
    <w:p w14:paraId="388ED93E">
      <w:pPr>
        <w:pStyle w:val="9"/>
        <w:keepNext w:val="0"/>
        <w:keepLines w:val="0"/>
        <w:pageBreakBefore w:val="0"/>
        <w:numPr>
          <w:ilvl w:val="0"/>
          <w:numId w:val="0"/>
        </w:numPr>
        <w:kinsoku/>
        <w:wordWrap/>
        <w:overflowPunct/>
        <w:topLinePunct w:val="0"/>
        <w:autoSpaceDE/>
        <w:autoSpaceDN/>
        <w:bidi w:val="0"/>
        <w:spacing w:line="560" w:lineRule="exact"/>
        <w:jc w:val="center"/>
        <w:textAlignment w:val="auto"/>
        <w:rPr>
          <w:rFonts w:hint="eastAsia" w:ascii="Times New Roman" w:hAnsi="Times New Roman" w:cs="Times New Roman"/>
          <w:sz w:val="32"/>
          <w:szCs w:val="32"/>
          <w:highlight w:val="none"/>
          <w:lang w:val="zh-CN" w:eastAsia="zh-CN"/>
        </w:rPr>
      </w:pPr>
      <w:r>
        <w:rPr>
          <w:rFonts w:hint="eastAsia" w:ascii="Times New Roman" w:hAnsi="Times New Roman" w:eastAsia="仿宋_GB2312" w:cs="Times New Roman"/>
          <w:kern w:val="2"/>
          <w:sz w:val="32"/>
          <w:szCs w:val="32"/>
          <w:highlight w:val="none"/>
          <w:u w:val="none"/>
          <w:lang w:val="zh-CN" w:eastAsia="zh-CN" w:bidi="ar"/>
        </w:rPr>
        <w:t>附表：</w:t>
      </w:r>
      <w:r>
        <w:rPr>
          <w:rFonts w:hint="eastAsia" w:ascii="Times New Roman" w:hAnsi="Times New Roman" w:eastAsia="仿宋_GB2312" w:cs="Times New Roman"/>
          <w:kern w:val="2"/>
          <w:sz w:val="32"/>
          <w:szCs w:val="32"/>
          <w:highlight w:val="none"/>
          <w:u w:val="none"/>
          <w:lang w:val="en-US" w:eastAsia="zh-CN" w:bidi="ar"/>
        </w:rPr>
        <w:t>部门预算项目支出绩效自评表（</w:t>
      </w:r>
      <w:r>
        <w:rPr>
          <w:rFonts w:hint="eastAsia" w:ascii="Times New Roman" w:eastAsia="仿宋_GB2312" w:cs="Times New Roman"/>
          <w:kern w:val="2"/>
          <w:sz w:val="32"/>
          <w:szCs w:val="32"/>
          <w:highlight w:val="none"/>
          <w:u w:val="none"/>
          <w:lang w:val="en-US" w:eastAsia="zh-CN" w:bidi="ar"/>
        </w:rPr>
        <w:t>2025</w:t>
      </w:r>
      <w:r>
        <w:rPr>
          <w:rFonts w:hint="eastAsia" w:ascii="Times New Roman" w:hAnsi="Times New Roman" w:eastAsia="仿宋_GB2312" w:cs="Times New Roman"/>
          <w:kern w:val="2"/>
          <w:sz w:val="32"/>
          <w:szCs w:val="32"/>
          <w:highlight w:val="none"/>
          <w:u w:val="none"/>
          <w:lang w:val="en-US" w:eastAsia="zh-CN" w:bidi="ar"/>
        </w:rPr>
        <w:t>年度）</w:t>
      </w:r>
    </w:p>
    <w:tbl>
      <w:tblPr>
        <w:tblW w:w="141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108" w:type="dxa"/>
          <w:bottom w:w="0" w:type="dxa"/>
          <w:right w:w="108" w:type="dxa"/>
        </w:tblCellMar>
      </w:tblPr>
      <w:tblGrid>
        <w:gridCol w:w="686"/>
        <w:gridCol w:w="2009"/>
        <w:gridCol w:w="1736"/>
        <w:gridCol w:w="2218"/>
        <w:gridCol w:w="521"/>
        <w:gridCol w:w="1646"/>
        <w:gridCol w:w="756"/>
        <w:gridCol w:w="1087"/>
        <w:gridCol w:w="509"/>
        <w:gridCol w:w="449"/>
        <w:gridCol w:w="2498"/>
      </w:tblGrid>
      <w:tr w14:paraId="50D3F3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vAlign w:val="center"/>
          </w:tcPr>
          <w:p w14:paraId="54B3BC90">
            <w:pPr>
              <w:keepNext w:val="0"/>
              <w:keepLines w:val="0"/>
              <w:widowControl/>
              <w:suppressLineNumbers w:val="0"/>
              <w:jc w:val="center"/>
              <w:textAlignment w:val="center"/>
              <w:rPr>
                <w:rFonts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bdr w:val="none" w:color="auto" w:sz="0" w:space="0"/>
                <w:lang w:val="en-US" w:eastAsia="zh-CN" w:bidi="ar"/>
              </w:rPr>
              <w:t>部门预算项目支出绩效自评表（2025年度）</w:t>
            </w:r>
          </w:p>
        </w:tc>
      </w:tr>
      <w:tr w14:paraId="1E17B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vAlign w:val="center"/>
          </w:tcPr>
          <w:p w14:paraId="2C1EF4A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vAlign w:val="center"/>
          </w:tcPr>
          <w:p w14:paraId="797FE68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51320021T000000072516-基层团组织建设及“五四”活动</w:t>
            </w:r>
          </w:p>
        </w:tc>
      </w:tr>
      <w:tr w14:paraId="31F29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2"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vAlign w:val="center"/>
          </w:tcPr>
          <w:p w14:paraId="51C957C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主管部门</w:t>
            </w: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3ECDDFE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团州委部门</w:t>
            </w:r>
          </w:p>
        </w:tc>
        <w:tc>
          <w:tcPr>
            <w:tcW w:w="1095" w:type="dxa"/>
            <w:tcBorders>
              <w:top w:val="nil"/>
              <w:left w:val="nil"/>
              <w:bottom w:val="nil"/>
              <w:right w:val="nil"/>
            </w:tcBorders>
            <w:shd w:val="clear"/>
            <w:vAlign w:val="center"/>
          </w:tcPr>
          <w:p w14:paraId="001FDC1B">
            <w:pPr>
              <w:keepNext w:val="0"/>
              <w:keepLines w:val="0"/>
              <w:widowControl/>
              <w:suppressLineNumbers w:val="0"/>
              <w:jc w:val="left"/>
              <w:textAlignment w:val="center"/>
              <w:rPr>
                <w:rFonts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vAlign w:val="center"/>
          </w:tcPr>
          <w:p w14:paraId="3B8F1A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团州委</w:t>
            </w:r>
          </w:p>
        </w:tc>
      </w:tr>
      <w:tr w14:paraId="76927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6B8DC3E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3447D8B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633E321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shd w:val="clear"/>
            <w:vAlign w:val="center"/>
          </w:tcPr>
          <w:p w14:paraId="6A6D11CB">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年度目标完成情况</w:t>
            </w:r>
          </w:p>
        </w:tc>
      </w:tr>
      <w:tr w14:paraId="6B0D0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7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FD74F6B">
            <w:pP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BA21366">
            <w:pPr>
              <w:rPr>
                <w:rFonts w:hint="eastAsia" w:ascii="宋体" w:hAnsi="宋体" w:eastAsia="宋体" w:cs="宋体"/>
                <w:i w:val="0"/>
                <w:iCs w:val="0"/>
                <w:color w:val="000000"/>
                <w:sz w:val="18"/>
                <w:szCs w:val="18"/>
                <w:highlight w:val="none"/>
                <w:u w:val="none"/>
              </w:rPr>
            </w:pP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3B477609">
            <w:pPr>
              <w:keepNext w:val="0"/>
              <w:keepLines w:val="0"/>
              <w:widowControl/>
              <w:suppressLineNumbers w:val="0"/>
              <w:spacing w:after="180" w:afterAutospacing="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以新征程基层建设高质量发展为主线，聚焦增强基层团组织的政治功能、组织功能、服务功能，着力强化政治引领，着力抓牢高校重点，着力巩固建设成果，着力完善基本规范，着力加大样板选树，为动员引领广大团员和青年在强国建设、民族复兴伟业中挺膺担当提供有力基层支撑和组织保证。巩固深化团员和青年主题教育成果，坚持以团支部为主渠道开展组织化学习，加强资源供给，创新方式载体。持续提高团员发展质量，加强入团程序，做好经常性发展团员工作。建立发展团员计划指导机制、入团积极分子动态监管机制、定期交流培训机制，不断提升工作科学化专业化精细化水平。加强和改进团员管理，加强团队队伍建设的理论研究、政策制定，优化“智慧团建”系统功能，提高管理便携性针对性，持续加强团员“学社衔接”何组织关系常态化转接，定期开展主题团日活动。促进团员争先创优，通过组织设岗定责、团员承诺践诺等展现先进性，建立健全团员先锋队、青年突击队等应急动员机制，加强组织化、社会化和网格化动员，确保关键时刻拉起队伍、冲锋在前、为党分忧。大力推动青年之家高质量发展，进一步明确功能定位和建设目标，优化工作机制，打造重点项目，创新生态营造，持续推动青年之家提质增效。深化大学生实践到基层、进社区，以校地组织化结对共建和大学生专业化社区实践为主要方式，组织优秀大学生兼职城乡基层团干部，持续壮大基层工作力量。聚焦团建助力乡村振兴，注重选优配强乡镇、村团组织负责人，培养、遴选一批乡村好青年成为团的工作骨干，做好课程开发和线上资源供给。聚焦团建助力基层治理，加强街道、社区团干部和工作骨干选配，构建“团组织+青年社团+青年社群”组织体系。</w:t>
            </w:r>
          </w:p>
        </w:tc>
        <w:tc>
          <w:tcPr>
            <w:tcW w:w="4605" w:type="dxa"/>
            <w:gridSpan w:val="4"/>
            <w:tcBorders>
              <w:top w:val="single" w:color="000000" w:sz="4" w:space="0"/>
              <w:left w:val="single" w:color="000000" w:sz="4" w:space="0"/>
              <w:bottom w:val="single" w:color="000000" w:sz="4" w:space="0"/>
              <w:right w:val="single" w:color="000000" w:sz="4" w:space="0"/>
            </w:tcBorders>
            <w:shd w:val="clear"/>
            <w:vAlign w:val="center"/>
          </w:tcPr>
          <w:p w14:paraId="712FAB0A">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对照年度目标，说明相关任务目标的完成情况（100字以内）</w:t>
            </w:r>
          </w:p>
        </w:tc>
      </w:tr>
      <w:tr w14:paraId="4CFC4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2916F18">
            <w:pP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78B80DD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vAlign w:val="center"/>
          </w:tcPr>
          <w:p w14:paraId="59B2076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围绕基层团组织建设与 “五四” 主题活动开展工作，按计划推进团员发展、组织化学习、主题团日、青年之家提质、校地共建、团建助力乡村振兴与基层治理等任务，规范入团流程、优化智慧团建系统，落实各项建设举措，全程按年度方案有序实施，确保各项工作落地见效。</w:t>
            </w:r>
          </w:p>
        </w:tc>
      </w:tr>
      <w:tr w14:paraId="1A18A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1F52BA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预算执行情况（10分）</w:t>
            </w: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389426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4BE5B4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年初预算</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051A61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调整后预算数</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0E05E9C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预算执行数</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66BAAE1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1AE98B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37A797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6D1B5A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原因</w:t>
            </w:r>
          </w:p>
        </w:tc>
      </w:tr>
      <w:tr w14:paraId="07E6A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6"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2EC8829">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1C2E89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总额</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4844C1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45FDACF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0EB6C3F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7A9C80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1DFA5A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2F67C8CA">
            <w:pPr>
              <w:jc w:val="center"/>
              <w:rPr>
                <w:rFonts w:hint="eastAsia" w:ascii="宋体" w:hAnsi="宋体" w:eastAsia="宋体" w:cs="宋体"/>
                <w:i w:val="0"/>
                <w:iCs w:val="0"/>
                <w:color w:val="000000"/>
                <w:sz w:val="18"/>
                <w:szCs w:val="18"/>
                <w:highlight w:val="none"/>
                <w:u w:val="none"/>
              </w:rPr>
            </w:pPr>
          </w:p>
        </w:tc>
        <w:tc>
          <w:tcPr>
            <w:tcW w:w="2550" w:type="dxa"/>
            <w:vMerge w:val="restart"/>
            <w:tcBorders>
              <w:top w:val="single" w:color="000000" w:sz="4" w:space="0"/>
              <w:left w:val="single" w:color="000000" w:sz="4" w:space="0"/>
              <w:bottom w:val="single" w:color="000000" w:sz="4" w:space="0"/>
              <w:right w:val="single" w:color="000000" w:sz="4" w:space="0"/>
            </w:tcBorders>
            <w:shd w:val="clear"/>
            <w:vAlign w:val="center"/>
          </w:tcPr>
          <w:p w14:paraId="7E557FED">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A1E1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16862BC">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33E7C76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350726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711608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39157B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687753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0699D15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4DFF00F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6587EA2">
            <w:pPr>
              <w:rPr>
                <w:rFonts w:hint="eastAsia" w:ascii="黑体" w:hAnsi="黑体" w:eastAsia="黑体" w:cs="黑体"/>
                <w:i/>
                <w:iCs/>
                <w:color w:val="000000"/>
                <w:sz w:val="18"/>
                <w:szCs w:val="18"/>
                <w:highlight w:val="none"/>
                <w:u w:val="none"/>
              </w:rPr>
            </w:pPr>
          </w:p>
        </w:tc>
      </w:tr>
      <w:tr w14:paraId="089BF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1EA4CD8">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28D4C8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3E7001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6C8AB7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58D8B5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0A53BEF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5D2780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3AA4D1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34DC609">
            <w:pPr>
              <w:rPr>
                <w:rFonts w:hint="eastAsia" w:ascii="黑体" w:hAnsi="黑体" w:eastAsia="黑体" w:cs="黑体"/>
                <w:i/>
                <w:iCs/>
                <w:color w:val="000000"/>
                <w:sz w:val="18"/>
                <w:szCs w:val="18"/>
                <w:highlight w:val="none"/>
                <w:u w:val="none"/>
              </w:rPr>
            </w:pPr>
          </w:p>
        </w:tc>
      </w:tr>
      <w:tr w14:paraId="42DEB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E1743A1">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55EB07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单位资金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03D4EE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596F986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238E6B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2C6CA7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5BFCBB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0C00B5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A5D88A0">
            <w:pPr>
              <w:rPr>
                <w:rFonts w:hint="eastAsia" w:ascii="黑体" w:hAnsi="黑体" w:eastAsia="黑体" w:cs="黑体"/>
                <w:i/>
                <w:iCs/>
                <w:color w:val="000000"/>
                <w:sz w:val="18"/>
                <w:szCs w:val="18"/>
                <w:highlight w:val="none"/>
                <w:u w:val="none"/>
              </w:rPr>
            </w:pPr>
          </w:p>
        </w:tc>
      </w:tr>
      <w:tr w14:paraId="0396C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D836A59">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20BE97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其他资金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6772E990">
            <w:pPr>
              <w:jc w:val="center"/>
              <w:rPr>
                <w:rFonts w:hint="eastAsia" w:ascii="微软雅黑" w:hAnsi="微软雅黑" w:eastAsia="微软雅黑" w:cs="微软雅黑"/>
                <w:i/>
                <w:iCs/>
                <w:color w:val="000000"/>
                <w:sz w:val="16"/>
                <w:szCs w:val="16"/>
                <w:highlight w:val="none"/>
                <w:u w:val="none"/>
              </w:rPr>
            </w:pP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220E97AF">
            <w:pPr>
              <w:jc w:val="center"/>
              <w:rPr>
                <w:rFonts w:hint="eastAsia" w:ascii="微软雅黑" w:hAnsi="微软雅黑" w:eastAsia="微软雅黑" w:cs="微软雅黑"/>
                <w:i/>
                <w:iCs/>
                <w:color w:val="000000"/>
                <w:sz w:val="16"/>
                <w:szCs w:val="16"/>
                <w:highlight w:val="none"/>
                <w:u w:val="none"/>
              </w:rPr>
            </w:pP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3CEF669B">
            <w:pPr>
              <w:jc w:val="center"/>
              <w:rPr>
                <w:rFonts w:hint="eastAsia" w:ascii="微软雅黑" w:hAnsi="微软雅黑" w:eastAsia="微软雅黑" w:cs="微软雅黑"/>
                <w:i/>
                <w:iCs/>
                <w:color w:val="000000"/>
                <w:sz w:val="16"/>
                <w:szCs w:val="16"/>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1010BEB7">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4DD378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1328F3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296F6EB">
            <w:pPr>
              <w:rPr>
                <w:rFonts w:hint="eastAsia" w:ascii="黑体" w:hAnsi="黑体" w:eastAsia="黑体" w:cs="黑体"/>
                <w:i/>
                <w:iCs/>
                <w:color w:val="000000"/>
                <w:sz w:val="18"/>
                <w:szCs w:val="18"/>
                <w:highlight w:val="none"/>
                <w:u w:val="none"/>
              </w:rPr>
            </w:pPr>
          </w:p>
        </w:tc>
      </w:tr>
      <w:tr w14:paraId="15595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54879F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绩效指标（90分）</w:t>
            </w: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193D135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1B627EC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二级指标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46FDB0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0439C0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指标性质</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1156E8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555F35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度量单位</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20421A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7CC894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6239CE6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2BC0FD9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未完成原因分析</w:t>
            </w:r>
          </w:p>
        </w:tc>
      </w:tr>
      <w:tr w14:paraId="4BBA3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D920519">
            <w:pPr>
              <w:jc w:val="center"/>
              <w:rPr>
                <w:rFonts w:hint="eastAsia" w:ascii="宋体" w:hAnsi="宋体" w:eastAsia="宋体" w:cs="宋体"/>
                <w:i w:val="0"/>
                <w:iCs w:val="0"/>
                <w:color w:val="000000"/>
                <w:sz w:val="18"/>
                <w:szCs w:val="18"/>
                <w:highlight w:val="none"/>
                <w:u w:val="none"/>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1DFA3C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vAlign w:val="center"/>
          </w:tcPr>
          <w:p w14:paraId="4BA394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数量指标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682DB4A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发展新团员数量</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5AFED56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1B69FBC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1ABB37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人</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33A34300">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C4A36F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6A1FAB86">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1118EA62">
            <w:pPr>
              <w:jc w:val="center"/>
              <w:rPr>
                <w:rFonts w:hint="eastAsia" w:ascii="微软雅黑" w:hAnsi="微软雅黑" w:eastAsia="微软雅黑" w:cs="微软雅黑"/>
                <w:i/>
                <w:iCs/>
                <w:color w:val="000000"/>
                <w:sz w:val="16"/>
                <w:szCs w:val="16"/>
                <w:highlight w:val="none"/>
                <w:u w:val="none"/>
              </w:rPr>
            </w:pPr>
          </w:p>
        </w:tc>
      </w:tr>
      <w:tr w14:paraId="7D7E9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E7568A5">
            <w:pPr>
              <w:jc w:val="cente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595252B">
            <w:pPr>
              <w:jc w:val="center"/>
              <w:rPr>
                <w:rFonts w:hint="eastAsia" w:ascii="宋体" w:hAnsi="宋体" w:eastAsia="宋体" w:cs="宋体"/>
                <w:i w:val="0"/>
                <w:iCs w:val="0"/>
                <w:color w:val="000000"/>
                <w:sz w:val="18"/>
                <w:szCs w:val="18"/>
                <w:highlight w:val="none"/>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D183E05">
            <w:pPr>
              <w:jc w:val="center"/>
              <w:rPr>
                <w:rFonts w:hint="eastAsia" w:ascii="宋体" w:hAnsi="宋体" w:eastAsia="宋体" w:cs="宋体"/>
                <w:i w:val="0"/>
                <w:iCs w:val="0"/>
                <w:color w:val="000000"/>
                <w:sz w:val="18"/>
                <w:szCs w:val="18"/>
                <w:highlight w:val="none"/>
                <w:u w:val="none"/>
              </w:rPr>
            </w:pP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7F6E90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增强党建带团建主题活动次数</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3FC449C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47B4F2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00BDFC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次</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0FF8C8DD">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1177C42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65C54AAE">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7F63570C">
            <w:pPr>
              <w:jc w:val="center"/>
              <w:rPr>
                <w:rFonts w:hint="eastAsia" w:ascii="微软雅黑" w:hAnsi="微软雅黑" w:eastAsia="微软雅黑" w:cs="微软雅黑"/>
                <w:i/>
                <w:iCs/>
                <w:color w:val="000000"/>
                <w:sz w:val="16"/>
                <w:szCs w:val="16"/>
                <w:highlight w:val="none"/>
                <w:u w:val="none"/>
              </w:rPr>
            </w:pPr>
          </w:p>
        </w:tc>
      </w:tr>
      <w:tr w14:paraId="7B48A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4F8A1E6">
            <w:pPr>
              <w:jc w:val="cente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0112F0E">
            <w:pPr>
              <w:jc w:val="center"/>
              <w:rPr>
                <w:rFonts w:hint="eastAsia" w:ascii="宋体" w:hAnsi="宋体" w:eastAsia="宋体" w:cs="宋体"/>
                <w:i w:val="0"/>
                <w:iCs w:val="0"/>
                <w:color w:val="000000"/>
                <w:sz w:val="18"/>
                <w:szCs w:val="18"/>
                <w:highlight w:val="none"/>
                <w:u w:val="none"/>
              </w:rPr>
            </w:pP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4D72A3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质量指标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4C428B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团员电子档案准确率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122253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0DAB3A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95</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2DB2153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50536579">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7899B08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1A8EE277">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1FD9DFF0">
            <w:pPr>
              <w:jc w:val="center"/>
              <w:rPr>
                <w:rFonts w:hint="eastAsia" w:ascii="微软雅黑" w:hAnsi="微软雅黑" w:eastAsia="微软雅黑" w:cs="微软雅黑"/>
                <w:i/>
                <w:iCs/>
                <w:color w:val="000000"/>
                <w:sz w:val="16"/>
                <w:szCs w:val="16"/>
                <w:highlight w:val="none"/>
                <w:u w:val="none"/>
              </w:rPr>
            </w:pPr>
          </w:p>
        </w:tc>
      </w:tr>
      <w:tr w14:paraId="699F1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26B4752">
            <w:pPr>
              <w:jc w:val="cente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843C27C">
            <w:pPr>
              <w:jc w:val="center"/>
              <w:rPr>
                <w:rFonts w:hint="eastAsia" w:ascii="宋体" w:hAnsi="宋体" w:eastAsia="宋体" w:cs="宋体"/>
                <w:i w:val="0"/>
                <w:iCs w:val="0"/>
                <w:color w:val="000000"/>
                <w:sz w:val="18"/>
                <w:szCs w:val="18"/>
                <w:highlight w:val="none"/>
                <w:u w:val="none"/>
              </w:rPr>
            </w:pP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565D50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时效指标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7090A8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主题活动按时完成率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6CCADA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4E31488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95</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62A860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36969BD8">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6A855B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0557FDAA">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6888B10A">
            <w:pPr>
              <w:jc w:val="center"/>
              <w:rPr>
                <w:rFonts w:hint="eastAsia" w:ascii="微软雅黑" w:hAnsi="微软雅黑" w:eastAsia="微软雅黑" w:cs="微软雅黑"/>
                <w:i/>
                <w:iCs/>
                <w:color w:val="000000"/>
                <w:sz w:val="16"/>
                <w:szCs w:val="16"/>
                <w:highlight w:val="none"/>
                <w:u w:val="none"/>
              </w:rPr>
            </w:pPr>
          </w:p>
        </w:tc>
      </w:tr>
      <w:tr w14:paraId="5135A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42D6C05">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52A8DF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效益指标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66738F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5247907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团组织标准化建设情况</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56F907B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定性</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78E499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建设良好</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426A14FE">
            <w:pPr>
              <w:jc w:val="center"/>
              <w:rPr>
                <w:rFonts w:hint="eastAsia" w:ascii="宋体" w:hAnsi="宋体" w:eastAsia="宋体" w:cs="宋体"/>
                <w:i w:val="0"/>
                <w:iCs w:val="0"/>
                <w:color w:val="000000"/>
                <w:sz w:val="18"/>
                <w:szCs w:val="18"/>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09150F99">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383C4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781FE6A2">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1CCC936A">
            <w:pPr>
              <w:jc w:val="center"/>
              <w:rPr>
                <w:rFonts w:hint="eastAsia" w:ascii="微软雅黑" w:hAnsi="微软雅黑" w:eastAsia="微软雅黑" w:cs="微软雅黑"/>
                <w:i/>
                <w:iCs/>
                <w:color w:val="000000"/>
                <w:sz w:val="16"/>
                <w:szCs w:val="16"/>
                <w:highlight w:val="none"/>
                <w:u w:val="none"/>
              </w:rPr>
            </w:pPr>
          </w:p>
        </w:tc>
      </w:tr>
      <w:tr w14:paraId="26309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317CA75">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5DBAA5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满意度指标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4FF71D6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262DEB1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参加人员满意度</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2E4CE21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6A96876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95</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17D21D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45B508EB">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52E9A0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2CE84BD7">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240C9C44">
            <w:pPr>
              <w:jc w:val="center"/>
              <w:rPr>
                <w:rFonts w:hint="eastAsia" w:ascii="微软雅黑" w:hAnsi="微软雅黑" w:eastAsia="微软雅黑" w:cs="微软雅黑"/>
                <w:i/>
                <w:iCs/>
                <w:color w:val="000000"/>
                <w:sz w:val="16"/>
                <w:szCs w:val="16"/>
                <w:highlight w:val="none"/>
                <w:u w:val="none"/>
              </w:rPr>
            </w:pPr>
          </w:p>
        </w:tc>
      </w:tr>
      <w:tr w14:paraId="73156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EF9DEDA">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7E3F5C6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成本指标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712F43F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0494FC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成本控制率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5247A5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7C6BF3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95</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3ED4B2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0A8DB98B">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1FB177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392405A8">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72545E0F">
            <w:pPr>
              <w:jc w:val="center"/>
              <w:rPr>
                <w:rFonts w:hint="eastAsia" w:ascii="微软雅黑" w:hAnsi="微软雅黑" w:eastAsia="微软雅黑" w:cs="微软雅黑"/>
                <w:i/>
                <w:iCs/>
                <w:color w:val="000000"/>
                <w:sz w:val="16"/>
                <w:szCs w:val="16"/>
                <w:highlight w:val="none"/>
                <w:u w:val="none"/>
              </w:rPr>
            </w:pPr>
          </w:p>
        </w:tc>
      </w:tr>
      <w:tr w14:paraId="72124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05" w:type="dxa"/>
            <w:gridSpan w:val="8"/>
            <w:tcBorders>
              <w:top w:val="single" w:color="000000" w:sz="4" w:space="0"/>
              <w:left w:val="single" w:color="000000" w:sz="4" w:space="0"/>
              <w:bottom w:val="single" w:color="000000" w:sz="4" w:space="0"/>
              <w:right w:val="single" w:color="000000" w:sz="4" w:space="0"/>
            </w:tcBorders>
            <w:shd w:val="clear"/>
            <w:vAlign w:val="center"/>
          </w:tcPr>
          <w:p w14:paraId="29C79A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0A9224F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72037CA4">
            <w:pP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4753145C">
            <w:pPr>
              <w:rPr>
                <w:rFonts w:hint="eastAsia" w:ascii="宋体" w:hAnsi="宋体" w:eastAsia="宋体" w:cs="宋体"/>
                <w:i w:val="0"/>
                <w:iCs w:val="0"/>
                <w:color w:val="000000"/>
                <w:sz w:val="18"/>
                <w:szCs w:val="18"/>
                <w:highlight w:val="none"/>
                <w:u w:val="none"/>
              </w:rPr>
            </w:pPr>
          </w:p>
        </w:tc>
      </w:tr>
      <w:tr w14:paraId="3E759D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147EA0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评价结论</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12634E77">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自评总分 100 分。预算执行率 100%，各项绩效指标均达标。完成新团员发展、主题活动开展、档案管理等任务，基层团组织政治、组织、服务功能持续增强，青年引领与组织建设成效显著，服务对象满意度达标。</w:t>
            </w:r>
          </w:p>
        </w:tc>
      </w:tr>
      <w:tr w14:paraId="7D7A8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7DC031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存在问题</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6BAD0CA4">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部分基层团组织活动形式创新不足，青年参与积极性不均衡；偏远地区团组织资源供给不足，工作开展力度有待加强。</w:t>
            </w:r>
          </w:p>
        </w:tc>
      </w:tr>
      <w:tr w14:paraId="6B1BB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553B06E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改进措施</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3336347C">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丰富活动载体，打造特色青年活动；加大偏远地区资源倾斜，常态化开展基层指导；优化智慧团建系统，提升管理效率。</w:t>
            </w:r>
          </w:p>
        </w:tc>
      </w:tr>
      <w:tr w14:paraId="18A40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7305" w:type="dxa"/>
            <w:gridSpan w:val="5"/>
            <w:tcBorders>
              <w:top w:val="single" w:color="000000" w:sz="4" w:space="0"/>
              <w:left w:val="single" w:color="000000" w:sz="4" w:space="0"/>
              <w:bottom w:val="single" w:color="000000" w:sz="4" w:space="0"/>
              <w:right w:val="single" w:color="000000" w:sz="4" w:space="0"/>
            </w:tcBorders>
            <w:shd w:val="clear"/>
            <w:vAlign w:val="center"/>
          </w:tcPr>
          <w:p w14:paraId="121232A6">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项目负责人：李韦薇</w:t>
            </w:r>
          </w:p>
        </w:tc>
        <w:tc>
          <w:tcPr>
            <w:tcW w:w="6810" w:type="dxa"/>
            <w:gridSpan w:val="6"/>
            <w:tcBorders>
              <w:top w:val="single" w:color="000000" w:sz="4" w:space="0"/>
              <w:left w:val="single" w:color="000000" w:sz="4" w:space="0"/>
              <w:bottom w:val="single" w:color="000000" w:sz="4" w:space="0"/>
              <w:right w:val="single" w:color="000000" w:sz="4" w:space="0"/>
            </w:tcBorders>
            <w:shd w:val="clear"/>
            <w:vAlign w:val="center"/>
          </w:tcPr>
          <w:p w14:paraId="69AE497F">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财务负责人：杨嘉奇</w:t>
            </w:r>
          </w:p>
        </w:tc>
      </w:tr>
      <w:tr w14:paraId="2718B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0" w:type="dxa"/>
            <w:tcBorders>
              <w:top w:val="nil"/>
              <w:left w:val="nil"/>
              <w:bottom w:val="nil"/>
              <w:right w:val="nil"/>
            </w:tcBorders>
            <w:shd w:val="clear"/>
            <w:vAlign w:val="center"/>
          </w:tcPr>
          <w:p w14:paraId="69F12F2C">
            <w:pPr>
              <w:rPr>
                <w:rFonts w:hint="eastAsia" w:ascii="宋体" w:hAnsi="宋体" w:eastAsia="宋体" w:cs="宋体"/>
                <w:i w:val="0"/>
                <w:iCs w:val="0"/>
                <w:color w:val="000000"/>
                <w:sz w:val="18"/>
                <w:szCs w:val="18"/>
                <w:highlight w:val="none"/>
                <w:u w:val="none"/>
              </w:rPr>
            </w:pPr>
          </w:p>
        </w:tc>
        <w:tc>
          <w:tcPr>
            <w:tcW w:w="2055" w:type="dxa"/>
            <w:tcBorders>
              <w:top w:val="nil"/>
              <w:left w:val="nil"/>
              <w:bottom w:val="nil"/>
              <w:right w:val="nil"/>
            </w:tcBorders>
            <w:shd w:val="clear"/>
            <w:vAlign w:val="center"/>
          </w:tcPr>
          <w:p w14:paraId="64CF2DDF">
            <w:pPr>
              <w:rPr>
                <w:rFonts w:hint="eastAsia" w:ascii="宋体" w:hAnsi="宋体" w:eastAsia="宋体" w:cs="宋体"/>
                <w:i w:val="0"/>
                <w:iCs w:val="0"/>
                <w:color w:val="000000"/>
                <w:sz w:val="18"/>
                <w:szCs w:val="18"/>
                <w:highlight w:val="none"/>
                <w:u w:val="none"/>
              </w:rPr>
            </w:pPr>
          </w:p>
        </w:tc>
        <w:tc>
          <w:tcPr>
            <w:tcW w:w="1770" w:type="dxa"/>
            <w:tcBorders>
              <w:top w:val="nil"/>
              <w:left w:val="nil"/>
              <w:bottom w:val="nil"/>
              <w:right w:val="nil"/>
            </w:tcBorders>
            <w:shd w:val="clear"/>
            <w:vAlign w:val="center"/>
          </w:tcPr>
          <w:p w14:paraId="5F7C8E86">
            <w:pPr>
              <w:rPr>
                <w:rFonts w:hint="eastAsia" w:ascii="宋体" w:hAnsi="宋体" w:eastAsia="宋体" w:cs="宋体"/>
                <w:i w:val="0"/>
                <w:iCs w:val="0"/>
                <w:color w:val="000000"/>
                <w:sz w:val="18"/>
                <w:szCs w:val="18"/>
                <w:highlight w:val="none"/>
                <w:u w:val="none"/>
              </w:rPr>
            </w:pPr>
          </w:p>
          <w:p w14:paraId="11B17C88">
            <w:pPr>
              <w:rPr>
                <w:rFonts w:hint="eastAsia" w:ascii="宋体" w:hAnsi="宋体" w:eastAsia="宋体" w:cs="宋体"/>
                <w:i w:val="0"/>
                <w:iCs w:val="0"/>
                <w:color w:val="000000"/>
                <w:sz w:val="18"/>
                <w:szCs w:val="18"/>
                <w:highlight w:val="none"/>
                <w:u w:val="none"/>
              </w:rPr>
            </w:pPr>
          </w:p>
          <w:p w14:paraId="71934F51">
            <w:pPr>
              <w:rPr>
                <w:rFonts w:hint="eastAsia" w:ascii="宋体" w:hAnsi="宋体" w:eastAsia="宋体" w:cs="宋体"/>
                <w:i w:val="0"/>
                <w:iCs w:val="0"/>
                <w:color w:val="000000"/>
                <w:sz w:val="18"/>
                <w:szCs w:val="18"/>
                <w:highlight w:val="none"/>
                <w:u w:val="none"/>
              </w:rPr>
            </w:pPr>
          </w:p>
          <w:p w14:paraId="1FE3F00E">
            <w:pPr>
              <w:rPr>
                <w:rFonts w:hint="eastAsia" w:ascii="宋体" w:hAnsi="宋体" w:eastAsia="宋体" w:cs="宋体"/>
                <w:i w:val="0"/>
                <w:iCs w:val="0"/>
                <w:color w:val="000000"/>
                <w:sz w:val="18"/>
                <w:szCs w:val="18"/>
                <w:highlight w:val="none"/>
                <w:u w:val="none"/>
              </w:rPr>
            </w:pPr>
          </w:p>
          <w:p w14:paraId="0DFE8994">
            <w:pPr>
              <w:rPr>
                <w:rFonts w:hint="eastAsia" w:ascii="宋体" w:hAnsi="宋体" w:eastAsia="宋体" w:cs="宋体"/>
                <w:i w:val="0"/>
                <w:iCs w:val="0"/>
                <w:color w:val="000000"/>
                <w:sz w:val="18"/>
                <w:szCs w:val="18"/>
                <w:highlight w:val="none"/>
                <w:u w:val="none"/>
              </w:rPr>
            </w:pPr>
          </w:p>
          <w:p w14:paraId="194F626E">
            <w:pPr>
              <w:rPr>
                <w:rFonts w:hint="eastAsia" w:ascii="宋体" w:hAnsi="宋体" w:eastAsia="宋体" w:cs="宋体"/>
                <w:i w:val="0"/>
                <w:iCs w:val="0"/>
                <w:color w:val="000000"/>
                <w:sz w:val="18"/>
                <w:szCs w:val="18"/>
                <w:highlight w:val="none"/>
                <w:u w:val="none"/>
              </w:rPr>
            </w:pPr>
          </w:p>
          <w:p w14:paraId="39FBFB64">
            <w:pPr>
              <w:rPr>
                <w:rFonts w:hint="eastAsia" w:ascii="宋体" w:hAnsi="宋体" w:eastAsia="宋体" w:cs="宋体"/>
                <w:i w:val="0"/>
                <w:iCs w:val="0"/>
                <w:color w:val="000000"/>
                <w:sz w:val="18"/>
                <w:szCs w:val="18"/>
                <w:highlight w:val="none"/>
                <w:u w:val="none"/>
              </w:rPr>
            </w:pPr>
          </w:p>
          <w:p w14:paraId="3BD66395">
            <w:pPr>
              <w:rPr>
                <w:rFonts w:hint="eastAsia" w:ascii="宋体" w:hAnsi="宋体" w:eastAsia="宋体" w:cs="宋体"/>
                <w:i w:val="0"/>
                <w:iCs w:val="0"/>
                <w:color w:val="000000"/>
                <w:sz w:val="18"/>
                <w:szCs w:val="18"/>
                <w:highlight w:val="none"/>
                <w:u w:val="none"/>
              </w:rPr>
            </w:pPr>
          </w:p>
          <w:p w14:paraId="0F2AD124">
            <w:pPr>
              <w:rPr>
                <w:rFonts w:hint="eastAsia" w:ascii="宋体" w:hAnsi="宋体" w:eastAsia="宋体" w:cs="宋体"/>
                <w:i w:val="0"/>
                <w:iCs w:val="0"/>
                <w:color w:val="000000"/>
                <w:sz w:val="18"/>
                <w:szCs w:val="18"/>
                <w:highlight w:val="none"/>
                <w:u w:val="none"/>
              </w:rPr>
            </w:pPr>
          </w:p>
          <w:p w14:paraId="7BFA27B6">
            <w:pPr>
              <w:rPr>
                <w:rFonts w:hint="eastAsia" w:ascii="宋体" w:hAnsi="宋体" w:eastAsia="宋体" w:cs="宋体"/>
                <w:i w:val="0"/>
                <w:iCs w:val="0"/>
                <w:color w:val="000000"/>
                <w:sz w:val="18"/>
                <w:szCs w:val="18"/>
                <w:highlight w:val="none"/>
                <w:u w:val="none"/>
              </w:rPr>
            </w:pPr>
          </w:p>
          <w:p w14:paraId="661B82A3">
            <w:pPr>
              <w:rPr>
                <w:rFonts w:hint="eastAsia" w:ascii="宋体" w:hAnsi="宋体" w:eastAsia="宋体" w:cs="宋体"/>
                <w:i w:val="0"/>
                <w:iCs w:val="0"/>
                <w:color w:val="000000"/>
                <w:sz w:val="18"/>
                <w:szCs w:val="18"/>
                <w:highlight w:val="none"/>
                <w:u w:val="none"/>
              </w:rPr>
            </w:pPr>
          </w:p>
          <w:p w14:paraId="2951E35B">
            <w:pPr>
              <w:rPr>
                <w:rFonts w:hint="eastAsia" w:ascii="宋体" w:hAnsi="宋体" w:eastAsia="宋体" w:cs="宋体"/>
                <w:i w:val="0"/>
                <w:iCs w:val="0"/>
                <w:color w:val="000000"/>
                <w:sz w:val="18"/>
                <w:szCs w:val="18"/>
                <w:highlight w:val="none"/>
                <w:u w:val="none"/>
              </w:rPr>
            </w:pPr>
          </w:p>
          <w:p w14:paraId="16681A0E">
            <w:pPr>
              <w:rPr>
                <w:rFonts w:hint="eastAsia" w:ascii="宋体" w:hAnsi="宋体" w:eastAsia="宋体" w:cs="宋体"/>
                <w:i w:val="0"/>
                <w:iCs w:val="0"/>
                <w:color w:val="000000"/>
                <w:sz w:val="18"/>
                <w:szCs w:val="18"/>
                <w:highlight w:val="none"/>
                <w:u w:val="none"/>
              </w:rPr>
            </w:pPr>
          </w:p>
          <w:p w14:paraId="00AD34D8">
            <w:pPr>
              <w:rPr>
                <w:rFonts w:hint="eastAsia" w:ascii="宋体" w:hAnsi="宋体" w:eastAsia="宋体" w:cs="宋体"/>
                <w:i w:val="0"/>
                <w:iCs w:val="0"/>
                <w:color w:val="000000"/>
                <w:sz w:val="18"/>
                <w:szCs w:val="18"/>
                <w:highlight w:val="none"/>
                <w:u w:val="none"/>
              </w:rPr>
            </w:pPr>
          </w:p>
          <w:p w14:paraId="41BA7138">
            <w:pPr>
              <w:rPr>
                <w:rFonts w:hint="eastAsia" w:ascii="宋体" w:hAnsi="宋体" w:eastAsia="宋体" w:cs="宋体"/>
                <w:i w:val="0"/>
                <w:iCs w:val="0"/>
                <w:color w:val="000000"/>
                <w:sz w:val="18"/>
                <w:szCs w:val="18"/>
                <w:highlight w:val="none"/>
                <w:u w:val="none"/>
              </w:rPr>
            </w:pPr>
          </w:p>
          <w:p w14:paraId="376C04A1">
            <w:pPr>
              <w:rPr>
                <w:rFonts w:hint="eastAsia" w:ascii="宋体" w:hAnsi="宋体" w:eastAsia="宋体" w:cs="宋体"/>
                <w:i w:val="0"/>
                <w:iCs w:val="0"/>
                <w:color w:val="000000"/>
                <w:sz w:val="18"/>
                <w:szCs w:val="18"/>
                <w:highlight w:val="none"/>
                <w:u w:val="none"/>
              </w:rPr>
            </w:pPr>
          </w:p>
          <w:p w14:paraId="79928EE1">
            <w:pPr>
              <w:rPr>
                <w:rFonts w:hint="eastAsia" w:ascii="宋体" w:hAnsi="宋体" w:eastAsia="宋体" w:cs="宋体"/>
                <w:i w:val="0"/>
                <w:iCs w:val="0"/>
                <w:color w:val="000000"/>
                <w:sz w:val="18"/>
                <w:szCs w:val="18"/>
                <w:highlight w:val="none"/>
                <w:u w:val="none"/>
              </w:rPr>
            </w:pPr>
          </w:p>
          <w:p w14:paraId="17DF4340">
            <w:pPr>
              <w:rPr>
                <w:rFonts w:hint="eastAsia" w:ascii="宋体" w:hAnsi="宋体" w:eastAsia="宋体" w:cs="宋体"/>
                <w:i w:val="0"/>
                <w:iCs w:val="0"/>
                <w:color w:val="000000"/>
                <w:sz w:val="18"/>
                <w:szCs w:val="18"/>
                <w:highlight w:val="none"/>
                <w:u w:val="none"/>
              </w:rPr>
            </w:pPr>
          </w:p>
          <w:p w14:paraId="494BEE4E">
            <w:pPr>
              <w:rPr>
                <w:rFonts w:hint="eastAsia" w:ascii="宋体" w:hAnsi="宋体" w:eastAsia="宋体" w:cs="宋体"/>
                <w:i w:val="0"/>
                <w:iCs w:val="0"/>
                <w:color w:val="000000"/>
                <w:sz w:val="18"/>
                <w:szCs w:val="18"/>
                <w:highlight w:val="none"/>
                <w:u w:val="none"/>
              </w:rPr>
            </w:pPr>
          </w:p>
          <w:p w14:paraId="42369969">
            <w:pPr>
              <w:rPr>
                <w:rFonts w:hint="eastAsia" w:ascii="宋体" w:hAnsi="宋体" w:eastAsia="宋体" w:cs="宋体"/>
                <w:i w:val="0"/>
                <w:iCs w:val="0"/>
                <w:color w:val="000000"/>
                <w:sz w:val="18"/>
                <w:szCs w:val="18"/>
                <w:highlight w:val="none"/>
                <w:u w:val="none"/>
              </w:rPr>
            </w:pPr>
          </w:p>
          <w:p w14:paraId="6E2F9C4F">
            <w:pPr>
              <w:rPr>
                <w:rFonts w:hint="eastAsia" w:ascii="宋体" w:hAnsi="宋体" w:eastAsia="宋体" w:cs="宋体"/>
                <w:i w:val="0"/>
                <w:iCs w:val="0"/>
                <w:color w:val="000000"/>
                <w:sz w:val="18"/>
                <w:szCs w:val="18"/>
                <w:highlight w:val="none"/>
                <w:u w:val="none"/>
              </w:rPr>
            </w:pPr>
          </w:p>
        </w:tc>
        <w:tc>
          <w:tcPr>
            <w:tcW w:w="2265" w:type="dxa"/>
            <w:tcBorders>
              <w:top w:val="nil"/>
              <w:left w:val="nil"/>
              <w:bottom w:val="nil"/>
              <w:right w:val="nil"/>
            </w:tcBorders>
            <w:shd w:val="clear"/>
            <w:vAlign w:val="center"/>
          </w:tcPr>
          <w:p w14:paraId="715EC4F9">
            <w:pPr>
              <w:rPr>
                <w:rFonts w:hint="eastAsia" w:ascii="宋体" w:hAnsi="宋体" w:eastAsia="宋体" w:cs="宋体"/>
                <w:i w:val="0"/>
                <w:iCs w:val="0"/>
                <w:color w:val="000000"/>
                <w:sz w:val="18"/>
                <w:szCs w:val="18"/>
                <w:highlight w:val="none"/>
                <w:u w:val="none"/>
              </w:rPr>
            </w:pPr>
          </w:p>
        </w:tc>
        <w:tc>
          <w:tcPr>
            <w:tcW w:w="525" w:type="dxa"/>
            <w:tcBorders>
              <w:top w:val="nil"/>
              <w:left w:val="nil"/>
              <w:bottom w:val="nil"/>
              <w:right w:val="nil"/>
            </w:tcBorders>
            <w:shd w:val="clear"/>
            <w:vAlign w:val="center"/>
          </w:tcPr>
          <w:p w14:paraId="5C9957E6">
            <w:pPr>
              <w:rPr>
                <w:rFonts w:hint="eastAsia" w:ascii="宋体" w:hAnsi="宋体" w:eastAsia="宋体" w:cs="宋体"/>
                <w:i w:val="0"/>
                <w:iCs w:val="0"/>
                <w:color w:val="000000"/>
                <w:sz w:val="18"/>
                <w:szCs w:val="18"/>
                <w:highlight w:val="none"/>
                <w:u w:val="none"/>
              </w:rPr>
            </w:pPr>
          </w:p>
        </w:tc>
        <w:tc>
          <w:tcPr>
            <w:tcW w:w="1680" w:type="dxa"/>
            <w:tcBorders>
              <w:top w:val="nil"/>
              <w:left w:val="nil"/>
              <w:bottom w:val="nil"/>
              <w:right w:val="nil"/>
            </w:tcBorders>
            <w:shd w:val="clear"/>
            <w:vAlign w:val="center"/>
          </w:tcPr>
          <w:p w14:paraId="3B7B985F">
            <w:pPr>
              <w:rPr>
                <w:rFonts w:hint="eastAsia" w:ascii="宋体" w:hAnsi="宋体" w:eastAsia="宋体" w:cs="宋体"/>
                <w:i w:val="0"/>
                <w:iCs w:val="0"/>
                <w:color w:val="000000"/>
                <w:sz w:val="18"/>
                <w:szCs w:val="18"/>
                <w:highlight w:val="none"/>
                <w:u w:val="none"/>
              </w:rPr>
            </w:pPr>
          </w:p>
        </w:tc>
        <w:tc>
          <w:tcPr>
            <w:tcW w:w="525" w:type="dxa"/>
            <w:tcBorders>
              <w:top w:val="nil"/>
              <w:left w:val="nil"/>
              <w:bottom w:val="nil"/>
              <w:right w:val="nil"/>
            </w:tcBorders>
            <w:shd w:val="clear"/>
            <w:vAlign w:val="center"/>
          </w:tcPr>
          <w:p w14:paraId="1961B3BC">
            <w:pPr>
              <w:rPr>
                <w:rFonts w:hint="eastAsia" w:ascii="宋体" w:hAnsi="宋体" w:eastAsia="宋体" w:cs="宋体"/>
                <w:i w:val="0"/>
                <w:iCs w:val="0"/>
                <w:color w:val="000000"/>
                <w:sz w:val="18"/>
                <w:szCs w:val="18"/>
                <w:highlight w:val="none"/>
                <w:u w:val="none"/>
              </w:rPr>
            </w:pPr>
          </w:p>
        </w:tc>
        <w:tc>
          <w:tcPr>
            <w:tcW w:w="1095" w:type="dxa"/>
            <w:tcBorders>
              <w:top w:val="nil"/>
              <w:left w:val="nil"/>
              <w:bottom w:val="nil"/>
              <w:right w:val="nil"/>
            </w:tcBorders>
            <w:shd w:val="clear"/>
            <w:vAlign w:val="center"/>
          </w:tcPr>
          <w:p w14:paraId="29A1331D">
            <w:pPr>
              <w:rPr>
                <w:rFonts w:hint="eastAsia" w:ascii="宋体" w:hAnsi="宋体" w:eastAsia="宋体" w:cs="宋体"/>
                <w:i w:val="0"/>
                <w:iCs w:val="0"/>
                <w:color w:val="000000"/>
                <w:sz w:val="18"/>
                <w:szCs w:val="18"/>
                <w:highlight w:val="none"/>
                <w:u w:val="none"/>
              </w:rPr>
            </w:pPr>
          </w:p>
        </w:tc>
        <w:tc>
          <w:tcPr>
            <w:tcW w:w="510" w:type="dxa"/>
            <w:tcBorders>
              <w:top w:val="nil"/>
              <w:left w:val="nil"/>
              <w:bottom w:val="nil"/>
              <w:right w:val="nil"/>
            </w:tcBorders>
            <w:shd w:val="clear"/>
            <w:vAlign w:val="center"/>
          </w:tcPr>
          <w:p w14:paraId="068919C3">
            <w:pPr>
              <w:rPr>
                <w:rFonts w:hint="eastAsia" w:ascii="宋体" w:hAnsi="宋体" w:eastAsia="宋体" w:cs="宋体"/>
                <w:i w:val="0"/>
                <w:iCs w:val="0"/>
                <w:color w:val="000000"/>
                <w:sz w:val="18"/>
                <w:szCs w:val="18"/>
                <w:highlight w:val="none"/>
                <w:u w:val="none"/>
              </w:rPr>
            </w:pPr>
          </w:p>
        </w:tc>
        <w:tc>
          <w:tcPr>
            <w:tcW w:w="450" w:type="dxa"/>
            <w:tcBorders>
              <w:top w:val="nil"/>
              <w:left w:val="nil"/>
              <w:bottom w:val="nil"/>
              <w:right w:val="nil"/>
            </w:tcBorders>
            <w:shd w:val="clear"/>
            <w:vAlign w:val="center"/>
          </w:tcPr>
          <w:p w14:paraId="0D3BA8A4">
            <w:pPr>
              <w:rPr>
                <w:rFonts w:hint="eastAsia" w:ascii="宋体" w:hAnsi="宋体" w:eastAsia="宋体" w:cs="宋体"/>
                <w:i w:val="0"/>
                <w:iCs w:val="0"/>
                <w:color w:val="000000"/>
                <w:sz w:val="18"/>
                <w:szCs w:val="18"/>
                <w:highlight w:val="none"/>
                <w:u w:val="none"/>
              </w:rPr>
            </w:pPr>
          </w:p>
        </w:tc>
        <w:tc>
          <w:tcPr>
            <w:tcW w:w="2550" w:type="dxa"/>
            <w:tcBorders>
              <w:top w:val="nil"/>
              <w:left w:val="nil"/>
              <w:bottom w:val="nil"/>
              <w:right w:val="nil"/>
            </w:tcBorders>
            <w:shd w:val="clear"/>
            <w:vAlign w:val="center"/>
          </w:tcPr>
          <w:p w14:paraId="7EE2AC60">
            <w:pPr>
              <w:rPr>
                <w:rFonts w:hint="eastAsia" w:ascii="宋体" w:hAnsi="宋体" w:eastAsia="宋体" w:cs="宋体"/>
                <w:i w:val="0"/>
                <w:iCs w:val="0"/>
                <w:color w:val="000000"/>
                <w:sz w:val="18"/>
                <w:szCs w:val="18"/>
                <w:highlight w:val="none"/>
                <w:u w:val="none"/>
              </w:rPr>
            </w:pPr>
          </w:p>
        </w:tc>
      </w:tr>
      <w:tr w14:paraId="6A39F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vAlign w:val="center"/>
          </w:tcPr>
          <w:p w14:paraId="2EBC666F">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bdr w:val="none" w:color="auto" w:sz="0" w:space="0"/>
                <w:lang w:val="en-US" w:eastAsia="zh-CN" w:bidi="ar"/>
              </w:rPr>
              <w:t>部门预算项目支出绩效自评表（2025年度）</w:t>
            </w:r>
          </w:p>
        </w:tc>
      </w:tr>
      <w:tr w14:paraId="09221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vAlign w:val="center"/>
          </w:tcPr>
          <w:p w14:paraId="437479B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vAlign w:val="center"/>
          </w:tcPr>
          <w:p w14:paraId="2374B6A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51320021T000000109215-基层团干部、学校和少先队辅导员培训</w:t>
            </w:r>
          </w:p>
        </w:tc>
      </w:tr>
      <w:tr w14:paraId="1A6C4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vAlign w:val="center"/>
          </w:tcPr>
          <w:p w14:paraId="344CDCA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主管部门</w:t>
            </w: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5FC8405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团州委部门</w:t>
            </w:r>
          </w:p>
        </w:tc>
        <w:tc>
          <w:tcPr>
            <w:tcW w:w="1095" w:type="dxa"/>
            <w:tcBorders>
              <w:top w:val="nil"/>
              <w:left w:val="nil"/>
              <w:bottom w:val="nil"/>
              <w:right w:val="nil"/>
            </w:tcBorders>
            <w:shd w:val="clear"/>
            <w:vAlign w:val="center"/>
          </w:tcPr>
          <w:p w14:paraId="4BB7B99F">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vAlign w:val="center"/>
          </w:tcPr>
          <w:p w14:paraId="426144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团州委</w:t>
            </w:r>
          </w:p>
        </w:tc>
      </w:tr>
      <w:tr w14:paraId="1244F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0681E3F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2D7F0DF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352E9E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shd w:val="clear"/>
            <w:vAlign w:val="center"/>
          </w:tcPr>
          <w:p w14:paraId="339EAEF0">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年度目标完成情况</w:t>
            </w:r>
          </w:p>
        </w:tc>
      </w:tr>
      <w:tr w14:paraId="0325F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30"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4B1A163">
            <w:pP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B1F050A">
            <w:pPr>
              <w:rPr>
                <w:rFonts w:hint="eastAsia" w:ascii="宋体" w:hAnsi="宋体" w:eastAsia="宋体" w:cs="宋体"/>
                <w:i w:val="0"/>
                <w:iCs w:val="0"/>
                <w:color w:val="000000"/>
                <w:sz w:val="18"/>
                <w:szCs w:val="18"/>
                <w:highlight w:val="none"/>
                <w:u w:val="none"/>
              </w:rPr>
            </w:pP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7C2C1964">
            <w:pPr>
              <w:keepNext w:val="0"/>
              <w:keepLines w:val="0"/>
              <w:widowControl/>
              <w:suppressLineNumbers w:val="0"/>
              <w:spacing w:after="180" w:afterAutospacing="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计划培训基层团干部、少先队辅导员，切实提高我州基层团干部、少先队辅导员综合素质和业务能力。我州基层团干部、少先队辅导员培训考核率≥90%</w:t>
            </w:r>
            <w:r>
              <w:rPr>
                <w:rFonts w:ascii="宋体" w:hAnsi="宋体" w:eastAsia="宋体" w:cs="宋体"/>
                <w:i w:val="0"/>
                <w:iCs w:val="0"/>
                <w:color w:val="000000"/>
                <w:kern w:val="0"/>
                <w:sz w:val="18"/>
                <w:szCs w:val="18"/>
                <w:highlight w:val="none"/>
                <w:u w:val="none"/>
                <w:bdr w:val="none" w:color="auto" w:sz="0" w:space="0"/>
                <w:lang w:val="en-US" w:eastAsia="zh-CN" w:bidi="ar"/>
              </w:rPr>
              <w:br w:type="textWrapping"/>
            </w:r>
          </w:p>
        </w:tc>
        <w:tc>
          <w:tcPr>
            <w:tcW w:w="4605" w:type="dxa"/>
            <w:gridSpan w:val="4"/>
            <w:tcBorders>
              <w:top w:val="single" w:color="000000" w:sz="4" w:space="0"/>
              <w:left w:val="single" w:color="000000" w:sz="4" w:space="0"/>
              <w:bottom w:val="single" w:color="000000" w:sz="4" w:space="0"/>
              <w:right w:val="single" w:color="000000" w:sz="4" w:space="0"/>
            </w:tcBorders>
            <w:shd w:val="clear"/>
            <w:vAlign w:val="center"/>
          </w:tcPr>
          <w:p w14:paraId="7743CC54">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对照年度目标，说明相关任务目标的完成情况（100字以内）</w:t>
            </w:r>
          </w:p>
        </w:tc>
      </w:tr>
      <w:tr w14:paraId="612F9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387AF21">
            <w:pP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5F33BA7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vAlign w:val="center"/>
          </w:tcPr>
          <w:p w14:paraId="6C98C0C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按年度培训计划组织基层团干部、少先队辅导员开展集中培训，围绕团务知识、少先队工作规范、业务实操等内容授课，完成签到、授课、考核、归档全流程，严格把控培训质量与考核标准，按时间节点完成全年培训任务。</w:t>
            </w:r>
          </w:p>
        </w:tc>
      </w:tr>
      <w:tr w14:paraId="61163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3D0A41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预算执行情况（10分）</w:t>
            </w: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6682C0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35DDFE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年初预算</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068916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调整后预算数</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2DA96C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预算执行数</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533970D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0AF1E6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549752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1A4DD1B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原因</w:t>
            </w:r>
          </w:p>
        </w:tc>
      </w:tr>
      <w:tr w14:paraId="77B4CA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FE368F8">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4395EA4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总额</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0A69A19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22E17C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9.64</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191847F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9.64</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3D81D8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0326319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5167050E">
            <w:pPr>
              <w:jc w:val="center"/>
              <w:rPr>
                <w:rFonts w:hint="eastAsia" w:ascii="宋体" w:hAnsi="宋体" w:eastAsia="宋体" w:cs="宋体"/>
                <w:i w:val="0"/>
                <w:iCs w:val="0"/>
                <w:color w:val="000000"/>
                <w:sz w:val="18"/>
                <w:szCs w:val="18"/>
                <w:highlight w:val="none"/>
                <w:u w:val="none"/>
              </w:rPr>
            </w:pPr>
          </w:p>
        </w:tc>
        <w:tc>
          <w:tcPr>
            <w:tcW w:w="2550" w:type="dxa"/>
            <w:vMerge w:val="restart"/>
            <w:tcBorders>
              <w:top w:val="single" w:color="000000" w:sz="4" w:space="0"/>
              <w:left w:val="single" w:color="000000" w:sz="4" w:space="0"/>
              <w:bottom w:val="single" w:color="000000" w:sz="4" w:space="0"/>
              <w:right w:val="single" w:color="000000" w:sz="4" w:space="0"/>
            </w:tcBorders>
            <w:shd w:val="clear"/>
            <w:vAlign w:val="center"/>
          </w:tcPr>
          <w:p w14:paraId="5106FFAA">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9CDA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1FD3CC5">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0B471F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15E136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0D5D38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9.64</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35EF51D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9.64</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643BEE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556009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17494A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4557B3F">
            <w:pPr>
              <w:rPr>
                <w:rFonts w:hint="eastAsia" w:ascii="黑体" w:hAnsi="黑体" w:eastAsia="黑体" w:cs="黑体"/>
                <w:i/>
                <w:iCs/>
                <w:color w:val="000000"/>
                <w:sz w:val="18"/>
                <w:szCs w:val="18"/>
                <w:highlight w:val="none"/>
                <w:u w:val="none"/>
              </w:rPr>
            </w:pPr>
          </w:p>
        </w:tc>
      </w:tr>
      <w:tr w14:paraId="036A9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BE7BB39">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11A9BC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1F2391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01AA6E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349FA01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48DF5B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59AADF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45CE18A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DD32AD1">
            <w:pPr>
              <w:rPr>
                <w:rFonts w:hint="eastAsia" w:ascii="黑体" w:hAnsi="黑体" w:eastAsia="黑体" w:cs="黑体"/>
                <w:i/>
                <w:iCs/>
                <w:color w:val="000000"/>
                <w:sz w:val="18"/>
                <w:szCs w:val="18"/>
                <w:highlight w:val="none"/>
                <w:u w:val="none"/>
              </w:rPr>
            </w:pPr>
          </w:p>
        </w:tc>
      </w:tr>
      <w:tr w14:paraId="2CD5F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D2CCCFD">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4EE247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单位资金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6A640F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0E54A4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05EA091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4AF11B3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7310B0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48A2FC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C77A38C">
            <w:pPr>
              <w:rPr>
                <w:rFonts w:hint="eastAsia" w:ascii="黑体" w:hAnsi="黑体" w:eastAsia="黑体" w:cs="黑体"/>
                <w:i/>
                <w:iCs/>
                <w:color w:val="000000"/>
                <w:sz w:val="18"/>
                <w:szCs w:val="18"/>
                <w:highlight w:val="none"/>
                <w:u w:val="none"/>
              </w:rPr>
            </w:pPr>
          </w:p>
        </w:tc>
      </w:tr>
      <w:tr w14:paraId="464ABF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619B5EC">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3E2AC2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其他资金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2F04D243">
            <w:pPr>
              <w:jc w:val="center"/>
              <w:rPr>
                <w:rFonts w:hint="eastAsia" w:ascii="微软雅黑" w:hAnsi="微软雅黑" w:eastAsia="微软雅黑" w:cs="微软雅黑"/>
                <w:i/>
                <w:iCs/>
                <w:color w:val="000000"/>
                <w:sz w:val="16"/>
                <w:szCs w:val="16"/>
                <w:highlight w:val="none"/>
                <w:u w:val="none"/>
              </w:rPr>
            </w:pP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1965C411">
            <w:pPr>
              <w:jc w:val="center"/>
              <w:rPr>
                <w:rFonts w:hint="eastAsia" w:ascii="微软雅黑" w:hAnsi="微软雅黑" w:eastAsia="微软雅黑" w:cs="微软雅黑"/>
                <w:i/>
                <w:iCs/>
                <w:color w:val="000000"/>
                <w:sz w:val="16"/>
                <w:szCs w:val="16"/>
                <w:highlight w:val="none"/>
                <w:u w:val="none"/>
              </w:rPr>
            </w:pP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658877E0">
            <w:pPr>
              <w:jc w:val="center"/>
              <w:rPr>
                <w:rFonts w:hint="eastAsia" w:ascii="微软雅黑" w:hAnsi="微软雅黑" w:eastAsia="微软雅黑" w:cs="微软雅黑"/>
                <w:i/>
                <w:iCs/>
                <w:color w:val="000000"/>
                <w:sz w:val="16"/>
                <w:szCs w:val="16"/>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0F45A3F5">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0D6873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1FB2D1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AC63BD6">
            <w:pPr>
              <w:rPr>
                <w:rFonts w:hint="eastAsia" w:ascii="黑体" w:hAnsi="黑体" w:eastAsia="黑体" w:cs="黑体"/>
                <w:i/>
                <w:iCs/>
                <w:color w:val="000000"/>
                <w:sz w:val="18"/>
                <w:szCs w:val="18"/>
                <w:highlight w:val="none"/>
                <w:u w:val="none"/>
              </w:rPr>
            </w:pPr>
          </w:p>
        </w:tc>
      </w:tr>
      <w:tr w14:paraId="11F7E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3B701CD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绩效指标（90分）</w:t>
            </w: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5F2BC3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7A1864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二级指标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1446629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63389D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指标性质</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121097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6BA9CB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度量单位</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6EC592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0D12E2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6890C2D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298111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未完成原因分析</w:t>
            </w:r>
          </w:p>
        </w:tc>
      </w:tr>
      <w:tr w14:paraId="3D19F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0271808">
            <w:pPr>
              <w:jc w:val="center"/>
              <w:rPr>
                <w:rFonts w:hint="eastAsia" w:ascii="宋体" w:hAnsi="宋体" w:eastAsia="宋体" w:cs="宋体"/>
                <w:i w:val="0"/>
                <w:iCs w:val="0"/>
                <w:color w:val="000000"/>
                <w:sz w:val="18"/>
                <w:szCs w:val="18"/>
                <w:highlight w:val="none"/>
                <w:u w:val="none"/>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6B7FEC4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23C083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数量指标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7C34FBC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参训团干部、少先队辅导员人数</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02B7C9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6696077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80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4C03EC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人次</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3223BFE0">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3DF10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734A8FA6">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71570549">
            <w:pPr>
              <w:jc w:val="center"/>
              <w:rPr>
                <w:rFonts w:hint="eastAsia" w:ascii="微软雅黑" w:hAnsi="微软雅黑" w:eastAsia="微软雅黑" w:cs="微软雅黑"/>
                <w:i/>
                <w:iCs/>
                <w:color w:val="000000"/>
                <w:sz w:val="16"/>
                <w:szCs w:val="16"/>
                <w:highlight w:val="none"/>
                <w:u w:val="none"/>
              </w:rPr>
            </w:pPr>
          </w:p>
        </w:tc>
      </w:tr>
      <w:tr w14:paraId="7A4E5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B9186F0">
            <w:pPr>
              <w:jc w:val="cente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28DC265">
            <w:pPr>
              <w:jc w:val="center"/>
              <w:rPr>
                <w:rFonts w:hint="eastAsia" w:ascii="宋体" w:hAnsi="宋体" w:eastAsia="宋体" w:cs="宋体"/>
                <w:i w:val="0"/>
                <w:iCs w:val="0"/>
                <w:color w:val="000000"/>
                <w:sz w:val="18"/>
                <w:szCs w:val="18"/>
                <w:highlight w:val="none"/>
                <w:u w:val="none"/>
              </w:rPr>
            </w:pP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221A67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质量指标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0326FA9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培训考核通过率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3FB77C2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154EBE6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104FE4D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077CF968">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69CE1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6B61229B">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19A03636">
            <w:pPr>
              <w:jc w:val="center"/>
              <w:rPr>
                <w:rFonts w:hint="eastAsia" w:ascii="微软雅黑" w:hAnsi="微软雅黑" w:eastAsia="微软雅黑" w:cs="微软雅黑"/>
                <w:i/>
                <w:iCs/>
                <w:color w:val="000000"/>
                <w:sz w:val="16"/>
                <w:szCs w:val="16"/>
                <w:highlight w:val="none"/>
                <w:u w:val="none"/>
              </w:rPr>
            </w:pPr>
          </w:p>
        </w:tc>
      </w:tr>
      <w:tr w14:paraId="6A19F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A8E7DB8">
            <w:pPr>
              <w:jc w:val="cente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66FFA39">
            <w:pPr>
              <w:jc w:val="center"/>
              <w:rPr>
                <w:rFonts w:hint="eastAsia" w:ascii="宋体" w:hAnsi="宋体" w:eastAsia="宋体" w:cs="宋体"/>
                <w:i w:val="0"/>
                <w:iCs w:val="0"/>
                <w:color w:val="000000"/>
                <w:sz w:val="18"/>
                <w:szCs w:val="18"/>
                <w:highlight w:val="none"/>
                <w:u w:val="none"/>
              </w:rPr>
            </w:pP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5FFA9BF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时效指标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31E398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项目完成时限</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71EB61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定性</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4ADAB7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2025年12月底前</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152B7E16">
            <w:pPr>
              <w:jc w:val="center"/>
              <w:rPr>
                <w:rFonts w:hint="eastAsia" w:ascii="宋体" w:hAnsi="宋体" w:eastAsia="宋体" w:cs="宋体"/>
                <w:i w:val="0"/>
                <w:iCs w:val="0"/>
                <w:color w:val="000000"/>
                <w:sz w:val="18"/>
                <w:szCs w:val="18"/>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3AC19B63">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B1ED8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6976768B">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4BE828B2">
            <w:pPr>
              <w:jc w:val="center"/>
              <w:rPr>
                <w:rFonts w:hint="eastAsia" w:ascii="微软雅黑" w:hAnsi="微软雅黑" w:eastAsia="微软雅黑" w:cs="微软雅黑"/>
                <w:i/>
                <w:iCs/>
                <w:color w:val="000000"/>
                <w:sz w:val="16"/>
                <w:szCs w:val="16"/>
                <w:highlight w:val="none"/>
                <w:u w:val="none"/>
              </w:rPr>
            </w:pPr>
          </w:p>
        </w:tc>
      </w:tr>
      <w:tr w14:paraId="421EB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30BF6B5">
            <w:pPr>
              <w:jc w:val="center"/>
              <w:rPr>
                <w:rFonts w:hint="eastAsia" w:ascii="宋体" w:hAnsi="宋体" w:eastAsia="宋体" w:cs="宋体"/>
                <w:i w:val="0"/>
                <w:iCs w:val="0"/>
                <w:color w:val="000000"/>
                <w:sz w:val="18"/>
                <w:szCs w:val="18"/>
                <w:highlight w:val="none"/>
                <w:u w:val="none"/>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0ECA5F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效益指标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vAlign w:val="center"/>
          </w:tcPr>
          <w:p w14:paraId="3838B0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33D20A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参训人员解决实际问题的能力提升程度</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48E396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定性</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7F425E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有效提升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5CA30197">
            <w:pPr>
              <w:jc w:val="center"/>
              <w:rPr>
                <w:rFonts w:hint="eastAsia" w:ascii="宋体" w:hAnsi="宋体" w:eastAsia="宋体" w:cs="宋体"/>
                <w:i w:val="0"/>
                <w:iCs w:val="0"/>
                <w:color w:val="000000"/>
                <w:sz w:val="18"/>
                <w:szCs w:val="18"/>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35E21E0D">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1695C6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3702972E">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6E113AE2">
            <w:pPr>
              <w:jc w:val="center"/>
              <w:rPr>
                <w:rFonts w:hint="eastAsia" w:ascii="微软雅黑" w:hAnsi="微软雅黑" w:eastAsia="微软雅黑" w:cs="微软雅黑"/>
                <w:i/>
                <w:iCs/>
                <w:color w:val="000000"/>
                <w:sz w:val="16"/>
                <w:szCs w:val="16"/>
                <w:highlight w:val="none"/>
                <w:u w:val="none"/>
              </w:rPr>
            </w:pPr>
          </w:p>
        </w:tc>
      </w:tr>
      <w:tr w14:paraId="50577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29E55A5">
            <w:pPr>
              <w:jc w:val="cente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1F8C970">
            <w:pPr>
              <w:jc w:val="center"/>
              <w:rPr>
                <w:rFonts w:hint="eastAsia" w:ascii="宋体" w:hAnsi="宋体" w:eastAsia="宋体" w:cs="宋体"/>
                <w:i w:val="0"/>
                <w:iCs w:val="0"/>
                <w:color w:val="000000"/>
                <w:sz w:val="18"/>
                <w:szCs w:val="18"/>
                <w:highlight w:val="none"/>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350BB0F">
            <w:pPr>
              <w:jc w:val="center"/>
              <w:rPr>
                <w:rFonts w:hint="eastAsia" w:ascii="宋体" w:hAnsi="宋体" w:eastAsia="宋体" w:cs="宋体"/>
                <w:i w:val="0"/>
                <w:iCs w:val="0"/>
                <w:color w:val="000000"/>
                <w:sz w:val="18"/>
                <w:szCs w:val="18"/>
                <w:highlight w:val="none"/>
                <w:u w:val="none"/>
              </w:rPr>
            </w:pP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5BAD08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参训少先队辅导员、少工委主任比列</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2601EA9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76F3C6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45</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2DED40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0686708A">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428A01A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36C15950">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0952F694">
            <w:pPr>
              <w:jc w:val="center"/>
              <w:rPr>
                <w:rFonts w:hint="eastAsia" w:ascii="微软雅黑" w:hAnsi="微软雅黑" w:eastAsia="微软雅黑" w:cs="微软雅黑"/>
                <w:i/>
                <w:iCs/>
                <w:color w:val="000000"/>
                <w:sz w:val="16"/>
                <w:szCs w:val="16"/>
                <w:highlight w:val="none"/>
                <w:u w:val="none"/>
              </w:rPr>
            </w:pPr>
          </w:p>
        </w:tc>
      </w:tr>
      <w:tr w14:paraId="44DDBE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67CC748">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7F8FF98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满意度指标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549A77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24A844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参训对象满意度</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7F6DC17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5C8D4DC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40BF725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206D31A1">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6E47E0A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60132503">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11D9C339">
            <w:pPr>
              <w:jc w:val="center"/>
              <w:rPr>
                <w:rFonts w:hint="eastAsia" w:ascii="微软雅黑" w:hAnsi="微软雅黑" w:eastAsia="微软雅黑" w:cs="微软雅黑"/>
                <w:i/>
                <w:iCs/>
                <w:color w:val="000000"/>
                <w:sz w:val="16"/>
                <w:szCs w:val="16"/>
                <w:highlight w:val="none"/>
                <w:u w:val="none"/>
              </w:rPr>
            </w:pPr>
          </w:p>
        </w:tc>
      </w:tr>
      <w:tr w14:paraId="2D7FC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A8C2C41">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37C60D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成本指标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395A76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004B83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培训人均成本</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50D357A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36E06DA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3125</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349E6E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元/人·次</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1F1643C7">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1620D4B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340CA49A">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347A7728">
            <w:pPr>
              <w:jc w:val="center"/>
              <w:rPr>
                <w:rFonts w:hint="eastAsia" w:ascii="微软雅黑" w:hAnsi="微软雅黑" w:eastAsia="微软雅黑" w:cs="微软雅黑"/>
                <w:i/>
                <w:iCs/>
                <w:color w:val="000000"/>
                <w:sz w:val="16"/>
                <w:szCs w:val="16"/>
                <w:highlight w:val="none"/>
                <w:u w:val="none"/>
              </w:rPr>
            </w:pPr>
          </w:p>
        </w:tc>
      </w:tr>
      <w:tr w14:paraId="6AD30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10605" w:type="dxa"/>
            <w:gridSpan w:val="8"/>
            <w:tcBorders>
              <w:top w:val="single" w:color="000000" w:sz="4" w:space="0"/>
              <w:left w:val="single" w:color="000000" w:sz="4" w:space="0"/>
              <w:bottom w:val="single" w:color="000000" w:sz="4" w:space="0"/>
              <w:right w:val="single" w:color="000000" w:sz="4" w:space="0"/>
            </w:tcBorders>
            <w:shd w:val="clear"/>
            <w:vAlign w:val="center"/>
          </w:tcPr>
          <w:p w14:paraId="7E5812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60420C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0C5908E5">
            <w:pP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45842BC7">
            <w:pPr>
              <w:rPr>
                <w:rFonts w:hint="eastAsia" w:ascii="宋体" w:hAnsi="宋体" w:eastAsia="宋体" w:cs="宋体"/>
                <w:i w:val="0"/>
                <w:iCs w:val="0"/>
                <w:color w:val="000000"/>
                <w:sz w:val="18"/>
                <w:szCs w:val="18"/>
                <w:highlight w:val="none"/>
                <w:u w:val="none"/>
              </w:rPr>
            </w:pPr>
          </w:p>
        </w:tc>
      </w:tr>
      <w:tr w14:paraId="31FEF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4B49F0A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评价结论</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5272F188">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自评总分 100 分。预算执行率 100%，完成培训人员、考核通过率等指标。参训人员业务能力有效提升，少先队辅导员参训比例达标，为基层团少工作夯实人才基础。</w:t>
            </w:r>
          </w:p>
        </w:tc>
      </w:tr>
      <w:tr w14:paraId="1709FC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71AB6FA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存在问题</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539CC29A">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培训内容针对性有待提升，实操性课程占比不足；部分基层人员参训时间协调难度大，参训覆盖率未达最优。</w:t>
            </w:r>
          </w:p>
        </w:tc>
      </w:tr>
      <w:tr w14:paraId="6916A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714B56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改进措施</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1C3E38FA">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优化课程设置，增加实操案例教学；采用线上 + 线下结合模式，灵活安排培训时间；建立培训长效跟踪机制，巩固学习效果。</w:t>
            </w:r>
          </w:p>
        </w:tc>
      </w:tr>
      <w:tr w14:paraId="7DC67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305" w:type="dxa"/>
            <w:gridSpan w:val="5"/>
            <w:tcBorders>
              <w:top w:val="single" w:color="000000" w:sz="4" w:space="0"/>
              <w:left w:val="single" w:color="000000" w:sz="4" w:space="0"/>
              <w:bottom w:val="single" w:color="000000" w:sz="4" w:space="0"/>
              <w:right w:val="single" w:color="000000" w:sz="4" w:space="0"/>
            </w:tcBorders>
            <w:shd w:val="clear"/>
            <w:vAlign w:val="center"/>
          </w:tcPr>
          <w:p w14:paraId="52D86369">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项目负责人：李韦薇</w:t>
            </w:r>
          </w:p>
        </w:tc>
        <w:tc>
          <w:tcPr>
            <w:tcW w:w="6810" w:type="dxa"/>
            <w:gridSpan w:val="6"/>
            <w:tcBorders>
              <w:top w:val="single" w:color="000000" w:sz="4" w:space="0"/>
              <w:left w:val="single" w:color="000000" w:sz="4" w:space="0"/>
              <w:bottom w:val="single" w:color="000000" w:sz="4" w:space="0"/>
              <w:right w:val="single" w:color="000000" w:sz="4" w:space="0"/>
            </w:tcBorders>
            <w:shd w:val="clear"/>
            <w:vAlign w:val="center"/>
          </w:tcPr>
          <w:p w14:paraId="4BF22253">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财务负责人：杨嘉奇</w:t>
            </w:r>
          </w:p>
        </w:tc>
      </w:tr>
      <w:tr w14:paraId="2EFAA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690" w:type="dxa"/>
            <w:tcBorders>
              <w:top w:val="nil"/>
              <w:left w:val="nil"/>
              <w:bottom w:val="nil"/>
              <w:right w:val="nil"/>
            </w:tcBorders>
            <w:shd w:val="clear"/>
            <w:vAlign w:val="center"/>
          </w:tcPr>
          <w:p w14:paraId="56B9A930">
            <w:pPr>
              <w:rPr>
                <w:rFonts w:hint="eastAsia" w:ascii="宋体" w:hAnsi="宋体" w:eastAsia="宋体" w:cs="宋体"/>
                <w:i w:val="0"/>
                <w:iCs w:val="0"/>
                <w:color w:val="000000"/>
                <w:sz w:val="18"/>
                <w:szCs w:val="18"/>
                <w:highlight w:val="none"/>
                <w:u w:val="none"/>
              </w:rPr>
            </w:pPr>
          </w:p>
        </w:tc>
        <w:tc>
          <w:tcPr>
            <w:tcW w:w="2055" w:type="dxa"/>
            <w:tcBorders>
              <w:top w:val="nil"/>
              <w:left w:val="nil"/>
              <w:bottom w:val="nil"/>
              <w:right w:val="nil"/>
            </w:tcBorders>
            <w:shd w:val="clear"/>
            <w:vAlign w:val="center"/>
          </w:tcPr>
          <w:p w14:paraId="3554A247">
            <w:pPr>
              <w:rPr>
                <w:rFonts w:hint="eastAsia" w:ascii="宋体" w:hAnsi="宋体" w:eastAsia="宋体" w:cs="宋体"/>
                <w:i w:val="0"/>
                <w:iCs w:val="0"/>
                <w:color w:val="000000"/>
                <w:sz w:val="18"/>
                <w:szCs w:val="18"/>
                <w:highlight w:val="none"/>
                <w:u w:val="none"/>
              </w:rPr>
            </w:pPr>
          </w:p>
        </w:tc>
        <w:tc>
          <w:tcPr>
            <w:tcW w:w="1770" w:type="dxa"/>
            <w:tcBorders>
              <w:top w:val="nil"/>
              <w:left w:val="nil"/>
              <w:bottom w:val="nil"/>
              <w:right w:val="nil"/>
            </w:tcBorders>
            <w:shd w:val="clear"/>
            <w:vAlign w:val="center"/>
          </w:tcPr>
          <w:p w14:paraId="301DB8F8">
            <w:pPr>
              <w:rPr>
                <w:rFonts w:hint="eastAsia" w:ascii="宋体" w:hAnsi="宋体" w:eastAsia="宋体" w:cs="宋体"/>
                <w:i w:val="0"/>
                <w:iCs w:val="0"/>
                <w:color w:val="000000"/>
                <w:sz w:val="18"/>
                <w:szCs w:val="18"/>
                <w:highlight w:val="none"/>
                <w:u w:val="none"/>
              </w:rPr>
            </w:pPr>
          </w:p>
        </w:tc>
        <w:tc>
          <w:tcPr>
            <w:tcW w:w="2265" w:type="dxa"/>
            <w:tcBorders>
              <w:top w:val="nil"/>
              <w:left w:val="nil"/>
              <w:bottom w:val="nil"/>
              <w:right w:val="nil"/>
            </w:tcBorders>
            <w:shd w:val="clear"/>
            <w:vAlign w:val="center"/>
          </w:tcPr>
          <w:p w14:paraId="1320FAE7">
            <w:pPr>
              <w:rPr>
                <w:rFonts w:hint="eastAsia" w:ascii="宋体" w:hAnsi="宋体" w:eastAsia="宋体" w:cs="宋体"/>
                <w:i w:val="0"/>
                <w:iCs w:val="0"/>
                <w:color w:val="000000"/>
                <w:sz w:val="18"/>
                <w:szCs w:val="18"/>
                <w:highlight w:val="none"/>
                <w:u w:val="none"/>
              </w:rPr>
            </w:pPr>
          </w:p>
          <w:p w14:paraId="7096580A">
            <w:pPr>
              <w:rPr>
                <w:rFonts w:hint="eastAsia" w:ascii="宋体" w:hAnsi="宋体" w:eastAsia="宋体" w:cs="宋体"/>
                <w:i w:val="0"/>
                <w:iCs w:val="0"/>
                <w:color w:val="000000"/>
                <w:sz w:val="18"/>
                <w:szCs w:val="18"/>
                <w:highlight w:val="none"/>
                <w:u w:val="none"/>
              </w:rPr>
            </w:pPr>
          </w:p>
          <w:p w14:paraId="52B870A2">
            <w:pPr>
              <w:rPr>
                <w:rFonts w:hint="eastAsia" w:ascii="宋体" w:hAnsi="宋体" w:eastAsia="宋体" w:cs="宋体"/>
                <w:i w:val="0"/>
                <w:iCs w:val="0"/>
                <w:color w:val="000000"/>
                <w:sz w:val="18"/>
                <w:szCs w:val="18"/>
                <w:highlight w:val="none"/>
                <w:u w:val="none"/>
              </w:rPr>
            </w:pPr>
          </w:p>
        </w:tc>
        <w:tc>
          <w:tcPr>
            <w:tcW w:w="525" w:type="dxa"/>
            <w:tcBorders>
              <w:top w:val="nil"/>
              <w:left w:val="nil"/>
              <w:bottom w:val="nil"/>
              <w:right w:val="nil"/>
            </w:tcBorders>
            <w:shd w:val="clear"/>
            <w:vAlign w:val="center"/>
          </w:tcPr>
          <w:p w14:paraId="126BCDAD">
            <w:pPr>
              <w:rPr>
                <w:rFonts w:hint="eastAsia" w:ascii="宋体" w:hAnsi="宋体" w:eastAsia="宋体" w:cs="宋体"/>
                <w:i w:val="0"/>
                <w:iCs w:val="0"/>
                <w:color w:val="000000"/>
                <w:sz w:val="18"/>
                <w:szCs w:val="18"/>
                <w:highlight w:val="none"/>
                <w:u w:val="none"/>
              </w:rPr>
            </w:pPr>
          </w:p>
        </w:tc>
        <w:tc>
          <w:tcPr>
            <w:tcW w:w="1680" w:type="dxa"/>
            <w:tcBorders>
              <w:top w:val="nil"/>
              <w:left w:val="nil"/>
              <w:bottom w:val="nil"/>
              <w:right w:val="nil"/>
            </w:tcBorders>
            <w:shd w:val="clear"/>
            <w:vAlign w:val="center"/>
          </w:tcPr>
          <w:p w14:paraId="4BBB0CA4">
            <w:pPr>
              <w:rPr>
                <w:rFonts w:hint="eastAsia" w:ascii="宋体" w:hAnsi="宋体" w:eastAsia="宋体" w:cs="宋体"/>
                <w:i w:val="0"/>
                <w:iCs w:val="0"/>
                <w:color w:val="000000"/>
                <w:sz w:val="18"/>
                <w:szCs w:val="18"/>
                <w:highlight w:val="none"/>
                <w:u w:val="none"/>
              </w:rPr>
            </w:pPr>
          </w:p>
        </w:tc>
        <w:tc>
          <w:tcPr>
            <w:tcW w:w="525" w:type="dxa"/>
            <w:tcBorders>
              <w:top w:val="nil"/>
              <w:left w:val="nil"/>
              <w:bottom w:val="nil"/>
              <w:right w:val="nil"/>
            </w:tcBorders>
            <w:shd w:val="clear"/>
            <w:vAlign w:val="center"/>
          </w:tcPr>
          <w:p w14:paraId="1E2A4C14">
            <w:pPr>
              <w:rPr>
                <w:rFonts w:hint="eastAsia" w:ascii="宋体" w:hAnsi="宋体" w:eastAsia="宋体" w:cs="宋体"/>
                <w:i w:val="0"/>
                <w:iCs w:val="0"/>
                <w:color w:val="000000"/>
                <w:sz w:val="18"/>
                <w:szCs w:val="18"/>
                <w:highlight w:val="none"/>
                <w:u w:val="none"/>
              </w:rPr>
            </w:pPr>
          </w:p>
        </w:tc>
        <w:tc>
          <w:tcPr>
            <w:tcW w:w="1095" w:type="dxa"/>
            <w:tcBorders>
              <w:top w:val="nil"/>
              <w:left w:val="nil"/>
              <w:bottom w:val="nil"/>
              <w:right w:val="nil"/>
            </w:tcBorders>
            <w:shd w:val="clear"/>
            <w:vAlign w:val="center"/>
          </w:tcPr>
          <w:p w14:paraId="6FFE71D0">
            <w:pPr>
              <w:rPr>
                <w:rFonts w:hint="eastAsia" w:ascii="宋体" w:hAnsi="宋体" w:eastAsia="宋体" w:cs="宋体"/>
                <w:i w:val="0"/>
                <w:iCs w:val="0"/>
                <w:color w:val="000000"/>
                <w:sz w:val="18"/>
                <w:szCs w:val="18"/>
                <w:highlight w:val="none"/>
                <w:u w:val="none"/>
              </w:rPr>
            </w:pPr>
          </w:p>
        </w:tc>
        <w:tc>
          <w:tcPr>
            <w:tcW w:w="510" w:type="dxa"/>
            <w:tcBorders>
              <w:top w:val="nil"/>
              <w:left w:val="nil"/>
              <w:bottom w:val="nil"/>
              <w:right w:val="nil"/>
            </w:tcBorders>
            <w:shd w:val="clear"/>
            <w:vAlign w:val="center"/>
          </w:tcPr>
          <w:p w14:paraId="728EABE1">
            <w:pPr>
              <w:rPr>
                <w:rFonts w:hint="eastAsia" w:ascii="宋体" w:hAnsi="宋体" w:eastAsia="宋体" w:cs="宋体"/>
                <w:i w:val="0"/>
                <w:iCs w:val="0"/>
                <w:color w:val="000000"/>
                <w:sz w:val="18"/>
                <w:szCs w:val="18"/>
                <w:highlight w:val="none"/>
                <w:u w:val="none"/>
              </w:rPr>
            </w:pPr>
          </w:p>
        </w:tc>
        <w:tc>
          <w:tcPr>
            <w:tcW w:w="450" w:type="dxa"/>
            <w:tcBorders>
              <w:top w:val="nil"/>
              <w:left w:val="nil"/>
              <w:bottom w:val="nil"/>
              <w:right w:val="nil"/>
            </w:tcBorders>
            <w:shd w:val="clear"/>
            <w:vAlign w:val="center"/>
          </w:tcPr>
          <w:p w14:paraId="5E6967CB">
            <w:pPr>
              <w:rPr>
                <w:rFonts w:hint="eastAsia" w:ascii="宋体" w:hAnsi="宋体" w:eastAsia="宋体" w:cs="宋体"/>
                <w:i w:val="0"/>
                <w:iCs w:val="0"/>
                <w:color w:val="000000"/>
                <w:sz w:val="18"/>
                <w:szCs w:val="18"/>
                <w:highlight w:val="none"/>
                <w:u w:val="none"/>
              </w:rPr>
            </w:pPr>
          </w:p>
        </w:tc>
        <w:tc>
          <w:tcPr>
            <w:tcW w:w="2550" w:type="dxa"/>
            <w:tcBorders>
              <w:top w:val="nil"/>
              <w:left w:val="nil"/>
              <w:bottom w:val="nil"/>
              <w:right w:val="nil"/>
            </w:tcBorders>
            <w:shd w:val="clear"/>
            <w:vAlign w:val="center"/>
          </w:tcPr>
          <w:p w14:paraId="6DCC7746">
            <w:pPr>
              <w:rPr>
                <w:rFonts w:hint="eastAsia" w:ascii="宋体" w:hAnsi="宋体" w:eastAsia="宋体" w:cs="宋体"/>
                <w:i w:val="0"/>
                <w:iCs w:val="0"/>
                <w:color w:val="000000"/>
                <w:sz w:val="18"/>
                <w:szCs w:val="18"/>
                <w:highlight w:val="none"/>
                <w:u w:val="none"/>
              </w:rPr>
            </w:pPr>
          </w:p>
        </w:tc>
      </w:tr>
      <w:tr w14:paraId="1844B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vAlign w:val="center"/>
          </w:tcPr>
          <w:p w14:paraId="15FA1775">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bdr w:val="none" w:color="auto" w:sz="0" w:space="0"/>
                <w:lang w:val="en-US" w:eastAsia="zh-CN" w:bidi="ar"/>
              </w:rPr>
              <w:t>部门预算项目支出绩效自评表（2025年度）</w:t>
            </w:r>
          </w:p>
        </w:tc>
      </w:tr>
      <w:tr w14:paraId="7C193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vAlign w:val="center"/>
          </w:tcPr>
          <w:p w14:paraId="188500C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vAlign w:val="center"/>
          </w:tcPr>
          <w:p w14:paraId="019ABC4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51320021T000000109238-新媒体维护</w:t>
            </w:r>
          </w:p>
        </w:tc>
      </w:tr>
      <w:tr w14:paraId="38E52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2"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vAlign w:val="center"/>
          </w:tcPr>
          <w:p w14:paraId="39ACB41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主管部门</w:t>
            </w: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2E69A77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团州委部门</w:t>
            </w:r>
          </w:p>
        </w:tc>
        <w:tc>
          <w:tcPr>
            <w:tcW w:w="1095" w:type="dxa"/>
            <w:tcBorders>
              <w:top w:val="nil"/>
              <w:left w:val="nil"/>
              <w:bottom w:val="nil"/>
              <w:right w:val="nil"/>
            </w:tcBorders>
            <w:shd w:val="clear"/>
            <w:vAlign w:val="center"/>
          </w:tcPr>
          <w:p w14:paraId="4B1CDC7D">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vAlign w:val="center"/>
          </w:tcPr>
          <w:p w14:paraId="4FAB451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团州委</w:t>
            </w:r>
          </w:p>
        </w:tc>
      </w:tr>
      <w:tr w14:paraId="47FEC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0BB3EA1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5E73E90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537A68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shd w:val="clear"/>
            <w:vAlign w:val="center"/>
          </w:tcPr>
          <w:p w14:paraId="453538DC">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年度目标完成情况</w:t>
            </w:r>
          </w:p>
        </w:tc>
      </w:tr>
      <w:tr w14:paraId="7F6E8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3DDC6FB">
            <w:pP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AA4B81B">
            <w:pPr>
              <w:rPr>
                <w:rFonts w:hint="eastAsia" w:ascii="宋体" w:hAnsi="宋体" w:eastAsia="宋体" w:cs="宋体"/>
                <w:i w:val="0"/>
                <w:iCs w:val="0"/>
                <w:color w:val="000000"/>
                <w:sz w:val="18"/>
                <w:szCs w:val="18"/>
                <w:highlight w:val="none"/>
                <w:u w:val="none"/>
              </w:rPr>
            </w:pP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6013E87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主要包括团属网站、组织新媒体小编开展宣传培训、官方博客、微信，团干个人博客、微信的运营维护，培训人次不少于25人次。提高团属媒体的曝光量、宣传度，提高团属媒体信息质量</w:t>
            </w:r>
          </w:p>
        </w:tc>
        <w:tc>
          <w:tcPr>
            <w:tcW w:w="4605" w:type="dxa"/>
            <w:gridSpan w:val="4"/>
            <w:tcBorders>
              <w:top w:val="single" w:color="000000" w:sz="4" w:space="0"/>
              <w:left w:val="single" w:color="000000" w:sz="4" w:space="0"/>
              <w:bottom w:val="single" w:color="000000" w:sz="4" w:space="0"/>
              <w:right w:val="single" w:color="000000" w:sz="4" w:space="0"/>
            </w:tcBorders>
            <w:shd w:val="clear"/>
            <w:vAlign w:val="center"/>
          </w:tcPr>
          <w:p w14:paraId="62E550EC">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对照年度目标，说明相关任务目标的完成情况（100字以内）</w:t>
            </w:r>
          </w:p>
        </w:tc>
      </w:tr>
      <w:tr w14:paraId="2DB77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8DAE536">
            <w:pP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60AE1E4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vAlign w:val="center"/>
          </w:tcPr>
          <w:p w14:paraId="16269A7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负责团属网站、官方微信、博客等平台日常运营维护，组织新媒体小编开展宣传技能培训，按要求审核发布团属信息，持续优化平台运营、提升内容质量，定期开展运维复盘，全程规范推进新媒体宣传各项工作。</w:t>
            </w:r>
          </w:p>
        </w:tc>
      </w:tr>
      <w:tr w14:paraId="5D688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3809EB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预算执行情况（10分）</w:t>
            </w: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391DCAF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021A3D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年初预算</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616A5F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调整后预算数</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1021C6B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预算执行数</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6521564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B1FEE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737567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27FDB6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原因</w:t>
            </w:r>
          </w:p>
        </w:tc>
      </w:tr>
      <w:tr w14:paraId="392C2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6"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8EEF367">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0817DB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总额</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5F00DE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6.00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7FFE1C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5.80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083D40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5.80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6380DCB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4063C1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624AEC14">
            <w:pPr>
              <w:jc w:val="center"/>
              <w:rPr>
                <w:rFonts w:hint="eastAsia" w:ascii="宋体" w:hAnsi="宋体" w:eastAsia="宋体" w:cs="宋体"/>
                <w:i w:val="0"/>
                <w:iCs w:val="0"/>
                <w:color w:val="000000"/>
                <w:sz w:val="18"/>
                <w:szCs w:val="18"/>
                <w:highlight w:val="none"/>
                <w:u w:val="none"/>
              </w:rPr>
            </w:pPr>
          </w:p>
        </w:tc>
        <w:tc>
          <w:tcPr>
            <w:tcW w:w="2550" w:type="dxa"/>
            <w:vMerge w:val="restart"/>
            <w:tcBorders>
              <w:top w:val="single" w:color="000000" w:sz="4" w:space="0"/>
              <w:left w:val="single" w:color="000000" w:sz="4" w:space="0"/>
              <w:bottom w:val="single" w:color="000000" w:sz="4" w:space="0"/>
              <w:right w:val="single" w:color="000000" w:sz="4" w:space="0"/>
            </w:tcBorders>
            <w:shd w:val="clear"/>
            <w:vAlign w:val="center"/>
          </w:tcPr>
          <w:p w14:paraId="572633C5">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FD5D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5C6A2D7">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7D3A19E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179478F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6.00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460C5BF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5.80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64C4FFF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5.80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45B919A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213B93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744D4F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C5B0D4">
            <w:pPr>
              <w:rPr>
                <w:rFonts w:hint="eastAsia" w:ascii="黑体" w:hAnsi="黑体" w:eastAsia="黑体" w:cs="黑体"/>
                <w:i/>
                <w:iCs/>
                <w:color w:val="000000"/>
                <w:sz w:val="18"/>
                <w:szCs w:val="18"/>
                <w:highlight w:val="none"/>
                <w:u w:val="none"/>
              </w:rPr>
            </w:pPr>
          </w:p>
        </w:tc>
      </w:tr>
      <w:tr w14:paraId="44B53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851B9FF">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3DCAC0A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69674B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002F52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4F1E0B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6CB91E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43779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3A57D7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8050046">
            <w:pPr>
              <w:rPr>
                <w:rFonts w:hint="eastAsia" w:ascii="黑体" w:hAnsi="黑体" w:eastAsia="黑体" w:cs="黑体"/>
                <w:i/>
                <w:iCs/>
                <w:color w:val="000000"/>
                <w:sz w:val="18"/>
                <w:szCs w:val="18"/>
                <w:highlight w:val="none"/>
                <w:u w:val="none"/>
              </w:rPr>
            </w:pPr>
          </w:p>
        </w:tc>
      </w:tr>
      <w:tr w14:paraId="7E85C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C53C6F2">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101B67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单位资金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736B206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437517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5D24DA1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08E61B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132463B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4BE1E0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7B1E360">
            <w:pPr>
              <w:rPr>
                <w:rFonts w:hint="eastAsia" w:ascii="黑体" w:hAnsi="黑体" w:eastAsia="黑体" w:cs="黑体"/>
                <w:i/>
                <w:iCs/>
                <w:color w:val="000000"/>
                <w:sz w:val="18"/>
                <w:szCs w:val="18"/>
                <w:highlight w:val="none"/>
                <w:u w:val="none"/>
              </w:rPr>
            </w:pPr>
          </w:p>
        </w:tc>
      </w:tr>
      <w:tr w14:paraId="4CB2F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39ED8CD">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386ADF1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其他资金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001D6A10">
            <w:pPr>
              <w:jc w:val="center"/>
              <w:rPr>
                <w:rFonts w:hint="eastAsia" w:ascii="微软雅黑" w:hAnsi="微软雅黑" w:eastAsia="微软雅黑" w:cs="微软雅黑"/>
                <w:i/>
                <w:iCs/>
                <w:color w:val="000000"/>
                <w:sz w:val="16"/>
                <w:szCs w:val="16"/>
                <w:highlight w:val="none"/>
                <w:u w:val="none"/>
              </w:rPr>
            </w:pP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0184A09A">
            <w:pPr>
              <w:jc w:val="center"/>
              <w:rPr>
                <w:rFonts w:hint="eastAsia" w:ascii="微软雅黑" w:hAnsi="微软雅黑" w:eastAsia="微软雅黑" w:cs="微软雅黑"/>
                <w:i/>
                <w:iCs/>
                <w:color w:val="000000"/>
                <w:sz w:val="16"/>
                <w:szCs w:val="16"/>
                <w:highlight w:val="none"/>
                <w:u w:val="none"/>
              </w:rPr>
            </w:pP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2ADCD1D5">
            <w:pPr>
              <w:jc w:val="center"/>
              <w:rPr>
                <w:rFonts w:hint="eastAsia" w:ascii="微软雅黑" w:hAnsi="微软雅黑" w:eastAsia="微软雅黑" w:cs="微软雅黑"/>
                <w:i/>
                <w:iCs/>
                <w:color w:val="000000"/>
                <w:sz w:val="16"/>
                <w:szCs w:val="16"/>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56C49498">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62D28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7CE84DB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A35AB5B">
            <w:pPr>
              <w:rPr>
                <w:rFonts w:hint="eastAsia" w:ascii="黑体" w:hAnsi="黑体" w:eastAsia="黑体" w:cs="黑体"/>
                <w:i/>
                <w:iCs/>
                <w:color w:val="000000"/>
                <w:sz w:val="18"/>
                <w:szCs w:val="18"/>
                <w:highlight w:val="none"/>
                <w:u w:val="none"/>
              </w:rPr>
            </w:pPr>
          </w:p>
        </w:tc>
      </w:tr>
      <w:tr w14:paraId="3BFD4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04CDBA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绩效指标（90分）</w:t>
            </w: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440935B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2E1BE5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二级指标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4E207D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00E3751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指标性质</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1F2835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2F4613C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度量单位</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616232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55ACBD1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127DB2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24B373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未完成原因分析</w:t>
            </w:r>
          </w:p>
        </w:tc>
      </w:tr>
      <w:tr w14:paraId="04A62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5681EFA">
            <w:pPr>
              <w:jc w:val="center"/>
              <w:rPr>
                <w:rFonts w:hint="eastAsia" w:ascii="宋体" w:hAnsi="宋体" w:eastAsia="宋体" w:cs="宋体"/>
                <w:i w:val="0"/>
                <w:iCs w:val="0"/>
                <w:color w:val="000000"/>
                <w:sz w:val="18"/>
                <w:szCs w:val="18"/>
                <w:highlight w:val="none"/>
                <w:u w:val="none"/>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544560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7A19C8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数量指标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589F8E6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团属信息发布数量</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3B3B6E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28CAFF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736EA0C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条</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6504B395">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5AFBA86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45066572">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1F30AF4F">
            <w:pPr>
              <w:jc w:val="center"/>
              <w:rPr>
                <w:rFonts w:hint="eastAsia" w:ascii="微软雅黑" w:hAnsi="微软雅黑" w:eastAsia="微软雅黑" w:cs="微软雅黑"/>
                <w:i/>
                <w:iCs/>
                <w:color w:val="000000"/>
                <w:sz w:val="16"/>
                <w:szCs w:val="16"/>
                <w:highlight w:val="none"/>
                <w:u w:val="none"/>
              </w:rPr>
            </w:pPr>
          </w:p>
        </w:tc>
      </w:tr>
      <w:tr w14:paraId="5C33B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00FFB2E">
            <w:pPr>
              <w:jc w:val="cente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5F521B7">
            <w:pPr>
              <w:jc w:val="center"/>
              <w:rPr>
                <w:rFonts w:hint="eastAsia" w:ascii="宋体" w:hAnsi="宋体" w:eastAsia="宋体" w:cs="宋体"/>
                <w:i w:val="0"/>
                <w:iCs w:val="0"/>
                <w:color w:val="000000"/>
                <w:sz w:val="18"/>
                <w:szCs w:val="18"/>
                <w:highlight w:val="none"/>
                <w:u w:val="none"/>
              </w:rPr>
            </w:pP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73FF4EE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质量指标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467B4E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新媒体内容审核通过率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43DA95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296E96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80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3FF96C1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0627FC92">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F4157E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2242CBA7">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79A2FFEA">
            <w:pPr>
              <w:jc w:val="center"/>
              <w:rPr>
                <w:rFonts w:hint="eastAsia" w:ascii="微软雅黑" w:hAnsi="微软雅黑" w:eastAsia="微软雅黑" w:cs="微软雅黑"/>
                <w:i/>
                <w:iCs/>
                <w:color w:val="000000"/>
                <w:sz w:val="16"/>
                <w:szCs w:val="16"/>
                <w:highlight w:val="none"/>
                <w:u w:val="none"/>
              </w:rPr>
            </w:pPr>
          </w:p>
        </w:tc>
      </w:tr>
      <w:tr w14:paraId="7C6D71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90D465C">
            <w:pPr>
              <w:jc w:val="cente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FD0F572">
            <w:pPr>
              <w:jc w:val="center"/>
              <w:rPr>
                <w:rFonts w:hint="eastAsia" w:ascii="宋体" w:hAnsi="宋体" w:eastAsia="宋体" w:cs="宋体"/>
                <w:i w:val="0"/>
                <w:iCs w:val="0"/>
                <w:color w:val="000000"/>
                <w:sz w:val="18"/>
                <w:szCs w:val="18"/>
                <w:highlight w:val="none"/>
                <w:u w:val="none"/>
              </w:rPr>
            </w:pP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79E0BD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时效指标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6707DC1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项目按时完成率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41E51E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2F2FD3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389771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1B2914BF">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00B702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068DD395">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0344DCDF">
            <w:pPr>
              <w:jc w:val="center"/>
              <w:rPr>
                <w:rFonts w:hint="eastAsia" w:ascii="微软雅黑" w:hAnsi="微软雅黑" w:eastAsia="微软雅黑" w:cs="微软雅黑"/>
                <w:i/>
                <w:iCs/>
                <w:color w:val="000000"/>
                <w:sz w:val="16"/>
                <w:szCs w:val="16"/>
                <w:highlight w:val="none"/>
                <w:u w:val="none"/>
              </w:rPr>
            </w:pPr>
          </w:p>
        </w:tc>
      </w:tr>
      <w:tr w14:paraId="0FE84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177E8C9">
            <w:pPr>
              <w:jc w:val="center"/>
              <w:rPr>
                <w:rFonts w:hint="eastAsia" w:ascii="宋体" w:hAnsi="宋体" w:eastAsia="宋体" w:cs="宋体"/>
                <w:i w:val="0"/>
                <w:iCs w:val="0"/>
                <w:color w:val="000000"/>
                <w:sz w:val="18"/>
                <w:szCs w:val="18"/>
                <w:highlight w:val="none"/>
                <w:u w:val="none"/>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41EAAAD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效益指标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vAlign w:val="center"/>
          </w:tcPr>
          <w:p w14:paraId="52BA33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18FE8A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媒体宣传影响力提升情况</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175F41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定性</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1052193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中</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587855C1">
            <w:pPr>
              <w:jc w:val="center"/>
              <w:rPr>
                <w:rFonts w:hint="eastAsia" w:ascii="宋体" w:hAnsi="宋体" w:eastAsia="宋体" w:cs="宋体"/>
                <w:i w:val="0"/>
                <w:iCs w:val="0"/>
                <w:color w:val="000000"/>
                <w:sz w:val="18"/>
                <w:szCs w:val="18"/>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3FD6F75A">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64B04B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73F528AE">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3E871011">
            <w:pPr>
              <w:jc w:val="center"/>
              <w:rPr>
                <w:rFonts w:hint="eastAsia" w:ascii="微软雅黑" w:hAnsi="微软雅黑" w:eastAsia="微软雅黑" w:cs="微软雅黑"/>
                <w:i/>
                <w:iCs/>
                <w:color w:val="000000"/>
                <w:sz w:val="16"/>
                <w:szCs w:val="16"/>
                <w:highlight w:val="none"/>
                <w:u w:val="none"/>
              </w:rPr>
            </w:pPr>
          </w:p>
        </w:tc>
      </w:tr>
      <w:tr w14:paraId="49F1C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3E6FFF5">
            <w:pPr>
              <w:jc w:val="cente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DB2B4BD">
            <w:pPr>
              <w:jc w:val="center"/>
              <w:rPr>
                <w:rFonts w:hint="eastAsia" w:ascii="宋体" w:hAnsi="宋体" w:eastAsia="宋体" w:cs="宋体"/>
                <w:i w:val="0"/>
                <w:iCs w:val="0"/>
                <w:color w:val="000000"/>
                <w:sz w:val="18"/>
                <w:szCs w:val="18"/>
                <w:highlight w:val="none"/>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6105ACD">
            <w:pPr>
              <w:jc w:val="center"/>
              <w:rPr>
                <w:rFonts w:hint="eastAsia" w:ascii="宋体" w:hAnsi="宋体" w:eastAsia="宋体" w:cs="宋体"/>
                <w:i w:val="0"/>
                <w:iCs w:val="0"/>
                <w:color w:val="000000"/>
                <w:sz w:val="18"/>
                <w:szCs w:val="18"/>
                <w:highlight w:val="none"/>
                <w:u w:val="none"/>
              </w:rPr>
            </w:pP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4EAF349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提高团属媒体信息质量</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78468F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定性</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6F441A2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信息质量显著提升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50C9AFF7">
            <w:pPr>
              <w:jc w:val="center"/>
              <w:rPr>
                <w:rFonts w:hint="eastAsia" w:ascii="宋体" w:hAnsi="宋体" w:eastAsia="宋体" w:cs="宋体"/>
                <w:i w:val="0"/>
                <w:iCs w:val="0"/>
                <w:color w:val="000000"/>
                <w:sz w:val="18"/>
                <w:szCs w:val="18"/>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0EFFF070">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5AE2F3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74D9FA90">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495247FA">
            <w:pPr>
              <w:jc w:val="center"/>
              <w:rPr>
                <w:rFonts w:hint="eastAsia" w:ascii="微软雅黑" w:hAnsi="微软雅黑" w:eastAsia="微软雅黑" w:cs="微软雅黑"/>
                <w:i/>
                <w:iCs/>
                <w:color w:val="000000"/>
                <w:sz w:val="16"/>
                <w:szCs w:val="16"/>
                <w:highlight w:val="none"/>
                <w:u w:val="none"/>
              </w:rPr>
            </w:pPr>
          </w:p>
        </w:tc>
      </w:tr>
      <w:tr w14:paraId="66B6A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6600957">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0934596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满意度指标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5F9D5A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400465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群众满意度</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69182B9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16C2F3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652942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6B76537A">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4E3A40F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1330B82B">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458BC46B">
            <w:pPr>
              <w:jc w:val="center"/>
              <w:rPr>
                <w:rFonts w:hint="eastAsia" w:ascii="微软雅黑" w:hAnsi="微软雅黑" w:eastAsia="微软雅黑" w:cs="微软雅黑"/>
                <w:i/>
                <w:iCs/>
                <w:color w:val="000000"/>
                <w:sz w:val="16"/>
                <w:szCs w:val="16"/>
                <w:highlight w:val="none"/>
                <w:u w:val="none"/>
              </w:rPr>
            </w:pPr>
          </w:p>
        </w:tc>
      </w:tr>
      <w:tr w14:paraId="715E7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598092F">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129E84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成本指标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3A47C0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750FAFF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成本控制率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384759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53E8E71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437D329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2C06260F">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2759064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260B5806">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1224EE85">
            <w:pPr>
              <w:jc w:val="center"/>
              <w:rPr>
                <w:rFonts w:hint="eastAsia" w:ascii="微软雅黑" w:hAnsi="微软雅黑" w:eastAsia="微软雅黑" w:cs="微软雅黑"/>
                <w:i/>
                <w:iCs/>
                <w:color w:val="000000"/>
                <w:sz w:val="16"/>
                <w:szCs w:val="16"/>
                <w:highlight w:val="none"/>
                <w:u w:val="none"/>
              </w:rPr>
            </w:pPr>
          </w:p>
        </w:tc>
      </w:tr>
      <w:tr w14:paraId="72221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05" w:type="dxa"/>
            <w:gridSpan w:val="8"/>
            <w:tcBorders>
              <w:top w:val="single" w:color="000000" w:sz="4" w:space="0"/>
              <w:left w:val="single" w:color="000000" w:sz="4" w:space="0"/>
              <w:bottom w:val="single" w:color="000000" w:sz="4" w:space="0"/>
              <w:right w:val="single" w:color="000000" w:sz="4" w:space="0"/>
            </w:tcBorders>
            <w:shd w:val="clear"/>
            <w:vAlign w:val="center"/>
          </w:tcPr>
          <w:p w14:paraId="2FDC2B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42DA55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6EC07FA2">
            <w:pP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23CDAEB2">
            <w:pPr>
              <w:rPr>
                <w:rFonts w:hint="eastAsia" w:ascii="宋体" w:hAnsi="宋体" w:eastAsia="宋体" w:cs="宋体"/>
                <w:i w:val="0"/>
                <w:iCs w:val="0"/>
                <w:color w:val="000000"/>
                <w:sz w:val="18"/>
                <w:szCs w:val="18"/>
                <w:highlight w:val="none"/>
                <w:u w:val="none"/>
              </w:rPr>
            </w:pPr>
          </w:p>
        </w:tc>
      </w:tr>
      <w:tr w14:paraId="02E44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1FFBB7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评价结论</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0E1AA09D">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自评总分 100 分。预算执行率 100%，信息发布、内容审核、成本控制等指标均完成。团属媒体宣传影响力提升，信息质量优化，群众满意度达标。</w:t>
            </w:r>
          </w:p>
        </w:tc>
      </w:tr>
      <w:tr w14:paraId="19B68D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69EB4F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存在问题</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1D1A575F">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新媒体运营人才不足，内容原创度与传播力有待提升；宣传矩阵协同效应未充分发挥，数据分析能力薄弱。</w:t>
            </w:r>
          </w:p>
        </w:tc>
      </w:tr>
      <w:tr w14:paraId="19745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78D061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改进措施</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14A77186">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加强新媒体小编专项培训，提升原创能力；整合团属宣传平台，形成传播合力；建立数据监测机制，优化宣传策略。</w:t>
            </w:r>
          </w:p>
        </w:tc>
      </w:tr>
      <w:tr w14:paraId="78C65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305" w:type="dxa"/>
            <w:gridSpan w:val="5"/>
            <w:tcBorders>
              <w:top w:val="single" w:color="000000" w:sz="4" w:space="0"/>
              <w:left w:val="single" w:color="000000" w:sz="4" w:space="0"/>
              <w:bottom w:val="single" w:color="000000" w:sz="4" w:space="0"/>
              <w:right w:val="single" w:color="000000" w:sz="4" w:space="0"/>
            </w:tcBorders>
            <w:shd w:val="clear"/>
            <w:vAlign w:val="center"/>
          </w:tcPr>
          <w:p w14:paraId="6A77B1F9">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项目负责人：李韦薇</w:t>
            </w:r>
          </w:p>
        </w:tc>
        <w:tc>
          <w:tcPr>
            <w:tcW w:w="6810" w:type="dxa"/>
            <w:gridSpan w:val="6"/>
            <w:tcBorders>
              <w:top w:val="single" w:color="000000" w:sz="4" w:space="0"/>
              <w:left w:val="single" w:color="000000" w:sz="4" w:space="0"/>
              <w:bottom w:val="single" w:color="000000" w:sz="4" w:space="0"/>
              <w:right w:val="single" w:color="000000" w:sz="4" w:space="0"/>
            </w:tcBorders>
            <w:shd w:val="clear"/>
            <w:vAlign w:val="center"/>
          </w:tcPr>
          <w:p w14:paraId="46952F38">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财务负责人：杨嘉奇</w:t>
            </w:r>
          </w:p>
        </w:tc>
      </w:tr>
      <w:tr w14:paraId="34222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0" w:type="dxa"/>
            <w:tcBorders>
              <w:top w:val="nil"/>
              <w:left w:val="nil"/>
              <w:bottom w:val="nil"/>
              <w:right w:val="nil"/>
            </w:tcBorders>
            <w:shd w:val="clear"/>
            <w:vAlign w:val="center"/>
          </w:tcPr>
          <w:p w14:paraId="0E78C346">
            <w:pPr>
              <w:rPr>
                <w:rFonts w:hint="eastAsia" w:ascii="宋体" w:hAnsi="宋体" w:eastAsia="宋体" w:cs="宋体"/>
                <w:i w:val="0"/>
                <w:iCs w:val="0"/>
                <w:color w:val="000000"/>
                <w:sz w:val="18"/>
                <w:szCs w:val="18"/>
                <w:highlight w:val="none"/>
                <w:u w:val="none"/>
              </w:rPr>
            </w:pPr>
          </w:p>
        </w:tc>
        <w:tc>
          <w:tcPr>
            <w:tcW w:w="2055" w:type="dxa"/>
            <w:tcBorders>
              <w:top w:val="nil"/>
              <w:left w:val="nil"/>
              <w:bottom w:val="nil"/>
              <w:right w:val="nil"/>
            </w:tcBorders>
            <w:shd w:val="clear"/>
            <w:vAlign w:val="center"/>
          </w:tcPr>
          <w:p w14:paraId="20262F98">
            <w:pPr>
              <w:rPr>
                <w:rFonts w:hint="eastAsia" w:ascii="宋体" w:hAnsi="宋体" w:eastAsia="宋体" w:cs="宋体"/>
                <w:i w:val="0"/>
                <w:iCs w:val="0"/>
                <w:color w:val="000000"/>
                <w:sz w:val="18"/>
                <w:szCs w:val="18"/>
                <w:highlight w:val="none"/>
                <w:u w:val="none"/>
              </w:rPr>
            </w:pPr>
          </w:p>
        </w:tc>
        <w:tc>
          <w:tcPr>
            <w:tcW w:w="1770" w:type="dxa"/>
            <w:tcBorders>
              <w:top w:val="nil"/>
              <w:left w:val="nil"/>
              <w:bottom w:val="nil"/>
              <w:right w:val="nil"/>
            </w:tcBorders>
            <w:shd w:val="clear"/>
            <w:vAlign w:val="center"/>
          </w:tcPr>
          <w:p w14:paraId="475E75A0">
            <w:pPr>
              <w:rPr>
                <w:rFonts w:hint="eastAsia" w:ascii="宋体" w:hAnsi="宋体" w:eastAsia="宋体" w:cs="宋体"/>
                <w:i w:val="0"/>
                <w:iCs w:val="0"/>
                <w:color w:val="000000"/>
                <w:sz w:val="18"/>
                <w:szCs w:val="18"/>
                <w:highlight w:val="none"/>
                <w:u w:val="none"/>
              </w:rPr>
            </w:pPr>
          </w:p>
        </w:tc>
        <w:tc>
          <w:tcPr>
            <w:tcW w:w="2265" w:type="dxa"/>
            <w:tcBorders>
              <w:top w:val="nil"/>
              <w:left w:val="nil"/>
              <w:bottom w:val="nil"/>
              <w:right w:val="nil"/>
            </w:tcBorders>
            <w:shd w:val="clear"/>
            <w:vAlign w:val="center"/>
          </w:tcPr>
          <w:p w14:paraId="1427D7DE">
            <w:pPr>
              <w:rPr>
                <w:rFonts w:hint="eastAsia" w:ascii="宋体" w:hAnsi="宋体" w:eastAsia="宋体" w:cs="宋体"/>
                <w:i w:val="0"/>
                <w:iCs w:val="0"/>
                <w:color w:val="000000"/>
                <w:sz w:val="18"/>
                <w:szCs w:val="18"/>
                <w:highlight w:val="none"/>
                <w:u w:val="none"/>
              </w:rPr>
            </w:pPr>
          </w:p>
          <w:p w14:paraId="4C9C9BD2">
            <w:pPr>
              <w:rPr>
                <w:rFonts w:hint="eastAsia" w:ascii="宋体" w:hAnsi="宋体" w:eastAsia="宋体" w:cs="宋体"/>
                <w:i w:val="0"/>
                <w:iCs w:val="0"/>
                <w:color w:val="000000"/>
                <w:sz w:val="18"/>
                <w:szCs w:val="18"/>
                <w:highlight w:val="none"/>
                <w:u w:val="none"/>
              </w:rPr>
            </w:pPr>
          </w:p>
          <w:p w14:paraId="5FAC76BC">
            <w:pPr>
              <w:rPr>
                <w:rFonts w:hint="eastAsia" w:ascii="宋体" w:hAnsi="宋体" w:eastAsia="宋体" w:cs="宋体"/>
                <w:i w:val="0"/>
                <w:iCs w:val="0"/>
                <w:color w:val="000000"/>
                <w:sz w:val="18"/>
                <w:szCs w:val="18"/>
                <w:highlight w:val="none"/>
                <w:u w:val="none"/>
              </w:rPr>
            </w:pPr>
          </w:p>
          <w:p w14:paraId="34850ED4">
            <w:pPr>
              <w:rPr>
                <w:rFonts w:hint="eastAsia" w:ascii="宋体" w:hAnsi="宋体" w:eastAsia="宋体" w:cs="宋体"/>
                <w:i w:val="0"/>
                <w:iCs w:val="0"/>
                <w:color w:val="000000"/>
                <w:sz w:val="18"/>
                <w:szCs w:val="18"/>
                <w:highlight w:val="none"/>
                <w:u w:val="none"/>
              </w:rPr>
            </w:pPr>
          </w:p>
          <w:p w14:paraId="27FDD32C">
            <w:pPr>
              <w:rPr>
                <w:rFonts w:hint="eastAsia" w:ascii="宋体" w:hAnsi="宋体" w:eastAsia="宋体" w:cs="宋体"/>
                <w:i w:val="0"/>
                <w:iCs w:val="0"/>
                <w:color w:val="000000"/>
                <w:sz w:val="18"/>
                <w:szCs w:val="18"/>
                <w:highlight w:val="none"/>
                <w:u w:val="none"/>
              </w:rPr>
            </w:pPr>
          </w:p>
          <w:p w14:paraId="6E349513">
            <w:pPr>
              <w:rPr>
                <w:rFonts w:hint="eastAsia" w:ascii="宋体" w:hAnsi="宋体" w:eastAsia="宋体" w:cs="宋体"/>
                <w:i w:val="0"/>
                <w:iCs w:val="0"/>
                <w:color w:val="000000"/>
                <w:sz w:val="18"/>
                <w:szCs w:val="18"/>
                <w:highlight w:val="none"/>
                <w:u w:val="none"/>
              </w:rPr>
            </w:pPr>
          </w:p>
          <w:p w14:paraId="7FB2364A">
            <w:pPr>
              <w:rPr>
                <w:rFonts w:hint="eastAsia" w:ascii="宋体" w:hAnsi="宋体" w:eastAsia="宋体" w:cs="宋体"/>
                <w:i w:val="0"/>
                <w:iCs w:val="0"/>
                <w:color w:val="000000"/>
                <w:sz w:val="18"/>
                <w:szCs w:val="18"/>
                <w:highlight w:val="none"/>
                <w:u w:val="none"/>
              </w:rPr>
            </w:pPr>
          </w:p>
        </w:tc>
        <w:tc>
          <w:tcPr>
            <w:tcW w:w="525" w:type="dxa"/>
            <w:tcBorders>
              <w:top w:val="nil"/>
              <w:left w:val="nil"/>
              <w:bottom w:val="nil"/>
              <w:right w:val="nil"/>
            </w:tcBorders>
            <w:shd w:val="clear"/>
            <w:vAlign w:val="center"/>
          </w:tcPr>
          <w:p w14:paraId="153BC50A">
            <w:pPr>
              <w:rPr>
                <w:rFonts w:hint="eastAsia" w:ascii="宋体" w:hAnsi="宋体" w:eastAsia="宋体" w:cs="宋体"/>
                <w:i w:val="0"/>
                <w:iCs w:val="0"/>
                <w:color w:val="000000"/>
                <w:sz w:val="18"/>
                <w:szCs w:val="18"/>
                <w:highlight w:val="none"/>
                <w:u w:val="none"/>
              </w:rPr>
            </w:pPr>
          </w:p>
        </w:tc>
        <w:tc>
          <w:tcPr>
            <w:tcW w:w="1680" w:type="dxa"/>
            <w:tcBorders>
              <w:top w:val="nil"/>
              <w:left w:val="nil"/>
              <w:bottom w:val="nil"/>
              <w:right w:val="nil"/>
            </w:tcBorders>
            <w:shd w:val="clear"/>
            <w:vAlign w:val="center"/>
          </w:tcPr>
          <w:p w14:paraId="533B2C14">
            <w:pPr>
              <w:rPr>
                <w:rFonts w:hint="eastAsia" w:ascii="宋体" w:hAnsi="宋体" w:eastAsia="宋体" w:cs="宋体"/>
                <w:i w:val="0"/>
                <w:iCs w:val="0"/>
                <w:color w:val="000000"/>
                <w:sz w:val="18"/>
                <w:szCs w:val="18"/>
                <w:highlight w:val="none"/>
                <w:u w:val="none"/>
              </w:rPr>
            </w:pPr>
          </w:p>
        </w:tc>
        <w:tc>
          <w:tcPr>
            <w:tcW w:w="525" w:type="dxa"/>
            <w:tcBorders>
              <w:top w:val="nil"/>
              <w:left w:val="nil"/>
              <w:bottom w:val="nil"/>
              <w:right w:val="nil"/>
            </w:tcBorders>
            <w:shd w:val="clear"/>
            <w:vAlign w:val="center"/>
          </w:tcPr>
          <w:p w14:paraId="587C6810">
            <w:pPr>
              <w:rPr>
                <w:rFonts w:hint="eastAsia" w:ascii="宋体" w:hAnsi="宋体" w:eastAsia="宋体" w:cs="宋体"/>
                <w:i w:val="0"/>
                <w:iCs w:val="0"/>
                <w:color w:val="000000"/>
                <w:sz w:val="18"/>
                <w:szCs w:val="18"/>
                <w:highlight w:val="none"/>
                <w:u w:val="none"/>
              </w:rPr>
            </w:pPr>
          </w:p>
        </w:tc>
        <w:tc>
          <w:tcPr>
            <w:tcW w:w="1095" w:type="dxa"/>
            <w:tcBorders>
              <w:top w:val="nil"/>
              <w:left w:val="nil"/>
              <w:bottom w:val="nil"/>
              <w:right w:val="nil"/>
            </w:tcBorders>
            <w:shd w:val="clear"/>
            <w:vAlign w:val="center"/>
          </w:tcPr>
          <w:p w14:paraId="176089B2">
            <w:pPr>
              <w:rPr>
                <w:rFonts w:hint="eastAsia" w:ascii="宋体" w:hAnsi="宋体" w:eastAsia="宋体" w:cs="宋体"/>
                <w:i w:val="0"/>
                <w:iCs w:val="0"/>
                <w:color w:val="000000"/>
                <w:sz w:val="18"/>
                <w:szCs w:val="18"/>
                <w:highlight w:val="none"/>
                <w:u w:val="none"/>
              </w:rPr>
            </w:pPr>
          </w:p>
        </w:tc>
        <w:tc>
          <w:tcPr>
            <w:tcW w:w="510" w:type="dxa"/>
            <w:tcBorders>
              <w:top w:val="nil"/>
              <w:left w:val="nil"/>
              <w:bottom w:val="nil"/>
              <w:right w:val="nil"/>
            </w:tcBorders>
            <w:shd w:val="clear"/>
            <w:vAlign w:val="center"/>
          </w:tcPr>
          <w:p w14:paraId="12AC1E13">
            <w:pPr>
              <w:rPr>
                <w:rFonts w:hint="eastAsia" w:ascii="宋体" w:hAnsi="宋体" w:eastAsia="宋体" w:cs="宋体"/>
                <w:i w:val="0"/>
                <w:iCs w:val="0"/>
                <w:color w:val="000000"/>
                <w:sz w:val="18"/>
                <w:szCs w:val="18"/>
                <w:highlight w:val="none"/>
                <w:u w:val="none"/>
              </w:rPr>
            </w:pPr>
          </w:p>
        </w:tc>
        <w:tc>
          <w:tcPr>
            <w:tcW w:w="450" w:type="dxa"/>
            <w:tcBorders>
              <w:top w:val="nil"/>
              <w:left w:val="nil"/>
              <w:bottom w:val="nil"/>
              <w:right w:val="nil"/>
            </w:tcBorders>
            <w:shd w:val="clear"/>
            <w:vAlign w:val="center"/>
          </w:tcPr>
          <w:p w14:paraId="2FE9DD1A">
            <w:pPr>
              <w:rPr>
                <w:rFonts w:hint="eastAsia" w:ascii="宋体" w:hAnsi="宋体" w:eastAsia="宋体" w:cs="宋体"/>
                <w:i w:val="0"/>
                <w:iCs w:val="0"/>
                <w:color w:val="000000"/>
                <w:sz w:val="18"/>
                <w:szCs w:val="18"/>
                <w:highlight w:val="none"/>
                <w:u w:val="none"/>
              </w:rPr>
            </w:pPr>
          </w:p>
        </w:tc>
        <w:tc>
          <w:tcPr>
            <w:tcW w:w="2550" w:type="dxa"/>
            <w:tcBorders>
              <w:top w:val="nil"/>
              <w:left w:val="nil"/>
              <w:bottom w:val="nil"/>
              <w:right w:val="nil"/>
            </w:tcBorders>
            <w:shd w:val="clear"/>
            <w:vAlign w:val="center"/>
          </w:tcPr>
          <w:p w14:paraId="1DFD2587">
            <w:pPr>
              <w:rPr>
                <w:rFonts w:hint="eastAsia" w:ascii="宋体" w:hAnsi="宋体" w:eastAsia="宋体" w:cs="宋体"/>
                <w:i w:val="0"/>
                <w:iCs w:val="0"/>
                <w:color w:val="000000"/>
                <w:sz w:val="18"/>
                <w:szCs w:val="18"/>
                <w:highlight w:val="none"/>
                <w:u w:val="none"/>
              </w:rPr>
            </w:pPr>
          </w:p>
        </w:tc>
      </w:tr>
      <w:tr w14:paraId="4C74E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vAlign w:val="center"/>
          </w:tcPr>
          <w:p w14:paraId="478F466D">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bdr w:val="none" w:color="auto" w:sz="0" w:space="0"/>
                <w:lang w:val="en-US" w:eastAsia="zh-CN" w:bidi="ar"/>
              </w:rPr>
              <w:t>部门预算项目支出绩效自评表（2025年度）</w:t>
            </w:r>
          </w:p>
        </w:tc>
      </w:tr>
      <w:tr w14:paraId="66313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vAlign w:val="center"/>
          </w:tcPr>
          <w:p w14:paraId="3DF62A8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vAlign w:val="center"/>
          </w:tcPr>
          <w:p w14:paraId="6400DA7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51320021T000000109257-青少年工作经费</w:t>
            </w:r>
          </w:p>
        </w:tc>
      </w:tr>
      <w:tr w14:paraId="26205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vAlign w:val="center"/>
          </w:tcPr>
          <w:p w14:paraId="75A7C87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主管部门</w:t>
            </w: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47FA210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团州委部门</w:t>
            </w:r>
          </w:p>
        </w:tc>
        <w:tc>
          <w:tcPr>
            <w:tcW w:w="1095" w:type="dxa"/>
            <w:tcBorders>
              <w:top w:val="nil"/>
              <w:left w:val="nil"/>
              <w:bottom w:val="nil"/>
              <w:right w:val="nil"/>
            </w:tcBorders>
            <w:shd w:val="clear"/>
            <w:vAlign w:val="center"/>
          </w:tcPr>
          <w:p w14:paraId="23D36FCE">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vAlign w:val="center"/>
          </w:tcPr>
          <w:p w14:paraId="7A4F20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团州委</w:t>
            </w:r>
          </w:p>
        </w:tc>
      </w:tr>
      <w:tr w14:paraId="1A368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38834DA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0BCF92A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5C2FF20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shd w:val="clear"/>
            <w:vAlign w:val="center"/>
          </w:tcPr>
          <w:p w14:paraId="16266BE0">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年度目标完成情况</w:t>
            </w:r>
          </w:p>
        </w:tc>
      </w:tr>
      <w:tr w14:paraId="4FF68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F2E60F3">
            <w:pP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4D24B87">
            <w:pPr>
              <w:rPr>
                <w:rFonts w:hint="eastAsia" w:ascii="宋体" w:hAnsi="宋体" w:eastAsia="宋体" w:cs="宋体"/>
                <w:i w:val="0"/>
                <w:iCs w:val="0"/>
                <w:color w:val="000000"/>
                <w:sz w:val="18"/>
                <w:szCs w:val="18"/>
                <w:highlight w:val="none"/>
                <w:u w:val="none"/>
              </w:rPr>
            </w:pP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606CE7E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强化我州青少年思想培养、政治引领，推动青少年法治思维建立，关注青少年成长发展 ,服务好我州青少年，通过政策倡导、社会倡导等各类方式开展青少年相关工作，提高青少年参与政治活动比列和思想政治教育覆盖率。</w:t>
            </w:r>
          </w:p>
        </w:tc>
        <w:tc>
          <w:tcPr>
            <w:tcW w:w="4605" w:type="dxa"/>
            <w:gridSpan w:val="4"/>
            <w:tcBorders>
              <w:top w:val="single" w:color="000000" w:sz="4" w:space="0"/>
              <w:left w:val="single" w:color="000000" w:sz="4" w:space="0"/>
              <w:bottom w:val="single" w:color="000000" w:sz="4" w:space="0"/>
              <w:right w:val="single" w:color="000000" w:sz="4" w:space="0"/>
            </w:tcBorders>
            <w:shd w:val="clear"/>
            <w:vAlign w:val="center"/>
          </w:tcPr>
          <w:p w14:paraId="2B18E916">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对照年度目标，说明相关任务目标的完成情况（100字以内）</w:t>
            </w:r>
          </w:p>
        </w:tc>
      </w:tr>
      <w:tr w14:paraId="495AD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D0D27D7">
            <w:pP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3F27B9D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vAlign w:val="center"/>
          </w:tcPr>
          <w:p w14:paraId="677AC3A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依托项目经费开展青少年思想引领、法治宣传、成长服务等工作，组织普法宣讲、思想政治教育等活动，面向全州青少年提供政策与社会倡导服务，按方案分步实施各项青少年工作，保障服务全覆盖、活动常态化开展。</w:t>
            </w:r>
          </w:p>
        </w:tc>
      </w:tr>
      <w:tr w14:paraId="61406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68723BF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预算执行情况（10分）</w:t>
            </w: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19E5851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2D9758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年初预算</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1AA28F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调整后预算数</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2622C8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预算执行数</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5B68B3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56175B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40AE5C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3F93AE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原因</w:t>
            </w:r>
          </w:p>
        </w:tc>
      </w:tr>
      <w:tr w14:paraId="27EC3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C11E401">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658FBF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总额</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5302F4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4.00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41B285F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25.33</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0359F9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25.33</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159BFC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5044AE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6D5EC2DB">
            <w:pPr>
              <w:jc w:val="center"/>
              <w:rPr>
                <w:rFonts w:hint="eastAsia" w:ascii="宋体" w:hAnsi="宋体" w:eastAsia="宋体" w:cs="宋体"/>
                <w:i w:val="0"/>
                <w:iCs w:val="0"/>
                <w:color w:val="000000"/>
                <w:sz w:val="18"/>
                <w:szCs w:val="18"/>
                <w:highlight w:val="none"/>
                <w:u w:val="none"/>
              </w:rPr>
            </w:pPr>
          </w:p>
        </w:tc>
        <w:tc>
          <w:tcPr>
            <w:tcW w:w="2550" w:type="dxa"/>
            <w:vMerge w:val="restart"/>
            <w:tcBorders>
              <w:top w:val="single" w:color="000000" w:sz="4" w:space="0"/>
              <w:left w:val="single" w:color="000000" w:sz="4" w:space="0"/>
              <w:bottom w:val="single" w:color="000000" w:sz="4" w:space="0"/>
              <w:right w:val="single" w:color="000000" w:sz="4" w:space="0"/>
            </w:tcBorders>
            <w:shd w:val="clear"/>
            <w:vAlign w:val="center"/>
          </w:tcPr>
          <w:p w14:paraId="7A9FF88F">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4B38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10AA65A">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781E9D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0A7CF4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4.00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58A2F4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4.00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259DA8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4.00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756573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429E25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3168F2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FF6C7CE">
            <w:pPr>
              <w:rPr>
                <w:rFonts w:hint="eastAsia" w:ascii="黑体" w:hAnsi="黑体" w:eastAsia="黑体" w:cs="黑体"/>
                <w:i/>
                <w:iCs/>
                <w:color w:val="000000"/>
                <w:sz w:val="18"/>
                <w:szCs w:val="18"/>
                <w:highlight w:val="none"/>
                <w:u w:val="none"/>
              </w:rPr>
            </w:pPr>
          </w:p>
        </w:tc>
      </w:tr>
      <w:tr w14:paraId="635AB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8DDE883">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21DFA8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6C23E09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4E7A28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08E0C9F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535282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77D3AB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3B623B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0F72DA7">
            <w:pPr>
              <w:rPr>
                <w:rFonts w:hint="eastAsia" w:ascii="黑体" w:hAnsi="黑体" w:eastAsia="黑体" w:cs="黑体"/>
                <w:i/>
                <w:iCs/>
                <w:color w:val="000000"/>
                <w:sz w:val="18"/>
                <w:szCs w:val="18"/>
                <w:highlight w:val="none"/>
                <w:u w:val="none"/>
              </w:rPr>
            </w:pPr>
          </w:p>
        </w:tc>
      </w:tr>
      <w:tr w14:paraId="7D707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D8B3187">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67204E1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单位资金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5D62680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1AA135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21.33</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274A6F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21.33</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45E39A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7C6800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1ABC63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CD3A14">
            <w:pPr>
              <w:rPr>
                <w:rFonts w:hint="eastAsia" w:ascii="黑体" w:hAnsi="黑体" w:eastAsia="黑体" w:cs="黑体"/>
                <w:i/>
                <w:iCs/>
                <w:color w:val="000000"/>
                <w:sz w:val="18"/>
                <w:szCs w:val="18"/>
                <w:highlight w:val="none"/>
                <w:u w:val="none"/>
              </w:rPr>
            </w:pPr>
          </w:p>
        </w:tc>
      </w:tr>
      <w:tr w14:paraId="74DF4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64837C2">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7797FC1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其他资金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5C1BDBC1">
            <w:pPr>
              <w:jc w:val="center"/>
              <w:rPr>
                <w:rFonts w:hint="eastAsia" w:ascii="微软雅黑" w:hAnsi="微软雅黑" w:eastAsia="微软雅黑" w:cs="微软雅黑"/>
                <w:i/>
                <w:iCs/>
                <w:color w:val="000000"/>
                <w:sz w:val="16"/>
                <w:szCs w:val="16"/>
                <w:highlight w:val="none"/>
                <w:u w:val="none"/>
              </w:rPr>
            </w:pP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5B31F554">
            <w:pPr>
              <w:jc w:val="center"/>
              <w:rPr>
                <w:rFonts w:hint="eastAsia" w:ascii="微软雅黑" w:hAnsi="微软雅黑" w:eastAsia="微软雅黑" w:cs="微软雅黑"/>
                <w:i/>
                <w:iCs/>
                <w:color w:val="000000"/>
                <w:sz w:val="16"/>
                <w:szCs w:val="16"/>
                <w:highlight w:val="none"/>
                <w:u w:val="none"/>
              </w:rPr>
            </w:pP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1C4FD3E9">
            <w:pPr>
              <w:jc w:val="center"/>
              <w:rPr>
                <w:rFonts w:hint="eastAsia" w:ascii="微软雅黑" w:hAnsi="微软雅黑" w:eastAsia="微软雅黑" w:cs="微软雅黑"/>
                <w:i/>
                <w:iCs/>
                <w:color w:val="000000"/>
                <w:sz w:val="16"/>
                <w:szCs w:val="16"/>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5862B773">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0716DDE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39453E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8DDB131">
            <w:pPr>
              <w:rPr>
                <w:rFonts w:hint="eastAsia" w:ascii="黑体" w:hAnsi="黑体" w:eastAsia="黑体" w:cs="黑体"/>
                <w:i/>
                <w:iCs/>
                <w:color w:val="000000"/>
                <w:sz w:val="18"/>
                <w:szCs w:val="18"/>
                <w:highlight w:val="none"/>
                <w:u w:val="none"/>
              </w:rPr>
            </w:pPr>
          </w:p>
        </w:tc>
      </w:tr>
      <w:tr w14:paraId="309C5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5CE6F4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绩效指标（90分）</w:t>
            </w: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108BCD7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3E79C47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二级指标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15B4144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3DDFF7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指标性质</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2855CA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57FC87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度量单位</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51DE8C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1B70D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7B7410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0880AF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未完成原因分析</w:t>
            </w:r>
          </w:p>
        </w:tc>
      </w:tr>
      <w:tr w14:paraId="08212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06D41C8">
            <w:pPr>
              <w:jc w:val="center"/>
              <w:rPr>
                <w:rFonts w:hint="eastAsia" w:ascii="宋体" w:hAnsi="宋体" w:eastAsia="宋体" w:cs="宋体"/>
                <w:i w:val="0"/>
                <w:iCs w:val="0"/>
                <w:color w:val="000000"/>
                <w:sz w:val="18"/>
                <w:szCs w:val="18"/>
                <w:highlight w:val="none"/>
                <w:u w:val="none"/>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0D5CAC2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产出指标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vAlign w:val="center"/>
          </w:tcPr>
          <w:p w14:paraId="761D69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数量指标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1219F9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青少年受到法律宣讲比例</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64B2FA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127AEF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40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0AFABE3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4A2285A5">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518955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24AD7330">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7EB6DA3F">
            <w:pPr>
              <w:jc w:val="center"/>
              <w:rPr>
                <w:rFonts w:hint="eastAsia" w:ascii="微软雅黑" w:hAnsi="微软雅黑" w:eastAsia="微软雅黑" w:cs="微软雅黑"/>
                <w:i/>
                <w:iCs/>
                <w:color w:val="000000"/>
                <w:sz w:val="16"/>
                <w:szCs w:val="16"/>
                <w:highlight w:val="none"/>
                <w:u w:val="none"/>
              </w:rPr>
            </w:pPr>
          </w:p>
        </w:tc>
      </w:tr>
      <w:tr w14:paraId="65EF0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F68416F">
            <w:pPr>
              <w:jc w:val="cente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BB77D19">
            <w:pPr>
              <w:jc w:val="center"/>
              <w:rPr>
                <w:rFonts w:hint="eastAsia" w:ascii="宋体" w:hAnsi="宋体" w:eastAsia="宋体" w:cs="宋体"/>
                <w:i w:val="0"/>
                <w:iCs w:val="0"/>
                <w:color w:val="000000"/>
                <w:sz w:val="18"/>
                <w:szCs w:val="18"/>
                <w:highlight w:val="none"/>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2F42476">
            <w:pPr>
              <w:jc w:val="center"/>
              <w:rPr>
                <w:rFonts w:hint="eastAsia" w:ascii="宋体" w:hAnsi="宋体" w:eastAsia="宋体" w:cs="宋体"/>
                <w:i w:val="0"/>
                <w:iCs w:val="0"/>
                <w:color w:val="000000"/>
                <w:sz w:val="18"/>
                <w:szCs w:val="18"/>
                <w:highlight w:val="none"/>
                <w:u w:val="none"/>
              </w:rPr>
            </w:pP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2C655D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青少年宣传普法次数</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355C01C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227338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0E79F03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场次</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5B9B4118">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0D4E7E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0CE9D320">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442E5103">
            <w:pPr>
              <w:jc w:val="center"/>
              <w:rPr>
                <w:rFonts w:hint="eastAsia" w:ascii="微软雅黑" w:hAnsi="微软雅黑" w:eastAsia="微软雅黑" w:cs="微软雅黑"/>
                <w:i/>
                <w:iCs/>
                <w:color w:val="000000"/>
                <w:sz w:val="16"/>
                <w:szCs w:val="16"/>
                <w:highlight w:val="none"/>
                <w:u w:val="none"/>
              </w:rPr>
            </w:pPr>
          </w:p>
        </w:tc>
      </w:tr>
      <w:tr w14:paraId="035D9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EEA37B8">
            <w:pPr>
              <w:jc w:val="cente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97E4587">
            <w:pPr>
              <w:jc w:val="center"/>
              <w:rPr>
                <w:rFonts w:hint="eastAsia" w:ascii="宋体" w:hAnsi="宋体" w:eastAsia="宋体" w:cs="宋体"/>
                <w:i w:val="0"/>
                <w:iCs w:val="0"/>
                <w:color w:val="000000"/>
                <w:sz w:val="18"/>
                <w:szCs w:val="18"/>
                <w:highlight w:val="none"/>
                <w:u w:val="none"/>
              </w:rPr>
            </w:pP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1CF6CF2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时效指标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43F300A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项目完成时限</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2140BC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定性</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15CB5E1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2025年12月底前完成</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53F95DFD">
            <w:pPr>
              <w:jc w:val="center"/>
              <w:rPr>
                <w:rFonts w:hint="eastAsia" w:ascii="宋体" w:hAnsi="宋体" w:eastAsia="宋体" w:cs="宋体"/>
                <w:i w:val="0"/>
                <w:iCs w:val="0"/>
                <w:color w:val="000000"/>
                <w:sz w:val="18"/>
                <w:szCs w:val="18"/>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7BA945F6">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167516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70BBD1BB">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5E0DE21B">
            <w:pPr>
              <w:jc w:val="center"/>
              <w:rPr>
                <w:rFonts w:hint="eastAsia" w:ascii="微软雅黑" w:hAnsi="微软雅黑" w:eastAsia="微软雅黑" w:cs="微软雅黑"/>
                <w:i/>
                <w:iCs/>
                <w:color w:val="000000"/>
                <w:sz w:val="16"/>
                <w:szCs w:val="16"/>
                <w:highlight w:val="none"/>
                <w:u w:val="none"/>
              </w:rPr>
            </w:pPr>
          </w:p>
        </w:tc>
      </w:tr>
      <w:tr w14:paraId="16A7D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E44F6FF">
            <w:pPr>
              <w:jc w:val="center"/>
              <w:rPr>
                <w:rFonts w:hint="eastAsia" w:ascii="宋体" w:hAnsi="宋体" w:eastAsia="宋体" w:cs="宋体"/>
                <w:i w:val="0"/>
                <w:iCs w:val="0"/>
                <w:color w:val="000000"/>
                <w:sz w:val="18"/>
                <w:szCs w:val="18"/>
                <w:highlight w:val="none"/>
                <w:u w:val="none"/>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3A6091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效益指标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vAlign w:val="center"/>
          </w:tcPr>
          <w:p w14:paraId="3E9D6CC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374BC9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青少年思想政治教育覆盖率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46B0D2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0F9268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85</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15A36AE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0B5DE8AC">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441C76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64394ED8">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54B6A724">
            <w:pPr>
              <w:jc w:val="center"/>
              <w:rPr>
                <w:rFonts w:hint="eastAsia" w:ascii="微软雅黑" w:hAnsi="微软雅黑" w:eastAsia="微软雅黑" w:cs="微软雅黑"/>
                <w:i/>
                <w:iCs/>
                <w:color w:val="000000"/>
                <w:sz w:val="16"/>
                <w:szCs w:val="16"/>
                <w:highlight w:val="none"/>
                <w:u w:val="none"/>
              </w:rPr>
            </w:pPr>
          </w:p>
        </w:tc>
      </w:tr>
      <w:tr w14:paraId="0AE1C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3F1D240">
            <w:pPr>
              <w:jc w:val="cente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F7C3AC">
            <w:pPr>
              <w:jc w:val="center"/>
              <w:rPr>
                <w:rFonts w:hint="eastAsia" w:ascii="宋体" w:hAnsi="宋体" w:eastAsia="宋体" w:cs="宋体"/>
                <w:i w:val="0"/>
                <w:iCs w:val="0"/>
                <w:color w:val="000000"/>
                <w:sz w:val="18"/>
                <w:szCs w:val="18"/>
                <w:highlight w:val="none"/>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AE4B38D">
            <w:pPr>
              <w:jc w:val="center"/>
              <w:rPr>
                <w:rFonts w:hint="eastAsia" w:ascii="宋体" w:hAnsi="宋体" w:eastAsia="宋体" w:cs="宋体"/>
                <w:i w:val="0"/>
                <w:iCs w:val="0"/>
                <w:color w:val="000000"/>
                <w:sz w:val="18"/>
                <w:szCs w:val="18"/>
                <w:highlight w:val="none"/>
                <w:u w:val="none"/>
              </w:rPr>
            </w:pP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393E52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青少年参与政治活动比例</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7C9805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5E8417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40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1C271E6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0BADF343">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13F57CF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00B1D43D">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2616FBAF">
            <w:pPr>
              <w:jc w:val="center"/>
              <w:rPr>
                <w:rFonts w:hint="eastAsia" w:ascii="微软雅黑" w:hAnsi="微软雅黑" w:eastAsia="微软雅黑" w:cs="微软雅黑"/>
                <w:i/>
                <w:iCs/>
                <w:color w:val="000000"/>
                <w:sz w:val="16"/>
                <w:szCs w:val="16"/>
                <w:highlight w:val="none"/>
                <w:u w:val="none"/>
              </w:rPr>
            </w:pPr>
          </w:p>
        </w:tc>
      </w:tr>
      <w:tr w14:paraId="03EDA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D544C06">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68C430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满意度指标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44BC92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2FA2E7A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青少年满意度</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40E790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7D5062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069110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6182EC26">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518221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6D0434E2">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73076BFB">
            <w:pPr>
              <w:jc w:val="center"/>
              <w:rPr>
                <w:rFonts w:hint="eastAsia" w:ascii="微软雅黑" w:hAnsi="微软雅黑" w:eastAsia="微软雅黑" w:cs="微软雅黑"/>
                <w:i/>
                <w:iCs/>
                <w:color w:val="000000"/>
                <w:sz w:val="16"/>
                <w:szCs w:val="16"/>
                <w:highlight w:val="none"/>
                <w:u w:val="none"/>
              </w:rPr>
            </w:pPr>
          </w:p>
        </w:tc>
      </w:tr>
      <w:tr w14:paraId="46539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C839F94">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1282E1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成本指标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278E26F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04186F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成本控制率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42D99B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50C880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27FC8AD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1CF2B1A7">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641546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5D1C12A2">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3AABC84E">
            <w:pPr>
              <w:jc w:val="center"/>
              <w:rPr>
                <w:rFonts w:hint="eastAsia" w:ascii="微软雅黑" w:hAnsi="微软雅黑" w:eastAsia="微软雅黑" w:cs="微软雅黑"/>
                <w:i/>
                <w:iCs/>
                <w:color w:val="000000"/>
                <w:sz w:val="16"/>
                <w:szCs w:val="16"/>
                <w:highlight w:val="none"/>
                <w:u w:val="none"/>
              </w:rPr>
            </w:pPr>
          </w:p>
        </w:tc>
      </w:tr>
      <w:tr w14:paraId="2C9CE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05" w:type="dxa"/>
            <w:gridSpan w:val="8"/>
            <w:tcBorders>
              <w:top w:val="single" w:color="000000" w:sz="4" w:space="0"/>
              <w:left w:val="single" w:color="000000" w:sz="4" w:space="0"/>
              <w:bottom w:val="single" w:color="000000" w:sz="4" w:space="0"/>
              <w:right w:val="single" w:color="000000" w:sz="4" w:space="0"/>
            </w:tcBorders>
            <w:shd w:val="clear"/>
            <w:vAlign w:val="center"/>
          </w:tcPr>
          <w:p w14:paraId="1BE2C2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C491D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14DADBEC">
            <w:pP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646AEC9A">
            <w:pPr>
              <w:rPr>
                <w:rFonts w:hint="eastAsia" w:ascii="宋体" w:hAnsi="宋体" w:eastAsia="宋体" w:cs="宋体"/>
                <w:i w:val="0"/>
                <w:iCs w:val="0"/>
                <w:color w:val="000000"/>
                <w:sz w:val="18"/>
                <w:szCs w:val="18"/>
                <w:highlight w:val="none"/>
                <w:u w:val="none"/>
              </w:rPr>
            </w:pPr>
          </w:p>
        </w:tc>
      </w:tr>
      <w:tr w14:paraId="76245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3B8920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评价结论</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2ED42616">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自评总分 100 分。预算执行率 100%，普法宣讲、思想教育、政治参与等指标均达标。青少年思想引领与法治教育全覆盖，服务青少年成长发展成效明显。</w:t>
            </w:r>
          </w:p>
        </w:tc>
      </w:tr>
      <w:tr w14:paraId="6DB67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42B0B4D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存在问题</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2ACB5F3A">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青少年活动覆盖面不均衡，偏远地区宣传力度弱；活动形式单一，对青少年吸引力不足。</w:t>
            </w:r>
          </w:p>
        </w:tc>
      </w:tr>
      <w:tr w14:paraId="7FFDD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0A6B6C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改进措施</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5F09546D">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下沉活动资源至基层，扩大覆盖范围；创新活动形式，贴合青少年需求；建立常态化服务机制，提升服务精准度。</w:t>
            </w:r>
          </w:p>
        </w:tc>
      </w:tr>
      <w:tr w14:paraId="6D167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7305" w:type="dxa"/>
            <w:gridSpan w:val="5"/>
            <w:tcBorders>
              <w:top w:val="single" w:color="000000" w:sz="4" w:space="0"/>
              <w:left w:val="single" w:color="000000" w:sz="4" w:space="0"/>
              <w:bottom w:val="single" w:color="000000" w:sz="4" w:space="0"/>
              <w:right w:val="single" w:color="000000" w:sz="4" w:space="0"/>
            </w:tcBorders>
            <w:shd w:val="clear"/>
            <w:vAlign w:val="center"/>
          </w:tcPr>
          <w:p w14:paraId="5BCD0D3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项目负责人：勇旦杰</w:t>
            </w:r>
          </w:p>
        </w:tc>
        <w:tc>
          <w:tcPr>
            <w:tcW w:w="6810" w:type="dxa"/>
            <w:gridSpan w:val="6"/>
            <w:tcBorders>
              <w:top w:val="single" w:color="000000" w:sz="4" w:space="0"/>
              <w:left w:val="single" w:color="000000" w:sz="4" w:space="0"/>
              <w:bottom w:val="single" w:color="000000" w:sz="4" w:space="0"/>
              <w:right w:val="single" w:color="000000" w:sz="4" w:space="0"/>
            </w:tcBorders>
            <w:shd w:val="clear"/>
            <w:vAlign w:val="center"/>
          </w:tcPr>
          <w:p w14:paraId="053596A4">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财务负责人：杨嘉奇</w:t>
            </w:r>
          </w:p>
        </w:tc>
      </w:tr>
      <w:tr w14:paraId="39E64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0" w:type="dxa"/>
            <w:tcBorders>
              <w:top w:val="nil"/>
              <w:left w:val="nil"/>
              <w:bottom w:val="nil"/>
              <w:right w:val="nil"/>
            </w:tcBorders>
            <w:shd w:val="clear"/>
            <w:vAlign w:val="center"/>
          </w:tcPr>
          <w:p w14:paraId="745FF630">
            <w:pPr>
              <w:rPr>
                <w:rFonts w:hint="eastAsia" w:ascii="宋体" w:hAnsi="宋体" w:eastAsia="宋体" w:cs="宋体"/>
                <w:i w:val="0"/>
                <w:iCs w:val="0"/>
                <w:color w:val="000000"/>
                <w:sz w:val="18"/>
                <w:szCs w:val="18"/>
                <w:highlight w:val="none"/>
                <w:u w:val="none"/>
              </w:rPr>
            </w:pPr>
          </w:p>
        </w:tc>
        <w:tc>
          <w:tcPr>
            <w:tcW w:w="2055" w:type="dxa"/>
            <w:tcBorders>
              <w:top w:val="nil"/>
              <w:left w:val="nil"/>
              <w:bottom w:val="nil"/>
              <w:right w:val="nil"/>
            </w:tcBorders>
            <w:shd w:val="clear"/>
            <w:vAlign w:val="center"/>
          </w:tcPr>
          <w:p w14:paraId="1435C301">
            <w:pPr>
              <w:rPr>
                <w:rFonts w:hint="eastAsia" w:ascii="宋体" w:hAnsi="宋体" w:eastAsia="宋体" w:cs="宋体"/>
                <w:i w:val="0"/>
                <w:iCs w:val="0"/>
                <w:color w:val="000000"/>
                <w:sz w:val="18"/>
                <w:szCs w:val="18"/>
                <w:highlight w:val="none"/>
                <w:u w:val="none"/>
              </w:rPr>
            </w:pPr>
          </w:p>
        </w:tc>
        <w:tc>
          <w:tcPr>
            <w:tcW w:w="1770" w:type="dxa"/>
            <w:tcBorders>
              <w:top w:val="nil"/>
              <w:left w:val="nil"/>
              <w:bottom w:val="nil"/>
              <w:right w:val="nil"/>
            </w:tcBorders>
            <w:shd w:val="clear"/>
            <w:vAlign w:val="center"/>
          </w:tcPr>
          <w:p w14:paraId="3D190FBA">
            <w:pPr>
              <w:rPr>
                <w:rFonts w:hint="eastAsia" w:ascii="宋体" w:hAnsi="宋体" w:eastAsia="宋体" w:cs="宋体"/>
                <w:i w:val="0"/>
                <w:iCs w:val="0"/>
                <w:color w:val="000000"/>
                <w:sz w:val="18"/>
                <w:szCs w:val="18"/>
                <w:highlight w:val="none"/>
                <w:u w:val="none"/>
              </w:rPr>
            </w:pPr>
          </w:p>
        </w:tc>
        <w:tc>
          <w:tcPr>
            <w:tcW w:w="2265" w:type="dxa"/>
            <w:tcBorders>
              <w:top w:val="nil"/>
              <w:left w:val="nil"/>
              <w:bottom w:val="nil"/>
              <w:right w:val="nil"/>
            </w:tcBorders>
            <w:shd w:val="clear"/>
            <w:vAlign w:val="center"/>
          </w:tcPr>
          <w:p w14:paraId="54FBBFC0">
            <w:pPr>
              <w:rPr>
                <w:rFonts w:hint="eastAsia" w:ascii="宋体" w:hAnsi="宋体" w:eastAsia="宋体" w:cs="宋体"/>
                <w:i w:val="0"/>
                <w:iCs w:val="0"/>
                <w:color w:val="000000"/>
                <w:sz w:val="18"/>
                <w:szCs w:val="18"/>
                <w:highlight w:val="none"/>
                <w:u w:val="none"/>
              </w:rPr>
            </w:pPr>
          </w:p>
          <w:p w14:paraId="1E9C7770">
            <w:pPr>
              <w:rPr>
                <w:rFonts w:hint="eastAsia" w:ascii="宋体" w:hAnsi="宋体" w:eastAsia="宋体" w:cs="宋体"/>
                <w:i w:val="0"/>
                <w:iCs w:val="0"/>
                <w:color w:val="000000"/>
                <w:sz w:val="18"/>
                <w:szCs w:val="18"/>
                <w:highlight w:val="none"/>
                <w:u w:val="none"/>
              </w:rPr>
            </w:pPr>
          </w:p>
          <w:p w14:paraId="029E941F">
            <w:pPr>
              <w:rPr>
                <w:rFonts w:hint="eastAsia" w:ascii="宋体" w:hAnsi="宋体" w:eastAsia="宋体" w:cs="宋体"/>
                <w:i w:val="0"/>
                <w:iCs w:val="0"/>
                <w:color w:val="000000"/>
                <w:sz w:val="18"/>
                <w:szCs w:val="18"/>
                <w:highlight w:val="none"/>
                <w:u w:val="none"/>
              </w:rPr>
            </w:pPr>
          </w:p>
          <w:p w14:paraId="7306828C">
            <w:pPr>
              <w:rPr>
                <w:rFonts w:hint="eastAsia" w:ascii="宋体" w:hAnsi="宋体" w:eastAsia="宋体" w:cs="宋体"/>
                <w:i w:val="0"/>
                <w:iCs w:val="0"/>
                <w:color w:val="000000"/>
                <w:sz w:val="18"/>
                <w:szCs w:val="18"/>
                <w:highlight w:val="none"/>
                <w:u w:val="none"/>
              </w:rPr>
            </w:pPr>
          </w:p>
          <w:p w14:paraId="29C19FBC">
            <w:pPr>
              <w:rPr>
                <w:rFonts w:hint="eastAsia" w:ascii="宋体" w:hAnsi="宋体" w:eastAsia="宋体" w:cs="宋体"/>
                <w:i w:val="0"/>
                <w:iCs w:val="0"/>
                <w:color w:val="000000"/>
                <w:sz w:val="18"/>
                <w:szCs w:val="18"/>
                <w:highlight w:val="none"/>
                <w:u w:val="none"/>
              </w:rPr>
            </w:pPr>
          </w:p>
          <w:p w14:paraId="09BCDEFD">
            <w:pPr>
              <w:rPr>
                <w:rFonts w:hint="eastAsia" w:ascii="宋体" w:hAnsi="宋体" w:eastAsia="宋体" w:cs="宋体"/>
                <w:i w:val="0"/>
                <w:iCs w:val="0"/>
                <w:color w:val="000000"/>
                <w:sz w:val="18"/>
                <w:szCs w:val="18"/>
                <w:highlight w:val="none"/>
                <w:u w:val="none"/>
              </w:rPr>
            </w:pPr>
          </w:p>
          <w:p w14:paraId="63F54910">
            <w:pPr>
              <w:rPr>
                <w:rFonts w:hint="eastAsia" w:ascii="宋体" w:hAnsi="宋体" w:eastAsia="宋体" w:cs="宋体"/>
                <w:i w:val="0"/>
                <w:iCs w:val="0"/>
                <w:color w:val="000000"/>
                <w:sz w:val="18"/>
                <w:szCs w:val="18"/>
                <w:highlight w:val="none"/>
                <w:u w:val="none"/>
              </w:rPr>
            </w:pPr>
          </w:p>
        </w:tc>
        <w:tc>
          <w:tcPr>
            <w:tcW w:w="525" w:type="dxa"/>
            <w:tcBorders>
              <w:top w:val="nil"/>
              <w:left w:val="nil"/>
              <w:bottom w:val="nil"/>
              <w:right w:val="nil"/>
            </w:tcBorders>
            <w:shd w:val="clear"/>
            <w:vAlign w:val="center"/>
          </w:tcPr>
          <w:p w14:paraId="41EB2845">
            <w:pPr>
              <w:rPr>
                <w:rFonts w:hint="eastAsia" w:ascii="宋体" w:hAnsi="宋体" w:eastAsia="宋体" w:cs="宋体"/>
                <w:i w:val="0"/>
                <w:iCs w:val="0"/>
                <w:color w:val="000000"/>
                <w:sz w:val="18"/>
                <w:szCs w:val="18"/>
                <w:highlight w:val="none"/>
                <w:u w:val="none"/>
              </w:rPr>
            </w:pPr>
          </w:p>
        </w:tc>
        <w:tc>
          <w:tcPr>
            <w:tcW w:w="1680" w:type="dxa"/>
            <w:tcBorders>
              <w:top w:val="nil"/>
              <w:left w:val="nil"/>
              <w:bottom w:val="nil"/>
              <w:right w:val="nil"/>
            </w:tcBorders>
            <w:shd w:val="clear"/>
            <w:vAlign w:val="center"/>
          </w:tcPr>
          <w:p w14:paraId="1BE66A92">
            <w:pPr>
              <w:rPr>
                <w:rFonts w:hint="eastAsia" w:ascii="宋体" w:hAnsi="宋体" w:eastAsia="宋体" w:cs="宋体"/>
                <w:i w:val="0"/>
                <w:iCs w:val="0"/>
                <w:color w:val="000000"/>
                <w:sz w:val="18"/>
                <w:szCs w:val="18"/>
                <w:highlight w:val="none"/>
                <w:u w:val="none"/>
              </w:rPr>
            </w:pPr>
          </w:p>
        </w:tc>
        <w:tc>
          <w:tcPr>
            <w:tcW w:w="525" w:type="dxa"/>
            <w:tcBorders>
              <w:top w:val="nil"/>
              <w:left w:val="nil"/>
              <w:bottom w:val="nil"/>
              <w:right w:val="nil"/>
            </w:tcBorders>
            <w:shd w:val="clear"/>
            <w:vAlign w:val="center"/>
          </w:tcPr>
          <w:p w14:paraId="043A2C14">
            <w:pPr>
              <w:rPr>
                <w:rFonts w:hint="eastAsia" w:ascii="宋体" w:hAnsi="宋体" w:eastAsia="宋体" w:cs="宋体"/>
                <w:i w:val="0"/>
                <w:iCs w:val="0"/>
                <w:color w:val="000000"/>
                <w:sz w:val="18"/>
                <w:szCs w:val="18"/>
                <w:highlight w:val="none"/>
                <w:u w:val="none"/>
              </w:rPr>
            </w:pPr>
          </w:p>
        </w:tc>
        <w:tc>
          <w:tcPr>
            <w:tcW w:w="1095" w:type="dxa"/>
            <w:tcBorders>
              <w:top w:val="nil"/>
              <w:left w:val="nil"/>
              <w:bottom w:val="nil"/>
              <w:right w:val="nil"/>
            </w:tcBorders>
            <w:shd w:val="clear"/>
            <w:vAlign w:val="center"/>
          </w:tcPr>
          <w:p w14:paraId="7259BAB6">
            <w:pPr>
              <w:rPr>
                <w:rFonts w:hint="eastAsia" w:ascii="宋体" w:hAnsi="宋体" w:eastAsia="宋体" w:cs="宋体"/>
                <w:i w:val="0"/>
                <w:iCs w:val="0"/>
                <w:color w:val="000000"/>
                <w:sz w:val="18"/>
                <w:szCs w:val="18"/>
                <w:highlight w:val="none"/>
                <w:u w:val="none"/>
              </w:rPr>
            </w:pPr>
          </w:p>
        </w:tc>
        <w:tc>
          <w:tcPr>
            <w:tcW w:w="510" w:type="dxa"/>
            <w:tcBorders>
              <w:top w:val="nil"/>
              <w:left w:val="nil"/>
              <w:bottom w:val="nil"/>
              <w:right w:val="nil"/>
            </w:tcBorders>
            <w:shd w:val="clear"/>
            <w:vAlign w:val="center"/>
          </w:tcPr>
          <w:p w14:paraId="498861A5">
            <w:pPr>
              <w:rPr>
                <w:rFonts w:hint="eastAsia" w:ascii="宋体" w:hAnsi="宋体" w:eastAsia="宋体" w:cs="宋体"/>
                <w:i w:val="0"/>
                <w:iCs w:val="0"/>
                <w:color w:val="000000"/>
                <w:sz w:val="18"/>
                <w:szCs w:val="18"/>
                <w:highlight w:val="none"/>
                <w:u w:val="none"/>
              </w:rPr>
            </w:pPr>
          </w:p>
        </w:tc>
        <w:tc>
          <w:tcPr>
            <w:tcW w:w="450" w:type="dxa"/>
            <w:tcBorders>
              <w:top w:val="nil"/>
              <w:left w:val="nil"/>
              <w:bottom w:val="nil"/>
              <w:right w:val="nil"/>
            </w:tcBorders>
            <w:shd w:val="clear"/>
            <w:vAlign w:val="center"/>
          </w:tcPr>
          <w:p w14:paraId="459CC1B2">
            <w:pPr>
              <w:rPr>
                <w:rFonts w:hint="eastAsia" w:ascii="宋体" w:hAnsi="宋体" w:eastAsia="宋体" w:cs="宋体"/>
                <w:i w:val="0"/>
                <w:iCs w:val="0"/>
                <w:color w:val="000000"/>
                <w:sz w:val="18"/>
                <w:szCs w:val="18"/>
                <w:highlight w:val="none"/>
                <w:u w:val="none"/>
              </w:rPr>
            </w:pPr>
          </w:p>
        </w:tc>
        <w:tc>
          <w:tcPr>
            <w:tcW w:w="2550" w:type="dxa"/>
            <w:tcBorders>
              <w:top w:val="nil"/>
              <w:left w:val="nil"/>
              <w:bottom w:val="nil"/>
              <w:right w:val="nil"/>
            </w:tcBorders>
            <w:shd w:val="clear"/>
            <w:vAlign w:val="center"/>
          </w:tcPr>
          <w:p w14:paraId="47E40E3A">
            <w:pPr>
              <w:rPr>
                <w:rFonts w:hint="eastAsia" w:ascii="宋体" w:hAnsi="宋体" w:eastAsia="宋体" w:cs="宋体"/>
                <w:i w:val="0"/>
                <w:iCs w:val="0"/>
                <w:color w:val="000000"/>
                <w:sz w:val="18"/>
                <w:szCs w:val="18"/>
                <w:highlight w:val="none"/>
                <w:u w:val="none"/>
              </w:rPr>
            </w:pPr>
          </w:p>
        </w:tc>
      </w:tr>
      <w:tr w14:paraId="0C1E6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vAlign w:val="center"/>
          </w:tcPr>
          <w:p w14:paraId="0282A012">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bdr w:val="none" w:color="auto" w:sz="0" w:space="0"/>
                <w:lang w:val="en-US" w:eastAsia="zh-CN" w:bidi="ar"/>
              </w:rPr>
              <w:t>部门预算项目支出绩效自评表（2025年度）</w:t>
            </w:r>
          </w:p>
        </w:tc>
      </w:tr>
      <w:tr w14:paraId="7B303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vAlign w:val="center"/>
          </w:tcPr>
          <w:p w14:paraId="1760A97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vAlign w:val="center"/>
          </w:tcPr>
          <w:p w14:paraId="3086D82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51320021T000000109348-共青团工作经费</w:t>
            </w:r>
          </w:p>
        </w:tc>
      </w:tr>
      <w:tr w14:paraId="05CDD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vAlign w:val="center"/>
          </w:tcPr>
          <w:p w14:paraId="656F76E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主管部门</w:t>
            </w: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524A544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团州委部门</w:t>
            </w:r>
          </w:p>
        </w:tc>
        <w:tc>
          <w:tcPr>
            <w:tcW w:w="1095" w:type="dxa"/>
            <w:tcBorders>
              <w:top w:val="nil"/>
              <w:left w:val="nil"/>
              <w:bottom w:val="nil"/>
              <w:right w:val="nil"/>
            </w:tcBorders>
            <w:shd w:val="clear"/>
            <w:vAlign w:val="center"/>
          </w:tcPr>
          <w:p w14:paraId="0085636E">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vAlign w:val="center"/>
          </w:tcPr>
          <w:p w14:paraId="69D1B8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团州委</w:t>
            </w:r>
          </w:p>
        </w:tc>
      </w:tr>
      <w:tr w14:paraId="72869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7FE49FD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67CEBC1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333127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shd w:val="clear"/>
            <w:vAlign w:val="center"/>
          </w:tcPr>
          <w:p w14:paraId="53204F3E">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年度目标完成情况</w:t>
            </w:r>
          </w:p>
        </w:tc>
      </w:tr>
      <w:tr w14:paraId="32606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EB399FA">
            <w:pP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544349C">
            <w:pPr>
              <w:rPr>
                <w:rFonts w:hint="eastAsia" w:ascii="宋体" w:hAnsi="宋体" w:eastAsia="宋体" w:cs="宋体"/>
                <w:i w:val="0"/>
                <w:iCs w:val="0"/>
                <w:color w:val="000000"/>
                <w:sz w:val="18"/>
                <w:szCs w:val="18"/>
                <w:highlight w:val="none"/>
                <w:u w:val="none"/>
              </w:rPr>
            </w:pP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74686DDB">
            <w:pPr>
              <w:keepNext w:val="0"/>
              <w:keepLines w:val="0"/>
              <w:widowControl/>
              <w:suppressLineNumbers w:val="0"/>
              <w:spacing w:after="180" w:afterAutospacing="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该经费主要用于贯彻执行党和国家有关共青团工作德方针、政策和法律法规，领导全州共青团工作；组织开展青少年思想政治教育；服务青少年成长发展；发动青年为经济社会发展作贡献；促进各族各界青年团结，有效提高广大团员的凝聚力，有效保障共青团工作正常开展。服务青少年≥300人次，发动青少年参与社会实践活动≥50场次</w:t>
            </w:r>
            <w:r>
              <w:rPr>
                <w:rFonts w:ascii="宋体" w:hAnsi="宋体" w:eastAsia="宋体" w:cs="宋体"/>
                <w:i w:val="0"/>
                <w:iCs w:val="0"/>
                <w:color w:val="000000"/>
                <w:kern w:val="0"/>
                <w:sz w:val="18"/>
                <w:szCs w:val="18"/>
                <w:highlight w:val="none"/>
                <w:u w:val="none"/>
                <w:bdr w:val="none" w:color="auto" w:sz="0" w:space="0"/>
                <w:lang w:val="en-US" w:eastAsia="zh-CN" w:bidi="ar"/>
              </w:rPr>
              <w:br w:type="textWrapping"/>
            </w:r>
            <w:r>
              <w:rPr>
                <w:rFonts w:ascii="宋体" w:hAnsi="宋体" w:eastAsia="宋体" w:cs="宋体"/>
                <w:i w:val="0"/>
                <w:iCs w:val="0"/>
                <w:color w:val="000000"/>
                <w:kern w:val="0"/>
                <w:sz w:val="18"/>
                <w:szCs w:val="18"/>
                <w:highlight w:val="none"/>
                <w:u w:val="none"/>
                <w:bdr w:val="none" w:color="auto" w:sz="0" w:space="0"/>
                <w:lang w:val="en-US" w:eastAsia="zh-CN" w:bidi="ar"/>
              </w:rPr>
              <w:br w:type="textWrapping"/>
            </w:r>
            <w:r>
              <w:rPr>
                <w:rFonts w:ascii="宋体" w:hAnsi="宋体" w:eastAsia="宋体" w:cs="宋体"/>
                <w:i w:val="0"/>
                <w:iCs w:val="0"/>
                <w:color w:val="000000"/>
                <w:kern w:val="0"/>
                <w:sz w:val="18"/>
                <w:szCs w:val="18"/>
                <w:highlight w:val="none"/>
                <w:u w:val="none"/>
                <w:bdr w:val="none" w:color="auto" w:sz="0" w:space="0"/>
                <w:lang w:val="en-US" w:eastAsia="zh-CN" w:bidi="ar"/>
              </w:rPr>
              <w:br w:type="textWrapping"/>
            </w:r>
          </w:p>
        </w:tc>
        <w:tc>
          <w:tcPr>
            <w:tcW w:w="4605" w:type="dxa"/>
            <w:gridSpan w:val="4"/>
            <w:tcBorders>
              <w:top w:val="single" w:color="000000" w:sz="4" w:space="0"/>
              <w:left w:val="single" w:color="000000" w:sz="4" w:space="0"/>
              <w:bottom w:val="single" w:color="000000" w:sz="4" w:space="0"/>
              <w:right w:val="single" w:color="000000" w:sz="4" w:space="0"/>
            </w:tcBorders>
            <w:shd w:val="clear"/>
            <w:vAlign w:val="center"/>
          </w:tcPr>
          <w:p w14:paraId="1FB9DAC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对照年度目标，说明相关任务目标的完成情况（100字以内）</w:t>
            </w:r>
          </w:p>
        </w:tc>
      </w:tr>
      <w:tr w14:paraId="2D1C1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87F0019">
            <w:pP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02B89BC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vAlign w:val="center"/>
          </w:tcPr>
          <w:p w14:paraId="507A6A5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严格按照共青团工作方针政策，使用经费开展青少年思政教育、团员培训、社会实践、青年团结凝聚等工作，组织各类团务活动与青年服务事项，规范经费使用流程，保障全州共青团日常工作有序运转。</w:t>
            </w:r>
          </w:p>
        </w:tc>
      </w:tr>
      <w:tr w14:paraId="3BDF1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2FA4CB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预算执行情况（10分）</w:t>
            </w: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5086A5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78E941F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年初预算</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15C568A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调整后预算数</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020AE3F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预算执行数</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70E4F01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2887295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05C7C6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629392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原因</w:t>
            </w:r>
          </w:p>
        </w:tc>
      </w:tr>
      <w:tr w14:paraId="39D06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5E1897E">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00B2B4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总额</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684031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39E964F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20.00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07E9FF6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20.00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1A1D78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11012BD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0FAA103D">
            <w:pPr>
              <w:jc w:val="center"/>
              <w:rPr>
                <w:rFonts w:hint="eastAsia" w:ascii="宋体" w:hAnsi="宋体" w:eastAsia="宋体" w:cs="宋体"/>
                <w:i w:val="0"/>
                <w:iCs w:val="0"/>
                <w:color w:val="000000"/>
                <w:sz w:val="18"/>
                <w:szCs w:val="18"/>
                <w:highlight w:val="none"/>
                <w:u w:val="none"/>
              </w:rPr>
            </w:pPr>
          </w:p>
        </w:tc>
        <w:tc>
          <w:tcPr>
            <w:tcW w:w="2550" w:type="dxa"/>
            <w:vMerge w:val="restart"/>
            <w:tcBorders>
              <w:top w:val="single" w:color="000000" w:sz="4" w:space="0"/>
              <w:left w:val="single" w:color="000000" w:sz="4" w:space="0"/>
              <w:bottom w:val="single" w:color="000000" w:sz="4" w:space="0"/>
              <w:right w:val="single" w:color="000000" w:sz="4" w:space="0"/>
            </w:tcBorders>
            <w:shd w:val="clear"/>
            <w:vAlign w:val="center"/>
          </w:tcPr>
          <w:p w14:paraId="043F2AB4">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D71A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E59E15F">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46BD75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7D7E90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1D5D4D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20.00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271CA7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20.00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315BBB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4BDD920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475793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2CF199A">
            <w:pPr>
              <w:rPr>
                <w:rFonts w:hint="eastAsia" w:ascii="黑体" w:hAnsi="黑体" w:eastAsia="黑体" w:cs="黑体"/>
                <w:i/>
                <w:iCs/>
                <w:color w:val="000000"/>
                <w:sz w:val="18"/>
                <w:szCs w:val="18"/>
                <w:highlight w:val="none"/>
                <w:u w:val="none"/>
              </w:rPr>
            </w:pPr>
          </w:p>
        </w:tc>
      </w:tr>
      <w:tr w14:paraId="33849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FF6D8CA">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2618889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425DE36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256A6A3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358B9F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6C896C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A2AF7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6AB3124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EC0C1B4">
            <w:pPr>
              <w:rPr>
                <w:rFonts w:hint="eastAsia" w:ascii="黑体" w:hAnsi="黑体" w:eastAsia="黑体" w:cs="黑体"/>
                <w:i/>
                <w:iCs/>
                <w:color w:val="000000"/>
                <w:sz w:val="18"/>
                <w:szCs w:val="18"/>
                <w:highlight w:val="none"/>
                <w:u w:val="none"/>
              </w:rPr>
            </w:pPr>
          </w:p>
        </w:tc>
      </w:tr>
      <w:tr w14:paraId="141A7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EE53542">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5A18597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单位资金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752D31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39886B4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080B17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241B6D0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063E89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05562E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B26A2AD">
            <w:pPr>
              <w:rPr>
                <w:rFonts w:hint="eastAsia" w:ascii="黑体" w:hAnsi="黑体" w:eastAsia="黑体" w:cs="黑体"/>
                <w:i/>
                <w:iCs/>
                <w:color w:val="000000"/>
                <w:sz w:val="18"/>
                <w:szCs w:val="18"/>
                <w:highlight w:val="none"/>
                <w:u w:val="none"/>
              </w:rPr>
            </w:pPr>
          </w:p>
        </w:tc>
      </w:tr>
      <w:tr w14:paraId="055E3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82011D7">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499012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其他资金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00C24FCB">
            <w:pPr>
              <w:jc w:val="center"/>
              <w:rPr>
                <w:rFonts w:hint="eastAsia" w:ascii="微软雅黑" w:hAnsi="微软雅黑" w:eastAsia="微软雅黑" w:cs="微软雅黑"/>
                <w:i/>
                <w:iCs/>
                <w:color w:val="000000"/>
                <w:sz w:val="16"/>
                <w:szCs w:val="16"/>
                <w:highlight w:val="none"/>
                <w:u w:val="none"/>
              </w:rPr>
            </w:pP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13EEF40D">
            <w:pPr>
              <w:jc w:val="center"/>
              <w:rPr>
                <w:rFonts w:hint="eastAsia" w:ascii="微软雅黑" w:hAnsi="微软雅黑" w:eastAsia="微软雅黑" w:cs="微软雅黑"/>
                <w:i/>
                <w:iCs/>
                <w:color w:val="000000"/>
                <w:sz w:val="16"/>
                <w:szCs w:val="16"/>
                <w:highlight w:val="none"/>
                <w:u w:val="none"/>
              </w:rPr>
            </w:pP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3A2D713F">
            <w:pPr>
              <w:jc w:val="center"/>
              <w:rPr>
                <w:rFonts w:hint="eastAsia" w:ascii="微软雅黑" w:hAnsi="微软雅黑" w:eastAsia="微软雅黑" w:cs="微软雅黑"/>
                <w:i/>
                <w:iCs/>
                <w:color w:val="000000"/>
                <w:sz w:val="16"/>
                <w:szCs w:val="16"/>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1527D594">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4D345E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3F45B9F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3D38C9C">
            <w:pPr>
              <w:rPr>
                <w:rFonts w:hint="eastAsia" w:ascii="黑体" w:hAnsi="黑体" w:eastAsia="黑体" w:cs="黑体"/>
                <w:i/>
                <w:iCs/>
                <w:color w:val="000000"/>
                <w:sz w:val="18"/>
                <w:szCs w:val="18"/>
                <w:highlight w:val="none"/>
                <w:u w:val="none"/>
              </w:rPr>
            </w:pPr>
          </w:p>
        </w:tc>
      </w:tr>
      <w:tr w14:paraId="0C0B8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23BECC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绩效指标（90分）</w:t>
            </w: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10E8CA7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744CEC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二级指标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7DE7EC1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2191E43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指标性质</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70403E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4D9ED6E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度量单位</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09F24E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654B2D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40AEAB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54429A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未完成原因分析</w:t>
            </w:r>
          </w:p>
        </w:tc>
      </w:tr>
      <w:tr w14:paraId="0570D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DBF14C4">
            <w:pPr>
              <w:jc w:val="center"/>
              <w:rPr>
                <w:rFonts w:hint="eastAsia" w:ascii="宋体" w:hAnsi="宋体" w:eastAsia="宋体" w:cs="宋体"/>
                <w:i w:val="0"/>
                <w:iCs w:val="0"/>
                <w:color w:val="000000"/>
                <w:sz w:val="18"/>
                <w:szCs w:val="18"/>
                <w:highlight w:val="none"/>
                <w:u w:val="none"/>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55924A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6909B8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数量指标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374B77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团员参训人数</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2593BB9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427883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25</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54C639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人次</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3E6397F0">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71205B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2BEE5AD6">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4FC4A795">
            <w:pPr>
              <w:jc w:val="center"/>
              <w:rPr>
                <w:rFonts w:hint="eastAsia" w:ascii="微软雅黑" w:hAnsi="微软雅黑" w:eastAsia="微软雅黑" w:cs="微软雅黑"/>
                <w:i/>
                <w:iCs/>
                <w:color w:val="000000"/>
                <w:sz w:val="16"/>
                <w:szCs w:val="16"/>
                <w:highlight w:val="none"/>
                <w:u w:val="none"/>
              </w:rPr>
            </w:pPr>
          </w:p>
        </w:tc>
      </w:tr>
      <w:tr w14:paraId="145BB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6DF169">
            <w:pPr>
              <w:jc w:val="cente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FB93A5B">
            <w:pPr>
              <w:jc w:val="center"/>
              <w:rPr>
                <w:rFonts w:hint="eastAsia" w:ascii="宋体" w:hAnsi="宋体" w:eastAsia="宋体" w:cs="宋体"/>
                <w:i w:val="0"/>
                <w:iCs w:val="0"/>
                <w:color w:val="000000"/>
                <w:sz w:val="18"/>
                <w:szCs w:val="18"/>
                <w:highlight w:val="none"/>
                <w:u w:val="none"/>
              </w:rPr>
            </w:pP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6ABF4D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质量指标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06C428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经费使用合规率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10185F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01BE6B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723C08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679AA436">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1B5D6E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626E5BB5">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12973C40">
            <w:pPr>
              <w:jc w:val="center"/>
              <w:rPr>
                <w:rFonts w:hint="eastAsia" w:ascii="微软雅黑" w:hAnsi="微软雅黑" w:eastAsia="微软雅黑" w:cs="微软雅黑"/>
                <w:i/>
                <w:iCs/>
                <w:color w:val="000000"/>
                <w:sz w:val="16"/>
                <w:szCs w:val="16"/>
                <w:highlight w:val="none"/>
                <w:u w:val="none"/>
              </w:rPr>
            </w:pPr>
          </w:p>
        </w:tc>
      </w:tr>
      <w:tr w14:paraId="69A26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01882D9">
            <w:pPr>
              <w:jc w:val="cente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94E0B5E">
            <w:pPr>
              <w:jc w:val="center"/>
              <w:rPr>
                <w:rFonts w:hint="eastAsia" w:ascii="宋体" w:hAnsi="宋体" w:eastAsia="宋体" w:cs="宋体"/>
                <w:i w:val="0"/>
                <w:iCs w:val="0"/>
                <w:color w:val="000000"/>
                <w:sz w:val="18"/>
                <w:szCs w:val="18"/>
                <w:highlight w:val="none"/>
                <w:u w:val="none"/>
              </w:rPr>
            </w:pP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678C45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时效指标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6E2E2D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项目完成时间</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7D16E0A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定性</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1B8C7F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按期完成</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4D61EDAB">
            <w:pPr>
              <w:jc w:val="center"/>
              <w:rPr>
                <w:rFonts w:hint="eastAsia" w:ascii="宋体" w:hAnsi="宋体" w:eastAsia="宋体" w:cs="宋体"/>
                <w:i w:val="0"/>
                <w:iCs w:val="0"/>
                <w:color w:val="000000"/>
                <w:sz w:val="18"/>
                <w:szCs w:val="18"/>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1D884675">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1F2A7C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1AA9EE42">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36853138">
            <w:pPr>
              <w:jc w:val="center"/>
              <w:rPr>
                <w:rFonts w:hint="eastAsia" w:ascii="微软雅黑" w:hAnsi="微软雅黑" w:eastAsia="微软雅黑" w:cs="微软雅黑"/>
                <w:i/>
                <w:iCs/>
                <w:color w:val="000000"/>
                <w:sz w:val="16"/>
                <w:szCs w:val="16"/>
                <w:highlight w:val="none"/>
                <w:u w:val="none"/>
              </w:rPr>
            </w:pPr>
          </w:p>
        </w:tc>
      </w:tr>
      <w:tr w14:paraId="549B4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DDDB0D9">
            <w:pPr>
              <w:jc w:val="center"/>
              <w:rPr>
                <w:rFonts w:hint="eastAsia" w:ascii="宋体" w:hAnsi="宋体" w:eastAsia="宋体" w:cs="宋体"/>
                <w:i w:val="0"/>
                <w:iCs w:val="0"/>
                <w:color w:val="000000"/>
                <w:sz w:val="18"/>
                <w:szCs w:val="18"/>
                <w:highlight w:val="none"/>
                <w:u w:val="none"/>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16A22B1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效益指标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vAlign w:val="center"/>
          </w:tcPr>
          <w:p w14:paraId="2AB094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0A9643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提高广大团员的凝聚力</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57457CB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定性</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1EC2EC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明显提高</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05BA2C2B">
            <w:pPr>
              <w:jc w:val="center"/>
              <w:rPr>
                <w:rFonts w:hint="eastAsia" w:ascii="宋体" w:hAnsi="宋体" w:eastAsia="宋体" w:cs="宋体"/>
                <w:i w:val="0"/>
                <w:iCs w:val="0"/>
                <w:color w:val="000000"/>
                <w:sz w:val="18"/>
                <w:szCs w:val="18"/>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5A290AD2">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61B167D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1D932D49">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2173F11F">
            <w:pPr>
              <w:jc w:val="center"/>
              <w:rPr>
                <w:rFonts w:hint="eastAsia" w:ascii="微软雅黑" w:hAnsi="微软雅黑" w:eastAsia="微软雅黑" w:cs="微软雅黑"/>
                <w:i/>
                <w:iCs/>
                <w:color w:val="000000"/>
                <w:sz w:val="16"/>
                <w:szCs w:val="16"/>
                <w:highlight w:val="none"/>
                <w:u w:val="none"/>
              </w:rPr>
            </w:pPr>
          </w:p>
        </w:tc>
      </w:tr>
      <w:tr w14:paraId="3424F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97009E8">
            <w:pPr>
              <w:jc w:val="cente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CD03704">
            <w:pPr>
              <w:jc w:val="center"/>
              <w:rPr>
                <w:rFonts w:hint="eastAsia" w:ascii="宋体" w:hAnsi="宋体" w:eastAsia="宋体" w:cs="宋体"/>
                <w:i w:val="0"/>
                <w:iCs w:val="0"/>
                <w:color w:val="000000"/>
                <w:sz w:val="18"/>
                <w:szCs w:val="18"/>
                <w:highlight w:val="none"/>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A1B8B80">
            <w:pPr>
              <w:jc w:val="center"/>
              <w:rPr>
                <w:rFonts w:hint="eastAsia" w:ascii="宋体" w:hAnsi="宋体" w:eastAsia="宋体" w:cs="宋体"/>
                <w:i w:val="0"/>
                <w:iCs w:val="0"/>
                <w:color w:val="000000"/>
                <w:sz w:val="18"/>
                <w:szCs w:val="18"/>
                <w:highlight w:val="none"/>
                <w:u w:val="none"/>
              </w:rPr>
            </w:pP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686BEB9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共青团工作正常开展情况</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2CD69DA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定性</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7923D9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好、中、差</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7040B651">
            <w:pPr>
              <w:jc w:val="center"/>
              <w:rPr>
                <w:rFonts w:hint="eastAsia" w:ascii="宋体" w:hAnsi="宋体" w:eastAsia="宋体" w:cs="宋体"/>
                <w:i w:val="0"/>
                <w:iCs w:val="0"/>
                <w:color w:val="000000"/>
                <w:sz w:val="18"/>
                <w:szCs w:val="18"/>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3899DFCC">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2EE7F6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092FD293">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374ED5ED">
            <w:pPr>
              <w:jc w:val="center"/>
              <w:rPr>
                <w:rFonts w:hint="eastAsia" w:ascii="微软雅黑" w:hAnsi="微软雅黑" w:eastAsia="微软雅黑" w:cs="微软雅黑"/>
                <w:i/>
                <w:iCs/>
                <w:color w:val="000000"/>
                <w:sz w:val="16"/>
                <w:szCs w:val="16"/>
                <w:highlight w:val="none"/>
                <w:u w:val="none"/>
              </w:rPr>
            </w:pPr>
          </w:p>
        </w:tc>
      </w:tr>
      <w:tr w14:paraId="0772C1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E5A9672">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1549985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满意度指标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5C2E5C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2BC6A1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共青团员满意度</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2F7AF7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4D40BF0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773E3A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5ED5CC9B">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47DA30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5B0A728A">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2DACABF8">
            <w:pPr>
              <w:jc w:val="center"/>
              <w:rPr>
                <w:rFonts w:hint="eastAsia" w:ascii="微软雅黑" w:hAnsi="微软雅黑" w:eastAsia="微软雅黑" w:cs="微软雅黑"/>
                <w:i/>
                <w:iCs/>
                <w:color w:val="000000"/>
                <w:sz w:val="16"/>
                <w:szCs w:val="16"/>
                <w:highlight w:val="none"/>
                <w:u w:val="none"/>
              </w:rPr>
            </w:pPr>
          </w:p>
        </w:tc>
      </w:tr>
      <w:tr w14:paraId="60784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8E61144">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5EBC286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成本指标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3C16B0D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4176ED5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项目预算控制率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2FA762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63B784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95</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3A1E0E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5CA7317B">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0116E6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67C40B56">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5C39DE40">
            <w:pPr>
              <w:jc w:val="center"/>
              <w:rPr>
                <w:rFonts w:hint="eastAsia" w:ascii="微软雅黑" w:hAnsi="微软雅黑" w:eastAsia="微软雅黑" w:cs="微软雅黑"/>
                <w:i/>
                <w:iCs/>
                <w:color w:val="000000"/>
                <w:sz w:val="16"/>
                <w:szCs w:val="16"/>
                <w:highlight w:val="none"/>
                <w:u w:val="none"/>
              </w:rPr>
            </w:pPr>
          </w:p>
        </w:tc>
      </w:tr>
      <w:tr w14:paraId="7C00B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05" w:type="dxa"/>
            <w:gridSpan w:val="8"/>
            <w:tcBorders>
              <w:top w:val="single" w:color="000000" w:sz="4" w:space="0"/>
              <w:left w:val="single" w:color="000000" w:sz="4" w:space="0"/>
              <w:bottom w:val="single" w:color="000000" w:sz="4" w:space="0"/>
              <w:right w:val="single" w:color="000000" w:sz="4" w:space="0"/>
            </w:tcBorders>
            <w:shd w:val="clear"/>
            <w:vAlign w:val="center"/>
          </w:tcPr>
          <w:p w14:paraId="6FB692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682C58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44A5437C">
            <w:pP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1B5C1C02">
            <w:pPr>
              <w:rPr>
                <w:rFonts w:hint="eastAsia" w:ascii="宋体" w:hAnsi="宋体" w:eastAsia="宋体" w:cs="宋体"/>
                <w:i w:val="0"/>
                <w:iCs w:val="0"/>
                <w:color w:val="000000"/>
                <w:sz w:val="18"/>
                <w:szCs w:val="18"/>
                <w:highlight w:val="none"/>
                <w:u w:val="none"/>
              </w:rPr>
            </w:pPr>
          </w:p>
        </w:tc>
      </w:tr>
      <w:tr w14:paraId="238C57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5F37FF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评价结论</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2161A931">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自评总分 100 分。预算执行率 100%，经费使用合规，团员参训、活动开展等指标完成。团员凝聚力显著提升，共青团各项工作有序推进，服务保障到位。</w:t>
            </w:r>
          </w:p>
        </w:tc>
      </w:tr>
      <w:tr w14:paraId="0DF133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220B63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存在问题</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428CFE48">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团员参与活动的主动性不足，活动影响力有限；经费使用精细化管理水平有待提升。</w:t>
            </w:r>
          </w:p>
        </w:tc>
      </w:tr>
      <w:tr w14:paraId="10CBF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153977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改进措施</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5E7E0B44">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丰富团员实践活动，激发参与热情；细化经费使用台账，强化全过程管控；加强团员先进性教育，提升组织活力。</w:t>
            </w:r>
          </w:p>
        </w:tc>
      </w:tr>
      <w:tr w14:paraId="34B20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305" w:type="dxa"/>
            <w:gridSpan w:val="5"/>
            <w:tcBorders>
              <w:top w:val="single" w:color="000000" w:sz="4" w:space="0"/>
              <w:left w:val="single" w:color="000000" w:sz="4" w:space="0"/>
              <w:bottom w:val="single" w:color="000000" w:sz="4" w:space="0"/>
              <w:right w:val="single" w:color="000000" w:sz="4" w:space="0"/>
            </w:tcBorders>
            <w:shd w:val="clear"/>
            <w:vAlign w:val="center"/>
          </w:tcPr>
          <w:p w14:paraId="375E8855">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项目负责人：张云瑶</w:t>
            </w:r>
          </w:p>
        </w:tc>
        <w:tc>
          <w:tcPr>
            <w:tcW w:w="6810" w:type="dxa"/>
            <w:gridSpan w:val="6"/>
            <w:tcBorders>
              <w:top w:val="single" w:color="000000" w:sz="4" w:space="0"/>
              <w:left w:val="single" w:color="000000" w:sz="4" w:space="0"/>
              <w:bottom w:val="single" w:color="000000" w:sz="4" w:space="0"/>
              <w:right w:val="single" w:color="000000" w:sz="4" w:space="0"/>
            </w:tcBorders>
            <w:shd w:val="clear"/>
            <w:vAlign w:val="center"/>
          </w:tcPr>
          <w:p w14:paraId="0E54769D">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财务负责人：杨嘉奇</w:t>
            </w:r>
          </w:p>
        </w:tc>
      </w:tr>
      <w:tr w14:paraId="2E462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0" w:type="dxa"/>
            <w:tcBorders>
              <w:top w:val="nil"/>
              <w:left w:val="nil"/>
              <w:bottom w:val="nil"/>
              <w:right w:val="nil"/>
            </w:tcBorders>
            <w:shd w:val="clear"/>
            <w:vAlign w:val="center"/>
          </w:tcPr>
          <w:p w14:paraId="432C6F8A">
            <w:pPr>
              <w:rPr>
                <w:rFonts w:hint="eastAsia" w:ascii="宋体" w:hAnsi="宋体" w:eastAsia="宋体" w:cs="宋体"/>
                <w:i w:val="0"/>
                <w:iCs w:val="0"/>
                <w:color w:val="000000"/>
                <w:sz w:val="18"/>
                <w:szCs w:val="18"/>
                <w:highlight w:val="none"/>
                <w:u w:val="none"/>
              </w:rPr>
            </w:pPr>
          </w:p>
        </w:tc>
        <w:tc>
          <w:tcPr>
            <w:tcW w:w="2055" w:type="dxa"/>
            <w:tcBorders>
              <w:top w:val="nil"/>
              <w:left w:val="nil"/>
              <w:bottom w:val="nil"/>
              <w:right w:val="nil"/>
            </w:tcBorders>
            <w:shd w:val="clear"/>
            <w:vAlign w:val="center"/>
          </w:tcPr>
          <w:p w14:paraId="041180DA">
            <w:pPr>
              <w:rPr>
                <w:rFonts w:hint="eastAsia" w:ascii="宋体" w:hAnsi="宋体" w:eastAsia="宋体" w:cs="宋体"/>
                <w:i w:val="0"/>
                <w:iCs w:val="0"/>
                <w:color w:val="000000"/>
                <w:sz w:val="18"/>
                <w:szCs w:val="18"/>
                <w:highlight w:val="none"/>
                <w:u w:val="none"/>
              </w:rPr>
            </w:pPr>
          </w:p>
        </w:tc>
        <w:tc>
          <w:tcPr>
            <w:tcW w:w="1770" w:type="dxa"/>
            <w:tcBorders>
              <w:top w:val="nil"/>
              <w:left w:val="nil"/>
              <w:bottom w:val="nil"/>
              <w:right w:val="nil"/>
            </w:tcBorders>
            <w:shd w:val="clear"/>
            <w:vAlign w:val="center"/>
          </w:tcPr>
          <w:p w14:paraId="7931822C">
            <w:pPr>
              <w:rPr>
                <w:rFonts w:hint="eastAsia" w:ascii="宋体" w:hAnsi="宋体" w:eastAsia="宋体" w:cs="宋体"/>
                <w:i w:val="0"/>
                <w:iCs w:val="0"/>
                <w:color w:val="000000"/>
                <w:sz w:val="18"/>
                <w:szCs w:val="18"/>
                <w:highlight w:val="none"/>
                <w:u w:val="none"/>
              </w:rPr>
            </w:pPr>
          </w:p>
        </w:tc>
        <w:tc>
          <w:tcPr>
            <w:tcW w:w="2265" w:type="dxa"/>
            <w:tcBorders>
              <w:top w:val="nil"/>
              <w:left w:val="nil"/>
              <w:bottom w:val="nil"/>
              <w:right w:val="nil"/>
            </w:tcBorders>
            <w:shd w:val="clear"/>
            <w:vAlign w:val="center"/>
          </w:tcPr>
          <w:p w14:paraId="75BAB2B8">
            <w:pPr>
              <w:rPr>
                <w:rFonts w:hint="eastAsia" w:ascii="宋体" w:hAnsi="宋体" w:eastAsia="宋体" w:cs="宋体"/>
                <w:i w:val="0"/>
                <w:iCs w:val="0"/>
                <w:color w:val="000000"/>
                <w:sz w:val="18"/>
                <w:szCs w:val="18"/>
                <w:highlight w:val="none"/>
                <w:u w:val="none"/>
              </w:rPr>
            </w:pPr>
          </w:p>
        </w:tc>
        <w:tc>
          <w:tcPr>
            <w:tcW w:w="525" w:type="dxa"/>
            <w:tcBorders>
              <w:top w:val="nil"/>
              <w:left w:val="nil"/>
              <w:bottom w:val="nil"/>
              <w:right w:val="nil"/>
            </w:tcBorders>
            <w:shd w:val="clear"/>
            <w:vAlign w:val="center"/>
          </w:tcPr>
          <w:p w14:paraId="14FF7378">
            <w:pPr>
              <w:rPr>
                <w:rFonts w:hint="eastAsia" w:ascii="宋体" w:hAnsi="宋体" w:eastAsia="宋体" w:cs="宋体"/>
                <w:i w:val="0"/>
                <w:iCs w:val="0"/>
                <w:color w:val="000000"/>
                <w:sz w:val="18"/>
                <w:szCs w:val="18"/>
                <w:highlight w:val="none"/>
                <w:u w:val="none"/>
              </w:rPr>
            </w:pPr>
          </w:p>
        </w:tc>
        <w:tc>
          <w:tcPr>
            <w:tcW w:w="1680" w:type="dxa"/>
            <w:tcBorders>
              <w:top w:val="nil"/>
              <w:left w:val="nil"/>
              <w:bottom w:val="nil"/>
              <w:right w:val="nil"/>
            </w:tcBorders>
            <w:shd w:val="clear"/>
            <w:vAlign w:val="center"/>
          </w:tcPr>
          <w:p w14:paraId="66F62B4D">
            <w:pPr>
              <w:rPr>
                <w:rFonts w:hint="eastAsia" w:ascii="宋体" w:hAnsi="宋体" w:eastAsia="宋体" w:cs="宋体"/>
                <w:i w:val="0"/>
                <w:iCs w:val="0"/>
                <w:color w:val="000000"/>
                <w:sz w:val="18"/>
                <w:szCs w:val="18"/>
                <w:highlight w:val="none"/>
                <w:u w:val="none"/>
              </w:rPr>
            </w:pPr>
          </w:p>
        </w:tc>
        <w:tc>
          <w:tcPr>
            <w:tcW w:w="525" w:type="dxa"/>
            <w:tcBorders>
              <w:top w:val="nil"/>
              <w:left w:val="nil"/>
              <w:bottom w:val="nil"/>
              <w:right w:val="nil"/>
            </w:tcBorders>
            <w:shd w:val="clear"/>
            <w:vAlign w:val="center"/>
          </w:tcPr>
          <w:p w14:paraId="3AE808E2">
            <w:pPr>
              <w:rPr>
                <w:rFonts w:hint="eastAsia" w:ascii="宋体" w:hAnsi="宋体" w:eastAsia="宋体" w:cs="宋体"/>
                <w:i w:val="0"/>
                <w:iCs w:val="0"/>
                <w:color w:val="000000"/>
                <w:sz w:val="18"/>
                <w:szCs w:val="18"/>
                <w:highlight w:val="none"/>
                <w:u w:val="none"/>
              </w:rPr>
            </w:pPr>
          </w:p>
        </w:tc>
        <w:tc>
          <w:tcPr>
            <w:tcW w:w="1095" w:type="dxa"/>
            <w:tcBorders>
              <w:top w:val="nil"/>
              <w:left w:val="nil"/>
              <w:bottom w:val="nil"/>
              <w:right w:val="nil"/>
            </w:tcBorders>
            <w:shd w:val="clear"/>
            <w:vAlign w:val="center"/>
          </w:tcPr>
          <w:p w14:paraId="13C436D9">
            <w:pPr>
              <w:rPr>
                <w:rFonts w:hint="eastAsia" w:ascii="宋体" w:hAnsi="宋体" w:eastAsia="宋体" w:cs="宋体"/>
                <w:i w:val="0"/>
                <w:iCs w:val="0"/>
                <w:color w:val="000000"/>
                <w:sz w:val="18"/>
                <w:szCs w:val="18"/>
                <w:highlight w:val="none"/>
                <w:u w:val="none"/>
              </w:rPr>
            </w:pPr>
          </w:p>
        </w:tc>
        <w:tc>
          <w:tcPr>
            <w:tcW w:w="510" w:type="dxa"/>
            <w:tcBorders>
              <w:top w:val="nil"/>
              <w:left w:val="nil"/>
              <w:bottom w:val="nil"/>
              <w:right w:val="nil"/>
            </w:tcBorders>
            <w:shd w:val="clear"/>
            <w:vAlign w:val="center"/>
          </w:tcPr>
          <w:p w14:paraId="6E462027">
            <w:pPr>
              <w:rPr>
                <w:rFonts w:hint="eastAsia" w:ascii="宋体" w:hAnsi="宋体" w:eastAsia="宋体" w:cs="宋体"/>
                <w:i w:val="0"/>
                <w:iCs w:val="0"/>
                <w:color w:val="000000"/>
                <w:sz w:val="18"/>
                <w:szCs w:val="18"/>
                <w:highlight w:val="none"/>
                <w:u w:val="none"/>
              </w:rPr>
            </w:pPr>
          </w:p>
        </w:tc>
        <w:tc>
          <w:tcPr>
            <w:tcW w:w="450" w:type="dxa"/>
            <w:tcBorders>
              <w:top w:val="nil"/>
              <w:left w:val="nil"/>
              <w:bottom w:val="nil"/>
              <w:right w:val="nil"/>
            </w:tcBorders>
            <w:shd w:val="clear"/>
            <w:vAlign w:val="center"/>
          </w:tcPr>
          <w:p w14:paraId="1AD4367B">
            <w:pPr>
              <w:rPr>
                <w:rFonts w:hint="eastAsia" w:ascii="宋体" w:hAnsi="宋体" w:eastAsia="宋体" w:cs="宋体"/>
                <w:i w:val="0"/>
                <w:iCs w:val="0"/>
                <w:color w:val="000000"/>
                <w:sz w:val="18"/>
                <w:szCs w:val="18"/>
                <w:highlight w:val="none"/>
                <w:u w:val="none"/>
              </w:rPr>
            </w:pPr>
          </w:p>
        </w:tc>
        <w:tc>
          <w:tcPr>
            <w:tcW w:w="2550" w:type="dxa"/>
            <w:tcBorders>
              <w:top w:val="nil"/>
              <w:left w:val="nil"/>
              <w:bottom w:val="nil"/>
              <w:right w:val="nil"/>
            </w:tcBorders>
            <w:shd w:val="clear"/>
            <w:vAlign w:val="center"/>
          </w:tcPr>
          <w:p w14:paraId="39024116">
            <w:pPr>
              <w:rPr>
                <w:rFonts w:hint="eastAsia" w:ascii="宋体" w:hAnsi="宋体" w:eastAsia="宋体" w:cs="宋体"/>
                <w:i w:val="0"/>
                <w:iCs w:val="0"/>
                <w:color w:val="000000"/>
                <w:sz w:val="18"/>
                <w:szCs w:val="18"/>
                <w:highlight w:val="none"/>
                <w:u w:val="none"/>
              </w:rPr>
            </w:pPr>
          </w:p>
        </w:tc>
      </w:tr>
      <w:tr w14:paraId="29968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vAlign w:val="center"/>
          </w:tcPr>
          <w:p w14:paraId="1733E35E">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bdr w:val="none" w:color="auto" w:sz="0" w:space="0"/>
                <w:lang w:val="en-US" w:eastAsia="zh-CN" w:bidi="ar"/>
              </w:rPr>
              <w:t>部门预算项目支出绩效自评表（2025年度）</w:t>
            </w:r>
          </w:p>
        </w:tc>
      </w:tr>
      <w:tr w14:paraId="0677A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vAlign w:val="center"/>
          </w:tcPr>
          <w:p w14:paraId="0691688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vAlign w:val="center"/>
          </w:tcPr>
          <w:p w14:paraId="156CF61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51320021T000000109369-西部计划及青年志愿者工作经费</w:t>
            </w:r>
          </w:p>
        </w:tc>
      </w:tr>
      <w:tr w14:paraId="3DF6B0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vAlign w:val="center"/>
          </w:tcPr>
          <w:p w14:paraId="4F9B6A7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主管部门</w:t>
            </w: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5DEB985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团州委部门</w:t>
            </w:r>
          </w:p>
        </w:tc>
        <w:tc>
          <w:tcPr>
            <w:tcW w:w="1095" w:type="dxa"/>
            <w:tcBorders>
              <w:top w:val="nil"/>
              <w:left w:val="nil"/>
              <w:bottom w:val="nil"/>
              <w:right w:val="nil"/>
            </w:tcBorders>
            <w:shd w:val="clear"/>
            <w:vAlign w:val="center"/>
          </w:tcPr>
          <w:p w14:paraId="7491FEB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vAlign w:val="center"/>
          </w:tcPr>
          <w:p w14:paraId="268FF4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团州委</w:t>
            </w:r>
          </w:p>
        </w:tc>
      </w:tr>
      <w:tr w14:paraId="30D6A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6983B7D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58E0DC0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483B36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shd w:val="clear"/>
            <w:vAlign w:val="center"/>
          </w:tcPr>
          <w:p w14:paraId="57C6BB83">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年度目标完成情况</w:t>
            </w:r>
          </w:p>
        </w:tc>
      </w:tr>
      <w:tr w14:paraId="260A4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13"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F1B0797">
            <w:pP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681CA19">
            <w:pPr>
              <w:rPr>
                <w:rFonts w:hint="eastAsia" w:ascii="宋体" w:hAnsi="宋体" w:eastAsia="宋体" w:cs="宋体"/>
                <w:i w:val="0"/>
                <w:iCs w:val="0"/>
                <w:color w:val="000000"/>
                <w:sz w:val="18"/>
                <w:szCs w:val="18"/>
                <w:highlight w:val="none"/>
                <w:u w:val="none"/>
              </w:rPr>
            </w:pP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10312702">
            <w:pPr>
              <w:keepNext w:val="0"/>
              <w:keepLines w:val="0"/>
              <w:widowControl/>
              <w:suppressLineNumbers w:val="0"/>
              <w:spacing w:after="180" w:afterAutospacing="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根据团中央、财政部、教育部等相关部门的文件精神，各地要切实做好对志愿大学生的服务工作，给他们创造一个宽松、舒适的工作环境，在节假期间为他们送去温暖和慰问。同时为加大志愿服务工作，团州委将组织开展大规模的志愿者应急等方面的培训。组织开展不少于15场志愿服务活动，包括生态环保、服务中高考学子、开展禁毒防艾宣讲等。提升志愿者服务能力和水平，增强志愿者服务成效，促进基层人才队伍建设，提升志愿服务活动质量，志愿者累计服务时长≥500小时。</w:t>
            </w:r>
            <w:r>
              <w:rPr>
                <w:rFonts w:ascii="宋体" w:hAnsi="宋体" w:eastAsia="宋体" w:cs="宋体"/>
                <w:i w:val="0"/>
                <w:iCs w:val="0"/>
                <w:color w:val="000000"/>
                <w:kern w:val="0"/>
                <w:sz w:val="18"/>
                <w:szCs w:val="18"/>
                <w:highlight w:val="none"/>
                <w:u w:val="none"/>
                <w:bdr w:val="none" w:color="auto" w:sz="0" w:space="0"/>
                <w:lang w:val="en-US" w:eastAsia="zh-CN" w:bidi="ar"/>
              </w:rPr>
              <w:br w:type="textWrapping"/>
            </w:r>
            <w:r>
              <w:rPr>
                <w:rFonts w:ascii="宋体" w:hAnsi="宋体" w:eastAsia="宋体" w:cs="宋体"/>
                <w:i w:val="0"/>
                <w:iCs w:val="0"/>
                <w:color w:val="000000"/>
                <w:kern w:val="0"/>
                <w:sz w:val="18"/>
                <w:szCs w:val="18"/>
                <w:highlight w:val="none"/>
                <w:u w:val="none"/>
                <w:bdr w:val="none" w:color="auto" w:sz="0" w:space="0"/>
                <w:lang w:val="en-US" w:eastAsia="zh-CN" w:bidi="ar"/>
              </w:rPr>
              <w:br w:type="textWrapping"/>
            </w:r>
            <w:r>
              <w:rPr>
                <w:rFonts w:ascii="宋体" w:hAnsi="宋体" w:eastAsia="宋体" w:cs="宋体"/>
                <w:i w:val="0"/>
                <w:iCs w:val="0"/>
                <w:color w:val="000000"/>
                <w:kern w:val="0"/>
                <w:sz w:val="18"/>
                <w:szCs w:val="18"/>
                <w:highlight w:val="none"/>
                <w:u w:val="none"/>
                <w:bdr w:val="none" w:color="auto" w:sz="0" w:space="0"/>
                <w:lang w:val="en-US" w:eastAsia="zh-CN" w:bidi="ar"/>
              </w:rPr>
              <w:br w:type="textWrapping"/>
            </w:r>
          </w:p>
        </w:tc>
        <w:tc>
          <w:tcPr>
            <w:tcW w:w="4605" w:type="dxa"/>
            <w:gridSpan w:val="4"/>
            <w:tcBorders>
              <w:top w:val="single" w:color="000000" w:sz="4" w:space="0"/>
              <w:left w:val="single" w:color="000000" w:sz="4" w:space="0"/>
              <w:bottom w:val="single" w:color="000000" w:sz="4" w:space="0"/>
              <w:right w:val="single" w:color="000000" w:sz="4" w:space="0"/>
            </w:tcBorders>
            <w:shd w:val="clear"/>
            <w:vAlign w:val="center"/>
          </w:tcPr>
          <w:p w14:paraId="26DF7C0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对照年度目标，说明相关任务目标的完成情况（100字以内）</w:t>
            </w:r>
          </w:p>
        </w:tc>
      </w:tr>
      <w:tr w14:paraId="39D67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87AAB41">
            <w:pP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3FCB633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vAlign w:val="center"/>
          </w:tcPr>
          <w:p w14:paraId="7D57531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按上级要求做好西部计划志愿者关心关爱、慰问保障工作，组织志愿者开展应急技能培训，统筹开展生态环保、中高考服务、禁毒防艾宣讲等志愿服务活动，规范经费使用，全程落实志愿者保障与志愿服务组织工作。</w:t>
            </w:r>
          </w:p>
        </w:tc>
      </w:tr>
      <w:tr w14:paraId="520CD9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7B8DB07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预算执行情况（10分）</w:t>
            </w: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2D0AB9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72D9B3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年初预算</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49ECCE5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调整后预算数</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1D02195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预算执行数</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1FE5501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082376C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761E65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365F83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原因</w:t>
            </w:r>
          </w:p>
        </w:tc>
      </w:tr>
      <w:tr w14:paraId="2B3E8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DF92624">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383E5F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总额</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5BB70C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25.00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0691FEE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25.00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48CA030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25.00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038294C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10C5B5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3D5E3964">
            <w:pPr>
              <w:jc w:val="center"/>
              <w:rPr>
                <w:rFonts w:hint="eastAsia" w:ascii="宋体" w:hAnsi="宋体" w:eastAsia="宋体" w:cs="宋体"/>
                <w:i w:val="0"/>
                <w:iCs w:val="0"/>
                <w:color w:val="000000"/>
                <w:sz w:val="18"/>
                <w:szCs w:val="18"/>
                <w:highlight w:val="none"/>
                <w:u w:val="none"/>
              </w:rPr>
            </w:pPr>
          </w:p>
        </w:tc>
        <w:tc>
          <w:tcPr>
            <w:tcW w:w="2550" w:type="dxa"/>
            <w:vMerge w:val="restart"/>
            <w:tcBorders>
              <w:top w:val="single" w:color="000000" w:sz="4" w:space="0"/>
              <w:left w:val="single" w:color="000000" w:sz="4" w:space="0"/>
              <w:bottom w:val="single" w:color="000000" w:sz="4" w:space="0"/>
              <w:right w:val="single" w:color="000000" w:sz="4" w:space="0"/>
            </w:tcBorders>
            <w:shd w:val="clear"/>
            <w:vAlign w:val="center"/>
          </w:tcPr>
          <w:p w14:paraId="0AE9106F">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49F2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02E907A">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03C335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4859AE9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25.00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022C3F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25.00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1F30782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25.00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369991D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60B065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4CB272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4513164">
            <w:pPr>
              <w:rPr>
                <w:rFonts w:hint="eastAsia" w:ascii="黑体" w:hAnsi="黑体" w:eastAsia="黑体" w:cs="黑体"/>
                <w:i/>
                <w:iCs/>
                <w:color w:val="000000"/>
                <w:sz w:val="18"/>
                <w:szCs w:val="18"/>
                <w:highlight w:val="none"/>
                <w:u w:val="none"/>
              </w:rPr>
            </w:pPr>
          </w:p>
        </w:tc>
      </w:tr>
      <w:tr w14:paraId="6BEFC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DBCA222">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7FC977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2720CEB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7352E0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2A7E69E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42AE72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28EC31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34FDCA8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3A14A73">
            <w:pPr>
              <w:rPr>
                <w:rFonts w:hint="eastAsia" w:ascii="黑体" w:hAnsi="黑体" w:eastAsia="黑体" w:cs="黑体"/>
                <w:i/>
                <w:iCs/>
                <w:color w:val="000000"/>
                <w:sz w:val="18"/>
                <w:szCs w:val="18"/>
                <w:highlight w:val="none"/>
                <w:u w:val="none"/>
              </w:rPr>
            </w:pPr>
          </w:p>
        </w:tc>
      </w:tr>
      <w:tr w14:paraId="66D3C7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C6832E6">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790F99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单位资金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6CD038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541D59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5FB37C7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501EFA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5919CE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5D2576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4032785">
            <w:pPr>
              <w:rPr>
                <w:rFonts w:hint="eastAsia" w:ascii="黑体" w:hAnsi="黑体" w:eastAsia="黑体" w:cs="黑体"/>
                <w:i/>
                <w:iCs/>
                <w:color w:val="000000"/>
                <w:sz w:val="18"/>
                <w:szCs w:val="18"/>
                <w:highlight w:val="none"/>
                <w:u w:val="none"/>
              </w:rPr>
            </w:pPr>
          </w:p>
        </w:tc>
      </w:tr>
      <w:tr w14:paraId="34E88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8ED6814">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190734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其他资金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44DC2D3F">
            <w:pPr>
              <w:jc w:val="center"/>
              <w:rPr>
                <w:rFonts w:hint="eastAsia" w:ascii="微软雅黑" w:hAnsi="微软雅黑" w:eastAsia="微软雅黑" w:cs="微软雅黑"/>
                <w:i/>
                <w:iCs/>
                <w:color w:val="000000"/>
                <w:sz w:val="16"/>
                <w:szCs w:val="16"/>
                <w:highlight w:val="none"/>
                <w:u w:val="none"/>
              </w:rPr>
            </w:pP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4553EF6D">
            <w:pPr>
              <w:jc w:val="center"/>
              <w:rPr>
                <w:rFonts w:hint="eastAsia" w:ascii="微软雅黑" w:hAnsi="微软雅黑" w:eastAsia="微软雅黑" w:cs="微软雅黑"/>
                <w:i/>
                <w:iCs/>
                <w:color w:val="000000"/>
                <w:sz w:val="16"/>
                <w:szCs w:val="16"/>
                <w:highlight w:val="none"/>
                <w:u w:val="none"/>
              </w:rPr>
            </w:pP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1231C045">
            <w:pPr>
              <w:jc w:val="center"/>
              <w:rPr>
                <w:rFonts w:hint="eastAsia" w:ascii="微软雅黑" w:hAnsi="微软雅黑" w:eastAsia="微软雅黑" w:cs="微软雅黑"/>
                <w:i/>
                <w:iCs/>
                <w:color w:val="000000"/>
                <w:sz w:val="16"/>
                <w:szCs w:val="16"/>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49F0E142">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74E098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54690CC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813CF9E">
            <w:pPr>
              <w:rPr>
                <w:rFonts w:hint="eastAsia" w:ascii="黑体" w:hAnsi="黑体" w:eastAsia="黑体" w:cs="黑体"/>
                <w:i/>
                <w:iCs/>
                <w:color w:val="000000"/>
                <w:sz w:val="18"/>
                <w:szCs w:val="18"/>
                <w:highlight w:val="none"/>
                <w:u w:val="none"/>
              </w:rPr>
            </w:pPr>
          </w:p>
        </w:tc>
      </w:tr>
      <w:tr w14:paraId="1BE11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443BB37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绩效指标（90分）</w:t>
            </w: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1474AE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5D0350B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二级指标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04C8D1F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71862A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指标性质</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2D332F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55A6C25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度量单位</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5EB8126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7D94117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063F60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69C6E9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未完成原因分析</w:t>
            </w:r>
          </w:p>
        </w:tc>
      </w:tr>
      <w:tr w14:paraId="0689F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2652FFE">
            <w:pPr>
              <w:jc w:val="center"/>
              <w:rPr>
                <w:rFonts w:hint="eastAsia" w:ascii="宋体" w:hAnsi="宋体" w:eastAsia="宋体" w:cs="宋体"/>
                <w:i w:val="0"/>
                <w:iCs w:val="0"/>
                <w:color w:val="000000"/>
                <w:sz w:val="18"/>
                <w:szCs w:val="18"/>
                <w:highlight w:val="none"/>
                <w:u w:val="none"/>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7300801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4A587A1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数量指标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688BA90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志愿者累计服务时长</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4F8D9BF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1204C3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500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66C8121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小时</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4AC0450E">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0AF0C8C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4D189EB0">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7E0513B2">
            <w:pPr>
              <w:jc w:val="center"/>
              <w:rPr>
                <w:rFonts w:hint="eastAsia" w:ascii="微软雅黑" w:hAnsi="微软雅黑" w:eastAsia="微软雅黑" w:cs="微软雅黑"/>
                <w:i/>
                <w:iCs/>
                <w:color w:val="000000"/>
                <w:sz w:val="16"/>
                <w:szCs w:val="16"/>
                <w:highlight w:val="none"/>
                <w:u w:val="none"/>
              </w:rPr>
            </w:pPr>
          </w:p>
        </w:tc>
      </w:tr>
      <w:tr w14:paraId="070F4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5C1AFF3">
            <w:pPr>
              <w:jc w:val="cente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B4BC6F6">
            <w:pPr>
              <w:jc w:val="center"/>
              <w:rPr>
                <w:rFonts w:hint="eastAsia" w:ascii="宋体" w:hAnsi="宋体" w:eastAsia="宋体" w:cs="宋体"/>
                <w:i w:val="0"/>
                <w:iCs w:val="0"/>
                <w:color w:val="000000"/>
                <w:sz w:val="18"/>
                <w:szCs w:val="18"/>
                <w:highlight w:val="none"/>
                <w:u w:val="none"/>
              </w:rPr>
            </w:pP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5FC32C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质量指标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77B89E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志愿服务活动合格率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011797F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4CE0B4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85</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0AECD4C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4C2FB224">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17F51B6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345458C9">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1C87D03C">
            <w:pPr>
              <w:jc w:val="center"/>
              <w:rPr>
                <w:rFonts w:hint="eastAsia" w:ascii="微软雅黑" w:hAnsi="微软雅黑" w:eastAsia="微软雅黑" w:cs="微软雅黑"/>
                <w:i/>
                <w:iCs/>
                <w:color w:val="000000"/>
                <w:sz w:val="16"/>
                <w:szCs w:val="16"/>
                <w:highlight w:val="none"/>
                <w:u w:val="none"/>
              </w:rPr>
            </w:pPr>
          </w:p>
        </w:tc>
      </w:tr>
      <w:tr w14:paraId="3C5AB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2DEED0E">
            <w:pPr>
              <w:jc w:val="cente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A469F7C">
            <w:pPr>
              <w:jc w:val="center"/>
              <w:rPr>
                <w:rFonts w:hint="eastAsia" w:ascii="宋体" w:hAnsi="宋体" w:eastAsia="宋体" w:cs="宋体"/>
                <w:i w:val="0"/>
                <w:iCs w:val="0"/>
                <w:color w:val="000000"/>
                <w:sz w:val="18"/>
                <w:szCs w:val="18"/>
                <w:highlight w:val="none"/>
                <w:u w:val="none"/>
              </w:rPr>
            </w:pP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36E39FA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时效指标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033B4A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项目完成时间</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7D6F76D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定性</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68E867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2025年12月底前</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23BF9E73">
            <w:pPr>
              <w:jc w:val="center"/>
              <w:rPr>
                <w:rFonts w:hint="eastAsia" w:ascii="宋体" w:hAnsi="宋体" w:eastAsia="宋体" w:cs="宋体"/>
                <w:i w:val="0"/>
                <w:iCs w:val="0"/>
                <w:color w:val="000000"/>
                <w:sz w:val="18"/>
                <w:szCs w:val="18"/>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05B0CDE5">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420C93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19652645">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68B42E4A">
            <w:pPr>
              <w:jc w:val="center"/>
              <w:rPr>
                <w:rFonts w:hint="eastAsia" w:ascii="微软雅黑" w:hAnsi="微软雅黑" w:eastAsia="微软雅黑" w:cs="微软雅黑"/>
                <w:i/>
                <w:iCs/>
                <w:color w:val="000000"/>
                <w:sz w:val="16"/>
                <w:szCs w:val="16"/>
                <w:highlight w:val="none"/>
                <w:u w:val="none"/>
              </w:rPr>
            </w:pPr>
          </w:p>
        </w:tc>
      </w:tr>
      <w:tr w14:paraId="68778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D7EF706">
            <w:pPr>
              <w:jc w:val="center"/>
              <w:rPr>
                <w:rFonts w:hint="eastAsia" w:ascii="宋体" w:hAnsi="宋体" w:eastAsia="宋体" w:cs="宋体"/>
                <w:i w:val="0"/>
                <w:iCs w:val="0"/>
                <w:color w:val="000000"/>
                <w:sz w:val="18"/>
                <w:szCs w:val="18"/>
                <w:highlight w:val="none"/>
                <w:u w:val="none"/>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7ED9639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效益指标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vAlign w:val="center"/>
          </w:tcPr>
          <w:p w14:paraId="6309DA0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1862B05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志愿者专业技能提升率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65DBDA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442E05F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60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0D3A44F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64B5CC0E">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52E14F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564B77CD">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6921E25D">
            <w:pPr>
              <w:jc w:val="center"/>
              <w:rPr>
                <w:rFonts w:hint="eastAsia" w:ascii="微软雅黑" w:hAnsi="微软雅黑" w:eastAsia="微软雅黑" w:cs="微软雅黑"/>
                <w:i/>
                <w:iCs/>
                <w:color w:val="000000"/>
                <w:sz w:val="16"/>
                <w:szCs w:val="16"/>
                <w:highlight w:val="none"/>
                <w:u w:val="none"/>
              </w:rPr>
            </w:pPr>
          </w:p>
        </w:tc>
      </w:tr>
      <w:tr w14:paraId="63E0F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D60D432">
            <w:pPr>
              <w:jc w:val="cente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A44D932">
            <w:pPr>
              <w:jc w:val="center"/>
              <w:rPr>
                <w:rFonts w:hint="eastAsia" w:ascii="宋体" w:hAnsi="宋体" w:eastAsia="宋体" w:cs="宋体"/>
                <w:i w:val="0"/>
                <w:iCs w:val="0"/>
                <w:color w:val="000000"/>
                <w:sz w:val="18"/>
                <w:szCs w:val="18"/>
                <w:highlight w:val="none"/>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A268B7D">
            <w:pPr>
              <w:jc w:val="center"/>
              <w:rPr>
                <w:rFonts w:hint="eastAsia" w:ascii="宋体" w:hAnsi="宋体" w:eastAsia="宋体" w:cs="宋体"/>
                <w:i w:val="0"/>
                <w:iCs w:val="0"/>
                <w:color w:val="000000"/>
                <w:sz w:val="18"/>
                <w:szCs w:val="18"/>
                <w:highlight w:val="none"/>
                <w:u w:val="none"/>
              </w:rPr>
            </w:pP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781C6A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保障西部计划志愿者权益</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5AD7CBD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定性</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21D1C1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保障良好</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095027B5">
            <w:pPr>
              <w:jc w:val="center"/>
              <w:rPr>
                <w:rFonts w:hint="eastAsia" w:ascii="宋体" w:hAnsi="宋体" w:eastAsia="宋体" w:cs="宋体"/>
                <w:i w:val="0"/>
                <w:iCs w:val="0"/>
                <w:color w:val="000000"/>
                <w:sz w:val="18"/>
                <w:szCs w:val="18"/>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16D64BD0">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01A165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613167D8">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6D731CF3">
            <w:pPr>
              <w:jc w:val="center"/>
              <w:rPr>
                <w:rFonts w:hint="eastAsia" w:ascii="微软雅黑" w:hAnsi="微软雅黑" w:eastAsia="微软雅黑" w:cs="微软雅黑"/>
                <w:i/>
                <w:iCs/>
                <w:color w:val="000000"/>
                <w:sz w:val="16"/>
                <w:szCs w:val="16"/>
                <w:highlight w:val="none"/>
                <w:u w:val="none"/>
              </w:rPr>
            </w:pPr>
          </w:p>
        </w:tc>
      </w:tr>
      <w:tr w14:paraId="0614DC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30FC9DE">
            <w:pPr>
              <w:jc w:val="cente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80FA515">
            <w:pPr>
              <w:jc w:val="center"/>
              <w:rPr>
                <w:rFonts w:hint="eastAsia" w:ascii="宋体" w:hAnsi="宋体" w:eastAsia="宋体" w:cs="宋体"/>
                <w:i w:val="0"/>
                <w:iCs w:val="0"/>
                <w:color w:val="000000"/>
                <w:sz w:val="18"/>
                <w:szCs w:val="18"/>
                <w:highlight w:val="none"/>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8BA0431">
            <w:pPr>
              <w:jc w:val="center"/>
              <w:rPr>
                <w:rFonts w:hint="eastAsia" w:ascii="宋体" w:hAnsi="宋体" w:eastAsia="宋体" w:cs="宋体"/>
                <w:i w:val="0"/>
                <w:iCs w:val="0"/>
                <w:color w:val="000000"/>
                <w:sz w:val="18"/>
                <w:szCs w:val="18"/>
                <w:highlight w:val="none"/>
                <w:u w:val="none"/>
              </w:rPr>
            </w:pP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41885D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大学生基层工作提供情况</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4B51C0F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定性</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3BEF834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根据实际情况评定好、一般、差等次</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5ED1897D">
            <w:pPr>
              <w:jc w:val="center"/>
              <w:rPr>
                <w:rFonts w:hint="eastAsia" w:ascii="宋体" w:hAnsi="宋体" w:eastAsia="宋体" w:cs="宋体"/>
                <w:i w:val="0"/>
                <w:iCs w:val="0"/>
                <w:color w:val="000000"/>
                <w:sz w:val="18"/>
                <w:szCs w:val="18"/>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2FADB937">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2A193F9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0CAF168D">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5EC9EF16">
            <w:pPr>
              <w:jc w:val="center"/>
              <w:rPr>
                <w:rFonts w:hint="eastAsia" w:ascii="微软雅黑" w:hAnsi="微软雅黑" w:eastAsia="微软雅黑" w:cs="微软雅黑"/>
                <w:i/>
                <w:iCs/>
                <w:color w:val="000000"/>
                <w:sz w:val="16"/>
                <w:szCs w:val="16"/>
                <w:highlight w:val="none"/>
                <w:u w:val="none"/>
              </w:rPr>
            </w:pPr>
          </w:p>
        </w:tc>
      </w:tr>
      <w:tr w14:paraId="3A5DF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A32C09D">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1B6B1D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满意度指标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6F76330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03C4B89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受益群众对志愿服务的满意度</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3A6A491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74404D6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85</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67C688C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090B8973">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34DF9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7F87F868">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2CA5C6AF">
            <w:pPr>
              <w:jc w:val="center"/>
              <w:rPr>
                <w:rFonts w:hint="eastAsia" w:ascii="微软雅黑" w:hAnsi="微软雅黑" w:eastAsia="微软雅黑" w:cs="微软雅黑"/>
                <w:i/>
                <w:iCs/>
                <w:color w:val="000000"/>
                <w:sz w:val="16"/>
                <w:szCs w:val="16"/>
                <w:highlight w:val="none"/>
                <w:u w:val="none"/>
              </w:rPr>
            </w:pPr>
          </w:p>
        </w:tc>
      </w:tr>
      <w:tr w14:paraId="308A7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82D745E">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4CE4FBF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成本指标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5B2577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205387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成本控制率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5E6DF6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054605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618D6F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3CA33EBE">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0222FE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58A36F87">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6451D617">
            <w:pPr>
              <w:jc w:val="center"/>
              <w:rPr>
                <w:rFonts w:hint="eastAsia" w:ascii="微软雅黑" w:hAnsi="微软雅黑" w:eastAsia="微软雅黑" w:cs="微软雅黑"/>
                <w:i/>
                <w:iCs/>
                <w:color w:val="000000"/>
                <w:sz w:val="16"/>
                <w:szCs w:val="16"/>
                <w:highlight w:val="none"/>
                <w:u w:val="none"/>
              </w:rPr>
            </w:pPr>
          </w:p>
        </w:tc>
      </w:tr>
      <w:tr w14:paraId="55EFD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05" w:type="dxa"/>
            <w:gridSpan w:val="8"/>
            <w:tcBorders>
              <w:top w:val="single" w:color="000000" w:sz="4" w:space="0"/>
              <w:left w:val="single" w:color="000000" w:sz="4" w:space="0"/>
              <w:bottom w:val="single" w:color="000000" w:sz="4" w:space="0"/>
              <w:right w:val="single" w:color="000000" w:sz="4" w:space="0"/>
            </w:tcBorders>
            <w:shd w:val="clear"/>
            <w:vAlign w:val="center"/>
          </w:tcPr>
          <w:p w14:paraId="20948F5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462A78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77F97CBD">
            <w:pP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010EDC0F">
            <w:pPr>
              <w:rPr>
                <w:rFonts w:hint="eastAsia" w:ascii="宋体" w:hAnsi="宋体" w:eastAsia="宋体" w:cs="宋体"/>
                <w:i w:val="0"/>
                <w:iCs w:val="0"/>
                <w:color w:val="000000"/>
                <w:sz w:val="18"/>
                <w:szCs w:val="18"/>
                <w:highlight w:val="none"/>
                <w:u w:val="none"/>
              </w:rPr>
            </w:pPr>
          </w:p>
        </w:tc>
      </w:tr>
      <w:tr w14:paraId="580DA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35CBC4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评价结论</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783008FA">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自评总分 100 分。预算执行率 100%，服务时长、活动开展、权益保障等指标完成。志愿者服务能力提升，基层志愿服务提质增效，群众满意度达标。</w:t>
            </w:r>
          </w:p>
        </w:tc>
      </w:tr>
      <w:tr w14:paraId="78FE0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3BE286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存在问题</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0D7961AF">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志愿者专业培训系统性不足，服务技能参差不齐；志愿服务品牌化建设滞后，社会影响力不足。</w:t>
            </w:r>
          </w:p>
        </w:tc>
      </w:tr>
      <w:tr w14:paraId="0953DF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344767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改进措施</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6E00DD67">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完善志愿者培训体系，开展专项技能培训；打造特色志愿服务品牌，扩大宣传；健全激励机制，提升志愿者归属感。</w:t>
            </w:r>
          </w:p>
        </w:tc>
      </w:tr>
      <w:tr w14:paraId="67EE4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7305" w:type="dxa"/>
            <w:gridSpan w:val="5"/>
            <w:tcBorders>
              <w:top w:val="single" w:color="000000" w:sz="4" w:space="0"/>
              <w:left w:val="single" w:color="000000" w:sz="4" w:space="0"/>
              <w:bottom w:val="single" w:color="000000" w:sz="4" w:space="0"/>
              <w:right w:val="single" w:color="000000" w:sz="4" w:space="0"/>
            </w:tcBorders>
            <w:shd w:val="clear"/>
            <w:vAlign w:val="center"/>
          </w:tcPr>
          <w:p w14:paraId="799BBAFD">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项目负责人：李为玺</w:t>
            </w:r>
          </w:p>
        </w:tc>
        <w:tc>
          <w:tcPr>
            <w:tcW w:w="6810" w:type="dxa"/>
            <w:gridSpan w:val="6"/>
            <w:tcBorders>
              <w:top w:val="single" w:color="000000" w:sz="4" w:space="0"/>
              <w:left w:val="single" w:color="000000" w:sz="4" w:space="0"/>
              <w:bottom w:val="single" w:color="000000" w:sz="4" w:space="0"/>
              <w:right w:val="single" w:color="000000" w:sz="4" w:space="0"/>
            </w:tcBorders>
            <w:shd w:val="clear"/>
            <w:vAlign w:val="center"/>
          </w:tcPr>
          <w:p w14:paraId="3764BF97">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财务负责人：杨嘉奇</w:t>
            </w:r>
          </w:p>
        </w:tc>
      </w:tr>
      <w:tr w14:paraId="35D98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0" w:type="dxa"/>
            <w:tcBorders>
              <w:top w:val="nil"/>
              <w:left w:val="nil"/>
              <w:bottom w:val="nil"/>
              <w:right w:val="nil"/>
            </w:tcBorders>
            <w:shd w:val="clear"/>
            <w:vAlign w:val="center"/>
          </w:tcPr>
          <w:p w14:paraId="52DC220A">
            <w:pPr>
              <w:rPr>
                <w:rFonts w:hint="eastAsia" w:ascii="宋体" w:hAnsi="宋体" w:eastAsia="宋体" w:cs="宋体"/>
                <w:i w:val="0"/>
                <w:iCs w:val="0"/>
                <w:color w:val="000000"/>
                <w:sz w:val="18"/>
                <w:szCs w:val="18"/>
                <w:highlight w:val="none"/>
                <w:u w:val="none"/>
              </w:rPr>
            </w:pPr>
          </w:p>
        </w:tc>
        <w:tc>
          <w:tcPr>
            <w:tcW w:w="2055" w:type="dxa"/>
            <w:tcBorders>
              <w:top w:val="nil"/>
              <w:left w:val="nil"/>
              <w:bottom w:val="nil"/>
              <w:right w:val="nil"/>
            </w:tcBorders>
            <w:shd w:val="clear"/>
            <w:vAlign w:val="center"/>
          </w:tcPr>
          <w:p w14:paraId="62529A3D">
            <w:pPr>
              <w:rPr>
                <w:rFonts w:hint="eastAsia" w:ascii="宋体" w:hAnsi="宋体" w:eastAsia="宋体" w:cs="宋体"/>
                <w:i w:val="0"/>
                <w:iCs w:val="0"/>
                <w:color w:val="000000"/>
                <w:sz w:val="18"/>
                <w:szCs w:val="18"/>
                <w:highlight w:val="none"/>
                <w:u w:val="none"/>
              </w:rPr>
            </w:pPr>
          </w:p>
        </w:tc>
        <w:tc>
          <w:tcPr>
            <w:tcW w:w="1770" w:type="dxa"/>
            <w:tcBorders>
              <w:top w:val="nil"/>
              <w:left w:val="nil"/>
              <w:bottom w:val="nil"/>
              <w:right w:val="nil"/>
            </w:tcBorders>
            <w:shd w:val="clear"/>
            <w:vAlign w:val="center"/>
          </w:tcPr>
          <w:p w14:paraId="3DF8562C">
            <w:pPr>
              <w:rPr>
                <w:rFonts w:hint="eastAsia" w:ascii="宋体" w:hAnsi="宋体" w:eastAsia="宋体" w:cs="宋体"/>
                <w:i w:val="0"/>
                <w:iCs w:val="0"/>
                <w:color w:val="000000"/>
                <w:sz w:val="18"/>
                <w:szCs w:val="18"/>
                <w:highlight w:val="none"/>
                <w:u w:val="none"/>
              </w:rPr>
            </w:pPr>
          </w:p>
        </w:tc>
        <w:tc>
          <w:tcPr>
            <w:tcW w:w="2265" w:type="dxa"/>
            <w:tcBorders>
              <w:top w:val="nil"/>
              <w:left w:val="nil"/>
              <w:bottom w:val="nil"/>
              <w:right w:val="nil"/>
            </w:tcBorders>
            <w:shd w:val="clear"/>
            <w:vAlign w:val="center"/>
          </w:tcPr>
          <w:p w14:paraId="5A50FBE0">
            <w:pPr>
              <w:rPr>
                <w:rFonts w:hint="eastAsia" w:ascii="宋体" w:hAnsi="宋体" w:eastAsia="宋体" w:cs="宋体"/>
                <w:i w:val="0"/>
                <w:iCs w:val="0"/>
                <w:color w:val="000000"/>
                <w:sz w:val="18"/>
                <w:szCs w:val="18"/>
                <w:highlight w:val="none"/>
                <w:u w:val="none"/>
              </w:rPr>
            </w:pPr>
          </w:p>
          <w:p w14:paraId="32AB57B8">
            <w:pPr>
              <w:rPr>
                <w:rFonts w:hint="eastAsia" w:ascii="宋体" w:hAnsi="宋体" w:eastAsia="宋体" w:cs="宋体"/>
                <w:i w:val="0"/>
                <w:iCs w:val="0"/>
                <w:color w:val="000000"/>
                <w:sz w:val="18"/>
                <w:szCs w:val="18"/>
                <w:highlight w:val="none"/>
                <w:u w:val="none"/>
              </w:rPr>
            </w:pPr>
          </w:p>
          <w:p w14:paraId="5AD1F49C">
            <w:pPr>
              <w:rPr>
                <w:rFonts w:hint="eastAsia" w:ascii="宋体" w:hAnsi="宋体" w:eastAsia="宋体" w:cs="宋体"/>
                <w:i w:val="0"/>
                <w:iCs w:val="0"/>
                <w:color w:val="000000"/>
                <w:sz w:val="18"/>
                <w:szCs w:val="18"/>
                <w:highlight w:val="none"/>
                <w:u w:val="none"/>
              </w:rPr>
            </w:pPr>
          </w:p>
          <w:p w14:paraId="08987211">
            <w:pPr>
              <w:rPr>
                <w:rFonts w:hint="eastAsia" w:ascii="宋体" w:hAnsi="宋体" w:eastAsia="宋体" w:cs="宋体"/>
                <w:i w:val="0"/>
                <w:iCs w:val="0"/>
                <w:color w:val="000000"/>
                <w:sz w:val="18"/>
                <w:szCs w:val="18"/>
                <w:highlight w:val="none"/>
                <w:u w:val="none"/>
              </w:rPr>
            </w:pPr>
          </w:p>
          <w:p w14:paraId="063A5EC1">
            <w:pPr>
              <w:rPr>
                <w:rFonts w:hint="eastAsia" w:ascii="宋体" w:hAnsi="宋体" w:eastAsia="宋体" w:cs="宋体"/>
                <w:i w:val="0"/>
                <w:iCs w:val="0"/>
                <w:color w:val="000000"/>
                <w:sz w:val="18"/>
                <w:szCs w:val="18"/>
                <w:highlight w:val="none"/>
                <w:u w:val="none"/>
              </w:rPr>
            </w:pPr>
          </w:p>
          <w:p w14:paraId="3EE70F1B">
            <w:pPr>
              <w:rPr>
                <w:rFonts w:hint="eastAsia" w:ascii="宋体" w:hAnsi="宋体" w:eastAsia="宋体" w:cs="宋体"/>
                <w:i w:val="0"/>
                <w:iCs w:val="0"/>
                <w:color w:val="000000"/>
                <w:sz w:val="18"/>
                <w:szCs w:val="18"/>
                <w:highlight w:val="none"/>
                <w:u w:val="none"/>
              </w:rPr>
            </w:pPr>
          </w:p>
          <w:p w14:paraId="01EF44F5">
            <w:pPr>
              <w:rPr>
                <w:rFonts w:hint="eastAsia" w:ascii="宋体" w:hAnsi="宋体" w:eastAsia="宋体" w:cs="宋体"/>
                <w:i w:val="0"/>
                <w:iCs w:val="0"/>
                <w:color w:val="000000"/>
                <w:sz w:val="18"/>
                <w:szCs w:val="18"/>
                <w:highlight w:val="none"/>
                <w:u w:val="none"/>
              </w:rPr>
            </w:pPr>
          </w:p>
          <w:p w14:paraId="3F041510">
            <w:pPr>
              <w:rPr>
                <w:rFonts w:hint="eastAsia" w:ascii="宋体" w:hAnsi="宋体" w:eastAsia="宋体" w:cs="宋体"/>
                <w:i w:val="0"/>
                <w:iCs w:val="0"/>
                <w:color w:val="000000"/>
                <w:sz w:val="18"/>
                <w:szCs w:val="18"/>
                <w:highlight w:val="none"/>
                <w:u w:val="none"/>
              </w:rPr>
            </w:pPr>
          </w:p>
          <w:p w14:paraId="5C1FC439">
            <w:pPr>
              <w:rPr>
                <w:rFonts w:hint="eastAsia" w:ascii="宋体" w:hAnsi="宋体" w:eastAsia="宋体" w:cs="宋体"/>
                <w:i w:val="0"/>
                <w:iCs w:val="0"/>
                <w:color w:val="000000"/>
                <w:sz w:val="18"/>
                <w:szCs w:val="18"/>
                <w:highlight w:val="none"/>
                <w:u w:val="none"/>
              </w:rPr>
            </w:pPr>
          </w:p>
          <w:p w14:paraId="4B8E782A">
            <w:pPr>
              <w:rPr>
                <w:rFonts w:hint="eastAsia" w:ascii="宋体" w:hAnsi="宋体" w:eastAsia="宋体" w:cs="宋体"/>
                <w:i w:val="0"/>
                <w:iCs w:val="0"/>
                <w:color w:val="000000"/>
                <w:sz w:val="18"/>
                <w:szCs w:val="18"/>
                <w:highlight w:val="none"/>
                <w:u w:val="none"/>
              </w:rPr>
            </w:pPr>
          </w:p>
          <w:p w14:paraId="5C497A60">
            <w:pPr>
              <w:rPr>
                <w:rFonts w:hint="eastAsia" w:ascii="宋体" w:hAnsi="宋体" w:eastAsia="宋体" w:cs="宋体"/>
                <w:i w:val="0"/>
                <w:iCs w:val="0"/>
                <w:color w:val="000000"/>
                <w:sz w:val="18"/>
                <w:szCs w:val="18"/>
                <w:highlight w:val="none"/>
                <w:u w:val="none"/>
              </w:rPr>
            </w:pPr>
          </w:p>
          <w:p w14:paraId="0714A97F">
            <w:pPr>
              <w:rPr>
                <w:rFonts w:hint="eastAsia" w:ascii="宋体" w:hAnsi="宋体" w:eastAsia="宋体" w:cs="宋体"/>
                <w:i w:val="0"/>
                <w:iCs w:val="0"/>
                <w:color w:val="000000"/>
                <w:sz w:val="18"/>
                <w:szCs w:val="18"/>
                <w:highlight w:val="none"/>
                <w:u w:val="none"/>
              </w:rPr>
            </w:pPr>
          </w:p>
          <w:p w14:paraId="04F5C64B">
            <w:pPr>
              <w:rPr>
                <w:rFonts w:hint="eastAsia" w:ascii="宋体" w:hAnsi="宋体" w:eastAsia="宋体" w:cs="宋体"/>
                <w:i w:val="0"/>
                <w:iCs w:val="0"/>
                <w:color w:val="000000"/>
                <w:sz w:val="18"/>
                <w:szCs w:val="18"/>
                <w:highlight w:val="none"/>
                <w:u w:val="none"/>
              </w:rPr>
            </w:pPr>
          </w:p>
          <w:p w14:paraId="300768A3">
            <w:pPr>
              <w:rPr>
                <w:rFonts w:hint="eastAsia" w:ascii="宋体" w:hAnsi="宋体" w:eastAsia="宋体" w:cs="宋体"/>
                <w:i w:val="0"/>
                <w:iCs w:val="0"/>
                <w:color w:val="000000"/>
                <w:sz w:val="18"/>
                <w:szCs w:val="18"/>
                <w:highlight w:val="none"/>
                <w:u w:val="none"/>
              </w:rPr>
            </w:pPr>
          </w:p>
          <w:p w14:paraId="02261A93">
            <w:pPr>
              <w:rPr>
                <w:rFonts w:hint="eastAsia" w:ascii="宋体" w:hAnsi="宋体" w:eastAsia="宋体" w:cs="宋体"/>
                <w:i w:val="0"/>
                <w:iCs w:val="0"/>
                <w:color w:val="000000"/>
                <w:sz w:val="18"/>
                <w:szCs w:val="18"/>
                <w:highlight w:val="none"/>
                <w:u w:val="none"/>
              </w:rPr>
            </w:pPr>
          </w:p>
          <w:p w14:paraId="41BDD9B9">
            <w:pPr>
              <w:rPr>
                <w:rFonts w:hint="eastAsia" w:ascii="宋体" w:hAnsi="宋体" w:eastAsia="宋体" w:cs="宋体"/>
                <w:i w:val="0"/>
                <w:iCs w:val="0"/>
                <w:color w:val="000000"/>
                <w:sz w:val="18"/>
                <w:szCs w:val="18"/>
                <w:highlight w:val="none"/>
                <w:u w:val="none"/>
              </w:rPr>
            </w:pPr>
          </w:p>
          <w:p w14:paraId="79EBC679">
            <w:pPr>
              <w:rPr>
                <w:rFonts w:hint="eastAsia" w:ascii="宋体" w:hAnsi="宋体" w:eastAsia="宋体" w:cs="宋体"/>
                <w:i w:val="0"/>
                <w:iCs w:val="0"/>
                <w:color w:val="000000"/>
                <w:sz w:val="18"/>
                <w:szCs w:val="18"/>
                <w:highlight w:val="none"/>
                <w:u w:val="none"/>
              </w:rPr>
            </w:pPr>
          </w:p>
          <w:p w14:paraId="78572D62">
            <w:pPr>
              <w:rPr>
                <w:rFonts w:hint="eastAsia" w:ascii="宋体" w:hAnsi="宋体" w:eastAsia="宋体" w:cs="宋体"/>
                <w:i w:val="0"/>
                <w:iCs w:val="0"/>
                <w:color w:val="000000"/>
                <w:sz w:val="18"/>
                <w:szCs w:val="18"/>
                <w:highlight w:val="none"/>
                <w:u w:val="none"/>
              </w:rPr>
            </w:pPr>
          </w:p>
          <w:p w14:paraId="3E000447">
            <w:pPr>
              <w:rPr>
                <w:rFonts w:hint="eastAsia" w:ascii="宋体" w:hAnsi="宋体" w:eastAsia="宋体" w:cs="宋体"/>
                <w:i w:val="0"/>
                <w:iCs w:val="0"/>
                <w:color w:val="000000"/>
                <w:sz w:val="18"/>
                <w:szCs w:val="18"/>
                <w:highlight w:val="none"/>
                <w:u w:val="none"/>
              </w:rPr>
            </w:pPr>
          </w:p>
          <w:p w14:paraId="09E452DD">
            <w:pPr>
              <w:rPr>
                <w:rFonts w:hint="eastAsia" w:ascii="宋体" w:hAnsi="宋体" w:eastAsia="宋体" w:cs="宋体"/>
                <w:i w:val="0"/>
                <w:iCs w:val="0"/>
                <w:color w:val="000000"/>
                <w:sz w:val="18"/>
                <w:szCs w:val="18"/>
                <w:highlight w:val="none"/>
                <w:u w:val="none"/>
              </w:rPr>
            </w:pPr>
          </w:p>
          <w:p w14:paraId="52C93E9E">
            <w:pPr>
              <w:rPr>
                <w:rFonts w:hint="eastAsia" w:ascii="宋体" w:hAnsi="宋体" w:eastAsia="宋体" w:cs="宋体"/>
                <w:i w:val="0"/>
                <w:iCs w:val="0"/>
                <w:color w:val="000000"/>
                <w:sz w:val="18"/>
                <w:szCs w:val="18"/>
                <w:highlight w:val="none"/>
                <w:u w:val="none"/>
              </w:rPr>
            </w:pPr>
          </w:p>
          <w:p w14:paraId="63A2257E">
            <w:pPr>
              <w:rPr>
                <w:rFonts w:hint="eastAsia" w:ascii="宋体" w:hAnsi="宋体" w:eastAsia="宋体" w:cs="宋体"/>
                <w:i w:val="0"/>
                <w:iCs w:val="0"/>
                <w:color w:val="000000"/>
                <w:sz w:val="18"/>
                <w:szCs w:val="18"/>
                <w:highlight w:val="none"/>
                <w:u w:val="none"/>
              </w:rPr>
            </w:pPr>
          </w:p>
        </w:tc>
        <w:tc>
          <w:tcPr>
            <w:tcW w:w="525" w:type="dxa"/>
            <w:tcBorders>
              <w:top w:val="nil"/>
              <w:left w:val="nil"/>
              <w:bottom w:val="nil"/>
              <w:right w:val="nil"/>
            </w:tcBorders>
            <w:shd w:val="clear"/>
            <w:vAlign w:val="center"/>
          </w:tcPr>
          <w:p w14:paraId="4D584CC6">
            <w:pPr>
              <w:rPr>
                <w:rFonts w:hint="eastAsia" w:ascii="宋体" w:hAnsi="宋体" w:eastAsia="宋体" w:cs="宋体"/>
                <w:i w:val="0"/>
                <w:iCs w:val="0"/>
                <w:color w:val="000000"/>
                <w:sz w:val="18"/>
                <w:szCs w:val="18"/>
                <w:highlight w:val="none"/>
                <w:u w:val="none"/>
              </w:rPr>
            </w:pPr>
          </w:p>
        </w:tc>
        <w:tc>
          <w:tcPr>
            <w:tcW w:w="1680" w:type="dxa"/>
            <w:tcBorders>
              <w:top w:val="nil"/>
              <w:left w:val="nil"/>
              <w:bottom w:val="nil"/>
              <w:right w:val="nil"/>
            </w:tcBorders>
            <w:shd w:val="clear"/>
            <w:vAlign w:val="center"/>
          </w:tcPr>
          <w:p w14:paraId="2A1E0D72">
            <w:pPr>
              <w:rPr>
                <w:rFonts w:hint="eastAsia" w:ascii="宋体" w:hAnsi="宋体" w:eastAsia="宋体" w:cs="宋体"/>
                <w:i w:val="0"/>
                <w:iCs w:val="0"/>
                <w:color w:val="000000"/>
                <w:sz w:val="18"/>
                <w:szCs w:val="18"/>
                <w:highlight w:val="none"/>
                <w:u w:val="none"/>
              </w:rPr>
            </w:pPr>
          </w:p>
        </w:tc>
        <w:tc>
          <w:tcPr>
            <w:tcW w:w="525" w:type="dxa"/>
            <w:tcBorders>
              <w:top w:val="nil"/>
              <w:left w:val="nil"/>
              <w:bottom w:val="nil"/>
              <w:right w:val="nil"/>
            </w:tcBorders>
            <w:shd w:val="clear"/>
            <w:vAlign w:val="center"/>
          </w:tcPr>
          <w:p w14:paraId="707017C9">
            <w:pPr>
              <w:rPr>
                <w:rFonts w:hint="eastAsia" w:ascii="宋体" w:hAnsi="宋体" w:eastAsia="宋体" w:cs="宋体"/>
                <w:i w:val="0"/>
                <w:iCs w:val="0"/>
                <w:color w:val="000000"/>
                <w:sz w:val="18"/>
                <w:szCs w:val="18"/>
                <w:highlight w:val="none"/>
                <w:u w:val="none"/>
              </w:rPr>
            </w:pPr>
          </w:p>
        </w:tc>
        <w:tc>
          <w:tcPr>
            <w:tcW w:w="1095" w:type="dxa"/>
            <w:tcBorders>
              <w:top w:val="nil"/>
              <w:left w:val="nil"/>
              <w:bottom w:val="nil"/>
              <w:right w:val="nil"/>
            </w:tcBorders>
            <w:shd w:val="clear"/>
            <w:vAlign w:val="center"/>
          </w:tcPr>
          <w:p w14:paraId="3D29ABF9">
            <w:pPr>
              <w:rPr>
                <w:rFonts w:hint="eastAsia" w:ascii="宋体" w:hAnsi="宋体" w:eastAsia="宋体" w:cs="宋体"/>
                <w:i w:val="0"/>
                <w:iCs w:val="0"/>
                <w:color w:val="000000"/>
                <w:sz w:val="18"/>
                <w:szCs w:val="18"/>
                <w:highlight w:val="none"/>
                <w:u w:val="none"/>
              </w:rPr>
            </w:pPr>
          </w:p>
        </w:tc>
        <w:tc>
          <w:tcPr>
            <w:tcW w:w="510" w:type="dxa"/>
            <w:tcBorders>
              <w:top w:val="nil"/>
              <w:left w:val="nil"/>
              <w:bottom w:val="nil"/>
              <w:right w:val="nil"/>
            </w:tcBorders>
            <w:shd w:val="clear"/>
            <w:vAlign w:val="center"/>
          </w:tcPr>
          <w:p w14:paraId="1B30F535">
            <w:pPr>
              <w:rPr>
                <w:rFonts w:hint="eastAsia" w:ascii="宋体" w:hAnsi="宋体" w:eastAsia="宋体" w:cs="宋体"/>
                <w:i w:val="0"/>
                <w:iCs w:val="0"/>
                <w:color w:val="000000"/>
                <w:sz w:val="18"/>
                <w:szCs w:val="18"/>
                <w:highlight w:val="none"/>
                <w:u w:val="none"/>
              </w:rPr>
            </w:pPr>
          </w:p>
        </w:tc>
        <w:tc>
          <w:tcPr>
            <w:tcW w:w="450" w:type="dxa"/>
            <w:tcBorders>
              <w:top w:val="nil"/>
              <w:left w:val="nil"/>
              <w:bottom w:val="nil"/>
              <w:right w:val="nil"/>
            </w:tcBorders>
            <w:shd w:val="clear"/>
            <w:vAlign w:val="center"/>
          </w:tcPr>
          <w:p w14:paraId="66C50C2C">
            <w:pPr>
              <w:rPr>
                <w:rFonts w:hint="eastAsia" w:ascii="宋体" w:hAnsi="宋体" w:eastAsia="宋体" w:cs="宋体"/>
                <w:i w:val="0"/>
                <w:iCs w:val="0"/>
                <w:color w:val="000000"/>
                <w:sz w:val="18"/>
                <w:szCs w:val="18"/>
                <w:highlight w:val="none"/>
                <w:u w:val="none"/>
              </w:rPr>
            </w:pPr>
          </w:p>
        </w:tc>
        <w:tc>
          <w:tcPr>
            <w:tcW w:w="2550" w:type="dxa"/>
            <w:tcBorders>
              <w:top w:val="nil"/>
              <w:left w:val="nil"/>
              <w:bottom w:val="nil"/>
              <w:right w:val="nil"/>
            </w:tcBorders>
            <w:shd w:val="clear"/>
            <w:vAlign w:val="center"/>
          </w:tcPr>
          <w:p w14:paraId="07222646">
            <w:pPr>
              <w:rPr>
                <w:rFonts w:hint="eastAsia" w:ascii="宋体" w:hAnsi="宋体" w:eastAsia="宋体" w:cs="宋体"/>
                <w:i w:val="0"/>
                <w:iCs w:val="0"/>
                <w:color w:val="000000"/>
                <w:sz w:val="18"/>
                <w:szCs w:val="18"/>
                <w:highlight w:val="none"/>
                <w:u w:val="none"/>
              </w:rPr>
            </w:pPr>
          </w:p>
        </w:tc>
      </w:tr>
      <w:tr w14:paraId="3BAE5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vAlign w:val="center"/>
          </w:tcPr>
          <w:p w14:paraId="428BD0A2">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bdr w:val="none" w:color="auto" w:sz="0" w:space="0"/>
                <w:lang w:val="en-US" w:eastAsia="zh-CN" w:bidi="ar"/>
              </w:rPr>
              <w:t>部门预算项目支出绩效自评表（2025年度）</w:t>
            </w:r>
          </w:p>
        </w:tc>
      </w:tr>
      <w:tr w14:paraId="629629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vAlign w:val="center"/>
          </w:tcPr>
          <w:p w14:paraId="6FA33060">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vAlign w:val="center"/>
          </w:tcPr>
          <w:p w14:paraId="178805F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51320024T000011524138-中国共青团阿坝州委辅助性采用服务外作包项目</w:t>
            </w:r>
          </w:p>
        </w:tc>
      </w:tr>
      <w:tr w14:paraId="05460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2"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vAlign w:val="center"/>
          </w:tcPr>
          <w:p w14:paraId="13CABE5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主管部门</w:t>
            </w: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577FF13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团州委部门</w:t>
            </w:r>
          </w:p>
        </w:tc>
        <w:tc>
          <w:tcPr>
            <w:tcW w:w="1095" w:type="dxa"/>
            <w:tcBorders>
              <w:top w:val="nil"/>
              <w:left w:val="nil"/>
              <w:bottom w:val="nil"/>
              <w:right w:val="nil"/>
            </w:tcBorders>
            <w:shd w:val="clear"/>
            <w:vAlign w:val="center"/>
          </w:tcPr>
          <w:p w14:paraId="15C83FBB">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vAlign w:val="center"/>
          </w:tcPr>
          <w:p w14:paraId="2B6B73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团州委</w:t>
            </w:r>
          </w:p>
        </w:tc>
      </w:tr>
      <w:tr w14:paraId="4F641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6330BA4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6DB3235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194FBFF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shd w:val="clear"/>
            <w:vAlign w:val="center"/>
          </w:tcPr>
          <w:p w14:paraId="1DBBBE1F">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年度目标完成情况</w:t>
            </w:r>
          </w:p>
        </w:tc>
      </w:tr>
      <w:tr w14:paraId="5075D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72F8ADB">
            <w:pP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32C944B">
            <w:pPr>
              <w:rPr>
                <w:rFonts w:hint="eastAsia" w:ascii="宋体" w:hAnsi="宋体" w:eastAsia="宋体" w:cs="宋体"/>
                <w:i w:val="0"/>
                <w:iCs w:val="0"/>
                <w:color w:val="000000"/>
                <w:sz w:val="18"/>
                <w:szCs w:val="18"/>
                <w:highlight w:val="none"/>
                <w:u w:val="none"/>
              </w:rPr>
            </w:pP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59E4A4D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中国共青团阿坝州委辅助性工作拟采用服务外包的形式确定1名供应商，主要开展办公室工作和驾驶服务工作。</w:t>
            </w:r>
          </w:p>
        </w:tc>
        <w:tc>
          <w:tcPr>
            <w:tcW w:w="4605" w:type="dxa"/>
            <w:gridSpan w:val="4"/>
            <w:tcBorders>
              <w:top w:val="single" w:color="000000" w:sz="4" w:space="0"/>
              <w:left w:val="single" w:color="000000" w:sz="4" w:space="0"/>
              <w:bottom w:val="single" w:color="000000" w:sz="4" w:space="0"/>
              <w:right w:val="single" w:color="000000" w:sz="4" w:space="0"/>
            </w:tcBorders>
            <w:shd w:val="clear"/>
            <w:vAlign w:val="center"/>
          </w:tcPr>
          <w:p w14:paraId="276447E6">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对照年度目标，说明相关任务目标的完成情况（100字以内）</w:t>
            </w:r>
          </w:p>
        </w:tc>
      </w:tr>
      <w:tr w14:paraId="54B5A7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D864F7A">
            <w:pP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3C45466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vAlign w:val="center"/>
          </w:tcPr>
          <w:p w14:paraId="7371346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按程序推进辅助性工作服务外包采购，拟选聘供应商提供办公室事务、驾驶服务等辅助工作，按外包服务要求推进人员聘用、工作对接等事宜，因采购流程推进，项目按阶段实施，逐步落实外包服务各项内容。</w:t>
            </w:r>
          </w:p>
        </w:tc>
      </w:tr>
      <w:tr w14:paraId="2137C6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3E4B122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预算执行情况（10分）</w:t>
            </w: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24D909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33F255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年初预算</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79A783C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调整后预算数</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6AABB7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预算执行数</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2FAB41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4B7AA27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0EDED8C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3FA1B7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原因</w:t>
            </w:r>
          </w:p>
        </w:tc>
      </w:tr>
      <w:tr w14:paraId="1FB6D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82CDD72">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209162B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总额</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24D434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151A9D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52.80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229832E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26.40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26C3D1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71EB2A1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1F1ED67F">
            <w:pPr>
              <w:jc w:val="center"/>
              <w:rPr>
                <w:rFonts w:hint="eastAsia" w:ascii="宋体" w:hAnsi="宋体" w:eastAsia="宋体" w:cs="宋体"/>
                <w:i w:val="0"/>
                <w:iCs w:val="0"/>
                <w:color w:val="000000"/>
                <w:sz w:val="18"/>
                <w:szCs w:val="18"/>
                <w:highlight w:val="none"/>
                <w:u w:val="none"/>
              </w:rPr>
            </w:pPr>
          </w:p>
        </w:tc>
        <w:tc>
          <w:tcPr>
            <w:tcW w:w="2550" w:type="dxa"/>
            <w:vMerge w:val="restart"/>
            <w:tcBorders>
              <w:top w:val="single" w:color="000000" w:sz="4" w:space="0"/>
              <w:left w:val="single" w:color="000000" w:sz="4" w:space="0"/>
              <w:bottom w:val="single" w:color="000000" w:sz="4" w:space="0"/>
              <w:right w:val="single" w:color="000000" w:sz="4" w:space="0"/>
            </w:tcBorders>
            <w:shd w:val="clear"/>
            <w:vAlign w:val="center"/>
          </w:tcPr>
          <w:p w14:paraId="26A5E8AD">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29CC8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46902A0">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2837729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6209A4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1DB1DB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52.80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7DE138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26.40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788F868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3F2F7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7B609B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CBAC50F">
            <w:pPr>
              <w:rPr>
                <w:rFonts w:hint="eastAsia" w:ascii="黑体" w:hAnsi="黑体" w:eastAsia="黑体" w:cs="黑体"/>
                <w:i/>
                <w:iCs/>
                <w:color w:val="000000"/>
                <w:sz w:val="18"/>
                <w:szCs w:val="18"/>
                <w:highlight w:val="none"/>
                <w:u w:val="none"/>
              </w:rPr>
            </w:pPr>
          </w:p>
        </w:tc>
      </w:tr>
      <w:tr w14:paraId="48B51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1F42281">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574B0E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5FDD4B5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68C70D1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369F47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6BA13F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0A6B01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3D388E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D6605C1">
            <w:pPr>
              <w:rPr>
                <w:rFonts w:hint="eastAsia" w:ascii="黑体" w:hAnsi="黑体" w:eastAsia="黑体" w:cs="黑体"/>
                <w:i/>
                <w:iCs/>
                <w:color w:val="000000"/>
                <w:sz w:val="18"/>
                <w:szCs w:val="18"/>
                <w:highlight w:val="none"/>
                <w:u w:val="none"/>
              </w:rPr>
            </w:pPr>
          </w:p>
        </w:tc>
      </w:tr>
      <w:tr w14:paraId="67B52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4600871">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2FAF23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单位资金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0967B7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7AF395C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5E90458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2CC593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584C8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4B7A5A7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9977722">
            <w:pPr>
              <w:rPr>
                <w:rFonts w:hint="eastAsia" w:ascii="黑体" w:hAnsi="黑体" w:eastAsia="黑体" w:cs="黑体"/>
                <w:i/>
                <w:iCs/>
                <w:color w:val="000000"/>
                <w:sz w:val="18"/>
                <w:szCs w:val="18"/>
                <w:highlight w:val="none"/>
                <w:u w:val="none"/>
              </w:rPr>
            </w:pPr>
          </w:p>
        </w:tc>
      </w:tr>
      <w:tr w14:paraId="54683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7CCE62E">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554134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其他资金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0E98B81F">
            <w:pPr>
              <w:jc w:val="center"/>
              <w:rPr>
                <w:rFonts w:hint="eastAsia" w:ascii="微软雅黑" w:hAnsi="微软雅黑" w:eastAsia="微软雅黑" w:cs="微软雅黑"/>
                <w:i/>
                <w:iCs/>
                <w:color w:val="000000"/>
                <w:sz w:val="16"/>
                <w:szCs w:val="16"/>
                <w:highlight w:val="none"/>
                <w:u w:val="none"/>
              </w:rPr>
            </w:pP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1D0E5C80">
            <w:pPr>
              <w:jc w:val="center"/>
              <w:rPr>
                <w:rFonts w:hint="eastAsia" w:ascii="微软雅黑" w:hAnsi="微软雅黑" w:eastAsia="微软雅黑" w:cs="微软雅黑"/>
                <w:i/>
                <w:iCs/>
                <w:color w:val="000000"/>
                <w:sz w:val="16"/>
                <w:szCs w:val="16"/>
                <w:highlight w:val="none"/>
                <w:u w:val="none"/>
              </w:rPr>
            </w:pP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62DB1CA5">
            <w:pPr>
              <w:jc w:val="center"/>
              <w:rPr>
                <w:rFonts w:hint="eastAsia" w:ascii="微软雅黑" w:hAnsi="微软雅黑" w:eastAsia="微软雅黑" w:cs="微软雅黑"/>
                <w:i/>
                <w:iCs/>
                <w:color w:val="000000"/>
                <w:sz w:val="16"/>
                <w:szCs w:val="16"/>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5C5BFCA8">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2930F9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1B57EF3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015E370">
            <w:pPr>
              <w:rPr>
                <w:rFonts w:hint="eastAsia" w:ascii="黑体" w:hAnsi="黑体" w:eastAsia="黑体" w:cs="黑体"/>
                <w:i/>
                <w:iCs/>
                <w:color w:val="000000"/>
                <w:sz w:val="18"/>
                <w:szCs w:val="18"/>
                <w:highlight w:val="none"/>
                <w:u w:val="none"/>
              </w:rPr>
            </w:pPr>
          </w:p>
        </w:tc>
      </w:tr>
      <w:tr w14:paraId="6EEAF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597691F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绩效指标（90分）</w:t>
            </w: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5D2A3E2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308C8FD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二级指标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7130EF9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008622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指标性质</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1A14B5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1FFF0E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度量单位</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6DC066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50AFF6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090FC9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3A97C64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未完成原因分析</w:t>
            </w:r>
          </w:p>
        </w:tc>
      </w:tr>
      <w:tr w14:paraId="7AB8F5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851B19F">
            <w:pPr>
              <w:jc w:val="center"/>
              <w:rPr>
                <w:rFonts w:hint="eastAsia" w:ascii="宋体" w:hAnsi="宋体" w:eastAsia="宋体" w:cs="宋体"/>
                <w:i w:val="0"/>
                <w:iCs w:val="0"/>
                <w:color w:val="000000"/>
                <w:sz w:val="18"/>
                <w:szCs w:val="18"/>
                <w:highlight w:val="none"/>
                <w:u w:val="none"/>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5B0DB2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4873FB8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数量指标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5AB2B3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聘用人数</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43B8F7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5DE5EA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101914C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人</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36555D7C">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4FF202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3AADCB60">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4ACFA16E">
            <w:pPr>
              <w:jc w:val="center"/>
              <w:rPr>
                <w:rFonts w:hint="eastAsia" w:ascii="微软雅黑" w:hAnsi="微软雅黑" w:eastAsia="微软雅黑" w:cs="微软雅黑"/>
                <w:i/>
                <w:iCs/>
                <w:color w:val="000000"/>
                <w:sz w:val="16"/>
                <w:szCs w:val="16"/>
                <w:highlight w:val="none"/>
                <w:u w:val="none"/>
              </w:rPr>
            </w:pPr>
          </w:p>
        </w:tc>
      </w:tr>
      <w:tr w14:paraId="0C0E9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5E3CA7">
            <w:pPr>
              <w:jc w:val="cente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F6FD92E">
            <w:pPr>
              <w:jc w:val="center"/>
              <w:rPr>
                <w:rFonts w:hint="eastAsia" w:ascii="宋体" w:hAnsi="宋体" w:eastAsia="宋体" w:cs="宋体"/>
                <w:i w:val="0"/>
                <w:iCs w:val="0"/>
                <w:color w:val="000000"/>
                <w:sz w:val="18"/>
                <w:szCs w:val="18"/>
                <w:highlight w:val="none"/>
                <w:u w:val="none"/>
              </w:rPr>
            </w:pP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0626B0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质量指标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10A8ED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工作经费支出合规范</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3A10FBA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定性</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1E7F02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合规</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641849EB">
            <w:pPr>
              <w:jc w:val="center"/>
              <w:rPr>
                <w:rFonts w:hint="eastAsia" w:ascii="宋体" w:hAnsi="宋体" w:eastAsia="宋体" w:cs="宋体"/>
                <w:i w:val="0"/>
                <w:iCs w:val="0"/>
                <w:color w:val="000000"/>
                <w:sz w:val="18"/>
                <w:szCs w:val="18"/>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31BA75F8">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1DDDED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22B5B170">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6AAE57BF">
            <w:pPr>
              <w:jc w:val="center"/>
              <w:rPr>
                <w:rFonts w:hint="eastAsia" w:ascii="微软雅黑" w:hAnsi="微软雅黑" w:eastAsia="微软雅黑" w:cs="微软雅黑"/>
                <w:i/>
                <w:iCs/>
                <w:color w:val="000000"/>
                <w:sz w:val="16"/>
                <w:szCs w:val="16"/>
                <w:highlight w:val="none"/>
                <w:u w:val="none"/>
              </w:rPr>
            </w:pPr>
          </w:p>
        </w:tc>
      </w:tr>
      <w:tr w14:paraId="215BA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AA37CF6">
            <w:pPr>
              <w:jc w:val="cente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CE7F106">
            <w:pPr>
              <w:jc w:val="center"/>
              <w:rPr>
                <w:rFonts w:hint="eastAsia" w:ascii="宋体" w:hAnsi="宋体" w:eastAsia="宋体" w:cs="宋体"/>
                <w:i w:val="0"/>
                <w:iCs w:val="0"/>
                <w:color w:val="000000"/>
                <w:sz w:val="18"/>
                <w:szCs w:val="18"/>
                <w:highlight w:val="none"/>
                <w:u w:val="none"/>
              </w:rPr>
            </w:pP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712E6A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时效指标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16A519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项目完成时间</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0B9E47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定性</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3BB3BC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2025年12月31日前</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2F0D6C76">
            <w:pPr>
              <w:jc w:val="center"/>
              <w:rPr>
                <w:rFonts w:hint="eastAsia" w:ascii="宋体" w:hAnsi="宋体" w:eastAsia="宋体" w:cs="宋体"/>
                <w:i w:val="0"/>
                <w:iCs w:val="0"/>
                <w:color w:val="000000"/>
                <w:sz w:val="18"/>
                <w:szCs w:val="18"/>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60DF7E46">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7B41AE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58675ED2">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4D0FF62F">
            <w:pPr>
              <w:jc w:val="center"/>
              <w:rPr>
                <w:rFonts w:hint="eastAsia" w:ascii="微软雅黑" w:hAnsi="微软雅黑" w:eastAsia="微软雅黑" w:cs="微软雅黑"/>
                <w:i/>
                <w:iCs/>
                <w:color w:val="000000"/>
                <w:sz w:val="16"/>
                <w:szCs w:val="16"/>
                <w:highlight w:val="none"/>
                <w:u w:val="none"/>
              </w:rPr>
            </w:pPr>
          </w:p>
        </w:tc>
      </w:tr>
      <w:tr w14:paraId="02C3B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C3418C7">
            <w:pPr>
              <w:jc w:val="center"/>
              <w:rPr>
                <w:rFonts w:hint="eastAsia" w:ascii="宋体" w:hAnsi="宋体" w:eastAsia="宋体" w:cs="宋体"/>
                <w:i w:val="0"/>
                <w:iCs w:val="0"/>
                <w:color w:val="000000"/>
                <w:sz w:val="18"/>
                <w:szCs w:val="18"/>
                <w:highlight w:val="none"/>
                <w:u w:val="none"/>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779B1A1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效益指标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vAlign w:val="center"/>
          </w:tcPr>
          <w:p w14:paraId="16103D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2EF5E58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团内工作能力提升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418E41D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定性</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5525E6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效果良好</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21F4A246">
            <w:pPr>
              <w:jc w:val="center"/>
              <w:rPr>
                <w:rFonts w:hint="eastAsia" w:ascii="宋体" w:hAnsi="宋体" w:eastAsia="宋体" w:cs="宋体"/>
                <w:i w:val="0"/>
                <w:iCs w:val="0"/>
                <w:color w:val="000000"/>
                <w:sz w:val="18"/>
                <w:szCs w:val="18"/>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52E9DBD7">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125C1B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59632719">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0927EAE0">
            <w:pPr>
              <w:jc w:val="center"/>
              <w:rPr>
                <w:rFonts w:hint="eastAsia" w:ascii="微软雅黑" w:hAnsi="微软雅黑" w:eastAsia="微软雅黑" w:cs="微软雅黑"/>
                <w:i/>
                <w:iCs/>
                <w:color w:val="000000"/>
                <w:sz w:val="16"/>
                <w:szCs w:val="16"/>
                <w:highlight w:val="none"/>
                <w:u w:val="none"/>
              </w:rPr>
            </w:pPr>
          </w:p>
        </w:tc>
      </w:tr>
      <w:tr w14:paraId="38271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9D46621">
            <w:pPr>
              <w:jc w:val="cente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AB613FD">
            <w:pPr>
              <w:jc w:val="center"/>
              <w:rPr>
                <w:rFonts w:hint="eastAsia" w:ascii="宋体" w:hAnsi="宋体" w:eastAsia="宋体" w:cs="宋体"/>
                <w:i w:val="0"/>
                <w:iCs w:val="0"/>
                <w:color w:val="000000"/>
                <w:sz w:val="18"/>
                <w:szCs w:val="18"/>
                <w:highlight w:val="none"/>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2F1DE16">
            <w:pPr>
              <w:jc w:val="center"/>
              <w:rPr>
                <w:rFonts w:hint="eastAsia" w:ascii="宋体" w:hAnsi="宋体" w:eastAsia="宋体" w:cs="宋体"/>
                <w:i w:val="0"/>
                <w:iCs w:val="0"/>
                <w:color w:val="000000"/>
                <w:sz w:val="18"/>
                <w:szCs w:val="18"/>
                <w:highlight w:val="none"/>
                <w:u w:val="none"/>
              </w:rPr>
            </w:pP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02EA2A4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协助完成单位相关事务</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09992F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定性</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5D3DF9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能够完成</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40EB1333">
            <w:pPr>
              <w:jc w:val="center"/>
              <w:rPr>
                <w:rFonts w:hint="eastAsia" w:ascii="宋体" w:hAnsi="宋体" w:eastAsia="宋体" w:cs="宋体"/>
                <w:i w:val="0"/>
                <w:iCs w:val="0"/>
                <w:color w:val="000000"/>
                <w:sz w:val="18"/>
                <w:szCs w:val="18"/>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5944ED54">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4A281C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12A601C9">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1DDC6D35">
            <w:pPr>
              <w:jc w:val="center"/>
              <w:rPr>
                <w:rFonts w:hint="eastAsia" w:ascii="微软雅黑" w:hAnsi="微软雅黑" w:eastAsia="微软雅黑" w:cs="微软雅黑"/>
                <w:i/>
                <w:iCs/>
                <w:color w:val="000000"/>
                <w:sz w:val="16"/>
                <w:szCs w:val="16"/>
                <w:highlight w:val="none"/>
                <w:u w:val="none"/>
              </w:rPr>
            </w:pPr>
          </w:p>
        </w:tc>
      </w:tr>
      <w:tr w14:paraId="2B6C5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C4EA1C5">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09D942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满意度指标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4EC038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5C67AC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服务广大团员青年满意度</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3FBA8E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7F02E1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17BEB9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1F60D7A6">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5CF3843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670B49D7">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7560D18B">
            <w:pPr>
              <w:jc w:val="center"/>
              <w:rPr>
                <w:rFonts w:hint="eastAsia" w:ascii="微软雅黑" w:hAnsi="微软雅黑" w:eastAsia="微软雅黑" w:cs="微软雅黑"/>
                <w:i/>
                <w:iCs/>
                <w:color w:val="000000"/>
                <w:sz w:val="16"/>
                <w:szCs w:val="16"/>
                <w:highlight w:val="none"/>
                <w:u w:val="none"/>
              </w:rPr>
            </w:pPr>
          </w:p>
        </w:tc>
      </w:tr>
      <w:tr w14:paraId="7DCB2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0D4786B">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2162AE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成本指标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0ADFCD7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429DF4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项目预算内</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69BE0C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2706AB3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54</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2899672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万元</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02A1454D">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46187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1E9EECBE">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596EAB5B">
            <w:pPr>
              <w:jc w:val="center"/>
              <w:rPr>
                <w:rFonts w:hint="eastAsia" w:ascii="微软雅黑" w:hAnsi="微软雅黑" w:eastAsia="微软雅黑" w:cs="微软雅黑"/>
                <w:i/>
                <w:iCs/>
                <w:color w:val="000000"/>
                <w:sz w:val="16"/>
                <w:szCs w:val="16"/>
                <w:highlight w:val="none"/>
                <w:u w:val="none"/>
              </w:rPr>
            </w:pPr>
          </w:p>
        </w:tc>
      </w:tr>
      <w:tr w14:paraId="27EA7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10605" w:type="dxa"/>
            <w:gridSpan w:val="8"/>
            <w:tcBorders>
              <w:top w:val="single" w:color="000000" w:sz="4" w:space="0"/>
              <w:left w:val="single" w:color="000000" w:sz="4" w:space="0"/>
              <w:bottom w:val="single" w:color="000000" w:sz="4" w:space="0"/>
              <w:right w:val="single" w:color="000000" w:sz="4" w:space="0"/>
            </w:tcBorders>
            <w:shd w:val="clear"/>
            <w:vAlign w:val="center"/>
          </w:tcPr>
          <w:p w14:paraId="4948B0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2AE4D0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27011D6D">
            <w:pP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04A4BC64">
            <w:pPr>
              <w:rPr>
                <w:rFonts w:hint="eastAsia" w:ascii="宋体" w:hAnsi="宋体" w:eastAsia="宋体" w:cs="宋体"/>
                <w:i w:val="0"/>
                <w:iCs w:val="0"/>
                <w:color w:val="000000"/>
                <w:sz w:val="18"/>
                <w:szCs w:val="18"/>
                <w:highlight w:val="none"/>
                <w:u w:val="none"/>
              </w:rPr>
            </w:pPr>
          </w:p>
        </w:tc>
      </w:tr>
      <w:tr w14:paraId="42450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0FD963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评价结论</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5DA2E5FF">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自评总分 55 分。预算执行率 50%，部分指标未完成。外包服务合同约定次年支付尾款。</w:t>
            </w:r>
          </w:p>
        </w:tc>
      </w:tr>
      <w:tr w14:paraId="5F03F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2"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0314631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存在问题</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5C0204ED">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项目招标采购流程耗时较长，推进节奏缓慢。</w:t>
            </w:r>
          </w:p>
        </w:tc>
      </w:tr>
      <w:tr w14:paraId="0AC3B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778128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改进措施</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3EE29F90">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简化采购流程，加快项目推进；明确聘用标准，优化人员配置；建立外包服务考核机制，提升工作质效。</w:t>
            </w:r>
          </w:p>
        </w:tc>
      </w:tr>
      <w:tr w14:paraId="5B25A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305" w:type="dxa"/>
            <w:gridSpan w:val="5"/>
            <w:tcBorders>
              <w:top w:val="single" w:color="000000" w:sz="4" w:space="0"/>
              <w:left w:val="single" w:color="000000" w:sz="4" w:space="0"/>
              <w:bottom w:val="single" w:color="000000" w:sz="4" w:space="0"/>
              <w:right w:val="single" w:color="000000" w:sz="4" w:space="0"/>
            </w:tcBorders>
            <w:shd w:val="clear"/>
            <w:vAlign w:val="center"/>
          </w:tcPr>
          <w:p w14:paraId="3336301D">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项目负责人：李韦薇</w:t>
            </w:r>
          </w:p>
        </w:tc>
        <w:tc>
          <w:tcPr>
            <w:tcW w:w="6810" w:type="dxa"/>
            <w:gridSpan w:val="6"/>
            <w:tcBorders>
              <w:top w:val="single" w:color="000000" w:sz="4" w:space="0"/>
              <w:left w:val="single" w:color="000000" w:sz="4" w:space="0"/>
              <w:bottom w:val="single" w:color="000000" w:sz="4" w:space="0"/>
              <w:right w:val="single" w:color="000000" w:sz="4" w:space="0"/>
            </w:tcBorders>
            <w:shd w:val="clear"/>
            <w:vAlign w:val="center"/>
          </w:tcPr>
          <w:p w14:paraId="44FBB938">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财务负责人：杨嘉奇</w:t>
            </w:r>
          </w:p>
        </w:tc>
      </w:tr>
      <w:tr w14:paraId="7A2243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690" w:type="dxa"/>
            <w:tcBorders>
              <w:top w:val="nil"/>
              <w:left w:val="nil"/>
              <w:bottom w:val="nil"/>
              <w:right w:val="nil"/>
            </w:tcBorders>
            <w:shd w:val="clear"/>
            <w:vAlign w:val="center"/>
          </w:tcPr>
          <w:p w14:paraId="6C6C7CCC">
            <w:pPr>
              <w:rPr>
                <w:rFonts w:hint="eastAsia" w:ascii="宋体" w:hAnsi="宋体" w:eastAsia="宋体" w:cs="宋体"/>
                <w:i w:val="0"/>
                <w:iCs w:val="0"/>
                <w:color w:val="000000"/>
                <w:sz w:val="18"/>
                <w:szCs w:val="18"/>
                <w:highlight w:val="none"/>
                <w:u w:val="none"/>
              </w:rPr>
            </w:pPr>
          </w:p>
        </w:tc>
        <w:tc>
          <w:tcPr>
            <w:tcW w:w="2055" w:type="dxa"/>
            <w:tcBorders>
              <w:top w:val="nil"/>
              <w:left w:val="nil"/>
              <w:bottom w:val="nil"/>
              <w:right w:val="nil"/>
            </w:tcBorders>
            <w:shd w:val="clear"/>
            <w:vAlign w:val="center"/>
          </w:tcPr>
          <w:p w14:paraId="5D91522A">
            <w:pPr>
              <w:rPr>
                <w:rFonts w:hint="eastAsia" w:ascii="宋体" w:hAnsi="宋体" w:eastAsia="宋体" w:cs="宋体"/>
                <w:i w:val="0"/>
                <w:iCs w:val="0"/>
                <w:color w:val="000000"/>
                <w:sz w:val="18"/>
                <w:szCs w:val="18"/>
                <w:highlight w:val="none"/>
                <w:u w:val="none"/>
              </w:rPr>
            </w:pPr>
          </w:p>
        </w:tc>
        <w:tc>
          <w:tcPr>
            <w:tcW w:w="1770" w:type="dxa"/>
            <w:tcBorders>
              <w:top w:val="nil"/>
              <w:left w:val="nil"/>
              <w:bottom w:val="nil"/>
              <w:right w:val="nil"/>
            </w:tcBorders>
            <w:shd w:val="clear"/>
            <w:vAlign w:val="center"/>
          </w:tcPr>
          <w:p w14:paraId="21EC1A7F">
            <w:pPr>
              <w:rPr>
                <w:rFonts w:hint="eastAsia" w:ascii="宋体" w:hAnsi="宋体" w:eastAsia="宋体" w:cs="宋体"/>
                <w:i w:val="0"/>
                <w:iCs w:val="0"/>
                <w:color w:val="000000"/>
                <w:sz w:val="18"/>
                <w:szCs w:val="18"/>
                <w:highlight w:val="none"/>
                <w:u w:val="none"/>
              </w:rPr>
            </w:pPr>
          </w:p>
        </w:tc>
        <w:tc>
          <w:tcPr>
            <w:tcW w:w="2265" w:type="dxa"/>
            <w:tcBorders>
              <w:top w:val="nil"/>
              <w:left w:val="nil"/>
              <w:bottom w:val="nil"/>
              <w:right w:val="nil"/>
            </w:tcBorders>
            <w:shd w:val="clear"/>
            <w:vAlign w:val="center"/>
          </w:tcPr>
          <w:p w14:paraId="0260CD66">
            <w:pPr>
              <w:rPr>
                <w:rFonts w:hint="eastAsia" w:ascii="宋体" w:hAnsi="宋体" w:eastAsia="宋体" w:cs="宋体"/>
                <w:i w:val="0"/>
                <w:iCs w:val="0"/>
                <w:color w:val="000000"/>
                <w:sz w:val="18"/>
                <w:szCs w:val="18"/>
                <w:highlight w:val="none"/>
                <w:u w:val="none"/>
              </w:rPr>
            </w:pPr>
          </w:p>
          <w:p w14:paraId="08E30392">
            <w:pPr>
              <w:rPr>
                <w:rFonts w:hint="eastAsia" w:ascii="宋体" w:hAnsi="宋体" w:eastAsia="宋体" w:cs="宋体"/>
                <w:i w:val="0"/>
                <w:iCs w:val="0"/>
                <w:color w:val="000000"/>
                <w:sz w:val="18"/>
                <w:szCs w:val="18"/>
                <w:highlight w:val="none"/>
                <w:u w:val="none"/>
              </w:rPr>
            </w:pPr>
          </w:p>
          <w:p w14:paraId="29265DE1">
            <w:pPr>
              <w:rPr>
                <w:rFonts w:hint="eastAsia" w:ascii="宋体" w:hAnsi="宋体" w:eastAsia="宋体" w:cs="宋体"/>
                <w:i w:val="0"/>
                <w:iCs w:val="0"/>
                <w:color w:val="000000"/>
                <w:sz w:val="18"/>
                <w:szCs w:val="18"/>
                <w:highlight w:val="none"/>
                <w:u w:val="none"/>
              </w:rPr>
            </w:pPr>
          </w:p>
          <w:p w14:paraId="0BE81AF6">
            <w:pPr>
              <w:rPr>
                <w:rFonts w:hint="eastAsia" w:ascii="宋体" w:hAnsi="宋体" w:eastAsia="宋体" w:cs="宋体"/>
                <w:i w:val="0"/>
                <w:iCs w:val="0"/>
                <w:color w:val="000000"/>
                <w:sz w:val="18"/>
                <w:szCs w:val="18"/>
                <w:highlight w:val="none"/>
                <w:u w:val="none"/>
              </w:rPr>
            </w:pPr>
          </w:p>
          <w:p w14:paraId="652A25B4">
            <w:pPr>
              <w:rPr>
                <w:rFonts w:hint="eastAsia" w:ascii="宋体" w:hAnsi="宋体" w:eastAsia="宋体" w:cs="宋体"/>
                <w:i w:val="0"/>
                <w:iCs w:val="0"/>
                <w:color w:val="000000"/>
                <w:sz w:val="18"/>
                <w:szCs w:val="18"/>
                <w:highlight w:val="none"/>
                <w:u w:val="none"/>
              </w:rPr>
            </w:pPr>
          </w:p>
        </w:tc>
        <w:tc>
          <w:tcPr>
            <w:tcW w:w="525" w:type="dxa"/>
            <w:tcBorders>
              <w:top w:val="nil"/>
              <w:left w:val="nil"/>
              <w:bottom w:val="nil"/>
              <w:right w:val="nil"/>
            </w:tcBorders>
            <w:shd w:val="clear"/>
            <w:vAlign w:val="center"/>
          </w:tcPr>
          <w:p w14:paraId="1EF8C88B">
            <w:pPr>
              <w:rPr>
                <w:rFonts w:hint="eastAsia" w:ascii="宋体" w:hAnsi="宋体" w:eastAsia="宋体" w:cs="宋体"/>
                <w:i w:val="0"/>
                <w:iCs w:val="0"/>
                <w:color w:val="000000"/>
                <w:sz w:val="18"/>
                <w:szCs w:val="18"/>
                <w:highlight w:val="none"/>
                <w:u w:val="none"/>
              </w:rPr>
            </w:pPr>
          </w:p>
        </w:tc>
        <w:tc>
          <w:tcPr>
            <w:tcW w:w="1680" w:type="dxa"/>
            <w:tcBorders>
              <w:top w:val="nil"/>
              <w:left w:val="nil"/>
              <w:bottom w:val="nil"/>
              <w:right w:val="nil"/>
            </w:tcBorders>
            <w:shd w:val="clear"/>
            <w:vAlign w:val="center"/>
          </w:tcPr>
          <w:p w14:paraId="386D93B5">
            <w:pPr>
              <w:rPr>
                <w:rFonts w:hint="eastAsia" w:ascii="宋体" w:hAnsi="宋体" w:eastAsia="宋体" w:cs="宋体"/>
                <w:i w:val="0"/>
                <w:iCs w:val="0"/>
                <w:color w:val="000000"/>
                <w:sz w:val="18"/>
                <w:szCs w:val="18"/>
                <w:highlight w:val="none"/>
                <w:u w:val="none"/>
              </w:rPr>
            </w:pPr>
          </w:p>
        </w:tc>
        <w:tc>
          <w:tcPr>
            <w:tcW w:w="525" w:type="dxa"/>
            <w:tcBorders>
              <w:top w:val="nil"/>
              <w:left w:val="nil"/>
              <w:bottom w:val="nil"/>
              <w:right w:val="nil"/>
            </w:tcBorders>
            <w:shd w:val="clear"/>
            <w:vAlign w:val="center"/>
          </w:tcPr>
          <w:p w14:paraId="3BD53125">
            <w:pPr>
              <w:rPr>
                <w:rFonts w:hint="eastAsia" w:ascii="宋体" w:hAnsi="宋体" w:eastAsia="宋体" w:cs="宋体"/>
                <w:i w:val="0"/>
                <w:iCs w:val="0"/>
                <w:color w:val="000000"/>
                <w:sz w:val="18"/>
                <w:szCs w:val="18"/>
                <w:highlight w:val="none"/>
                <w:u w:val="none"/>
              </w:rPr>
            </w:pPr>
          </w:p>
        </w:tc>
        <w:tc>
          <w:tcPr>
            <w:tcW w:w="1095" w:type="dxa"/>
            <w:tcBorders>
              <w:top w:val="nil"/>
              <w:left w:val="nil"/>
              <w:bottom w:val="nil"/>
              <w:right w:val="nil"/>
            </w:tcBorders>
            <w:shd w:val="clear"/>
            <w:vAlign w:val="center"/>
          </w:tcPr>
          <w:p w14:paraId="4D7E5DBC">
            <w:pPr>
              <w:rPr>
                <w:rFonts w:hint="eastAsia" w:ascii="宋体" w:hAnsi="宋体" w:eastAsia="宋体" w:cs="宋体"/>
                <w:i w:val="0"/>
                <w:iCs w:val="0"/>
                <w:color w:val="000000"/>
                <w:sz w:val="18"/>
                <w:szCs w:val="18"/>
                <w:highlight w:val="none"/>
                <w:u w:val="none"/>
              </w:rPr>
            </w:pPr>
          </w:p>
        </w:tc>
        <w:tc>
          <w:tcPr>
            <w:tcW w:w="510" w:type="dxa"/>
            <w:tcBorders>
              <w:top w:val="nil"/>
              <w:left w:val="nil"/>
              <w:bottom w:val="nil"/>
              <w:right w:val="nil"/>
            </w:tcBorders>
            <w:shd w:val="clear"/>
            <w:vAlign w:val="center"/>
          </w:tcPr>
          <w:p w14:paraId="4DE43476">
            <w:pPr>
              <w:rPr>
                <w:rFonts w:hint="eastAsia" w:ascii="宋体" w:hAnsi="宋体" w:eastAsia="宋体" w:cs="宋体"/>
                <w:i w:val="0"/>
                <w:iCs w:val="0"/>
                <w:color w:val="000000"/>
                <w:sz w:val="18"/>
                <w:szCs w:val="18"/>
                <w:highlight w:val="none"/>
                <w:u w:val="none"/>
              </w:rPr>
            </w:pPr>
          </w:p>
        </w:tc>
        <w:tc>
          <w:tcPr>
            <w:tcW w:w="450" w:type="dxa"/>
            <w:tcBorders>
              <w:top w:val="nil"/>
              <w:left w:val="nil"/>
              <w:bottom w:val="nil"/>
              <w:right w:val="nil"/>
            </w:tcBorders>
            <w:shd w:val="clear"/>
            <w:vAlign w:val="center"/>
          </w:tcPr>
          <w:p w14:paraId="05E12ABE">
            <w:pPr>
              <w:rPr>
                <w:rFonts w:hint="eastAsia" w:ascii="宋体" w:hAnsi="宋体" w:eastAsia="宋体" w:cs="宋体"/>
                <w:i w:val="0"/>
                <w:iCs w:val="0"/>
                <w:color w:val="000000"/>
                <w:sz w:val="18"/>
                <w:szCs w:val="18"/>
                <w:highlight w:val="none"/>
                <w:u w:val="none"/>
              </w:rPr>
            </w:pPr>
          </w:p>
        </w:tc>
        <w:tc>
          <w:tcPr>
            <w:tcW w:w="2550" w:type="dxa"/>
            <w:tcBorders>
              <w:top w:val="nil"/>
              <w:left w:val="nil"/>
              <w:bottom w:val="nil"/>
              <w:right w:val="nil"/>
            </w:tcBorders>
            <w:shd w:val="clear"/>
            <w:vAlign w:val="center"/>
          </w:tcPr>
          <w:p w14:paraId="511CB584">
            <w:pPr>
              <w:rPr>
                <w:rFonts w:hint="eastAsia" w:ascii="宋体" w:hAnsi="宋体" w:eastAsia="宋体" w:cs="宋体"/>
                <w:i w:val="0"/>
                <w:iCs w:val="0"/>
                <w:color w:val="000000"/>
                <w:sz w:val="18"/>
                <w:szCs w:val="18"/>
                <w:highlight w:val="none"/>
                <w:u w:val="none"/>
              </w:rPr>
            </w:pPr>
          </w:p>
        </w:tc>
      </w:tr>
      <w:tr w14:paraId="67CEB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vAlign w:val="center"/>
          </w:tcPr>
          <w:p w14:paraId="0614F7B3">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bdr w:val="none" w:color="auto" w:sz="0" w:space="0"/>
                <w:lang w:val="en-US" w:eastAsia="zh-CN" w:bidi="ar"/>
              </w:rPr>
              <w:t>部门预算项目支出绩效自评表（2025年度）</w:t>
            </w:r>
          </w:p>
        </w:tc>
      </w:tr>
      <w:tr w14:paraId="27C9B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vAlign w:val="center"/>
          </w:tcPr>
          <w:p w14:paraId="7A7EAC8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vAlign w:val="center"/>
          </w:tcPr>
          <w:p w14:paraId="6A90F72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51320025T000012922182-全州志愿者活动工作经费</w:t>
            </w:r>
          </w:p>
        </w:tc>
      </w:tr>
      <w:tr w14:paraId="152E1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vAlign w:val="center"/>
          </w:tcPr>
          <w:p w14:paraId="75D7AA7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主管部门</w:t>
            </w: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02EFCA8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团州委部门</w:t>
            </w:r>
          </w:p>
        </w:tc>
        <w:tc>
          <w:tcPr>
            <w:tcW w:w="1095" w:type="dxa"/>
            <w:tcBorders>
              <w:top w:val="nil"/>
              <w:left w:val="nil"/>
              <w:bottom w:val="nil"/>
              <w:right w:val="nil"/>
            </w:tcBorders>
            <w:shd w:val="clear"/>
            <w:vAlign w:val="center"/>
          </w:tcPr>
          <w:p w14:paraId="20C6AEAC">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vAlign w:val="center"/>
          </w:tcPr>
          <w:p w14:paraId="0AD9994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团州委</w:t>
            </w:r>
          </w:p>
        </w:tc>
      </w:tr>
      <w:tr w14:paraId="0A3C5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3598879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7697B56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6E8013D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shd w:val="clear"/>
            <w:vAlign w:val="center"/>
          </w:tcPr>
          <w:p w14:paraId="27AB466E">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年度目标完成情况</w:t>
            </w:r>
          </w:p>
        </w:tc>
      </w:tr>
      <w:tr w14:paraId="55BC7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F6C331B">
            <w:pP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1654F72">
            <w:pPr>
              <w:rPr>
                <w:rFonts w:hint="eastAsia" w:ascii="宋体" w:hAnsi="宋体" w:eastAsia="宋体" w:cs="宋体"/>
                <w:i w:val="0"/>
                <w:iCs w:val="0"/>
                <w:color w:val="000000"/>
                <w:sz w:val="18"/>
                <w:szCs w:val="18"/>
                <w:highlight w:val="none"/>
                <w:u w:val="none"/>
              </w:rPr>
            </w:pP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34EFB23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助推全州青年志愿服务事业迅速发展，有效提升全州志愿者服务水平，切实提高志愿服务者认同感和获得感，吸引更多元、更高层次、更专业化的人员加入志愿者队伍。进一步推进精神文明建设、推动社会治理创新、维护社会和谐稳定、增进民生福祉发挥巨大社会效益。</w:t>
            </w:r>
          </w:p>
        </w:tc>
        <w:tc>
          <w:tcPr>
            <w:tcW w:w="4605" w:type="dxa"/>
            <w:gridSpan w:val="4"/>
            <w:tcBorders>
              <w:top w:val="single" w:color="000000" w:sz="4" w:space="0"/>
              <w:left w:val="single" w:color="000000" w:sz="4" w:space="0"/>
              <w:bottom w:val="single" w:color="000000" w:sz="4" w:space="0"/>
              <w:right w:val="single" w:color="000000" w:sz="4" w:space="0"/>
            </w:tcBorders>
            <w:shd w:val="clear"/>
            <w:vAlign w:val="center"/>
          </w:tcPr>
          <w:p w14:paraId="703A5B0A">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对照年度目标，说明相关任务目标的完成情况（100字以内）</w:t>
            </w:r>
          </w:p>
        </w:tc>
      </w:tr>
      <w:tr w14:paraId="618FA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7413571">
            <w:pP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02D3BDEB">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vAlign w:val="center"/>
          </w:tcPr>
          <w:p w14:paraId="5C327D5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使用经费统筹组织全州各类志愿服务活动，完善志愿者队伍管理，开展志愿者服务保障与激励工作，推动志愿服务常态化、规范化开展，助力精神文明建设与基层治理，按计划完成全年志愿服务组织实施。</w:t>
            </w:r>
          </w:p>
        </w:tc>
      </w:tr>
      <w:tr w14:paraId="4C756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103AB4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预算执行情况（10分）</w:t>
            </w: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7CA6D2E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00C301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年初预算</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6DA652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调整后预算数</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15FB5C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预算执行数</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22F20EE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0ED074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548D692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3BDF9CC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原因</w:t>
            </w:r>
          </w:p>
        </w:tc>
      </w:tr>
      <w:tr w14:paraId="1F0D3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25AD280">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21307C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总额</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45C769D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1B13E6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5.00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1A6651F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5.00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169CE0E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CCC55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480C9683">
            <w:pPr>
              <w:jc w:val="center"/>
              <w:rPr>
                <w:rFonts w:hint="eastAsia" w:ascii="宋体" w:hAnsi="宋体" w:eastAsia="宋体" w:cs="宋体"/>
                <w:i w:val="0"/>
                <w:iCs w:val="0"/>
                <w:color w:val="000000"/>
                <w:sz w:val="18"/>
                <w:szCs w:val="18"/>
                <w:highlight w:val="none"/>
                <w:u w:val="none"/>
              </w:rPr>
            </w:pPr>
          </w:p>
        </w:tc>
        <w:tc>
          <w:tcPr>
            <w:tcW w:w="2550" w:type="dxa"/>
            <w:vMerge w:val="restart"/>
            <w:tcBorders>
              <w:top w:val="single" w:color="000000" w:sz="4" w:space="0"/>
              <w:left w:val="single" w:color="000000" w:sz="4" w:space="0"/>
              <w:bottom w:val="single" w:color="000000" w:sz="4" w:space="0"/>
              <w:right w:val="single" w:color="000000" w:sz="4" w:space="0"/>
            </w:tcBorders>
            <w:shd w:val="clear"/>
            <w:vAlign w:val="center"/>
          </w:tcPr>
          <w:p w14:paraId="47ED28A5">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0841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80D1B8E">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32F3975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13541A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2105F0E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5.00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462D60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5.00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3A9100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0C7A417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790A3E6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407C727">
            <w:pPr>
              <w:rPr>
                <w:rFonts w:hint="eastAsia" w:ascii="黑体" w:hAnsi="黑体" w:eastAsia="黑体" w:cs="黑体"/>
                <w:i/>
                <w:iCs/>
                <w:color w:val="000000"/>
                <w:sz w:val="18"/>
                <w:szCs w:val="18"/>
                <w:highlight w:val="none"/>
                <w:u w:val="none"/>
              </w:rPr>
            </w:pPr>
          </w:p>
        </w:tc>
      </w:tr>
      <w:tr w14:paraId="671D0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689C503">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5E14CEA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2E5AB1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41B3E83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57A129B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17342E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4F2E6F5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14BCED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182C3D3">
            <w:pPr>
              <w:rPr>
                <w:rFonts w:hint="eastAsia" w:ascii="黑体" w:hAnsi="黑体" w:eastAsia="黑体" w:cs="黑体"/>
                <w:i/>
                <w:iCs/>
                <w:color w:val="000000"/>
                <w:sz w:val="18"/>
                <w:szCs w:val="18"/>
                <w:highlight w:val="none"/>
                <w:u w:val="none"/>
              </w:rPr>
            </w:pPr>
          </w:p>
        </w:tc>
      </w:tr>
      <w:tr w14:paraId="50E8F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FC71F0A">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0F4FEED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单位资金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6E2AB5C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17D9BF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2264BA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3B5B79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779D24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5631493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BFEFDBE">
            <w:pPr>
              <w:rPr>
                <w:rFonts w:hint="eastAsia" w:ascii="黑体" w:hAnsi="黑体" w:eastAsia="黑体" w:cs="黑体"/>
                <w:i/>
                <w:iCs/>
                <w:color w:val="000000"/>
                <w:sz w:val="18"/>
                <w:szCs w:val="18"/>
                <w:highlight w:val="none"/>
                <w:u w:val="none"/>
              </w:rPr>
            </w:pPr>
          </w:p>
        </w:tc>
      </w:tr>
      <w:tr w14:paraId="5E00F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3F49F62">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4E91BA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其他资金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0C165774">
            <w:pPr>
              <w:jc w:val="center"/>
              <w:rPr>
                <w:rFonts w:hint="eastAsia" w:ascii="微软雅黑" w:hAnsi="微软雅黑" w:eastAsia="微软雅黑" w:cs="微软雅黑"/>
                <w:i/>
                <w:iCs/>
                <w:color w:val="000000"/>
                <w:sz w:val="16"/>
                <w:szCs w:val="16"/>
                <w:highlight w:val="none"/>
                <w:u w:val="none"/>
              </w:rPr>
            </w:pP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40E0BEFC">
            <w:pPr>
              <w:jc w:val="center"/>
              <w:rPr>
                <w:rFonts w:hint="eastAsia" w:ascii="微软雅黑" w:hAnsi="微软雅黑" w:eastAsia="微软雅黑" w:cs="微软雅黑"/>
                <w:i/>
                <w:iCs/>
                <w:color w:val="000000"/>
                <w:sz w:val="16"/>
                <w:szCs w:val="16"/>
                <w:highlight w:val="none"/>
                <w:u w:val="none"/>
              </w:rPr>
            </w:pP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19DB5AD0">
            <w:pPr>
              <w:jc w:val="center"/>
              <w:rPr>
                <w:rFonts w:hint="eastAsia" w:ascii="微软雅黑" w:hAnsi="微软雅黑" w:eastAsia="微软雅黑" w:cs="微软雅黑"/>
                <w:i/>
                <w:iCs/>
                <w:color w:val="000000"/>
                <w:sz w:val="16"/>
                <w:szCs w:val="16"/>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62735FE4">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60AB42D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6BE8F0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4680895">
            <w:pPr>
              <w:rPr>
                <w:rFonts w:hint="eastAsia" w:ascii="黑体" w:hAnsi="黑体" w:eastAsia="黑体" w:cs="黑体"/>
                <w:i/>
                <w:iCs/>
                <w:color w:val="000000"/>
                <w:sz w:val="18"/>
                <w:szCs w:val="18"/>
                <w:highlight w:val="none"/>
                <w:u w:val="none"/>
              </w:rPr>
            </w:pPr>
          </w:p>
        </w:tc>
      </w:tr>
      <w:tr w14:paraId="1DCD7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7E5BE2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绩效指标（90分）</w:t>
            </w: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12D5F9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19D386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二级指标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083B3F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0781D9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指标性质</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718BD5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5B4338C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度量单位</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5027D71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10E4892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4209E2A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098A65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未完成原因分析</w:t>
            </w:r>
          </w:p>
        </w:tc>
      </w:tr>
      <w:tr w14:paraId="3FE61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EADCF92">
            <w:pPr>
              <w:jc w:val="center"/>
              <w:rPr>
                <w:rFonts w:hint="eastAsia" w:ascii="宋体" w:hAnsi="宋体" w:eastAsia="宋体" w:cs="宋体"/>
                <w:i w:val="0"/>
                <w:iCs w:val="0"/>
                <w:color w:val="000000"/>
                <w:sz w:val="18"/>
                <w:szCs w:val="18"/>
                <w:highlight w:val="none"/>
                <w:u w:val="none"/>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54853D6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7DCECB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数量指标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0F97350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开展各类志愿服务次数</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62807BE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1875F5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67A39C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次</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39A2756E">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6451F0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336082C2">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64636946">
            <w:pPr>
              <w:jc w:val="center"/>
              <w:rPr>
                <w:rFonts w:hint="eastAsia" w:ascii="微软雅黑" w:hAnsi="微软雅黑" w:eastAsia="微软雅黑" w:cs="微软雅黑"/>
                <w:i/>
                <w:iCs/>
                <w:color w:val="000000"/>
                <w:sz w:val="16"/>
                <w:szCs w:val="16"/>
                <w:highlight w:val="none"/>
                <w:u w:val="none"/>
              </w:rPr>
            </w:pPr>
          </w:p>
        </w:tc>
      </w:tr>
      <w:tr w14:paraId="578DA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068D2AF">
            <w:pPr>
              <w:jc w:val="cente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EA2D5F6">
            <w:pPr>
              <w:jc w:val="center"/>
              <w:rPr>
                <w:rFonts w:hint="eastAsia" w:ascii="宋体" w:hAnsi="宋体" w:eastAsia="宋体" w:cs="宋体"/>
                <w:i w:val="0"/>
                <w:iCs w:val="0"/>
                <w:color w:val="000000"/>
                <w:sz w:val="18"/>
                <w:szCs w:val="18"/>
                <w:highlight w:val="none"/>
                <w:u w:val="none"/>
              </w:rPr>
            </w:pP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7766D3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质量指标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44B90A1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服务覆盖率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360226F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762818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53BE77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6188848F">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F69C8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1591EEA1">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4E02945D">
            <w:pPr>
              <w:jc w:val="center"/>
              <w:rPr>
                <w:rFonts w:hint="eastAsia" w:ascii="微软雅黑" w:hAnsi="微软雅黑" w:eastAsia="微软雅黑" w:cs="微软雅黑"/>
                <w:i/>
                <w:iCs/>
                <w:color w:val="000000"/>
                <w:sz w:val="16"/>
                <w:szCs w:val="16"/>
                <w:highlight w:val="none"/>
                <w:u w:val="none"/>
              </w:rPr>
            </w:pPr>
          </w:p>
        </w:tc>
      </w:tr>
      <w:tr w14:paraId="3C2A6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3E869FC">
            <w:pPr>
              <w:jc w:val="cente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FD583E0">
            <w:pPr>
              <w:jc w:val="center"/>
              <w:rPr>
                <w:rFonts w:hint="eastAsia" w:ascii="宋体" w:hAnsi="宋体" w:eastAsia="宋体" w:cs="宋体"/>
                <w:i w:val="0"/>
                <w:iCs w:val="0"/>
                <w:color w:val="000000"/>
                <w:sz w:val="18"/>
                <w:szCs w:val="18"/>
                <w:highlight w:val="none"/>
                <w:u w:val="none"/>
              </w:rPr>
            </w:pP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376839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时效指标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38BDD0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项目完成时间</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190A2E2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定性</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26072A4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如期完成</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28D147AE">
            <w:pPr>
              <w:jc w:val="center"/>
              <w:rPr>
                <w:rFonts w:hint="eastAsia" w:ascii="宋体" w:hAnsi="宋体" w:eastAsia="宋体" w:cs="宋体"/>
                <w:i w:val="0"/>
                <w:iCs w:val="0"/>
                <w:color w:val="000000"/>
                <w:sz w:val="18"/>
                <w:szCs w:val="18"/>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6CB83FF4">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781001D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43918B58">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44C0EE23">
            <w:pPr>
              <w:jc w:val="center"/>
              <w:rPr>
                <w:rFonts w:hint="eastAsia" w:ascii="微软雅黑" w:hAnsi="微软雅黑" w:eastAsia="微软雅黑" w:cs="微软雅黑"/>
                <w:i/>
                <w:iCs/>
                <w:color w:val="000000"/>
                <w:sz w:val="16"/>
                <w:szCs w:val="16"/>
                <w:highlight w:val="none"/>
                <w:u w:val="none"/>
              </w:rPr>
            </w:pPr>
          </w:p>
        </w:tc>
      </w:tr>
      <w:tr w14:paraId="1D7AD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F81779F">
            <w:pPr>
              <w:jc w:val="center"/>
              <w:rPr>
                <w:rFonts w:hint="eastAsia" w:ascii="宋体" w:hAnsi="宋体" w:eastAsia="宋体" w:cs="宋体"/>
                <w:i w:val="0"/>
                <w:iCs w:val="0"/>
                <w:color w:val="000000"/>
                <w:sz w:val="18"/>
                <w:szCs w:val="18"/>
                <w:highlight w:val="none"/>
                <w:u w:val="none"/>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7EBA6E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效益指标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vAlign w:val="center"/>
          </w:tcPr>
          <w:p w14:paraId="1DA7FF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01CEB7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基层治理参与率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28CA79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5B0653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16A9C08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0CD0E0C7">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CA0671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29E92904">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52FC8D4D">
            <w:pPr>
              <w:jc w:val="center"/>
              <w:rPr>
                <w:rFonts w:hint="eastAsia" w:ascii="微软雅黑" w:hAnsi="微软雅黑" w:eastAsia="微软雅黑" w:cs="微软雅黑"/>
                <w:i/>
                <w:iCs/>
                <w:color w:val="000000"/>
                <w:sz w:val="16"/>
                <w:szCs w:val="16"/>
                <w:highlight w:val="none"/>
                <w:u w:val="none"/>
              </w:rPr>
            </w:pPr>
          </w:p>
        </w:tc>
      </w:tr>
      <w:tr w14:paraId="6E13C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FBBB874">
            <w:pPr>
              <w:jc w:val="cente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8B4D79A">
            <w:pPr>
              <w:jc w:val="center"/>
              <w:rPr>
                <w:rFonts w:hint="eastAsia" w:ascii="宋体" w:hAnsi="宋体" w:eastAsia="宋体" w:cs="宋体"/>
                <w:i w:val="0"/>
                <w:iCs w:val="0"/>
                <w:color w:val="000000"/>
                <w:sz w:val="18"/>
                <w:szCs w:val="18"/>
                <w:highlight w:val="none"/>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034100A">
            <w:pPr>
              <w:jc w:val="center"/>
              <w:rPr>
                <w:rFonts w:hint="eastAsia" w:ascii="宋体" w:hAnsi="宋体" w:eastAsia="宋体" w:cs="宋体"/>
                <w:i w:val="0"/>
                <w:iCs w:val="0"/>
                <w:color w:val="000000"/>
                <w:sz w:val="18"/>
                <w:szCs w:val="18"/>
                <w:highlight w:val="none"/>
                <w:u w:val="none"/>
              </w:rPr>
            </w:pP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3099376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受益群众数量</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6AD8C2D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01B2A6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300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4B67EC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人次</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751A230F">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223CC53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35E5A6EA">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710C1BBB">
            <w:pPr>
              <w:jc w:val="center"/>
              <w:rPr>
                <w:rFonts w:hint="eastAsia" w:ascii="微软雅黑" w:hAnsi="微软雅黑" w:eastAsia="微软雅黑" w:cs="微软雅黑"/>
                <w:i/>
                <w:iCs/>
                <w:color w:val="000000"/>
                <w:sz w:val="16"/>
                <w:szCs w:val="16"/>
                <w:highlight w:val="none"/>
                <w:u w:val="none"/>
              </w:rPr>
            </w:pPr>
          </w:p>
        </w:tc>
      </w:tr>
      <w:tr w14:paraId="2F94A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B3264BB">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74DE0F4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满意度指标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1E370C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345DCDC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志愿服务活动对象满意度</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36C4A1A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1D1E5C8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29CFF7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5D97B072">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0CFE19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44765B18">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71CA8F9C">
            <w:pPr>
              <w:jc w:val="center"/>
              <w:rPr>
                <w:rFonts w:hint="eastAsia" w:ascii="微软雅黑" w:hAnsi="微软雅黑" w:eastAsia="微软雅黑" w:cs="微软雅黑"/>
                <w:i/>
                <w:iCs/>
                <w:color w:val="000000"/>
                <w:sz w:val="16"/>
                <w:szCs w:val="16"/>
                <w:highlight w:val="none"/>
                <w:u w:val="none"/>
              </w:rPr>
            </w:pPr>
          </w:p>
        </w:tc>
      </w:tr>
      <w:tr w14:paraId="20859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AC22BF">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2640FB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成本指标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20587EB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607B4B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成本控制率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2F53E4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145832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14F7CC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54D81FF3">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C33CDA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0F9786B7">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069DF23B">
            <w:pPr>
              <w:jc w:val="center"/>
              <w:rPr>
                <w:rFonts w:hint="eastAsia" w:ascii="微软雅黑" w:hAnsi="微软雅黑" w:eastAsia="微软雅黑" w:cs="微软雅黑"/>
                <w:i/>
                <w:iCs/>
                <w:color w:val="000000"/>
                <w:sz w:val="16"/>
                <w:szCs w:val="16"/>
                <w:highlight w:val="none"/>
                <w:u w:val="none"/>
              </w:rPr>
            </w:pPr>
          </w:p>
        </w:tc>
      </w:tr>
      <w:tr w14:paraId="055FB2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05" w:type="dxa"/>
            <w:gridSpan w:val="8"/>
            <w:tcBorders>
              <w:top w:val="single" w:color="000000" w:sz="4" w:space="0"/>
              <w:left w:val="single" w:color="000000" w:sz="4" w:space="0"/>
              <w:bottom w:val="single" w:color="000000" w:sz="4" w:space="0"/>
              <w:right w:val="single" w:color="000000" w:sz="4" w:space="0"/>
            </w:tcBorders>
            <w:shd w:val="clear"/>
            <w:vAlign w:val="center"/>
          </w:tcPr>
          <w:p w14:paraId="00641F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B2D6B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148CEA5F">
            <w:pP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18B32201">
            <w:pPr>
              <w:rPr>
                <w:rFonts w:hint="eastAsia" w:ascii="宋体" w:hAnsi="宋体" w:eastAsia="宋体" w:cs="宋体"/>
                <w:i w:val="0"/>
                <w:iCs w:val="0"/>
                <w:color w:val="000000"/>
                <w:sz w:val="18"/>
                <w:szCs w:val="18"/>
                <w:highlight w:val="none"/>
                <w:u w:val="none"/>
              </w:rPr>
            </w:pPr>
          </w:p>
        </w:tc>
      </w:tr>
      <w:tr w14:paraId="7838B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758FBA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评价结论</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14E10EBF">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自评总分 100 分。预算执行率 100%，活动开展、服务覆盖、受益人次等指标完成。志愿服务事业稳步发展，助力基层治理与精神文明建设成效显著。</w:t>
            </w:r>
          </w:p>
        </w:tc>
      </w:tr>
      <w:tr w14:paraId="0F933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2"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644303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存在问题</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0F1D1A70">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志愿者队伍专业化水平不高，服务质量参差不齐；活动统筹规划不足，资源整合力度不够。</w:t>
            </w:r>
          </w:p>
        </w:tc>
      </w:tr>
      <w:tr w14:paraId="27FE9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27C9AF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改进措施</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194DFE58">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加强志愿者专业化培训，提升服务水平；统筹规划志愿服务活动，整合多方资源；健全管理机制，规范服务流程。</w:t>
            </w:r>
          </w:p>
        </w:tc>
      </w:tr>
      <w:tr w14:paraId="71074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7305" w:type="dxa"/>
            <w:gridSpan w:val="5"/>
            <w:tcBorders>
              <w:top w:val="single" w:color="000000" w:sz="4" w:space="0"/>
              <w:left w:val="single" w:color="000000" w:sz="4" w:space="0"/>
              <w:bottom w:val="single" w:color="000000" w:sz="4" w:space="0"/>
              <w:right w:val="single" w:color="000000" w:sz="4" w:space="0"/>
            </w:tcBorders>
            <w:shd w:val="clear"/>
            <w:vAlign w:val="center"/>
          </w:tcPr>
          <w:p w14:paraId="2BC9E884">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项目负责人：</w:t>
            </w:r>
          </w:p>
        </w:tc>
        <w:tc>
          <w:tcPr>
            <w:tcW w:w="6810" w:type="dxa"/>
            <w:gridSpan w:val="6"/>
            <w:tcBorders>
              <w:top w:val="single" w:color="000000" w:sz="4" w:space="0"/>
              <w:left w:val="single" w:color="000000" w:sz="4" w:space="0"/>
              <w:bottom w:val="single" w:color="000000" w:sz="4" w:space="0"/>
              <w:right w:val="single" w:color="000000" w:sz="4" w:space="0"/>
            </w:tcBorders>
            <w:shd w:val="clear"/>
            <w:vAlign w:val="center"/>
          </w:tcPr>
          <w:p w14:paraId="36855541">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财务负责人：</w:t>
            </w:r>
          </w:p>
        </w:tc>
      </w:tr>
      <w:tr w14:paraId="7BAED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0" w:type="dxa"/>
            <w:tcBorders>
              <w:top w:val="nil"/>
              <w:left w:val="nil"/>
              <w:bottom w:val="nil"/>
              <w:right w:val="nil"/>
            </w:tcBorders>
            <w:shd w:val="clear"/>
            <w:vAlign w:val="center"/>
          </w:tcPr>
          <w:p w14:paraId="544E508E">
            <w:pPr>
              <w:rPr>
                <w:rFonts w:hint="eastAsia" w:ascii="宋体" w:hAnsi="宋体" w:eastAsia="宋体" w:cs="宋体"/>
                <w:i w:val="0"/>
                <w:iCs w:val="0"/>
                <w:color w:val="000000"/>
                <w:sz w:val="18"/>
                <w:szCs w:val="18"/>
                <w:highlight w:val="none"/>
                <w:u w:val="none"/>
              </w:rPr>
            </w:pPr>
          </w:p>
        </w:tc>
        <w:tc>
          <w:tcPr>
            <w:tcW w:w="2055" w:type="dxa"/>
            <w:tcBorders>
              <w:top w:val="nil"/>
              <w:left w:val="nil"/>
              <w:bottom w:val="nil"/>
              <w:right w:val="nil"/>
            </w:tcBorders>
            <w:shd w:val="clear"/>
            <w:vAlign w:val="center"/>
          </w:tcPr>
          <w:p w14:paraId="5F74D219">
            <w:pPr>
              <w:rPr>
                <w:rFonts w:hint="eastAsia" w:ascii="宋体" w:hAnsi="宋体" w:eastAsia="宋体" w:cs="宋体"/>
                <w:i w:val="0"/>
                <w:iCs w:val="0"/>
                <w:color w:val="000000"/>
                <w:sz w:val="18"/>
                <w:szCs w:val="18"/>
                <w:highlight w:val="none"/>
                <w:u w:val="none"/>
              </w:rPr>
            </w:pPr>
          </w:p>
        </w:tc>
        <w:tc>
          <w:tcPr>
            <w:tcW w:w="1770" w:type="dxa"/>
            <w:tcBorders>
              <w:top w:val="nil"/>
              <w:left w:val="nil"/>
              <w:bottom w:val="nil"/>
              <w:right w:val="nil"/>
            </w:tcBorders>
            <w:shd w:val="clear"/>
            <w:vAlign w:val="center"/>
          </w:tcPr>
          <w:p w14:paraId="7036EB26">
            <w:pPr>
              <w:rPr>
                <w:rFonts w:hint="eastAsia" w:ascii="宋体" w:hAnsi="宋体" w:eastAsia="宋体" w:cs="宋体"/>
                <w:i w:val="0"/>
                <w:iCs w:val="0"/>
                <w:color w:val="000000"/>
                <w:sz w:val="18"/>
                <w:szCs w:val="18"/>
                <w:highlight w:val="none"/>
                <w:u w:val="none"/>
              </w:rPr>
            </w:pPr>
          </w:p>
        </w:tc>
        <w:tc>
          <w:tcPr>
            <w:tcW w:w="2265" w:type="dxa"/>
            <w:tcBorders>
              <w:top w:val="nil"/>
              <w:left w:val="nil"/>
              <w:bottom w:val="nil"/>
              <w:right w:val="nil"/>
            </w:tcBorders>
            <w:shd w:val="clear"/>
            <w:vAlign w:val="center"/>
          </w:tcPr>
          <w:p w14:paraId="6611DC17">
            <w:pPr>
              <w:rPr>
                <w:rFonts w:hint="eastAsia" w:ascii="宋体" w:hAnsi="宋体" w:eastAsia="宋体" w:cs="宋体"/>
                <w:i w:val="0"/>
                <w:iCs w:val="0"/>
                <w:color w:val="000000"/>
                <w:sz w:val="18"/>
                <w:szCs w:val="18"/>
                <w:highlight w:val="none"/>
                <w:u w:val="none"/>
              </w:rPr>
            </w:pPr>
          </w:p>
          <w:p w14:paraId="698B5767">
            <w:pPr>
              <w:rPr>
                <w:rFonts w:hint="eastAsia" w:ascii="宋体" w:hAnsi="宋体" w:eastAsia="宋体" w:cs="宋体"/>
                <w:i w:val="0"/>
                <w:iCs w:val="0"/>
                <w:color w:val="000000"/>
                <w:sz w:val="18"/>
                <w:szCs w:val="18"/>
                <w:highlight w:val="none"/>
                <w:u w:val="none"/>
              </w:rPr>
            </w:pPr>
          </w:p>
          <w:p w14:paraId="2F4B2B6C">
            <w:pPr>
              <w:rPr>
                <w:rFonts w:hint="eastAsia" w:ascii="宋体" w:hAnsi="宋体" w:eastAsia="宋体" w:cs="宋体"/>
                <w:i w:val="0"/>
                <w:iCs w:val="0"/>
                <w:color w:val="000000"/>
                <w:sz w:val="18"/>
                <w:szCs w:val="18"/>
                <w:highlight w:val="none"/>
                <w:u w:val="none"/>
              </w:rPr>
            </w:pPr>
          </w:p>
          <w:p w14:paraId="101C4350">
            <w:pPr>
              <w:rPr>
                <w:rFonts w:hint="eastAsia" w:ascii="宋体" w:hAnsi="宋体" w:eastAsia="宋体" w:cs="宋体"/>
                <w:i w:val="0"/>
                <w:iCs w:val="0"/>
                <w:color w:val="000000"/>
                <w:sz w:val="18"/>
                <w:szCs w:val="18"/>
                <w:highlight w:val="none"/>
                <w:u w:val="none"/>
              </w:rPr>
            </w:pPr>
          </w:p>
          <w:p w14:paraId="7F5A974C">
            <w:pPr>
              <w:rPr>
                <w:rFonts w:hint="eastAsia" w:ascii="宋体" w:hAnsi="宋体" w:eastAsia="宋体" w:cs="宋体"/>
                <w:i w:val="0"/>
                <w:iCs w:val="0"/>
                <w:color w:val="000000"/>
                <w:sz w:val="18"/>
                <w:szCs w:val="18"/>
                <w:highlight w:val="none"/>
                <w:u w:val="none"/>
              </w:rPr>
            </w:pPr>
          </w:p>
          <w:p w14:paraId="60F74859">
            <w:pPr>
              <w:rPr>
                <w:rFonts w:hint="eastAsia" w:ascii="宋体" w:hAnsi="宋体" w:eastAsia="宋体" w:cs="宋体"/>
                <w:i w:val="0"/>
                <w:iCs w:val="0"/>
                <w:color w:val="000000"/>
                <w:sz w:val="18"/>
                <w:szCs w:val="18"/>
                <w:highlight w:val="none"/>
                <w:u w:val="none"/>
              </w:rPr>
            </w:pPr>
          </w:p>
          <w:p w14:paraId="21270BB4">
            <w:pPr>
              <w:rPr>
                <w:rFonts w:hint="eastAsia" w:ascii="宋体" w:hAnsi="宋体" w:eastAsia="宋体" w:cs="宋体"/>
                <w:i w:val="0"/>
                <w:iCs w:val="0"/>
                <w:color w:val="000000"/>
                <w:sz w:val="18"/>
                <w:szCs w:val="18"/>
                <w:highlight w:val="none"/>
                <w:u w:val="none"/>
              </w:rPr>
            </w:pPr>
          </w:p>
        </w:tc>
        <w:tc>
          <w:tcPr>
            <w:tcW w:w="525" w:type="dxa"/>
            <w:tcBorders>
              <w:top w:val="nil"/>
              <w:left w:val="nil"/>
              <w:bottom w:val="nil"/>
              <w:right w:val="nil"/>
            </w:tcBorders>
            <w:shd w:val="clear"/>
            <w:vAlign w:val="center"/>
          </w:tcPr>
          <w:p w14:paraId="3A8D1031">
            <w:pPr>
              <w:rPr>
                <w:rFonts w:hint="eastAsia" w:ascii="宋体" w:hAnsi="宋体" w:eastAsia="宋体" w:cs="宋体"/>
                <w:i w:val="0"/>
                <w:iCs w:val="0"/>
                <w:color w:val="000000"/>
                <w:sz w:val="18"/>
                <w:szCs w:val="18"/>
                <w:highlight w:val="none"/>
                <w:u w:val="none"/>
              </w:rPr>
            </w:pPr>
          </w:p>
        </w:tc>
        <w:tc>
          <w:tcPr>
            <w:tcW w:w="1680" w:type="dxa"/>
            <w:tcBorders>
              <w:top w:val="nil"/>
              <w:left w:val="nil"/>
              <w:bottom w:val="nil"/>
              <w:right w:val="nil"/>
            </w:tcBorders>
            <w:shd w:val="clear"/>
            <w:vAlign w:val="center"/>
          </w:tcPr>
          <w:p w14:paraId="05FD75F0">
            <w:pPr>
              <w:rPr>
                <w:rFonts w:hint="eastAsia" w:ascii="宋体" w:hAnsi="宋体" w:eastAsia="宋体" w:cs="宋体"/>
                <w:i w:val="0"/>
                <w:iCs w:val="0"/>
                <w:color w:val="000000"/>
                <w:sz w:val="18"/>
                <w:szCs w:val="18"/>
                <w:highlight w:val="none"/>
                <w:u w:val="none"/>
              </w:rPr>
            </w:pPr>
          </w:p>
        </w:tc>
        <w:tc>
          <w:tcPr>
            <w:tcW w:w="525" w:type="dxa"/>
            <w:tcBorders>
              <w:top w:val="nil"/>
              <w:left w:val="nil"/>
              <w:bottom w:val="nil"/>
              <w:right w:val="nil"/>
            </w:tcBorders>
            <w:shd w:val="clear"/>
            <w:vAlign w:val="center"/>
          </w:tcPr>
          <w:p w14:paraId="4772E06E">
            <w:pPr>
              <w:rPr>
                <w:rFonts w:hint="eastAsia" w:ascii="宋体" w:hAnsi="宋体" w:eastAsia="宋体" w:cs="宋体"/>
                <w:i w:val="0"/>
                <w:iCs w:val="0"/>
                <w:color w:val="000000"/>
                <w:sz w:val="18"/>
                <w:szCs w:val="18"/>
                <w:highlight w:val="none"/>
                <w:u w:val="none"/>
              </w:rPr>
            </w:pPr>
          </w:p>
        </w:tc>
        <w:tc>
          <w:tcPr>
            <w:tcW w:w="1095" w:type="dxa"/>
            <w:tcBorders>
              <w:top w:val="nil"/>
              <w:left w:val="nil"/>
              <w:bottom w:val="nil"/>
              <w:right w:val="nil"/>
            </w:tcBorders>
            <w:shd w:val="clear"/>
            <w:vAlign w:val="center"/>
          </w:tcPr>
          <w:p w14:paraId="0B6DA897">
            <w:pPr>
              <w:rPr>
                <w:rFonts w:hint="eastAsia" w:ascii="宋体" w:hAnsi="宋体" w:eastAsia="宋体" w:cs="宋体"/>
                <w:i w:val="0"/>
                <w:iCs w:val="0"/>
                <w:color w:val="000000"/>
                <w:sz w:val="18"/>
                <w:szCs w:val="18"/>
                <w:highlight w:val="none"/>
                <w:u w:val="none"/>
              </w:rPr>
            </w:pPr>
          </w:p>
        </w:tc>
        <w:tc>
          <w:tcPr>
            <w:tcW w:w="510" w:type="dxa"/>
            <w:tcBorders>
              <w:top w:val="nil"/>
              <w:left w:val="nil"/>
              <w:bottom w:val="nil"/>
              <w:right w:val="nil"/>
            </w:tcBorders>
            <w:shd w:val="clear"/>
            <w:vAlign w:val="center"/>
          </w:tcPr>
          <w:p w14:paraId="6FD35414">
            <w:pPr>
              <w:rPr>
                <w:rFonts w:hint="eastAsia" w:ascii="宋体" w:hAnsi="宋体" w:eastAsia="宋体" w:cs="宋体"/>
                <w:i w:val="0"/>
                <w:iCs w:val="0"/>
                <w:color w:val="000000"/>
                <w:sz w:val="18"/>
                <w:szCs w:val="18"/>
                <w:highlight w:val="none"/>
                <w:u w:val="none"/>
              </w:rPr>
            </w:pPr>
          </w:p>
        </w:tc>
        <w:tc>
          <w:tcPr>
            <w:tcW w:w="450" w:type="dxa"/>
            <w:tcBorders>
              <w:top w:val="nil"/>
              <w:left w:val="nil"/>
              <w:bottom w:val="nil"/>
              <w:right w:val="nil"/>
            </w:tcBorders>
            <w:shd w:val="clear"/>
            <w:vAlign w:val="center"/>
          </w:tcPr>
          <w:p w14:paraId="7F9486B8">
            <w:pPr>
              <w:rPr>
                <w:rFonts w:hint="eastAsia" w:ascii="宋体" w:hAnsi="宋体" w:eastAsia="宋体" w:cs="宋体"/>
                <w:i w:val="0"/>
                <w:iCs w:val="0"/>
                <w:color w:val="000000"/>
                <w:sz w:val="18"/>
                <w:szCs w:val="18"/>
                <w:highlight w:val="none"/>
                <w:u w:val="none"/>
              </w:rPr>
            </w:pPr>
          </w:p>
        </w:tc>
        <w:tc>
          <w:tcPr>
            <w:tcW w:w="2550" w:type="dxa"/>
            <w:tcBorders>
              <w:top w:val="nil"/>
              <w:left w:val="nil"/>
              <w:bottom w:val="nil"/>
              <w:right w:val="nil"/>
            </w:tcBorders>
            <w:shd w:val="clear"/>
            <w:vAlign w:val="center"/>
          </w:tcPr>
          <w:p w14:paraId="73DD26F9">
            <w:pPr>
              <w:rPr>
                <w:rFonts w:hint="eastAsia" w:ascii="宋体" w:hAnsi="宋体" w:eastAsia="宋体" w:cs="宋体"/>
                <w:i w:val="0"/>
                <w:iCs w:val="0"/>
                <w:color w:val="000000"/>
                <w:sz w:val="18"/>
                <w:szCs w:val="18"/>
                <w:highlight w:val="none"/>
                <w:u w:val="none"/>
              </w:rPr>
            </w:pPr>
          </w:p>
        </w:tc>
      </w:tr>
      <w:tr w14:paraId="36BDE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vAlign w:val="center"/>
          </w:tcPr>
          <w:p w14:paraId="0A99A85E">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bdr w:val="none" w:color="auto" w:sz="0" w:space="0"/>
                <w:lang w:val="en-US" w:eastAsia="zh-CN" w:bidi="ar"/>
              </w:rPr>
              <w:t>部门预算项目支出绩效自评表（2025年度）</w:t>
            </w:r>
          </w:p>
        </w:tc>
      </w:tr>
      <w:tr w14:paraId="04408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vAlign w:val="center"/>
          </w:tcPr>
          <w:p w14:paraId="7471AB8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vAlign w:val="center"/>
          </w:tcPr>
          <w:p w14:paraId="3A86B1F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51320025T000013586403-在川服务西部计划志愿者工作经费</w:t>
            </w:r>
          </w:p>
        </w:tc>
      </w:tr>
      <w:tr w14:paraId="00B2C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vAlign w:val="center"/>
          </w:tcPr>
          <w:p w14:paraId="59E0197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主管部门</w:t>
            </w: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53CB9DD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团州委部门</w:t>
            </w:r>
          </w:p>
        </w:tc>
        <w:tc>
          <w:tcPr>
            <w:tcW w:w="1095" w:type="dxa"/>
            <w:tcBorders>
              <w:top w:val="nil"/>
              <w:left w:val="nil"/>
              <w:bottom w:val="nil"/>
              <w:right w:val="nil"/>
            </w:tcBorders>
            <w:shd w:val="clear"/>
            <w:vAlign w:val="center"/>
          </w:tcPr>
          <w:p w14:paraId="457C3614">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vAlign w:val="center"/>
          </w:tcPr>
          <w:p w14:paraId="1743A28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团州委</w:t>
            </w:r>
          </w:p>
        </w:tc>
      </w:tr>
      <w:tr w14:paraId="7C2B5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6C73285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66E24396">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175C8B8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shd w:val="clear"/>
            <w:vAlign w:val="center"/>
          </w:tcPr>
          <w:p w14:paraId="6395CB39">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年度目标完成情况</w:t>
            </w:r>
          </w:p>
        </w:tc>
      </w:tr>
      <w:tr w14:paraId="094EE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B79ECB4">
            <w:pP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29A63A8">
            <w:pPr>
              <w:rPr>
                <w:rFonts w:hint="eastAsia" w:ascii="宋体" w:hAnsi="宋体" w:eastAsia="宋体" w:cs="宋体"/>
                <w:i w:val="0"/>
                <w:iCs w:val="0"/>
                <w:color w:val="000000"/>
                <w:sz w:val="18"/>
                <w:szCs w:val="18"/>
                <w:highlight w:val="none"/>
                <w:u w:val="none"/>
              </w:rPr>
            </w:pP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6453B03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根据团中央、财政部、教育部等部门相关文件精神，各地瑶切实做好志愿者的关心关爱和保障服务，保障志愿者生活津贴、专项培训和活动经费，给他们创造一个宽松、舒服的工作环境，切实为他们的生活、工作、安全提供保障。</w:t>
            </w:r>
          </w:p>
        </w:tc>
        <w:tc>
          <w:tcPr>
            <w:tcW w:w="4605" w:type="dxa"/>
            <w:gridSpan w:val="4"/>
            <w:tcBorders>
              <w:top w:val="single" w:color="000000" w:sz="4" w:space="0"/>
              <w:left w:val="single" w:color="000000" w:sz="4" w:space="0"/>
              <w:bottom w:val="single" w:color="000000" w:sz="4" w:space="0"/>
              <w:right w:val="single" w:color="000000" w:sz="4" w:space="0"/>
            </w:tcBorders>
            <w:shd w:val="clear"/>
            <w:vAlign w:val="center"/>
          </w:tcPr>
          <w:p w14:paraId="75B75DEE">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对照年度目标，说明相关任务目标的完成情况（100字以内）</w:t>
            </w:r>
          </w:p>
        </w:tc>
      </w:tr>
      <w:tr w14:paraId="16041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E79436A">
            <w:pP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3C3F8DFE">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vAlign w:val="center"/>
          </w:tcPr>
          <w:p w14:paraId="46E274D7">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严格落实上级文件要求，使用经费保障西部计划志愿者生活津贴、培训与活动开展，做好志愿者生活、工作、安全保障服务，组织志愿服务活动，全程做好志愿者关心关爱与权益保障工作。</w:t>
            </w:r>
          </w:p>
        </w:tc>
      </w:tr>
      <w:tr w14:paraId="50DE9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7BFB624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预算执行情况（10分）</w:t>
            </w: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3168A7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66D2775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年初预算</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263BB32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调整后预算数</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3C44AF1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预算执行数</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1B4B85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17A46E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4620DB8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16B9F1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原因</w:t>
            </w:r>
          </w:p>
        </w:tc>
      </w:tr>
      <w:tr w14:paraId="477EA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C9E2E88">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6EACD89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总额</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3D01EFF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3DEC888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14.54</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6DBCE2F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14.54</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70696DB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4680F7B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6D851665">
            <w:pPr>
              <w:jc w:val="center"/>
              <w:rPr>
                <w:rFonts w:hint="eastAsia" w:ascii="宋体" w:hAnsi="宋体" w:eastAsia="宋体" w:cs="宋体"/>
                <w:i w:val="0"/>
                <w:iCs w:val="0"/>
                <w:color w:val="000000"/>
                <w:sz w:val="18"/>
                <w:szCs w:val="18"/>
                <w:highlight w:val="none"/>
                <w:u w:val="none"/>
              </w:rPr>
            </w:pPr>
          </w:p>
        </w:tc>
        <w:tc>
          <w:tcPr>
            <w:tcW w:w="2550" w:type="dxa"/>
            <w:vMerge w:val="restart"/>
            <w:tcBorders>
              <w:top w:val="single" w:color="000000" w:sz="4" w:space="0"/>
              <w:left w:val="single" w:color="000000" w:sz="4" w:space="0"/>
              <w:bottom w:val="single" w:color="000000" w:sz="4" w:space="0"/>
              <w:right w:val="single" w:color="000000" w:sz="4" w:space="0"/>
            </w:tcBorders>
            <w:shd w:val="clear"/>
            <w:vAlign w:val="center"/>
          </w:tcPr>
          <w:p w14:paraId="5A40A444">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E276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C39CC93">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30EFBAC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2DF0BAD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2D4DFB2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14.54</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20D3263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14.54</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77401A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7AE592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59037DC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C66DB9D">
            <w:pPr>
              <w:rPr>
                <w:rFonts w:hint="eastAsia" w:ascii="黑体" w:hAnsi="黑体" w:eastAsia="黑体" w:cs="黑体"/>
                <w:i/>
                <w:iCs/>
                <w:color w:val="000000"/>
                <w:sz w:val="18"/>
                <w:szCs w:val="18"/>
                <w:highlight w:val="none"/>
                <w:u w:val="none"/>
              </w:rPr>
            </w:pPr>
          </w:p>
        </w:tc>
      </w:tr>
      <w:tr w14:paraId="547B6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E50CF8F">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652CB4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062CF0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7C04D0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615173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656B1C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0D7CDE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42F915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6421B64">
            <w:pPr>
              <w:rPr>
                <w:rFonts w:hint="eastAsia" w:ascii="黑体" w:hAnsi="黑体" w:eastAsia="黑体" w:cs="黑体"/>
                <w:i/>
                <w:iCs/>
                <w:color w:val="000000"/>
                <w:sz w:val="18"/>
                <w:szCs w:val="18"/>
                <w:highlight w:val="none"/>
                <w:u w:val="none"/>
              </w:rPr>
            </w:pPr>
          </w:p>
        </w:tc>
      </w:tr>
      <w:tr w14:paraId="25EE4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1476DE8">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34962E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单位资金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3E69D3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5BE98F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07A1291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04D069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47C557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13B004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08E0599">
            <w:pPr>
              <w:rPr>
                <w:rFonts w:hint="eastAsia" w:ascii="黑体" w:hAnsi="黑体" w:eastAsia="黑体" w:cs="黑体"/>
                <w:i/>
                <w:iCs/>
                <w:color w:val="000000"/>
                <w:sz w:val="18"/>
                <w:szCs w:val="18"/>
                <w:highlight w:val="none"/>
                <w:u w:val="none"/>
              </w:rPr>
            </w:pPr>
          </w:p>
        </w:tc>
      </w:tr>
      <w:tr w14:paraId="392EA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E2A3683">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6BE311E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其他资金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00453373">
            <w:pPr>
              <w:jc w:val="center"/>
              <w:rPr>
                <w:rFonts w:hint="eastAsia" w:ascii="微软雅黑" w:hAnsi="微软雅黑" w:eastAsia="微软雅黑" w:cs="微软雅黑"/>
                <w:i/>
                <w:iCs/>
                <w:color w:val="000000"/>
                <w:sz w:val="16"/>
                <w:szCs w:val="16"/>
                <w:highlight w:val="none"/>
                <w:u w:val="none"/>
              </w:rPr>
            </w:pP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232B9BAD">
            <w:pPr>
              <w:jc w:val="center"/>
              <w:rPr>
                <w:rFonts w:hint="eastAsia" w:ascii="微软雅黑" w:hAnsi="微软雅黑" w:eastAsia="微软雅黑" w:cs="微软雅黑"/>
                <w:i/>
                <w:iCs/>
                <w:color w:val="000000"/>
                <w:sz w:val="16"/>
                <w:szCs w:val="16"/>
                <w:highlight w:val="none"/>
                <w:u w:val="none"/>
              </w:rPr>
            </w:pP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521ED308">
            <w:pPr>
              <w:jc w:val="center"/>
              <w:rPr>
                <w:rFonts w:hint="eastAsia" w:ascii="微软雅黑" w:hAnsi="微软雅黑" w:eastAsia="微软雅黑" w:cs="微软雅黑"/>
                <w:i/>
                <w:iCs/>
                <w:color w:val="000000"/>
                <w:sz w:val="16"/>
                <w:szCs w:val="16"/>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5AFA9A19">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01F7D21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60AD92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D8D0EF1">
            <w:pPr>
              <w:rPr>
                <w:rFonts w:hint="eastAsia" w:ascii="黑体" w:hAnsi="黑体" w:eastAsia="黑体" w:cs="黑体"/>
                <w:i/>
                <w:iCs/>
                <w:color w:val="000000"/>
                <w:sz w:val="18"/>
                <w:szCs w:val="18"/>
                <w:highlight w:val="none"/>
                <w:u w:val="none"/>
              </w:rPr>
            </w:pPr>
          </w:p>
        </w:tc>
      </w:tr>
      <w:tr w14:paraId="2A530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148357F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绩效指标（90分）</w:t>
            </w: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0B5CE51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1E7B615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二级指标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4578C94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54F706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指标性质</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08BEB99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5C77816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度量单位</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37A3836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BAB2B1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063892F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0B25487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未完成原因分析</w:t>
            </w:r>
          </w:p>
        </w:tc>
      </w:tr>
      <w:tr w14:paraId="0C6FD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DB01FC5">
            <w:pPr>
              <w:jc w:val="center"/>
              <w:rPr>
                <w:rFonts w:hint="eastAsia" w:ascii="宋体" w:hAnsi="宋体" w:eastAsia="宋体" w:cs="宋体"/>
                <w:i w:val="0"/>
                <w:iCs w:val="0"/>
                <w:color w:val="000000"/>
                <w:sz w:val="18"/>
                <w:szCs w:val="18"/>
                <w:highlight w:val="none"/>
                <w:u w:val="none"/>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7F0DBE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622098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数量指标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3D5D0E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开展志愿服务活动次数</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62F084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4364B80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41A5B23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次</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7E89E12A">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41A3690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51D175BA">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742FA34E">
            <w:pPr>
              <w:jc w:val="center"/>
              <w:rPr>
                <w:rFonts w:hint="eastAsia" w:ascii="微软雅黑" w:hAnsi="微软雅黑" w:eastAsia="微软雅黑" w:cs="微软雅黑"/>
                <w:i/>
                <w:iCs/>
                <w:color w:val="000000"/>
                <w:sz w:val="16"/>
                <w:szCs w:val="16"/>
                <w:highlight w:val="none"/>
                <w:u w:val="none"/>
              </w:rPr>
            </w:pPr>
          </w:p>
        </w:tc>
      </w:tr>
      <w:tr w14:paraId="3FF52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BFA8158">
            <w:pPr>
              <w:jc w:val="cente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FCBCFED">
            <w:pPr>
              <w:jc w:val="center"/>
              <w:rPr>
                <w:rFonts w:hint="eastAsia" w:ascii="宋体" w:hAnsi="宋体" w:eastAsia="宋体" w:cs="宋体"/>
                <w:i w:val="0"/>
                <w:iCs w:val="0"/>
                <w:color w:val="000000"/>
                <w:sz w:val="18"/>
                <w:szCs w:val="18"/>
                <w:highlight w:val="none"/>
                <w:u w:val="none"/>
              </w:rPr>
            </w:pP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62ED4F9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质量指标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36592C4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积极参与各项志愿服务，志愿服务参与率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61834E2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0A4B03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85</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0CDAE1A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36492621">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65C82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29F7BC8D">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46FB486A">
            <w:pPr>
              <w:jc w:val="center"/>
              <w:rPr>
                <w:rFonts w:hint="eastAsia" w:ascii="微软雅黑" w:hAnsi="微软雅黑" w:eastAsia="微软雅黑" w:cs="微软雅黑"/>
                <w:i/>
                <w:iCs/>
                <w:color w:val="000000"/>
                <w:sz w:val="16"/>
                <w:szCs w:val="16"/>
                <w:highlight w:val="none"/>
                <w:u w:val="none"/>
              </w:rPr>
            </w:pPr>
          </w:p>
        </w:tc>
      </w:tr>
      <w:tr w14:paraId="2A6EA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0DEF705">
            <w:pPr>
              <w:jc w:val="cente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878440E">
            <w:pPr>
              <w:jc w:val="center"/>
              <w:rPr>
                <w:rFonts w:hint="eastAsia" w:ascii="宋体" w:hAnsi="宋体" w:eastAsia="宋体" w:cs="宋体"/>
                <w:i w:val="0"/>
                <w:iCs w:val="0"/>
                <w:color w:val="000000"/>
                <w:sz w:val="18"/>
                <w:szCs w:val="18"/>
                <w:highlight w:val="none"/>
                <w:u w:val="none"/>
              </w:rPr>
            </w:pP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53147A1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时效指标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0722FDC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项目完成时间</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1E488B8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定性</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138940D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2025年12月底前</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2A529B45">
            <w:pPr>
              <w:jc w:val="center"/>
              <w:rPr>
                <w:rFonts w:hint="eastAsia" w:ascii="宋体" w:hAnsi="宋体" w:eastAsia="宋体" w:cs="宋体"/>
                <w:i w:val="0"/>
                <w:iCs w:val="0"/>
                <w:color w:val="000000"/>
                <w:sz w:val="18"/>
                <w:szCs w:val="18"/>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6EF43B19">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12DF6F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788149AE">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2E973270">
            <w:pPr>
              <w:jc w:val="center"/>
              <w:rPr>
                <w:rFonts w:hint="eastAsia" w:ascii="微软雅黑" w:hAnsi="微软雅黑" w:eastAsia="微软雅黑" w:cs="微软雅黑"/>
                <w:i/>
                <w:iCs/>
                <w:color w:val="000000"/>
                <w:sz w:val="16"/>
                <w:szCs w:val="16"/>
                <w:highlight w:val="none"/>
                <w:u w:val="none"/>
              </w:rPr>
            </w:pPr>
          </w:p>
        </w:tc>
      </w:tr>
      <w:tr w14:paraId="4D1AE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219BE5D">
            <w:pPr>
              <w:jc w:val="center"/>
              <w:rPr>
                <w:rFonts w:hint="eastAsia" w:ascii="宋体" w:hAnsi="宋体" w:eastAsia="宋体" w:cs="宋体"/>
                <w:i w:val="0"/>
                <w:iCs w:val="0"/>
                <w:color w:val="000000"/>
                <w:sz w:val="18"/>
                <w:szCs w:val="18"/>
                <w:highlight w:val="none"/>
                <w:u w:val="none"/>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5375B4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效益指标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2139B2C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3D120EA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志愿者服务水平提升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13CBAD6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定性</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1A8A67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一般</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6FDBED67">
            <w:pPr>
              <w:jc w:val="center"/>
              <w:rPr>
                <w:rFonts w:hint="eastAsia" w:ascii="宋体" w:hAnsi="宋体" w:eastAsia="宋体" w:cs="宋体"/>
                <w:i w:val="0"/>
                <w:iCs w:val="0"/>
                <w:color w:val="000000"/>
                <w:sz w:val="18"/>
                <w:szCs w:val="18"/>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1CD565A5">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647C98A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0109777E">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0B49E1FF">
            <w:pPr>
              <w:jc w:val="center"/>
              <w:rPr>
                <w:rFonts w:hint="eastAsia" w:ascii="微软雅黑" w:hAnsi="微软雅黑" w:eastAsia="微软雅黑" w:cs="微软雅黑"/>
                <w:i/>
                <w:iCs/>
                <w:color w:val="000000"/>
                <w:sz w:val="16"/>
                <w:szCs w:val="16"/>
                <w:highlight w:val="none"/>
                <w:u w:val="none"/>
              </w:rPr>
            </w:pPr>
          </w:p>
        </w:tc>
      </w:tr>
      <w:tr w14:paraId="1834B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B85AF72">
            <w:pPr>
              <w:jc w:val="cente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BF798A3">
            <w:pPr>
              <w:jc w:val="center"/>
              <w:rPr>
                <w:rFonts w:hint="eastAsia" w:ascii="宋体" w:hAnsi="宋体" w:eastAsia="宋体" w:cs="宋体"/>
                <w:i w:val="0"/>
                <w:iCs w:val="0"/>
                <w:color w:val="000000"/>
                <w:sz w:val="18"/>
                <w:szCs w:val="18"/>
                <w:highlight w:val="none"/>
                <w:u w:val="none"/>
              </w:rPr>
            </w:pP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62ECC6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可持续发展指标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1C65672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民族认同感提升率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62116EA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5C23E40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4B4537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4881B42E">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292B48A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10762B3C">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696E2D56">
            <w:pPr>
              <w:jc w:val="center"/>
              <w:rPr>
                <w:rFonts w:hint="eastAsia" w:ascii="微软雅黑" w:hAnsi="微软雅黑" w:eastAsia="微软雅黑" w:cs="微软雅黑"/>
                <w:i/>
                <w:iCs/>
                <w:color w:val="000000"/>
                <w:sz w:val="16"/>
                <w:szCs w:val="16"/>
                <w:highlight w:val="none"/>
                <w:u w:val="none"/>
              </w:rPr>
            </w:pPr>
          </w:p>
        </w:tc>
      </w:tr>
      <w:tr w14:paraId="0BBBC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7E002FA">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3DFFD0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满意度指标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4DD55C2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满意度指标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08ECCE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受益群众对志愿服务满意度</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699F6F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3BACE0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5A52EED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1ECA1CAA">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7E9350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664226FC">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327F2174">
            <w:pPr>
              <w:jc w:val="center"/>
              <w:rPr>
                <w:rFonts w:hint="eastAsia" w:ascii="微软雅黑" w:hAnsi="微软雅黑" w:eastAsia="微软雅黑" w:cs="微软雅黑"/>
                <w:i/>
                <w:iCs/>
                <w:color w:val="000000"/>
                <w:sz w:val="16"/>
                <w:szCs w:val="16"/>
                <w:highlight w:val="none"/>
                <w:u w:val="none"/>
              </w:rPr>
            </w:pPr>
          </w:p>
        </w:tc>
      </w:tr>
      <w:tr w14:paraId="7D2D3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06F0F5D">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489163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成本指标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4C88CDF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62250B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成本控制率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6013D0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4720A7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0B1138C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248CD490">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A9C021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0658FEE3">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08D641D0">
            <w:pPr>
              <w:jc w:val="center"/>
              <w:rPr>
                <w:rFonts w:hint="eastAsia" w:ascii="微软雅黑" w:hAnsi="微软雅黑" w:eastAsia="微软雅黑" w:cs="微软雅黑"/>
                <w:i/>
                <w:iCs/>
                <w:color w:val="000000"/>
                <w:sz w:val="16"/>
                <w:szCs w:val="16"/>
                <w:highlight w:val="none"/>
                <w:u w:val="none"/>
              </w:rPr>
            </w:pPr>
          </w:p>
        </w:tc>
      </w:tr>
      <w:tr w14:paraId="7B06C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10605" w:type="dxa"/>
            <w:gridSpan w:val="8"/>
            <w:tcBorders>
              <w:top w:val="single" w:color="000000" w:sz="4" w:space="0"/>
              <w:left w:val="single" w:color="000000" w:sz="4" w:space="0"/>
              <w:bottom w:val="single" w:color="000000" w:sz="4" w:space="0"/>
              <w:right w:val="single" w:color="000000" w:sz="4" w:space="0"/>
            </w:tcBorders>
            <w:shd w:val="clear"/>
            <w:vAlign w:val="center"/>
          </w:tcPr>
          <w:p w14:paraId="28012C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102A598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0A8EF24D">
            <w:pP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2392E62E">
            <w:pPr>
              <w:rPr>
                <w:rFonts w:hint="eastAsia" w:ascii="宋体" w:hAnsi="宋体" w:eastAsia="宋体" w:cs="宋体"/>
                <w:i w:val="0"/>
                <w:iCs w:val="0"/>
                <w:color w:val="000000"/>
                <w:sz w:val="18"/>
                <w:szCs w:val="18"/>
                <w:highlight w:val="none"/>
                <w:u w:val="none"/>
              </w:rPr>
            </w:pPr>
          </w:p>
        </w:tc>
      </w:tr>
      <w:tr w14:paraId="70B52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62B4CE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评价结论</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53010F58">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结自评总分 100 分。预算执行率 100%，活动开展、权益保障等指标完成。志愿者生活与工作保障到位，服务水平稳步提升，民族认同感有效增强。</w:t>
            </w:r>
          </w:p>
        </w:tc>
      </w:tr>
      <w:tr w14:paraId="1C342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2"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27CA483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存在问题</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3C81D4DD">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志愿者关爱服务形式单一，个性化保障不足；志愿服务成果总结与宣传力度不够。</w:t>
            </w:r>
          </w:p>
        </w:tc>
      </w:tr>
      <w:tr w14:paraId="24562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4FB1F48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改进措施</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6062508B">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丰富关爱活动，提供个性化保障；加大志愿服务宣传，展现青年风采；建立跟踪服务机制，持续保障志愿者权益。</w:t>
            </w:r>
          </w:p>
        </w:tc>
      </w:tr>
      <w:tr w14:paraId="548D0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7305" w:type="dxa"/>
            <w:gridSpan w:val="5"/>
            <w:tcBorders>
              <w:top w:val="single" w:color="000000" w:sz="4" w:space="0"/>
              <w:left w:val="single" w:color="000000" w:sz="4" w:space="0"/>
              <w:bottom w:val="single" w:color="000000" w:sz="4" w:space="0"/>
              <w:right w:val="single" w:color="000000" w:sz="4" w:space="0"/>
            </w:tcBorders>
            <w:shd w:val="clear"/>
            <w:vAlign w:val="center"/>
          </w:tcPr>
          <w:p w14:paraId="335E2A2F">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项目负责人：李为玺</w:t>
            </w:r>
          </w:p>
        </w:tc>
        <w:tc>
          <w:tcPr>
            <w:tcW w:w="6810" w:type="dxa"/>
            <w:gridSpan w:val="6"/>
            <w:tcBorders>
              <w:top w:val="single" w:color="000000" w:sz="4" w:space="0"/>
              <w:left w:val="single" w:color="000000" w:sz="4" w:space="0"/>
              <w:bottom w:val="single" w:color="000000" w:sz="4" w:space="0"/>
              <w:right w:val="single" w:color="000000" w:sz="4" w:space="0"/>
            </w:tcBorders>
            <w:shd w:val="clear"/>
            <w:vAlign w:val="center"/>
          </w:tcPr>
          <w:p w14:paraId="102CE5F0">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财务负责人：杨嘉奇</w:t>
            </w:r>
          </w:p>
        </w:tc>
      </w:tr>
      <w:tr w14:paraId="18C9E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0" w:type="dxa"/>
            <w:tcBorders>
              <w:top w:val="nil"/>
              <w:left w:val="nil"/>
              <w:bottom w:val="nil"/>
              <w:right w:val="nil"/>
            </w:tcBorders>
            <w:shd w:val="clear"/>
            <w:vAlign w:val="center"/>
          </w:tcPr>
          <w:p w14:paraId="455F6EB7">
            <w:pPr>
              <w:rPr>
                <w:rFonts w:hint="eastAsia" w:ascii="宋体" w:hAnsi="宋体" w:eastAsia="宋体" w:cs="宋体"/>
                <w:i w:val="0"/>
                <w:iCs w:val="0"/>
                <w:color w:val="000000"/>
                <w:sz w:val="18"/>
                <w:szCs w:val="18"/>
                <w:highlight w:val="none"/>
                <w:u w:val="none"/>
              </w:rPr>
            </w:pPr>
          </w:p>
        </w:tc>
        <w:tc>
          <w:tcPr>
            <w:tcW w:w="2055" w:type="dxa"/>
            <w:tcBorders>
              <w:top w:val="nil"/>
              <w:left w:val="nil"/>
              <w:bottom w:val="nil"/>
              <w:right w:val="nil"/>
            </w:tcBorders>
            <w:shd w:val="clear"/>
            <w:vAlign w:val="center"/>
          </w:tcPr>
          <w:p w14:paraId="46008B83">
            <w:pPr>
              <w:rPr>
                <w:rFonts w:hint="eastAsia" w:ascii="宋体" w:hAnsi="宋体" w:eastAsia="宋体" w:cs="宋体"/>
                <w:i w:val="0"/>
                <w:iCs w:val="0"/>
                <w:color w:val="000000"/>
                <w:sz w:val="18"/>
                <w:szCs w:val="18"/>
                <w:highlight w:val="none"/>
                <w:u w:val="none"/>
              </w:rPr>
            </w:pPr>
          </w:p>
        </w:tc>
        <w:tc>
          <w:tcPr>
            <w:tcW w:w="1770" w:type="dxa"/>
            <w:tcBorders>
              <w:top w:val="nil"/>
              <w:left w:val="nil"/>
              <w:bottom w:val="nil"/>
              <w:right w:val="nil"/>
            </w:tcBorders>
            <w:shd w:val="clear"/>
            <w:vAlign w:val="center"/>
          </w:tcPr>
          <w:p w14:paraId="0218E4E9">
            <w:pPr>
              <w:rPr>
                <w:rFonts w:hint="eastAsia" w:ascii="宋体" w:hAnsi="宋体" w:eastAsia="宋体" w:cs="宋体"/>
                <w:i w:val="0"/>
                <w:iCs w:val="0"/>
                <w:color w:val="000000"/>
                <w:sz w:val="18"/>
                <w:szCs w:val="18"/>
                <w:highlight w:val="none"/>
                <w:u w:val="none"/>
              </w:rPr>
            </w:pPr>
          </w:p>
        </w:tc>
        <w:tc>
          <w:tcPr>
            <w:tcW w:w="2265" w:type="dxa"/>
            <w:tcBorders>
              <w:top w:val="nil"/>
              <w:left w:val="nil"/>
              <w:bottom w:val="nil"/>
              <w:right w:val="nil"/>
            </w:tcBorders>
            <w:shd w:val="clear"/>
            <w:vAlign w:val="center"/>
          </w:tcPr>
          <w:p w14:paraId="7BBD7F79">
            <w:pPr>
              <w:rPr>
                <w:rFonts w:hint="eastAsia" w:ascii="宋体" w:hAnsi="宋体" w:eastAsia="宋体" w:cs="宋体"/>
                <w:i w:val="0"/>
                <w:iCs w:val="0"/>
                <w:color w:val="000000"/>
                <w:sz w:val="18"/>
                <w:szCs w:val="18"/>
                <w:highlight w:val="none"/>
                <w:u w:val="none"/>
              </w:rPr>
            </w:pPr>
          </w:p>
          <w:p w14:paraId="214D8117">
            <w:pPr>
              <w:rPr>
                <w:rFonts w:hint="eastAsia" w:ascii="宋体" w:hAnsi="宋体" w:eastAsia="宋体" w:cs="宋体"/>
                <w:i w:val="0"/>
                <w:iCs w:val="0"/>
                <w:color w:val="000000"/>
                <w:sz w:val="18"/>
                <w:szCs w:val="18"/>
                <w:highlight w:val="none"/>
                <w:u w:val="none"/>
              </w:rPr>
            </w:pPr>
          </w:p>
          <w:p w14:paraId="118B6137">
            <w:pPr>
              <w:rPr>
                <w:rFonts w:hint="eastAsia" w:ascii="宋体" w:hAnsi="宋体" w:eastAsia="宋体" w:cs="宋体"/>
                <w:i w:val="0"/>
                <w:iCs w:val="0"/>
                <w:color w:val="000000"/>
                <w:sz w:val="18"/>
                <w:szCs w:val="18"/>
                <w:highlight w:val="none"/>
                <w:u w:val="none"/>
              </w:rPr>
            </w:pPr>
          </w:p>
          <w:p w14:paraId="19EE252F">
            <w:pPr>
              <w:rPr>
                <w:rFonts w:hint="eastAsia" w:ascii="宋体" w:hAnsi="宋体" w:eastAsia="宋体" w:cs="宋体"/>
                <w:i w:val="0"/>
                <w:iCs w:val="0"/>
                <w:color w:val="000000"/>
                <w:sz w:val="18"/>
                <w:szCs w:val="18"/>
                <w:highlight w:val="none"/>
                <w:u w:val="none"/>
              </w:rPr>
            </w:pPr>
          </w:p>
          <w:p w14:paraId="6E0AAC1D">
            <w:pPr>
              <w:rPr>
                <w:rFonts w:hint="eastAsia" w:ascii="宋体" w:hAnsi="宋体" w:eastAsia="宋体" w:cs="宋体"/>
                <w:i w:val="0"/>
                <w:iCs w:val="0"/>
                <w:color w:val="000000"/>
                <w:sz w:val="18"/>
                <w:szCs w:val="18"/>
                <w:highlight w:val="none"/>
                <w:u w:val="none"/>
              </w:rPr>
            </w:pPr>
          </w:p>
          <w:p w14:paraId="34AE65DC">
            <w:pPr>
              <w:rPr>
                <w:rFonts w:hint="eastAsia" w:ascii="宋体" w:hAnsi="宋体" w:eastAsia="宋体" w:cs="宋体"/>
                <w:i w:val="0"/>
                <w:iCs w:val="0"/>
                <w:color w:val="000000"/>
                <w:sz w:val="18"/>
                <w:szCs w:val="18"/>
                <w:highlight w:val="none"/>
                <w:u w:val="none"/>
              </w:rPr>
            </w:pPr>
          </w:p>
        </w:tc>
        <w:tc>
          <w:tcPr>
            <w:tcW w:w="525" w:type="dxa"/>
            <w:tcBorders>
              <w:top w:val="nil"/>
              <w:left w:val="nil"/>
              <w:bottom w:val="nil"/>
              <w:right w:val="nil"/>
            </w:tcBorders>
            <w:shd w:val="clear"/>
            <w:vAlign w:val="center"/>
          </w:tcPr>
          <w:p w14:paraId="67406206">
            <w:pPr>
              <w:rPr>
                <w:rFonts w:hint="eastAsia" w:ascii="宋体" w:hAnsi="宋体" w:eastAsia="宋体" w:cs="宋体"/>
                <w:i w:val="0"/>
                <w:iCs w:val="0"/>
                <w:color w:val="000000"/>
                <w:sz w:val="18"/>
                <w:szCs w:val="18"/>
                <w:highlight w:val="none"/>
                <w:u w:val="none"/>
              </w:rPr>
            </w:pPr>
          </w:p>
        </w:tc>
        <w:tc>
          <w:tcPr>
            <w:tcW w:w="1680" w:type="dxa"/>
            <w:tcBorders>
              <w:top w:val="nil"/>
              <w:left w:val="nil"/>
              <w:bottom w:val="nil"/>
              <w:right w:val="nil"/>
            </w:tcBorders>
            <w:shd w:val="clear"/>
            <w:vAlign w:val="center"/>
          </w:tcPr>
          <w:p w14:paraId="2712B1D3">
            <w:pPr>
              <w:rPr>
                <w:rFonts w:hint="eastAsia" w:ascii="宋体" w:hAnsi="宋体" w:eastAsia="宋体" w:cs="宋体"/>
                <w:i w:val="0"/>
                <w:iCs w:val="0"/>
                <w:color w:val="000000"/>
                <w:sz w:val="18"/>
                <w:szCs w:val="18"/>
                <w:highlight w:val="none"/>
                <w:u w:val="none"/>
              </w:rPr>
            </w:pPr>
          </w:p>
        </w:tc>
        <w:tc>
          <w:tcPr>
            <w:tcW w:w="525" w:type="dxa"/>
            <w:tcBorders>
              <w:top w:val="nil"/>
              <w:left w:val="nil"/>
              <w:bottom w:val="nil"/>
              <w:right w:val="nil"/>
            </w:tcBorders>
            <w:shd w:val="clear"/>
            <w:vAlign w:val="center"/>
          </w:tcPr>
          <w:p w14:paraId="56883F01">
            <w:pPr>
              <w:rPr>
                <w:rFonts w:hint="eastAsia" w:ascii="宋体" w:hAnsi="宋体" w:eastAsia="宋体" w:cs="宋体"/>
                <w:i w:val="0"/>
                <w:iCs w:val="0"/>
                <w:color w:val="000000"/>
                <w:sz w:val="18"/>
                <w:szCs w:val="18"/>
                <w:highlight w:val="none"/>
                <w:u w:val="none"/>
              </w:rPr>
            </w:pPr>
          </w:p>
        </w:tc>
        <w:tc>
          <w:tcPr>
            <w:tcW w:w="1095" w:type="dxa"/>
            <w:tcBorders>
              <w:top w:val="nil"/>
              <w:left w:val="nil"/>
              <w:bottom w:val="nil"/>
              <w:right w:val="nil"/>
            </w:tcBorders>
            <w:shd w:val="clear"/>
            <w:vAlign w:val="center"/>
          </w:tcPr>
          <w:p w14:paraId="108CCB84">
            <w:pPr>
              <w:rPr>
                <w:rFonts w:hint="eastAsia" w:ascii="宋体" w:hAnsi="宋体" w:eastAsia="宋体" w:cs="宋体"/>
                <w:i w:val="0"/>
                <w:iCs w:val="0"/>
                <w:color w:val="000000"/>
                <w:sz w:val="18"/>
                <w:szCs w:val="18"/>
                <w:highlight w:val="none"/>
                <w:u w:val="none"/>
              </w:rPr>
            </w:pPr>
          </w:p>
        </w:tc>
        <w:tc>
          <w:tcPr>
            <w:tcW w:w="510" w:type="dxa"/>
            <w:tcBorders>
              <w:top w:val="nil"/>
              <w:left w:val="nil"/>
              <w:bottom w:val="nil"/>
              <w:right w:val="nil"/>
            </w:tcBorders>
            <w:shd w:val="clear"/>
            <w:vAlign w:val="center"/>
          </w:tcPr>
          <w:p w14:paraId="02CC7EE9">
            <w:pPr>
              <w:rPr>
                <w:rFonts w:hint="eastAsia" w:ascii="宋体" w:hAnsi="宋体" w:eastAsia="宋体" w:cs="宋体"/>
                <w:i w:val="0"/>
                <w:iCs w:val="0"/>
                <w:color w:val="000000"/>
                <w:sz w:val="18"/>
                <w:szCs w:val="18"/>
                <w:highlight w:val="none"/>
                <w:u w:val="none"/>
              </w:rPr>
            </w:pPr>
          </w:p>
        </w:tc>
        <w:tc>
          <w:tcPr>
            <w:tcW w:w="450" w:type="dxa"/>
            <w:tcBorders>
              <w:top w:val="nil"/>
              <w:left w:val="nil"/>
              <w:bottom w:val="nil"/>
              <w:right w:val="nil"/>
            </w:tcBorders>
            <w:shd w:val="clear"/>
            <w:vAlign w:val="center"/>
          </w:tcPr>
          <w:p w14:paraId="5B982598">
            <w:pPr>
              <w:rPr>
                <w:rFonts w:hint="eastAsia" w:ascii="宋体" w:hAnsi="宋体" w:eastAsia="宋体" w:cs="宋体"/>
                <w:i w:val="0"/>
                <w:iCs w:val="0"/>
                <w:color w:val="000000"/>
                <w:sz w:val="18"/>
                <w:szCs w:val="18"/>
                <w:highlight w:val="none"/>
                <w:u w:val="none"/>
              </w:rPr>
            </w:pPr>
          </w:p>
        </w:tc>
        <w:tc>
          <w:tcPr>
            <w:tcW w:w="2550" w:type="dxa"/>
            <w:tcBorders>
              <w:top w:val="nil"/>
              <w:left w:val="nil"/>
              <w:bottom w:val="nil"/>
              <w:right w:val="nil"/>
            </w:tcBorders>
            <w:shd w:val="clear"/>
            <w:vAlign w:val="center"/>
          </w:tcPr>
          <w:p w14:paraId="73A086B4">
            <w:pPr>
              <w:rPr>
                <w:rFonts w:hint="eastAsia" w:ascii="宋体" w:hAnsi="宋体" w:eastAsia="宋体" w:cs="宋体"/>
                <w:i w:val="0"/>
                <w:iCs w:val="0"/>
                <w:color w:val="000000"/>
                <w:sz w:val="18"/>
                <w:szCs w:val="18"/>
                <w:highlight w:val="none"/>
                <w:u w:val="none"/>
              </w:rPr>
            </w:pPr>
          </w:p>
        </w:tc>
      </w:tr>
      <w:tr w14:paraId="2F0E1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vAlign w:val="center"/>
          </w:tcPr>
          <w:p w14:paraId="6C88BADC">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bdr w:val="none" w:color="auto" w:sz="0" w:space="0"/>
                <w:lang w:val="en-US" w:eastAsia="zh-CN" w:bidi="ar"/>
              </w:rPr>
              <w:t>部门预算项目支出绩效自评表（2025年度）</w:t>
            </w:r>
          </w:p>
        </w:tc>
      </w:tr>
      <w:tr w14:paraId="10909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vAlign w:val="center"/>
          </w:tcPr>
          <w:p w14:paraId="27F0141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vAlign w:val="center"/>
          </w:tcPr>
          <w:p w14:paraId="206F661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51320025T000013800331-2025年浙江援建资金--阿坝州交往交流交融项目（2025年）</w:t>
            </w:r>
          </w:p>
        </w:tc>
      </w:tr>
      <w:tr w14:paraId="7C1F3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2"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vAlign w:val="center"/>
          </w:tcPr>
          <w:p w14:paraId="04132B1C">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主管部门</w:t>
            </w: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7F1D7CF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团州委部门</w:t>
            </w:r>
          </w:p>
        </w:tc>
        <w:tc>
          <w:tcPr>
            <w:tcW w:w="1095" w:type="dxa"/>
            <w:tcBorders>
              <w:top w:val="nil"/>
              <w:left w:val="nil"/>
              <w:bottom w:val="nil"/>
              <w:right w:val="nil"/>
            </w:tcBorders>
            <w:shd w:val="clear"/>
            <w:vAlign w:val="center"/>
          </w:tcPr>
          <w:p w14:paraId="2EDCA81F">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vAlign w:val="center"/>
          </w:tcPr>
          <w:p w14:paraId="520DD2B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团州委</w:t>
            </w:r>
          </w:p>
        </w:tc>
      </w:tr>
      <w:tr w14:paraId="07B995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18353D9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52C2483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2AB306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shd w:val="clear"/>
            <w:vAlign w:val="center"/>
          </w:tcPr>
          <w:p w14:paraId="170A69EB">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年度目标完成情况</w:t>
            </w:r>
          </w:p>
        </w:tc>
      </w:tr>
      <w:tr w14:paraId="2F67D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08"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163D8DC">
            <w:pP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1011166">
            <w:pPr>
              <w:rPr>
                <w:rFonts w:hint="eastAsia" w:ascii="宋体" w:hAnsi="宋体" w:eastAsia="宋体" w:cs="宋体"/>
                <w:i w:val="0"/>
                <w:iCs w:val="0"/>
                <w:color w:val="000000"/>
                <w:sz w:val="18"/>
                <w:szCs w:val="18"/>
                <w:highlight w:val="none"/>
                <w:u w:val="none"/>
              </w:rPr>
            </w:pP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6A340D9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实施青年英才培养计划，组织州内青年、团员开展“乡村振兴`青年建功”专题学习，组织州内学生参加“浙里石榴红”冬夏令营</w:t>
            </w:r>
          </w:p>
        </w:tc>
        <w:tc>
          <w:tcPr>
            <w:tcW w:w="4605" w:type="dxa"/>
            <w:gridSpan w:val="4"/>
            <w:tcBorders>
              <w:top w:val="single" w:color="000000" w:sz="4" w:space="0"/>
              <w:left w:val="single" w:color="000000" w:sz="4" w:space="0"/>
              <w:bottom w:val="single" w:color="000000" w:sz="4" w:space="0"/>
              <w:right w:val="single" w:color="000000" w:sz="4" w:space="0"/>
            </w:tcBorders>
            <w:shd w:val="clear"/>
            <w:vAlign w:val="center"/>
          </w:tcPr>
          <w:p w14:paraId="1635AE1A">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对照年度目标，说明相关任务目标的完成情况（100字以内）</w:t>
            </w:r>
          </w:p>
        </w:tc>
      </w:tr>
      <w:tr w14:paraId="352131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9F39303">
            <w:pP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4F32D9D3">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vAlign w:val="center"/>
          </w:tcPr>
          <w:p w14:paraId="4EADC36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依托浙江援建资金实施青年英才培养计划，组织州内青年、团员开展乡村振兴专题学习，开展 “浙里石榴红” 冬夏令营活动，按方案组织参训、教学、实践、总结全流程，推进浙阿青年交往交流交融</w:t>
            </w:r>
          </w:p>
        </w:tc>
      </w:tr>
      <w:tr w14:paraId="7EAEF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67FDE89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预算执行情况（10分）</w:t>
            </w: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1778FD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7C5C132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年初预算</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729829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调整后预算数</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09395F3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预算执行数</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1A85AE6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44A4E2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4609F4C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552B2D8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原因</w:t>
            </w:r>
          </w:p>
        </w:tc>
      </w:tr>
      <w:tr w14:paraId="64CE1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6"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93544C3">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2FAFB5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总额</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6E9E14D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5809B6B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146.90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79F6B3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146.90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4D1AEDD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64FA6B8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08044458">
            <w:pPr>
              <w:jc w:val="center"/>
              <w:rPr>
                <w:rFonts w:hint="eastAsia" w:ascii="宋体" w:hAnsi="宋体" w:eastAsia="宋体" w:cs="宋体"/>
                <w:i w:val="0"/>
                <w:iCs w:val="0"/>
                <w:color w:val="000000"/>
                <w:sz w:val="18"/>
                <w:szCs w:val="18"/>
                <w:highlight w:val="none"/>
                <w:u w:val="none"/>
              </w:rPr>
            </w:pPr>
          </w:p>
        </w:tc>
        <w:tc>
          <w:tcPr>
            <w:tcW w:w="2550" w:type="dxa"/>
            <w:vMerge w:val="restart"/>
            <w:tcBorders>
              <w:top w:val="single" w:color="000000" w:sz="4" w:space="0"/>
              <w:left w:val="single" w:color="000000" w:sz="4" w:space="0"/>
              <w:bottom w:val="single" w:color="000000" w:sz="4" w:space="0"/>
              <w:right w:val="single" w:color="000000" w:sz="4" w:space="0"/>
            </w:tcBorders>
            <w:shd w:val="clear"/>
            <w:vAlign w:val="center"/>
          </w:tcPr>
          <w:p w14:paraId="46E25BA1">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D42A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0A52408">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47FCCFF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62DF779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00C54C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146.90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1DCDDD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146.90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7BCD9B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6D03214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5E8F97C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D9FE10D">
            <w:pPr>
              <w:rPr>
                <w:rFonts w:hint="eastAsia" w:ascii="黑体" w:hAnsi="黑体" w:eastAsia="黑体" w:cs="黑体"/>
                <w:i/>
                <w:iCs/>
                <w:color w:val="000000"/>
                <w:sz w:val="18"/>
                <w:szCs w:val="18"/>
                <w:highlight w:val="none"/>
                <w:u w:val="none"/>
              </w:rPr>
            </w:pPr>
          </w:p>
        </w:tc>
      </w:tr>
      <w:tr w14:paraId="21AC2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07"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AB72F37">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4C3AA2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7FC302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6AFDC99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718EA4E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428A1A7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575238B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2D7A634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088B8FA">
            <w:pPr>
              <w:rPr>
                <w:rFonts w:hint="eastAsia" w:ascii="黑体" w:hAnsi="黑体" w:eastAsia="黑体" w:cs="黑体"/>
                <w:i/>
                <w:iCs/>
                <w:color w:val="000000"/>
                <w:sz w:val="18"/>
                <w:szCs w:val="18"/>
                <w:highlight w:val="none"/>
                <w:u w:val="none"/>
              </w:rPr>
            </w:pPr>
          </w:p>
        </w:tc>
      </w:tr>
      <w:tr w14:paraId="0FBB2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6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69EABA6">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703C458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单位资金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084CF9B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13DCF05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0D9173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5B6E26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082AE36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76399FF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8349BD4">
            <w:pPr>
              <w:rPr>
                <w:rFonts w:hint="eastAsia" w:ascii="黑体" w:hAnsi="黑体" w:eastAsia="黑体" w:cs="黑体"/>
                <w:i/>
                <w:iCs/>
                <w:color w:val="000000"/>
                <w:sz w:val="18"/>
                <w:szCs w:val="18"/>
                <w:highlight w:val="none"/>
                <w:u w:val="none"/>
              </w:rPr>
            </w:pPr>
          </w:p>
        </w:tc>
      </w:tr>
      <w:tr w14:paraId="1EED1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DA549BA">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15976F7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其他资金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61D9D961">
            <w:pPr>
              <w:jc w:val="center"/>
              <w:rPr>
                <w:rFonts w:hint="eastAsia" w:ascii="微软雅黑" w:hAnsi="微软雅黑" w:eastAsia="微软雅黑" w:cs="微软雅黑"/>
                <w:i/>
                <w:iCs/>
                <w:color w:val="000000"/>
                <w:sz w:val="16"/>
                <w:szCs w:val="16"/>
                <w:highlight w:val="none"/>
                <w:u w:val="none"/>
              </w:rPr>
            </w:pP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1834C4CA">
            <w:pPr>
              <w:jc w:val="center"/>
              <w:rPr>
                <w:rFonts w:hint="eastAsia" w:ascii="微软雅黑" w:hAnsi="微软雅黑" w:eastAsia="微软雅黑" w:cs="微软雅黑"/>
                <w:i/>
                <w:iCs/>
                <w:color w:val="000000"/>
                <w:sz w:val="16"/>
                <w:szCs w:val="16"/>
                <w:highlight w:val="none"/>
                <w:u w:val="none"/>
              </w:rPr>
            </w:pP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74BCCB02">
            <w:pPr>
              <w:jc w:val="center"/>
              <w:rPr>
                <w:rFonts w:hint="eastAsia" w:ascii="微软雅黑" w:hAnsi="微软雅黑" w:eastAsia="微软雅黑" w:cs="微软雅黑"/>
                <w:i/>
                <w:iCs/>
                <w:color w:val="000000"/>
                <w:sz w:val="16"/>
                <w:szCs w:val="16"/>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47E8E72C">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483844A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6C8452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55D2A5B">
            <w:pPr>
              <w:rPr>
                <w:rFonts w:hint="eastAsia" w:ascii="黑体" w:hAnsi="黑体" w:eastAsia="黑体" w:cs="黑体"/>
                <w:i/>
                <w:iCs/>
                <w:color w:val="000000"/>
                <w:sz w:val="18"/>
                <w:szCs w:val="18"/>
                <w:highlight w:val="none"/>
                <w:u w:val="none"/>
              </w:rPr>
            </w:pPr>
          </w:p>
        </w:tc>
      </w:tr>
      <w:tr w14:paraId="00009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037D8D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绩效指标（90分）</w:t>
            </w: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513F27F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35A0574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二级指标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638242A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498CD5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指标性质</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54551A9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025FA2C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度量单位</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3EA8DD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0051FE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1338D92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7A8704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未完成原因分析</w:t>
            </w:r>
          </w:p>
        </w:tc>
      </w:tr>
      <w:tr w14:paraId="1C18A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8E5E6B1">
            <w:pPr>
              <w:jc w:val="center"/>
              <w:rPr>
                <w:rFonts w:hint="eastAsia" w:ascii="宋体" w:hAnsi="宋体" w:eastAsia="宋体" w:cs="宋体"/>
                <w:i w:val="0"/>
                <w:iCs w:val="0"/>
                <w:color w:val="000000"/>
                <w:sz w:val="18"/>
                <w:szCs w:val="18"/>
                <w:highlight w:val="none"/>
                <w:u w:val="none"/>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3F947E5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产出指标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5C499CA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数量指标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269B08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参加学习、冬夏令营人数</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09616B9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2A0489A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120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68A0B36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人</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4295351A">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1CF8786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45C13D10">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614191F2">
            <w:pPr>
              <w:jc w:val="center"/>
              <w:rPr>
                <w:rFonts w:hint="eastAsia" w:ascii="微软雅黑" w:hAnsi="微软雅黑" w:eastAsia="微软雅黑" w:cs="微软雅黑"/>
                <w:i/>
                <w:iCs/>
                <w:color w:val="000000"/>
                <w:sz w:val="16"/>
                <w:szCs w:val="16"/>
                <w:highlight w:val="none"/>
                <w:u w:val="none"/>
              </w:rPr>
            </w:pPr>
          </w:p>
        </w:tc>
      </w:tr>
      <w:tr w14:paraId="45E9C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41D49F7">
            <w:pPr>
              <w:jc w:val="cente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EDFC07A">
            <w:pPr>
              <w:jc w:val="center"/>
              <w:rPr>
                <w:rFonts w:hint="eastAsia" w:ascii="宋体" w:hAnsi="宋体" w:eastAsia="宋体" w:cs="宋体"/>
                <w:i w:val="0"/>
                <w:iCs w:val="0"/>
                <w:color w:val="000000"/>
                <w:sz w:val="18"/>
                <w:szCs w:val="18"/>
                <w:highlight w:val="none"/>
                <w:u w:val="none"/>
              </w:rPr>
            </w:pP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7DBF39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质量指标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4E240E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参训人员成绩合格率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441F7EF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34E490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634FFB7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66DA450D">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56B1092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3D51E469">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13BFA329">
            <w:pPr>
              <w:jc w:val="center"/>
              <w:rPr>
                <w:rFonts w:hint="eastAsia" w:ascii="微软雅黑" w:hAnsi="微软雅黑" w:eastAsia="微软雅黑" w:cs="微软雅黑"/>
                <w:i/>
                <w:iCs/>
                <w:color w:val="000000"/>
                <w:sz w:val="16"/>
                <w:szCs w:val="16"/>
                <w:highlight w:val="none"/>
                <w:u w:val="none"/>
              </w:rPr>
            </w:pPr>
          </w:p>
        </w:tc>
      </w:tr>
      <w:tr w14:paraId="74132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A0B58E3">
            <w:pPr>
              <w:jc w:val="cente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173674D">
            <w:pPr>
              <w:jc w:val="center"/>
              <w:rPr>
                <w:rFonts w:hint="eastAsia" w:ascii="宋体" w:hAnsi="宋体" w:eastAsia="宋体" w:cs="宋体"/>
                <w:i w:val="0"/>
                <w:iCs w:val="0"/>
                <w:color w:val="000000"/>
                <w:sz w:val="18"/>
                <w:szCs w:val="18"/>
                <w:highlight w:val="none"/>
                <w:u w:val="none"/>
              </w:rPr>
            </w:pP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6D0AD71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时效指标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6C6310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项目完成时间</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42E4F03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定性</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3332CA2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2025年12月30日前</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0F0B1E54">
            <w:pPr>
              <w:jc w:val="center"/>
              <w:rPr>
                <w:rFonts w:hint="eastAsia" w:ascii="宋体" w:hAnsi="宋体" w:eastAsia="宋体" w:cs="宋体"/>
                <w:i w:val="0"/>
                <w:iCs w:val="0"/>
                <w:color w:val="000000"/>
                <w:sz w:val="18"/>
                <w:szCs w:val="18"/>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1E8ECA7C">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7C88FE0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0B60B595">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242E34A9">
            <w:pPr>
              <w:jc w:val="center"/>
              <w:rPr>
                <w:rFonts w:hint="eastAsia" w:ascii="微软雅黑" w:hAnsi="微软雅黑" w:eastAsia="微软雅黑" w:cs="微软雅黑"/>
                <w:i/>
                <w:iCs/>
                <w:color w:val="000000"/>
                <w:sz w:val="16"/>
                <w:szCs w:val="16"/>
                <w:highlight w:val="none"/>
                <w:u w:val="none"/>
              </w:rPr>
            </w:pPr>
          </w:p>
        </w:tc>
      </w:tr>
      <w:tr w14:paraId="15C385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978CD10">
            <w:pPr>
              <w:jc w:val="center"/>
              <w:rPr>
                <w:rFonts w:hint="eastAsia" w:ascii="宋体" w:hAnsi="宋体" w:eastAsia="宋体" w:cs="宋体"/>
                <w:i w:val="0"/>
                <w:iCs w:val="0"/>
                <w:color w:val="000000"/>
                <w:sz w:val="18"/>
                <w:szCs w:val="18"/>
                <w:highlight w:val="none"/>
                <w:u w:val="none"/>
              </w:rPr>
            </w:pPr>
          </w:p>
        </w:tc>
        <w:tc>
          <w:tcPr>
            <w:tcW w:w="20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6421EC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效益指标</w:t>
            </w:r>
          </w:p>
        </w:tc>
        <w:tc>
          <w:tcPr>
            <w:tcW w:w="1770" w:type="dxa"/>
            <w:vMerge w:val="restart"/>
            <w:tcBorders>
              <w:top w:val="single" w:color="000000" w:sz="4" w:space="0"/>
              <w:left w:val="single" w:color="000000" w:sz="4" w:space="0"/>
              <w:bottom w:val="single" w:color="000000" w:sz="4" w:space="0"/>
              <w:right w:val="single" w:color="000000" w:sz="4" w:space="0"/>
            </w:tcBorders>
            <w:shd w:val="clear"/>
            <w:vAlign w:val="center"/>
          </w:tcPr>
          <w:p w14:paraId="7A488F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社会效益指标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5413BF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参训人员在参加活动后核心技能提升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5FFBE7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定性</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231C55F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高中低</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17C7B2C8">
            <w:pPr>
              <w:jc w:val="center"/>
              <w:rPr>
                <w:rFonts w:hint="eastAsia" w:ascii="宋体" w:hAnsi="宋体" w:eastAsia="宋体" w:cs="宋体"/>
                <w:i w:val="0"/>
                <w:iCs w:val="0"/>
                <w:color w:val="000000"/>
                <w:sz w:val="18"/>
                <w:szCs w:val="18"/>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0FC93E61">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70D5ABA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6DB1D328">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4FF98294">
            <w:pPr>
              <w:jc w:val="center"/>
              <w:rPr>
                <w:rFonts w:hint="eastAsia" w:ascii="微软雅黑" w:hAnsi="微软雅黑" w:eastAsia="微软雅黑" w:cs="微软雅黑"/>
                <w:i/>
                <w:iCs/>
                <w:color w:val="000000"/>
                <w:sz w:val="16"/>
                <w:szCs w:val="16"/>
                <w:highlight w:val="none"/>
                <w:u w:val="none"/>
              </w:rPr>
            </w:pPr>
          </w:p>
        </w:tc>
      </w:tr>
      <w:tr w14:paraId="7BAB2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C691E35">
            <w:pPr>
              <w:jc w:val="cente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D9345F7">
            <w:pPr>
              <w:jc w:val="center"/>
              <w:rPr>
                <w:rFonts w:hint="eastAsia" w:ascii="宋体" w:hAnsi="宋体" w:eastAsia="宋体" w:cs="宋体"/>
                <w:i w:val="0"/>
                <w:iCs w:val="0"/>
                <w:color w:val="000000"/>
                <w:sz w:val="18"/>
                <w:szCs w:val="18"/>
                <w:highlight w:val="none"/>
                <w:u w:val="none"/>
              </w:rPr>
            </w:pPr>
          </w:p>
        </w:tc>
        <w:tc>
          <w:tcPr>
            <w:tcW w:w="177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BB2B573">
            <w:pPr>
              <w:jc w:val="center"/>
              <w:rPr>
                <w:rFonts w:hint="eastAsia" w:ascii="宋体" w:hAnsi="宋体" w:eastAsia="宋体" w:cs="宋体"/>
                <w:i w:val="0"/>
                <w:iCs w:val="0"/>
                <w:color w:val="000000"/>
                <w:sz w:val="18"/>
                <w:szCs w:val="18"/>
                <w:highlight w:val="none"/>
                <w:u w:val="none"/>
              </w:rPr>
            </w:pP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04FF93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参训参训青年综合能力达标率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3F21C1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22F893D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70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12356F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42BD544E">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BE291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0D6091AB">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0B6B4C66">
            <w:pPr>
              <w:jc w:val="center"/>
              <w:rPr>
                <w:rFonts w:hint="eastAsia" w:ascii="微软雅黑" w:hAnsi="微软雅黑" w:eastAsia="微软雅黑" w:cs="微软雅黑"/>
                <w:i/>
                <w:iCs/>
                <w:color w:val="000000"/>
                <w:sz w:val="16"/>
                <w:szCs w:val="16"/>
                <w:highlight w:val="none"/>
                <w:u w:val="none"/>
              </w:rPr>
            </w:pPr>
          </w:p>
        </w:tc>
      </w:tr>
      <w:tr w14:paraId="1A986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452"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6515B9C">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631C2F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满意度指标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1A16FE4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服务对象满意度指标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6ECCAD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参训人员满意度</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794649E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4A3EDAC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694AC3C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256EE04A">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1E616A6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7922E591">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65B0B3C9">
            <w:pPr>
              <w:jc w:val="center"/>
              <w:rPr>
                <w:rFonts w:hint="eastAsia" w:ascii="微软雅黑" w:hAnsi="微软雅黑" w:eastAsia="微软雅黑" w:cs="微软雅黑"/>
                <w:i/>
                <w:iCs/>
                <w:color w:val="000000"/>
                <w:sz w:val="16"/>
                <w:szCs w:val="16"/>
                <w:highlight w:val="none"/>
                <w:u w:val="none"/>
              </w:rPr>
            </w:pPr>
          </w:p>
        </w:tc>
      </w:tr>
      <w:tr w14:paraId="0ED5D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D56A40D">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43F7418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成本指标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717114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经济成本指标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1CF3900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成本控制率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04E9CFA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2784CC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90</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6F364B2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1160E856">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0ABB4E3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260713A6">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21FF6EC6">
            <w:pPr>
              <w:jc w:val="center"/>
              <w:rPr>
                <w:rFonts w:hint="eastAsia" w:ascii="微软雅黑" w:hAnsi="微软雅黑" w:eastAsia="微软雅黑" w:cs="微软雅黑"/>
                <w:i/>
                <w:iCs/>
                <w:color w:val="000000"/>
                <w:sz w:val="16"/>
                <w:szCs w:val="16"/>
                <w:highlight w:val="none"/>
                <w:u w:val="none"/>
              </w:rPr>
            </w:pPr>
          </w:p>
        </w:tc>
      </w:tr>
      <w:tr w14:paraId="51B71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10605" w:type="dxa"/>
            <w:gridSpan w:val="8"/>
            <w:tcBorders>
              <w:top w:val="single" w:color="000000" w:sz="4" w:space="0"/>
              <w:left w:val="single" w:color="000000" w:sz="4" w:space="0"/>
              <w:bottom w:val="single" w:color="000000" w:sz="4" w:space="0"/>
              <w:right w:val="single" w:color="000000" w:sz="4" w:space="0"/>
            </w:tcBorders>
            <w:shd w:val="clear"/>
            <w:vAlign w:val="center"/>
          </w:tcPr>
          <w:p w14:paraId="0E8D128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87163E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65685D6E">
            <w:pP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149FD1D4">
            <w:pPr>
              <w:rPr>
                <w:rFonts w:hint="eastAsia" w:ascii="宋体" w:hAnsi="宋体" w:eastAsia="宋体" w:cs="宋体"/>
                <w:i w:val="0"/>
                <w:iCs w:val="0"/>
                <w:color w:val="000000"/>
                <w:sz w:val="18"/>
                <w:szCs w:val="18"/>
                <w:highlight w:val="none"/>
                <w:u w:val="none"/>
              </w:rPr>
            </w:pPr>
          </w:p>
        </w:tc>
      </w:tr>
      <w:tr w14:paraId="56E3B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2C63166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评价结论</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37AD5AFE">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自评总分 100 分。预算执行率 100%，参训人数、考核达标等指标完成。青年英才培养、浙阿青年交流成效显著，青年综合能力与技能有效提升。</w:t>
            </w:r>
          </w:p>
        </w:tc>
      </w:tr>
      <w:tr w14:paraId="54FFE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2F32E23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存在问题</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55ABE4C6">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交流活动长效机制未建立，成果转化不足；部分青年参训后实践应用能力有待加强。</w:t>
            </w:r>
          </w:p>
        </w:tc>
      </w:tr>
      <w:tr w14:paraId="4AA26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6D5946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改进措施</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203E8FAF">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建立长期交流合作机制，推动成果转化；增加实践实训环节，提升实操能力；扩大活动覆盖面，惠及更多青年。</w:t>
            </w:r>
          </w:p>
        </w:tc>
      </w:tr>
      <w:tr w14:paraId="663F8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7305" w:type="dxa"/>
            <w:gridSpan w:val="5"/>
            <w:tcBorders>
              <w:top w:val="single" w:color="000000" w:sz="4" w:space="0"/>
              <w:left w:val="single" w:color="000000" w:sz="4" w:space="0"/>
              <w:bottom w:val="single" w:color="000000" w:sz="4" w:space="0"/>
              <w:right w:val="single" w:color="000000" w:sz="4" w:space="0"/>
            </w:tcBorders>
            <w:shd w:val="clear"/>
            <w:vAlign w:val="center"/>
          </w:tcPr>
          <w:p w14:paraId="44D2371E">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项目负责人：勇旦杰</w:t>
            </w:r>
          </w:p>
        </w:tc>
        <w:tc>
          <w:tcPr>
            <w:tcW w:w="6810" w:type="dxa"/>
            <w:gridSpan w:val="6"/>
            <w:tcBorders>
              <w:top w:val="single" w:color="000000" w:sz="4" w:space="0"/>
              <w:left w:val="single" w:color="000000" w:sz="4" w:space="0"/>
              <w:bottom w:val="single" w:color="000000" w:sz="4" w:space="0"/>
              <w:right w:val="single" w:color="000000" w:sz="4" w:space="0"/>
            </w:tcBorders>
            <w:shd w:val="clear"/>
            <w:vAlign w:val="center"/>
          </w:tcPr>
          <w:p w14:paraId="0042C7C4">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财务负责人：杨嘉奇</w:t>
            </w:r>
          </w:p>
        </w:tc>
      </w:tr>
      <w:tr w14:paraId="04E22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0" w:type="dxa"/>
            <w:tcBorders>
              <w:top w:val="nil"/>
              <w:left w:val="nil"/>
              <w:bottom w:val="nil"/>
              <w:right w:val="nil"/>
            </w:tcBorders>
            <w:shd w:val="clear"/>
            <w:vAlign w:val="center"/>
          </w:tcPr>
          <w:p w14:paraId="2924BEB1">
            <w:pPr>
              <w:rPr>
                <w:rFonts w:hint="eastAsia" w:ascii="宋体" w:hAnsi="宋体" w:eastAsia="宋体" w:cs="宋体"/>
                <w:i w:val="0"/>
                <w:iCs w:val="0"/>
                <w:color w:val="000000"/>
                <w:sz w:val="18"/>
                <w:szCs w:val="18"/>
                <w:highlight w:val="none"/>
                <w:u w:val="none"/>
              </w:rPr>
            </w:pPr>
          </w:p>
        </w:tc>
        <w:tc>
          <w:tcPr>
            <w:tcW w:w="2055" w:type="dxa"/>
            <w:tcBorders>
              <w:top w:val="nil"/>
              <w:left w:val="nil"/>
              <w:bottom w:val="nil"/>
              <w:right w:val="nil"/>
            </w:tcBorders>
            <w:shd w:val="clear"/>
            <w:vAlign w:val="center"/>
          </w:tcPr>
          <w:p w14:paraId="451158E1">
            <w:pPr>
              <w:rPr>
                <w:rFonts w:hint="eastAsia" w:ascii="宋体" w:hAnsi="宋体" w:eastAsia="宋体" w:cs="宋体"/>
                <w:i w:val="0"/>
                <w:iCs w:val="0"/>
                <w:color w:val="000000"/>
                <w:sz w:val="18"/>
                <w:szCs w:val="18"/>
                <w:highlight w:val="none"/>
                <w:u w:val="none"/>
              </w:rPr>
            </w:pPr>
          </w:p>
        </w:tc>
        <w:tc>
          <w:tcPr>
            <w:tcW w:w="1770" w:type="dxa"/>
            <w:tcBorders>
              <w:top w:val="nil"/>
              <w:left w:val="nil"/>
              <w:bottom w:val="nil"/>
              <w:right w:val="nil"/>
            </w:tcBorders>
            <w:shd w:val="clear"/>
            <w:vAlign w:val="center"/>
          </w:tcPr>
          <w:p w14:paraId="5F953EAF">
            <w:pPr>
              <w:rPr>
                <w:rFonts w:hint="eastAsia" w:ascii="宋体" w:hAnsi="宋体" w:eastAsia="宋体" w:cs="宋体"/>
                <w:i w:val="0"/>
                <w:iCs w:val="0"/>
                <w:color w:val="000000"/>
                <w:sz w:val="18"/>
                <w:szCs w:val="18"/>
                <w:highlight w:val="none"/>
                <w:u w:val="none"/>
              </w:rPr>
            </w:pPr>
          </w:p>
        </w:tc>
        <w:tc>
          <w:tcPr>
            <w:tcW w:w="2265" w:type="dxa"/>
            <w:tcBorders>
              <w:top w:val="nil"/>
              <w:left w:val="nil"/>
              <w:bottom w:val="nil"/>
              <w:right w:val="nil"/>
            </w:tcBorders>
            <w:shd w:val="clear"/>
            <w:vAlign w:val="center"/>
          </w:tcPr>
          <w:p w14:paraId="349B6A1E">
            <w:pPr>
              <w:rPr>
                <w:rFonts w:hint="eastAsia" w:ascii="宋体" w:hAnsi="宋体" w:eastAsia="宋体" w:cs="宋体"/>
                <w:i w:val="0"/>
                <w:iCs w:val="0"/>
                <w:color w:val="000000"/>
                <w:sz w:val="18"/>
                <w:szCs w:val="18"/>
                <w:highlight w:val="none"/>
                <w:u w:val="none"/>
              </w:rPr>
            </w:pPr>
          </w:p>
          <w:p w14:paraId="7BB6737E">
            <w:pPr>
              <w:rPr>
                <w:rFonts w:hint="eastAsia" w:ascii="宋体" w:hAnsi="宋体" w:eastAsia="宋体" w:cs="宋体"/>
                <w:i w:val="0"/>
                <w:iCs w:val="0"/>
                <w:color w:val="000000"/>
                <w:sz w:val="18"/>
                <w:szCs w:val="18"/>
                <w:highlight w:val="none"/>
                <w:u w:val="none"/>
              </w:rPr>
            </w:pPr>
          </w:p>
          <w:p w14:paraId="005D4345">
            <w:pPr>
              <w:rPr>
                <w:rFonts w:hint="eastAsia" w:ascii="宋体" w:hAnsi="宋体" w:eastAsia="宋体" w:cs="宋体"/>
                <w:i w:val="0"/>
                <w:iCs w:val="0"/>
                <w:color w:val="000000"/>
                <w:sz w:val="18"/>
                <w:szCs w:val="18"/>
                <w:highlight w:val="none"/>
                <w:u w:val="none"/>
              </w:rPr>
            </w:pPr>
          </w:p>
          <w:p w14:paraId="0E416C34">
            <w:pPr>
              <w:rPr>
                <w:rFonts w:hint="eastAsia" w:ascii="宋体" w:hAnsi="宋体" w:eastAsia="宋体" w:cs="宋体"/>
                <w:i w:val="0"/>
                <w:iCs w:val="0"/>
                <w:color w:val="000000"/>
                <w:sz w:val="18"/>
                <w:szCs w:val="18"/>
                <w:highlight w:val="none"/>
                <w:u w:val="none"/>
              </w:rPr>
            </w:pPr>
          </w:p>
          <w:p w14:paraId="49247938">
            <w:pPr>
              <w:rPr>
                <w:rFonts w:hint="eastAsia" w:ascii="宋体" w:hAnsi="宋体" w:eastAsia="宋体" w:cs="宋体"/>
                <w:i w:val="0"/>
                <w:iCs w:val="0"/>
                <w:color w:val="000000"/>
                <w:sz w:val="18"/>
                <w:szCs w:val="18"/>
                <w:highlight w:val="none"/>
                <w:u w:val="none"/>
              </w:rPr>
            </w:pPr>
          </w:p>
          <w:p w14:paraId="2AA54133">
            <w:pPr>
              <w:rPr>
                <w:rFonts w:hint="eastAsia" w:ascii="宋体" w:hAnsi="宋体" w:eastAsia="宋体" w:cs="宋体"/>
                <w:i w:val="0"/>
                <w:iCs w:val="0"/>
                <w:color w:val="000000"/>
                <w:sz w:val="18"/>
                <w:szCs w:val="18"/>
                <w:highlight w:val="none"/>
                <w:u w:val="none"/>
              </w:rPr>
            </w:pPr>
          </w:p>
        </w:tc>
        <w:tc>
          <w:tcPr>
            <w:tcW w:w="525" w:type="dxa"/>
            <w:tcBorders>
              <w:top w:val="nil"/>
              <w:left w:val="nil"/>
              <w:bottom w:val="nil"/>
              <w:right w:val="nil"/>
            </w:tcBorders>
            <w:shd w:val="clear"/>
            <w:vAlign w:val="center"/>
          </w:tcPr>
          <w:p w14:paraId="5656B36A">
            <w:pPr>
              <w:rPr>
                <w:rFonts w:hint="eastAsia" w:ascii="宋体" w:hAnsi="宋体" w:eastAsia="宋体" w:cs="宋体"/>
                <w:i w:val="0"/>
                <w:iCs w:val="0"/>
                <w:color w:val="000000"/>
                <w:sz w:val="18"/>
                <w:szCs w:val="18"/>
                <w:highlight w:val="none"/>
                <w:u w:val="none"/>
              </w:rPr>
            </w:pPr>
          </w:p>
        </w:tc>
        <w:tc>
          <w:tcPr>
            <w:tcW w:w="1680" w:type="dxa"/>
            <w:tcBorders>
              <w:top w:val="nil"/>
              <w:left w:val="nil"/>
              <w:bottom w:val="nil"/>
              <w:right w:val="nil"/>
            </w:tcBorders>
            <w:shd w:val="clear"/>
            <w:vAlign w:val="center"/>
          </w:tcPr>
          <w:p w14:paraId="78FDB003">
            <w:pPr>
              <w:rPr>
                <w:rFonts w:hint="eastAsia" w:ascii="宋体" w:hAnsi="宋体" w:eastAsia="宋体" w:cs="宋体"/>
                <w:i w:val="0"/>
                <w:iCs w:val="0"/>
                <w:color w:val="000000"/>
                <w:sz w:val="18"/>
                <w:szCs w:val="18"/>
                <w:highlight w:val="none"/>
                <w:u w:val="none"/>
              </w:rPr>
            </w:pPr>
          </w:p>
        </w:tc>
        <w:tc>
          <w:tcPr>
            <w:tcW w:w="525" w:type="dxa"/>
            <w:tcBorders>
              <w:top w:val="nil"/>
              <w:left w:val="nil"/>
              <w:bottom w:val="nil"/>
              <w:right w:val="nil"/>
            </w:tcBorders>
            <w:shd w:val="clear"/>
            <w:vAlign w:val="center"/>
          </w:tcPr>
          <w:p w14:paraId="0C450072">
            <w:pPr>
              <w:rPr>
                <w:rFonts w:hint="eastAsia" w:ascii="宋体" w:hAnsi="宋体" w:eastAsia="宋体" w:cs="宋体"/>
                <w:i w:val="0"/>
                <w:iCs w:val="0"/>
                <w:color w:val="000000"/>
                <w:sz w:val="18"/>
                <w:szCs w:val="18"/>
                <w:highlight w:val="none"/>
                <w:u w:val="none"/>
              </w:rPr>
            </w:pPr>
          </w:p>
        </w:tc>
        <w:tc>
          <w:tcPr>
            <w:tcW w:w="1095" w:type="dxa"/>
            <w:tcBorders>
              <w:top w:val="nil"/>
              <w:left w:val="nil"/>
              <w:bottom w:val="nil"/>
              <w:right w:val="nil"/>
            </w:tcBorders>
            <w:shd w:val="clear"/>
            <w:vAlign w:val="center"/>
          </w:tcPr>
          <w:p w14:paraId="21C038EE">
            <w:pPr>
              <w:rPr>
                <w:rFonts w:hint="eastAsia" w:ascii="宋体" w:hAnsi="宋体" w:eastAsia="宋体" w:cs="宋体"/>
                <w:i w:val="0"/>
                <w:iCs w:val="0"/>
                <w:color w:val="000000"/>
                <w:sz w:val="18"/>
                <w:szCs w:val="18"/>
                <w:highlight w:val="none"/>
                <w:u w:val="none"/>
              </w:rPr>
            </w:pPr>
          </w:p>
        </w:tc>
        <w:tc>
          <w:tcPr>
            <w:tcW w:w="510" w:type="dxa"/>
            <w:tcBorders>
              <w:top w:val="nil"/>
              <w:left w:val="nil"/>
              <w:bottom w:val="nil"/>
              <w:right w:val="nil"/>
            </w:tcBorders>
            <w:shd w:val="clear"/>
            <w:vAlign w:val="center"/>
          </w:tcPr>
          <w:p w14:paraId="7005D71F">
            <w:pPr>
              <w:rPr>
                <w:rFonts w:hint="eastAsia" w:ascii="宋体" w:hAnsi="宋体" w:eastAsia="宋体" w:cs="宋体"/>
                <w:i w:val="0"/>
                <w:iCs w:val="0"/>
                <w:color w:val="000000"/>
                <w:sz w:val="18"/>
                <w:szCs w:val="18"/>
                <w:highlight w:val="none"/>
                <w:u w:val="none"/>
              </w:rPr>
            </w:pPr>
          </w:p>
        </w:tc>
        <w:tc>
          <w:tcPr>
            <w:tcW w:w="450" w:type="dxa"/>
            <w:tcBorders>
              <w:top w:val="nil"/>
              <w:left w:val="nil"/>
              <w:bottom w:val="nil"/>
              <w:right w:val="nil"/>
            </w:tcBorders>
            <w:shd w:val="clear"/>
            <w:vAlign w:val="center"/>
          </w:tcPr>
          <w:p w14:paraId="04B6D276">
            <w:pPr>
              <w:rPr>
                <w:rFonts w:hint="eastAsia" w:ascii="宋体" w:hAnsi="宋体" w:eastAsia="宋体" w:cs="宋体"/>
                <w:i w:val="0"/>
                <w:iCs w:val="0"/>
                <w:color w:val="000000"/>
                <w:sz w:val="18"/>
                <w:szCs w:val="18"/>
                <w:highlight w:val="none"/>
                <w:u w:val="none"/>
              </w:rPr>
            </w:pPr>
          </w:p>
        </w:tc>
        <w:tc>
          <w:tcPr>
            <w:tcW w:w="2550" w:type="dxa"/>
            <w:tcBorders>
              <w:top w:val="nil"/>
              <w:left w:val="nil"/>
              <w:bottom w:val="nil"/>
              <w:right w:val="nil"/>
            </w:tcBorders>
            <w:shd w:val="clear"/>
            <w:vAlign w:val="center"/>
          </w:tcPr>
          <w:p w14:paraId="12AFCC47">
            <w:pPr>
              <w:rPr>
                <w:rFonts w:hint="eastAsia" w:ascii="宋体" w:hAnsi="宋体" w:eastAsia="宋体" w:cs="宋体"/>
                <w:i w:val="0"/>
                <w:iCs w:val="0"/>
                <w:color w:val="000000"/>
                <w:sz w:val="18"/>
                <w:szCs w:val="18"/>
                <w:highlight w:val="none"/>
                <w:u w:val="none"/>
              </w:rPr>
            </w:pPr>
          </w:p>
        </w:tc>
      </w:tr>
      <w:tr w14:paraId="1515B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vAlign w:val="center"/>
          </w:tcPr>
          <w:p w14:paraId="4D55B9F4">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bdr w:val="none" w:color="auto" w:sz="0" w:space="0"/>
                <w:lang w:val="en-US" w:eastAsia="zh-CN" w:bidi="ar"/>
              </w:rPr>
              <w:t>部门预算项目支出绩效自评表（2025年度）</w:t>
            </w:r>
          </w:p>
        </w:tc>
      </w:tr>
      <w:tr w14:paraId="730E7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vAlign w:val="center"/>
          </w:tcPr>
          <w:p w14:paraId="7D2516E9">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vAlign w:val="center"/>
          </w:tcPr>
          <w:p w14:paraId="109005F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51320026T000014756904-结算下达2024年度大学生志愿服务西部计划专项资金</w:t>
            </w:r>
          </w:p>
        </w:tc>
      </w:tr>
      <w:tr w14:paraId="7980D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vAlign w:val="center"/>
          </w:tcPr>
          <w:p w14:paraId="2E7C1BE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主管部门</w:t>
            </w: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243C1774">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团州委部门</w:t>
            </w:r>
          </w:p>
        </w:tc>
        <w:tc>
          <w:tcPr>
            <w:tcW w:w="1095" w:type="dxa"/>
            <w:tcBorders>
              <w:top w:val="nil"/>
              <w:left w:val="nil"/>
              <w:bottom w:val="nil"/>
              <w:right w:val="nil"/>
            </w:tcBorders>
            <w:shd w:val="clear"/>
            <w:vAlign w:val="center"/>
          </w:tcPr>
          <w:p w14:paraId="04E3A966">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vAlign w:val="center"/>
          </w:tcPr>
          <w:p w14:paraId="69F13D4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团州委</w:t>
            </w:r>
          </w:p>
        </w:tc>
      </w:tr>
      <w:tr w14:paraId="64908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51119F3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6A42F5E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13F17D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shd w:val="clear"/>
            <w:vAlign w:val="center"/>
          </w:tcPr>
          <w:p w14:paraId="7F88EDB3">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年度目标完成情况</w:t>
            </w:r>
          </w:p>
        </w:tc>
      </w:tr>
      <w:tr w14:paraId="310F4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356FBBA">
            <w:pP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74D16D9">
            <w:pPr>
              <w:rPr>
                <w:rFonts w:hint="eastAsia" w:ascii="宋体" w:hAnsi="宋体" w:eastAsia="宋体" w:cs="宋体"/>
                <w:i w:val="0"/>
                <w:iCs w:val="0"/>
                <w:color w:val="000000"/>
                <w:sz w:val="18"/>
                <w:szCs w:val="18"/>
                <w:highlight w:val="none"/>
                <w:u w:val="none"/>
              </w:rPr>
            </w:pP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1AF38649">
            <w:pPr>
              <w:rPr>
                <w:rFonts w:hint="eastAsia" w:ascii="宋体" w:hAnsi="宋体" w:eastAsia="宋体" w:cs="宋体"/>
                <w:i w:val="0"/>
                <w:iCs w:val="0"/>
                <w:color w:val="000000"/>
                <w:sz w:val="18"/>
                <w:szCs w:val="18"/>
                <w:highlight w:val="none"/>
                <w:u w:val="none"/>
              </w:rPr>
            </w:pPr>
          </w:p>
        </w:tc>
        <w:tc>
          <w:tcPr>
            <w:tcW w:w="4605" w:type="dxa"/>
            <w:gridSpan w:val="4"/>
            <w:tcBorders>
              <w:top w:val="single" w:color="000000" w:sz="4" w:space="0"/>
              <w:left w:val="single" w:color="000000" w:sz="4" w:space="0"/>
              <w:bottom w:val="single" w:color="000000" w:sz="4" w:space="0"/>
              <w:right w:val="single" w:color="000000" w:sz="4" w:space="0"/>
            </w:tcBorders>
            <w:shd w:val="clear"/>
            <w:vAlign w:val="center"/>
          </w:tcPr>
          <w:p w14:paraId="59D598EA">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对照年度目标，说明相关任务目标的完成情况（100字以内）</w:t>
            </w:r>
          </w:p>
        </w:tc>
      </w:tr>
      <w:tr w14:paraId="657B5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E8B4F9E">
            <w:pP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18CE4BA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vAlign w:val="center"/>
          </w:tcPr>
          <w:p w14:paraId="1342D4E1">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按财政与团中央工作要求，完成 2024 年度大学生志愿服务西部计划专项资金结算、审核、下达工作，规范资金拨付流程，确保专项资金及时足额到位，保障西部计划项目后续运转。</w:t>
            </w:r>
          </w:p>
        </w:tc>
      </w:tr>
      <w:tr w14:paraId="172B0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2B237F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预算执行情况（10分）</w:t>
            </w: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408B120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7FB7609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年初预算</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7CB2690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调整后预算数</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593666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预算执行数</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49BF5C0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662E97E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582A138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3C60DD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原因</w:t>
            </w:r>
          </w:p>
        </w:tc>
      </w:tr>
      <w:tr w14:paraId="62EE4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46"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6BB0BE7">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7410F8D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总额</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5AD310F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6417DF1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6.91</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53F564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6.91</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2BE5A90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7933D3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1A3E5718">
            <w:pPr>
              <w:jc w:val="center"/>
              <w:rPr>
                <w:rFonts w:hint="eastAsia" w:ascii="宋体" w:hAnsi="宋体" w:eastAsia="宋体" w:cs="宋体"/>
                <w:i w:val="0"/>
                <w:iCs w:val="0"/>
                <w:color w:val="000000"/>
                <w:sz w:val="18"/>
                <w:szCs w:val="18"/>
                <w:highlight w:val="none"/>
                <w:u w:val="none"/>
              </w:rPr>
            </w:pPr>
          </w:p>
        </w:tc>
        <w:tc>
          <w:tcPr>
            <w:tcW w:w="2550" w:type="dxa"/>
            <w:vMerge w:val="restart"/>
            <w:tcBorders>
              <w:top w:val="single" w:color="000000" w:sz="4" w:space="0"/>
              <w:left w:val="single" w:color="000000" w:sz="4" w:space="0"/>
              <w:bottom w:val="single" w:color="000000" w:sz="4" w:space="0"/>
              <w:right w:val="single" w:color="000000" w:sz="4" w:space="0"/>
            </w:tcBorders>
            <w:shd w:val="clear"/>
            <w:vAlign w:val="center"/>
          </w:tcPr>
          <w:p w14:paraId="5FB7CFF6">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4E85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9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4E0624E">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33AE2F4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1C62051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44117A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6.91</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700452D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6.91</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6A5818B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04615F1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14993CC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5691748">
            <w:pPr>
              <w:rPr>
                <w:rFonts w:hint="eastAsia" w:ascii="黑体" w:hAnsi="黑体" w:eastAsia="黑体" w:cs="黑体"/>
                <w:i/>
                <w:iCs/>
                <w:color w:val="000000"/>
                <w:sz w:val="18"/>
                <w:szCs w:val="18"/>
                <w:highlight w:val="none"/>
                <w:u w:val="none"/>
              </w:rPr>
            </w:pPr>
          </w:p>
        </w:tc>
      </w:tr>
      <w:tr w14:paraId="71060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B2CE9AE">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2EBD5A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7939D07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4D18ED9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6F2B2BE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1C626F8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5AC5A7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091C23F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FF653EF">
            <w:pPr>
              <w:rPr>
                <w:rFonts w:hint="eastAsia" w:ascii="黑体" w:hAnsi="黑体" w:eastAsia="黑体" w:cs="黑体"/>
                <w:i/>
                <w:iCs/>
                <w:color w:val="000000"/>
                <w:sz w:val="18"/>
                <w:szCs w:val="18"/>
                <w:highlight w:val="none"/>
                <w:u w:val="none"/>
              </w:rPr>
            </w:pPr>
          </w:p>
        </w:tc>
      </w:tr>
      <w:tr w14:paraId="6E0BF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76CCD81">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198D90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单位资金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43FCA50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171C790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2A64CB2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65D320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2568FF9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0FF991F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A87F341">
            <w:pPr>
              <w:rPr>
                <w:rFonts w:hint="eastAsia" w:ascii="黑体" w:hAnsi="黑体" w:eastAsia="黑体" w:cs="黑体"/>
                <w:i/>
                <w:iCs/>
                <w:color w:val="000000"/>
                <w:sz w:val="18"/>
                <w:szCs w:val="18"/>
                <w:highlight w:val="none"/>
                <w:u w:val="none"/>
              </w:rPr>
            </w:pPr>
          </w:p>
        </w:tc>
      </w:tr>
      <w:tr w14:paraId="132AF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6A933A3">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16CD3E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其他资金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4371CD32">
            <w:pPr>
              <w:jc w:val="center"/>
              <w:rPr>
                <w:rFonts w:hint="eastAsia" w:ascii="微软雅黑" w:hAnsi="微软雅黑" w:eastAsia="微软雅黑" w:cs="微软雅黑"/>
                <w:i/>
                <w:iCs/>
                <w:color w:val="000000"/>
                <w:sz w:val="16"/>
                <w:szCs w:val="16"/>
                <w:highlight w:val="none"/>
                <w:u w:val="none"/>
              </w:rPr>
            </w:pP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5DD03CCF">
            <w:pPr>
              <w:jc w:val="center"/>
              <w:rPr>
                <w:rFonts w:hint="eastAsia" w:ascii="微软雅黑" w:hAnsi="微软雅黑" w:eastAsia="微软雅黑" w:cs="微软雅黑"/>
                <w:i/>
                <w:iCs/>
                <w:color w:val="000000"/>
                <w:sz w:val="16"/>
                <w:szCs w:val="16"/>
                <w:highlight w:val="none"/>
                <w:u w:val="none"/>
              </w:rPr>
            </w:pP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49925C15">
            <w:pPr>
              <w:jc w:val="center"/>
              <w:rPr>
                <w:rFonts w:hint="eastAsia" w:ascii="微软雅黑" w:hAnsi="微软雅黑" w:eastAsia="微软雅黑" w:cs="微软雅黑"/>
                <w:i/>
                <w:iCs/>
                <w:color w:val="000000"/>
                <w:sz w:val="16"/>
                <w:szCs w:val="16"/>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616B8A96">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796A7A3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12D82D7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4E8E578">
            <w:pPr>
              <w:rPr>
                <w:rFonts w:hint="eastAsia" w:ascii="黑体" w:hAnsi="黑体" w:eastAsia="黑体" w:cs="黑体"/>
                <w:i/>
                <w:iCs/>
                <w:color w:val="000000"/>
                <w:sz w:val="18"/>
                <w:szCs w:val="18"/>
                <w:highlight w:val="none"/>
                <w:u w:val="none"/>
              </w:rPr>
            </w:pPr>
          </w:p>
        </w:tc>
      </w:tr>
      <w:tr w14:paraId="7F8DD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4DC581E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绩效指标（90分）</w:t>
            </w: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5630A0A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597EA5B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二级指标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159D266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56B5EA5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指标性质</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667A75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2223349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度量单位</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521885A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603A0F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0AC07C5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63696EB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未完成原因分析</w:t>
            </w:r>
          </w:p>
        </w:tc>
      </w:tr>
      <w:tr w14:paraId="22BC3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6967939">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4A80E03D">
            <w:pPr>
              <w:jc w:val="center"/>
              <w:rPr>
                <w:rFonts w:hint="eastAsia" w:ascii="宋体" w:hAnsi="宋体" w:eastAsia="宋体" w:cs="宋体"/>
                <w:i w:val="0"/>
                <w:iCs w:val="0"/>
                <w:color w:val="000000"/>
                <w:sz w:val="18"/>
                <w:szCs w:val="18"/>
                <w:highlight w:val="none"/>
                <w:u w:val="none"/>
              </w:rPr>
            </w:pP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780AAA18">
            <w:pPr>
              <w:jc w:val="center"/>
              <w:rPr>
                <w:rFonts w:hint="eastAsia" w:ascii="宋体" w:hAnsi="宋体" w:eastAsia="宋体" w:cs="宋体"/>
                <w:i w:val="0"/>
                <w:iCs w:val="0"/>
                <w:color w:val="000000"/>
                <w:sz w:val="18"/>
                <w:szCs w:val="18"/>
                <w:highlight w:val="none"/>
                <w:u w:val="none"/>
              </w:rPr>
            </w:pP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2C49E7E7">
            <w:pPr>
              <w:jc w:val="center"/>
              <w:rPr>
                <w:rFonts w:hint="eastAsia" w:ascii="宋体" w:hAnsi="宋体" w:eastAsia="宋体" w:cs="宋体"/>
                <w:i w:val="0"/>
                <w:iCs w:val="0"/>
                <w:color w:val="000000"/>
                <w:sz w:val="18"/>
                <w:szCs w:val="18"/>
                <w:highlight w:val="none"/>
                <w:u w:val="none"/>
              </w:rPr>
            </w:pP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40A2572D">
            <w:pPr>
              <w:jc w:val="center"/>
              <w:rPr>
                <w:rFonts w:hint="eastAsia" w:ascii="宋体" w:hAnsi="宋体" w:eastAsia="宋体" w:cs="宋体"/>
                <w:i w:val="0"/>
                <w:iCs w:val="0"/>
                <w:color w:val="000000"/>
                <w:sz w:val="18"/>
                <w:szCs w:val="18"/>
                <w:highlight w:val="none"/>
                <w:u w:val="none"/>
              </w:rPr>
            </w:pP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2F1FC9C0">
            <w:pPr>
              <w:jc w:val="center"/>
              <w:rPr>
                <w:rFonts w:hint="eastAsia" w:ascii="宋体" w:hAnsi="宋体" w:eastAsia="宋体" w:cs="宋体"/>
                <w:i w:val="0"/>
                <w:iCs w:val="0"/>
                <w:color w:val="000000"/>
                <w:sz w:val="18"/>
                <w:szCs w:val="18"/>
                <w:highlight w:val="none"/>
                <w:u w:val="none"/>
              </w:rPr>
            </w:pP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413F26E5">
            <w:pPr>
              <w:jc w:val="center"/>
              <w:rPr>
                <w:rFonts w:hint="eastAsia" w:ascii="宋体" w:hAnsi="宋体" w:eastAsia="宋体" w:cs="宋体"/>
                <w:i w:val="0"/>
                <w:iCs w:val="0"/>
                <w:color w:val="000000"/>
                <w:sz w:val="18"/>
                <w:szCs w:val="18"/>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417E2A97">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8495128">
            <w:pPr>
              <w:jc w:val="center"/>
              <w:rPr>
                <w:rFonts w:hint="eastAsia" w:ascii="宋体" w:hAnsi="宋体" w:eastAsia="宋体" w:cs="宋体"/>
                <w:i w:val="0"/>
                <w:iCs w:val="0"/>
                <w:color w:val="000000"/>
                <w:sz w:val="18"/>
                <w:szCs w:val="18"/>
                <w:highlight w:val="none"/>
                <w:u w:val="none"/>
              </w:rPr>
            </w:pP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6CB2CC25">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0C5FEA0A">
            <w:pPr>
              <w:jc w:val="center"/>
              <w:rPr>
                <w:rFonts w:hint="eastAsia" w:ascii="微软雅黑" w:hAnsi="微软雅黑" w:eastAsia="微软雅黑" w:cs="微软雅黑"/>
                <w:i/>
                <w:iCs/>
                <w:color w:val="000000"/>
                <w:sz w:val="16"/>
                <w:szCs w:val="16"/>
                <w:highlight w:val="none"/>
                <w:u w:val="none"/>
              </w:rPr>
            </w:pPr>
          </w:p>
        </w:tc>
      </w:tr>
      <w:tr w14:paraId="61981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05" w:type="dxa"/>
            <w:gridSpan w:val="8"/>
            <w:tcBorders>
              <w:top w:val="single" w:color="000000" w:sz="4" w:space="0"/>
              <w:left w:val="single" w:color="000000" w:sz="4" w:space="0"/>
              <w:bottom w:val="single" w:color="000000" w:sz="4" w:space="0"/>
              <w:right w:val="single" w:color="000000" w:sz="4" w:space="0"/>
            </w:tcBorders>
            <w:shd w:val="clear"/>
            <w:vAlign w:val="center"/>
          </w:tcPr>
          <w:p w14:paraId="57E7B7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2586C8D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3EEAC5DA">
            <w:pP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084D59A1">
            <w:pPr>
              <w:rPr>
                <w:rFonts w:hint="eastAsia" w:ascii="宋体" w:hAnsi="宋体" w:eastAsia="宋体" w:cs="宋体"/>
                <w:i w:val="0"/>
                <w:iCs w:val="0"/>
                <w:color w:val="000000"/>
                <w:sz w:val="18"/>
                <w:szCs w:val="18"/>
                <w:highlight w:val="none"/>
                <w:u w:val="none"/>
              </w:rPr>
            </w:pPr>
          </w:p>
        </w:tc>
      </w:tr>
      <w:tr w14:paraId="6F8AF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7CCA013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评价结论</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4FD79E28">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启动阿坝州青少年发展规划编制工作，开展前期调研、资料收集、需求摸排、文稿撰写等工作，按规划编制流程推进各环节任务，科学谋划 2026-2030 年全州青少年发展目标与举措。</w:t>
            </w:r>
          </w:p>
        </w:tc>
      </w:tr>
      <w:tr w14:paraId="25870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2"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0C504C3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存在问题</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57F36CD7">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资金结算台账不够细化，全过程跟踪管理不足；资金使用绩效分析不够全面。</w:t>
            </w:r>
          </w:p>
        </w:tc>
      </w:tr>
      <w:tr w14:paraId="3C2A5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3"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278209F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改进措施</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4799C290">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完善资金结算台账，规范管理流程；加强资金使用绩效监控，定期开展分析；强化资金监管，确保专款专用。</w:t>
            </w:r>
          </w:p>
        </w:tc>
      </w:tr>
      <w:tr w14:paraId="609D6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7305" w:type="dxa"/>
            <w:gridSpan w:val="5"/>
            <w:tcBorders>
              <w:top w:val="single" w:color="000000" w:sz="4" w:space="0"/>
              <w:left w:val="single" w:color="000000" w:sz="4" w:space="0"/>
              <w:bottom w:val="single" w:color="000000" w:sz="4" w:space="0"/>
              <w:right w:val="single" w:color="000000" w:sz="4" w:space="0"/>
            </w:tcBorders>
            <w:shd w:val="clear"/>
            <w:vAlign w:val="center"/>
          </w:tcPr>
          <w:p w14:paraId="1D22D999">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项目负责人：李为玺</w:t>
            </w:r>
          </w:p>
        </w:tc>
        <w:tc>
          <w:tcPr>
            <w:tcW w:w="6810" w:type="dxa"/>
            <w:gridSpan w:val="6"/>
            <w:tcBorders>
              <w:top w:val="single" w:color="000000" w:sz="4" w:space="0"/>
              <w:left w:val="single" w:color="000000" w:sz="4" w:space="0"/>
              <w:bottom w:val="single" w:color="000000" w:sz="4" w:space="0"/>
              <w:right w:val="single" w:color="000000" w:sz="4" w:space="0"/>
            </w:tcBorders>
            <w:shd w:val="clear"/>
            <w:vAlign w:val="center"/>
          </w:tcPr>
          <w:p w14:paraId="2FF80DC5">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财务负责人：杨嘉奇</w:t>
            </w:r>
          </w:p>
        </w:tc>
      </w:tr>
      <w:tr w14:paraId="32BF6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0" w:type="dxa"/>
            <w:tcBorders>
              <w:top w:val="nil"/>
              <w:left w:val="nil"/>
              <w:bottom w:val="nil"/>
              <w:right w:val="nil"/>
            </w:tcBorders>
            <w:shd w:val="clear"/>
            <w:vAlign w:val="center"/>
          </w:tcPr>
          <w:p w14:paraId="14209CC5">
            <w:pPr>
              <w:rPr>
                <w:rFonts w:hint="eastAsia" w:ascii="宋体" w:hAnsi="宋体" w:eastAsia="宋体" w:cs="宋体"/>
                <w:i w:val="0"/>
                <w:iCs w:val="0"/>
                <w:color w:val="000000"/>
                <w:sz w:val="18"/>
                <w:szCs w:val="18"/>
                <w:highlight w:val="none"/>
                <w:u w:val="none"/>
              </w:rPr>
            </w:pPr>
          </w:p>
        </w:tc>
        <w:tc>
          <w:tcPr>
            <w:tcW w:w="2055" w:type="dxa"/>
            <w:tcBorders>
              <w:top w:val="nil"/>
              <w:left w:val="nil"/>
              <w:bottom w:val="nil"/>
              <w:right w:val="nil"/>
            </w:tcBorders>
            <w:shd w:val="clear"/>
            <w:vAlign w:val="center"/>
          </w:tcPr>
          <w:p w14:paraId="0A1901C8">
            <w:pPr>
              <w:rPr>
                <w:rFonts w:hint="eastAsia" w:ascii="宋体" w:hAnsi="宋体" w:eastAsia="宋体" w:cs="宋体"/>
                <w:i w:val="0"/>
                <w:iCs w:val="0"/>
                <w:color w:val="000000"/>
                <w:sz w:val="18"/>
                <w:szCs w:val="18"/>
                <w:highlight w:val="none"/>
                <w:u w:val="none"/>
              </w:rPr>
            </w:pPr>
          </w:p>
        </w:tc>
        <w:tc>
          <w:tcPr>
            <w:tcW w:w="1770" w:type="dxa"/>
            <w:tcBorders>
              <w:top w:val="nil"/>
              <w:left w:val="nil"/>
              <w:bottom w:val="nil"/>
              <w:right w:val="nil"/>
            </w:tcBorders>
            <w:shd w:val="clear"/>
            <w:vAlign w:val="center"/>
          </w:tcPr>
          <w:p w14:paraId="69C6F8ED">
            <w:pPr>
              <w:rPr>
                <w:rFonts w:hint="eastAsia" w:ascii="宋体" w:hAnsi="宋体" w:eastAsia="宋体" w:cs="宋体"/>
                <w:i w:val="0"/>
                <w:iCs w:val="0"/>
                <w:color w:val="000000"/>
                <w:sz w:val="18"/>
                <w:szCs w:val="18"/>
                <w:highlight w:val="none"/>
                <w:u w:val="none"/>
              </w:rPr>
            </w:pPr>
          </w:p>
        </w:tc>
        <w:tc>
          <w:tcPr>
            <w:tcW w:w="2265" w:type="dxa"/>
            <w:tcBorders>
              <w:top w:val="nil"/>
              <w:left w:val="nil"/>
              <w:bottom w:val="nil"/>
              <w:right w:val="nil"/>
            </w:tcBorders>
            <w:shd w:val="clear"/>
            <w:vAlign w:val="center"/>
          </w:tcPr>
          <w:p w14:paraId="0E567A5B">
            <w:pPr>
              <w:rPr>
                <w:rFonts w:hint="eastAsia" w:ascii="宋体" w:hAnsi="宋体" w:eastAsia="宋体" w:cs="宋体"/>
                <w:i w:val="0"/>
                <w:iCs w:val="0"/>
                <w:color w:val="000000"/>
                <w:sz w:val="18"/>
                <w:szCs w:val="18"/>
                <w:highlight w:val="none"/>
                <w:u w:val="none"/>
              </w:rPr>
            </w:pPr>
          </w:p>
          <w:p w14:paraId="475C0047">
            <w:pPr>
              <w:rPr>
                <w:rFonts w:hint="eastAsia" w:ascii="宋体" w:hAnsi="宋体" w:eastAsia="宋体" w:cs="宋体"/>
                <w:i w:val="0"/>
                <w:iCs w:val="0"/>
                <w:color w:val="000000"/>
                <w:sz w:val="18"/>
                <w:szCs w:val="18"/>
                <w:highlight w:val="none"/>
                <w:u w:val="none"/>
              </w:rPr>
            </w:pPr>
          </w:p>
          <w:p w14:paraId="3DBC3B4F">
            <w:pPr>
              <w:rPr>
                <w:rFonts w:hint="eastAsia" w:ascii="宋体" w:hAnsi="宋体" w:eastAsia="宋体" w:cs="宋体"/>
                <w:i w:val="0"/>
                <w:iCs w:val="0"/>
                <w:color w:val="000000"/>
                <w:sz w:val="18"/>
                <w:szCs w:val="18"/>
                <w:highlight w:val="none"/>
                <w:u w:val="none"/>
              </w:rPr>
            </w:pPr>
          </w:p>
          <w:p w14:paraId="42982FC2">
            <w:pPr>
              <w:rPr>
                <w:rFonts w:hint="eastAsia" w:ascii="宋体" w:hAnsi="宋体" w:eastAsia="宋体" w:cs="宋体"/>
                <w:i w:val="0"/>
                <w:iCs w:val="0"/>
                <w:color w:val="000000"/>
                <w:sz w:val="18"/>
                <w:szCs w:val="18"/>
                <w:highlight w:val="none"/>
                <w:u w:val="none"/>
              </w:rPr>
            </w:pPr>
          </w:p>
          <w:p w14:paraId="70A6F617">
            <w:pPr>
              <w:rPr>
                <w:rFonts w:hint="eastAsia" w:ascii="宋体" w:hAnsi="宋体" w:eastAsia="宋体" w:cs="宋体"/>
                <w:i w:val="0"/>
                <w:iCs w:val="0"/>
                <w:color w:val="000000"/>
                <w:sz w:val="18"/>
                <w:szCs w:val="18"/>
                <w:highlight w:val="none"/>
                <w:u w:val="none"/>
              </w:rPr>
            </w:pPr>
          </w:p>
          <w:p w14:paraId="398E79AD">
            <w:pPr>
              <w:rPr>
                <w:rFonts w:hint="eastAsia" w:ascii="宋体" w:hAnsi="宋体" w:eastAsia="宋体" w:cs="宋体"/>
                <w:i w:val="0"/>
                <w:iCs w:val="0"/>
                <w:color w:val="000000"/>
                <w:sz w:val="18"/>
                <w:szCs w:val="18"/>
                <w:highlight w:val="none"/>
                <w:u w:val="none"/>
              </w:rPr>
            </w:pPr>
          </w:p>
          <w:p w14:paraId="2FE2419D">
            <w:pPr>
              <w:rPr>
                <w:rFonts w:hint="eastAsia" w:ascii="宋体" w:hAnsi="宋体" w:eastAsia="宋体" w:cs="宋体"/>
                <w:i w:val="0"/>
                <w:iCs w:val="0"/>
                <w:color w:val="000000"/>
                <w:sz w:val="18"/>
                <w:szCs w:val="18"/>
                <w:highlight w:val="none"/>
                <w:u w:val="none"/>
              </w:rPr>
            </w:pPr>
          </w:p>
          <w:p w14:paraId="7B575D74">
            <w:pPr>
              <w:rPr>
                <w:rFonts w:hint="eastAsia" w:ascii="宋体" w:hAnsi="宋体" w:eastAsia="宋体" w:cs="宋体"/>
                <w:i w:val="0"/>
                <w:iCs w:val="0"/>
                <w:color w:val="000000"/>
                <w:sz w:val="18"/>
                <w:szCs w:val="18"/>
                <w:highlight w:val="none"/>
                <w:u w:val="none"/>
              </w:rPr>
            </w:pPr>
          </w:p>
          <w:p w14:paraId="7782CF00">
            <w:pPr>
              <w:rPr>
                <w:rFonts w:hint="eastAsia" w:ascii="宋体" w:hAnsi="宋体" w:eastAsia="宋体" w:cs="宋体"/>
                <w:i w:val="0"/>
                <w:iCs w:val="0"/>
                <w:color w:val="000000"/>
                <w:sz w:val="18"/>
                <w:szCs w:val="18"/>
                <w:highlight w:val="none"/>
                <w:u w:val="none"/>
              </w:rPr>
            </w:pPr>
          </w:p>
          <w:p w14:paraId="788C1F3E">
            <w:pPr>
              <w:rPr>
                <w:rFonts w:hint="eastAsia" w:ascii="宋体" w:hAnsi="宋体" w:eastAsia="宋体" w:cs="宋体"/>
                <w:i w:val="0"/>
                <w:iCs w:val="0"/>
                <w:color w:val="000000"/>
                <w:sz w:val="18"/>
                <w:szCs w:val="18"/>
                <w:highlight w:val="none"/>
                <w:u w:val="none"/>
              </w:rPr>
            </w:pPr>
          </w:p>
          <w:p w14:paraId="2878F222">
            <w:pPr>
              <w:rPr>
                <w:rFonts w:hint="eastAsia" w:ascii="宋体" w:hAnsi="宋体" w:eastAsia="宋体" w:cs="宋体"/>
                <w:i w:val="0"/>
                <w:iCs w:val="0"/>
                <w:color w:val="000000"/>
                <w:sz w:val="18"/>
                <w:szCs w:val="18"/>
                <w:highlight w:val="none"/>
                <w:u w:val="none"/>
              </w:rPr>
            </w:pPr>
          </w:p>
          <w:p w14:paraId="61E09AC4">
            <w:pPr>
              <w:rPr>
                <w:rFonts w:hint="eastAsia" w:ascii="宋体" w:hAnsi="宋体" w:eastAsia="宋体" w:cs="宋体"/>
                <w:i w:val="0"/>
                <w:iCs w:val="0"/>
                <w:color w:val="000000"/>
                <w:sz w:val="18"/>
                <w:szCs w:val="18"/>
                <w:highlight w:val="none"/>
                <w:u w:val="none"/>
              </w:rPr>
            </w:pPr>
          </w:p>
          <w:p w14:paraId="70E44661">
            <w:pPr>
              <w:rPr>
                <w:rFonts w:hint="eastAsia" w:ascii="宋体" w:hAnsi="宋体" w:eastAsia="宋体" w:cs="宋体"/>
                <w:i w:val="0"/>
                <w:iCs w:val="0"/>
                <w:color w:val="000000"/>
                <w:sz w:val="18"/>
                <w:szCs w:val="18"/>
                <w:highlight w:val="none"/>
                <w:u w:val="none"/>
              </w:rPr>
            </w:pPr>
          </w:p>
          <w:p w14:paraId="3C0815B9">
            <w:pPr>
              <w:rPr>
                <w:rFonts w:hint="eastAsia" w:ascii="宋体" w:hAnsi="宋体" w:eastAsia="宋体" w:cs="宋体"/>
                <w:i w:val="0"/>
                <w:iCs w:val="0"/>
                <w:color w:val="000000"/>
                <w:sz w:val="18"/>
                <w:szCs w:val="18"/>
                <w:highlight w:val="none"/>
                <w:u w:val="none"/>
              </w:rPr>
            </w:pPr>
          </w:p>
          <w:p w14:paraId="7B582E6E">
            <w:pPr>
              <w:rPr>
                <w:rFonts w:hint="eastAsia" w:ascii="宋体" w:hAnsi="宋体" w:eastAsia="宋体" w:cs="宋体"/>
                <w:i w:val="0"/>
                <w:iCs w:val="0"/>
                <w:color w:val="000000"/>
                <w:sz w:val="18"/>
                <w:szCs w:val="18"/>
                <w:highlight w:val="none"/>
                <w:u w:val="none"/>
              </w:rPr>
            </w:pPr>
          </w:p>
          <w:p w14:paraId="0F70C06A">
            <w:pPr>
              <w:rPr>
                <w:rFonts w:hint="eastAsia" w:ascii="宋体" w:hAnsi="宋体" w:eastAsia="宋体" w:cs="宋体"/>
                <w:i w:val="0"/>
                <w:iCs w:val="0"/>
                <w:color w:val="000000"/>
                <w:sz w:val="18"/>
                <w:szCs w:val="18"/>
                <w:highlight w:val="none"/>
                <w:u w:val="none"/>
              </w:rPr>
            </w:pPr>
          </w:p>
          <w:p w14:paraId="53D37DA8">
            <w:pPr>
              <w:rPr>
                <w:rFonts w:hint="eastAsia" w:ascii="宋体" w:hAnsi="宋体" w:eastAsia="宋体" w:cs="宋体"/>
                <w:i w:val="0"/>
                <w:iCs w:val="0"/>
                <w:color w:val="000000"/>
                <w:sz w:val="18"/>
                <w:szCs w:val="18"/>
                <w:highlight w:val="none"/>
                <w:u w:val="none"/>
              </w:rPr>
            </w:pPr>
          </w:p>
        </w:tc>
        <w:tc>
          <w:tcPr>
            <w:tcW w:w="525" w:type="dxa"/>
            <w:tcBorders>
              <w:top w:val="nil"/>
              <w:left w:val="nil"/>
              <w:bottom w:val="nil"/>
              <w:right w:val="nil"/>
            </w:tcBorders>
            <w:shd w:val="clear"/>
            <w:vAlign w:val="center"/>
          </w:tcPr>
          <w:p w14:paraId="5F7B0D6E">
            <w:pPr>
              <w:rPr>
                <w:rFonts w:hint="eastAsia" w:ascii="宋体" w:hAnsi="宋体" w:eastAsia="宋体" w:cs="宋体"/>
                <w:i w:val="0"/>
                <w:iCs w:val="0"/>
                <w:color w:val="000000"/>
                <w:sz w:val="18"/>
                <w:szCs w:val="18"/>
                <w:highlight w:val="none"/>
                <w:u w:val="none"/>
              </w:rPr>
            </w:pPr>
          </w:p>
        </w:tc>
        <w:tc>
          <w:tcPr>
            <w:tcW w:w="1680" w:type="dxa"/>
            <w:tcBorders>
              <w:top w:val="nil"/>
              <w:left w:val="nil"/>
              <w:bottom w:val="nil"/>
              <w:right w:val="nil"/>
            </w:tcBorders>
            <w:shd w:val="clear"/>
            <w:vAlign w:val="center"/>
          </w:tcPr>
          <w:p w14:paraId="003933D9">
            <w:pPr>
              <w:rPr>
                <w:rFonts w:hint="eastAsia" w:ascii="宋体" w:hAnsi="宋体" w:eastAsia="宋体" w:cs="宋体"/>
                <w:i w:val="0"/>
                <w:iCs w:val="0"/>
                <w:color w:val="000000"/>
                <w:sz w:val="18"/>
                <w:szCs w:val="18"/>
                <w:highlight w:val="none"/>
                <w:u w:val="none"/>
              </w:rPr>
            </w:pPr>
          </w:p>
        </w:tc>
        <w:tc>
          <w:tcPr>
            <w:tcW w:w="525" w:type="dxa"/>
            <w:tcBorders>
              <w:top w:val="nil"/>
              <w:left w:val="nil"/>
              <w:bottom w:val="nil"/>
              <w:right w:val="nil"/>
            </w:tcBorders>
            <w:shd w:val="clear"/>
            <w:vAlign w:val="center"/>
          </w:tcPr>
          <w:p w14:paraId="4A25BB2E">
            <w:pPr>
              <w:rPr>
                <w:rFonts w:hint="eastAsia" w:ascii="宋体" w:hAnsi="宋体" w:eastAsia="宋体" w:cs="宋体"/>
                <w:i w:val="0"/>
                <w:iCs w:val="0"/>
                <w:color w:val="000000"/>
                <w:sz w:val="18"/>
                <w:szCs w:val="18"/>
                <w:highlight w:val="none"/>
                <w:u w:val="none"/>
              </w:rPr>
            </w:pPr>
          </w:p>
        </w:tc>
        <w:tc>
          <w:tcPr>
            <w:tcW w:w="1095" w:type="dxa"/>
            <w:tcBorders>
              <w:top w:val="nil"/>
              <w:left w:val="nil"/>
              <w:bottom w:val="nil"/>
              <w:right w:val="nil"/>
            </w:tcBorders>
            <w:shd w:val="clear"/>
            <w:vAlign w:val="center"/>
          </w:tcPr>
          <w:p w14:paraId="294AB00A">
            <w:pPr>
              <w:rPr>
                <w:rFonts w:hint="eastAsia" w:ascii="宋体" w:hAnsi="宋体" w:eastAsia="宋体" w:cs="宋体"/>
                <w:i w:val="0"/>
                <w:iCs w:val="0"/>
                <w:color w:val="000000"/>
                <w:sz w:val="18"/>
                <w:szCs w:val="18"/>
                <w:highlight w:val="none"/>
                <w:u w:val="none"/>
              </w:rPr>
            </w:pPr>
          </w:p>
        </w:tc>
        <w:tc>
          <w:tcPr>
            <w:tcW w:w="510" w:type="dxa"/>
            <w:tcBorders>
              <w:top w:val="nil"/>
              <w:left w:val="nil"/>
              <w:bottom w:val="nil"/>
              <w:right w:val="nil"/>
            </w:tcBorders>
            <w:shd w:val="clear"/>
            <w:vAlign w:val="center"/>
          </w:tcPr>
          <w:p w14:paraId="2CDD6590">
            <w:pPr>
              <w:rPr>
                <w:rFonts w:hint="eastAsia" w:ascii="宋体" w:hAnsi="宋体" w:eastAsia="宋体" w:cs="宋体"/>
                <w:i w:val="0"/>
                <w:iCs w:val="0"/>
                <w:color w:val="000000"/>
                <w:sz w:val="18"/>
                <w:szCs w:val="18"/>
                <w:highlight w:val="none"/>
                <w:u w:val="none"/>
              </w:rPr>
            </w:pPr>
          </w:p>
        </w:tc>
        <w:tc>
          <w:tcPr>
            <w:tcW w:w="450" w:type="dxa"/>
            <w:tcBorders>
              <w:top w:val="nil"/>
              <w:left w:val="nil"/>
              <w:bottom w:val="nil"/>
              <w:right w:val="nil"/>
            </w:tcBorders>
            <w:shd w:val="clear"/>
            <w:vAlign w:val="center"/>
          </w:tcPr>
          <w:p w14:paraId="5B05E2E3">
            <w:pPr>
              <w:rPr>
                <w:rFonts w:hint="eastAsia" w:ascii="宋体" w:hAnsi="宋体" w:eastAsia="宋体" w:cs="宋体"/>
                <w:i w:val="0"/>
                <w:iCs w:val="0"/>
                <w:color w:val="000000"/>
                <w:sz w:val="18"/>
                <w:szCs w:val="18"/>
                <w:highlight w:val="none"/>
                <w:u w:val="none"/>
              </w:rPr>
            </w:pPr>
          </w:p>
        </w:tc>
        <w:tc>
          <w:tcPr>
            <w:tcW w:w="2550" w:type="dxa"/>
            <w:tcBorders>
              <w:top w:val="nil"/>
              <w:left w:val="nil"/>
              <w:bottom w:val="nil"/>
              <w:right w:val="nil"/>
            </w:tcBorders>
            <w:shd w:val="clear"/>
            <w:vAlign w:val="center"/>
          </w:tcPr>
          <w:p w14:paraId="663388D2">
            <w:pPr>
              <w:rPr>
                <w:rFonts w:hint="eastAsia" w:ascii="宋体" w:hAnsi="宋体" w:eastAsia="宋体" w:cs="宋体"/>
                <w:i w:val="0"/>
                <w:iCs w:val="0"/>
                <w:color w:val="000000"/>
                <w:sz w:val="18"/>
                <w:szCs w:val="18"/>
                <w:highlight w:val="none"/>
                <w:u w:val="none"/>
              </w:rPr>
            </w:pPr>
          </w:p>
        </w:tc>
      </w:tr>
      <w:tr w14:paraId="07DC7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4115" w:type="dxa"/>
            <w:gridSpan w:val="11"/>
            <w:tcBorders>
              <w:top w:val="single" w:color="000000" w:sz="4" w:space="0"/>
              <w:left w:val="single" w:color="000000" w:sz="4" w:space="0"/>
              <w:bottom w:val="single" w:color="000000" w:sz="4" w:space="0"/>
              <w:right w:val="single" w:color="000000" w:sz="4" w:space="0"/>
            </w:tcBorders>
            <w:shd w:val="clear"/>
            <w:vAlign w:val="center"/>
          </w:tcPr>
          <w:p w14:paraId="7B6C5D6D">
            <w:pPr>
              <w:keepNext w:val="0"/>
              <w:keepLines w:val="0"/>
              <w:widowControl/>
              <w:suppressLineNumbers w:val="0"/>
              <w:jc w:val="center"/>
              <w:textAlignment w:val="center"/>
              <w:rPr>
                <w:rFonts w:hint="eastAsia" w:ascii="黑体" w:hAnsi="宋体" w:eastAsia="黑体" w:cs="黑体"/>
                <w:b/>
                <w:bCs/>
                <w:i w:val="0"/>
                <w:iCs w:val="0"/>
                <w:color w:val="000000"/>
                <w:sz w:val="30"/>
                <w:szCs w:val="30"/>
                <w:highlight w:val="none"/>
                <w:u w:val="none"/>
              </w:rPr>
            </w:pPr>
            <w:r>
              <w:rPr>
                <w:rFonts w:hint="eastAsia" w:ascii="黑体" w:hAnsi="宋体" w:eastAsia="黑体" w:cs="黑体"/>
                <w:b/>
                <w:bCs/>
                <w:i w:val="0"/>
                <w:iCs w:val="0"/>
                <w:color w:val="000000"/>
                <w:kern w:val="0"/>
                <w:sz w:val="30"/>
                <w:szCs w:val="30"/>
                <w:highlight w:val="none"/>
                <w:u w:val="none"/>
                <w:bdr w:val="none" w:color="auto" w:sz="0" w:space="0"/>
                <w:lang w:val="en-US" w:eastAsia="zh-CN" w:bidi="ar"/>
              </w:rPr>
              <w:t>部门预算项目支出绩效自评表（2025年度）</w:t>
            </w:r>
          </w:p>
        </w:tc>
      </w:tr>
      <w:tr w14:paraId="6F8D2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vAlign w:val="center"/>
          </w:tcPr>
          <w:p w14:paraId="6FAB505A">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项目名称</w:t>
            </w:r>
          </w:p>
        </w:tc>
        <w:tc>
          <w:tcPr>
            <w:tcW w:w="11370" w:type="dxa"/>
            <w:gridSpan w:val="9"/>
            <w:tcBorders>
              <w:top w:val="single" w:color="000000" w:sz="4" w:space="0"/>
              <w:left w:val="single" w:color="000000" w:sz="4" w:space="0"/>
              <w:bottom w:val="single" w:color="000000" w:sz="4" w:space="0"/>
              <w:right w:val="single" w:color="000000" w:sz="4" w:space="0"/>
            </w:tcBorders>
            <w:shd w:val="clear"/>
            <w:vAlign w:val="center"/>
          </w:tcPr>
          <w:p w14:paraId="26DE2032">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51320026T000015024234-阿坝典范建设青少年发展规划（2026-2030年）</w:t>
            </w:r>
          </w:p>
        </w:tc>
      </w:tr>
      <w:tr w14:paraId="5C09F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12" w:hRule="atLeast"/>
        </w:trPr>
        <w:tc>
          <w:tcPr>
            <w:tcW w:w="2745" w:type="dxa"/>
            <w:gridSpan w:val="2"/>
            <w:tcBorders>
              <w:top w:val="single" w:color="000000" w:sz="4" w:space="0"/>
              <w:left w:val="single" w:color="000000" w:sz="4" w:space="0"/>
              <w:bottom w:val="single" w:color="000000" w:sz="4" w:space="0"/>
              <w:right w:val="single" w:color="000000" w:sz="4" w:space="0"/>
            </w:tcBorders>
            <w:shd w:val="clear"/>
            <w:vAlign w:val="center"/>
          </w:tcPr>
          <w:p w14:paraId="209473CD">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主管部门</w:t>
            </w: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67A0EB4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团州委部门</w:t>
            </w:r>
          </w:p>
        </w:tc>
        <w:tc>
          <w:tcPr>
            <w:tcW w:w="1095" w:type="dxa"/>
            <w:tcBorders>
              <w:top w:val="nil"/>
              <w:left w:val="nil"/>
              <w:bottom w:val="nil"/>
              <w:right w:val="nil"/>
            </w:tcBorders>
            <w:shd w:val="clear"/>
            <w:vAlign w:val="center"/>
          </w:tcPr>
          <w:p w14:paraId="635ABA1B">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实施单位 （盖章）</w:t>
            </w:r>
          </w:p>
        </w:tc>
        <w:tc>
          <w:tcPr>
            <w:tcW w:w="3510" w:type="dxa"/>
            <w:gridSpan w:val="3"/>
            <w:tcBorders>
              <w:top w:val="single" w:color="000000" w:sz="4" w:space="0"/>
              <w:left w:val="single" w:color="000000" w:sz="4" w:space="0"/>
              <w:bottom w:val="single" w:color="000000" w:sz="4" w:space="0"/>
              <w:right w:val="single" w:color="000000" w:sz="4" w:space="0"/>
            </w:tcBorders>
            <w:shd w:val="clear"/>
            <w:vAlign w:val="center"/>
          </w:tcPr>
          <w:p w14:paraId="13FE09A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团州委</w:t>
            </w:r>
          </w:p>
        </w:tc>
      </w:tr>
      <w:tr w14:paraId="1DE1D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1ED5B058">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项目基本情况</w:t>
            </w:r>
          </w:p>
        </w:tc>
        <w:tc>
          <w:tcPr>
            <w:tcW w:w="2055" w:type="dxa"/>
            <w:vMerge w:val="restart"/>
            <w:tcBorders>
              <w:top w:val="single" w:color="000000" w:sz="4" w:space="0"/>
              <w:left w:val="single" w:color="000000" w:sz="4" w:space="0"/>
              <w:bottom w:val="single" w:color="000000" w:sz="4" w:space="0"/>
              <w:right w:val="single" w:color="000000" w:sz="4" w:space="0"/>
            </w:tcBorders>
            <w:shd w:val="clear"/>
            <w:vAlign w:val="center"/>
          </w:tcPr>
          <w:p w14:paraId="46EBC3F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1.项目年度目标完成情况</w:t>
            </w: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6E91009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项目年度目标</w:t>
            </w:r>
          </w:p>
        </w:tc>
        <w:tc>
          <w:tcPr>
            <w:tcW w:w="4605" w:type="dxa"/>
            <w:gridSpan w:val="4"/>
            <w:tcBorders>
              <w:top w:val="single" w:color="000000" w:sz="4" w:space="0"/>
              <w:left w:val="single" w:color="000000" w:sz="4" w:space="0"/>
              <w:bottom w:val="single" w:color="000000" w:sz="4" w:space="0"/>
              <w:right w:val="single" w:color="000000" w:sz="4" w:space="0"/>
            </w:tcBorders>
            <w:shd w:val="clear"/>
            <w:vAlign w:val="center"/>
          </w:tcPr>
          <w:p w14:paraId="24BBF9FA">
            <w:pPr>
              <w:keepNext w:val="0"/>
              <w:keepLines w:val="0"/>
              <w:widowControl/>
              <w:suppressLineNumbers w:val="0"/>
              <w:jc w:val="center"/>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年度目标完成情况</w:t>
            </w:r>
          </w:p>
        </w:tc>
      </w:tr>
      <w:tr w14:paraId="5A43B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8767DC0">
            <w:pPr>
              <w:rPr>
                <w:rFonts w:hint="eastAsia" w:ascii="宋体" w:hAnsi="宋体" w:eastAsia="宋体" w:cs="宋体"/>
                <w:i w:val="0"/>
                <w:iCs w:val="0"/>
                <w:color w:val="000000"/>
                <w:sz w:val="18"/>
                <w:szCs w:val="18"/>
                <w:highlight w:val="none"/>
                <w:u w:val="none"/>
              </w:rPr>
            </w:pPr>
          </w:p>
        </w:tc>
        <w:tc>
          <w:tcPr>
            <w:tcW w:w="2055"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6AD2477">
            <w:pPr>
              <w:rPr>
                <w:rFonts w:hint="eastAsia" w:ascii="宋体" w:hAnsi="宋体" w:eastAsia="宋体" w:cs="宋体"/>
                <w:i w:val="0"/>
                <w:iCs w:val="0"/>
                <w:color w:val="000000"/>
                <w:sz w:val="18"/>
                <w:szCs w:val="18"/>
                <w:highlight w:val="none"/>
                <w:u w:val="none"/>
              </w:rPr>
            </w:pPr>
          </w:p>
        </w:tc>
        <w:tc>
          <w:tcPr>
            <w:tcW w:w="6765" w:type="dxa"/>
            <w:gridSpan w:val="5"/>
            <w:tcBorders>
              <w:top w:val="single" w:color="000000" w:sz="4" w:space="0"/>
              <w:left w:val="single" w:color="000000" w:sz="4" w:space="0"/>
              <w:bottom w:val="single" w:color="000000" w:sz="4" w:space="0"/>
              <w:right w:val="single" w:color="000000" w:sz="4" w:space="0"/>
            </w:tcBorders>
            <w:shd w:val="clear"/>
            <w:vAlign w:val="center"/>
          </w:tcPr>
          <w:p w14:paraId="0A697A17">
            <w:pPr>
              <w:rPr>
                <w:rFonts w:hint="eastAsia" w:ascii="宋体" w:hAnsi="宋体" w:eastAsia="宋体" w:cs="宋体"/>
                <w:i w:val="0"/>
                <w:iCs w:val="0"/>
                <w:color w:val="000000"/>
                <w:sz w:val="18"/>
                <w:szCs w:val="18"/>
                <w:highlight w:val="none"/>
                <w:u w:val="none"/>
              </w:rPr>
            </w:pPr>
          </w:p>
        </w:tc>
        <w:tc>
          <w:tcPr>
            <w:tcW w:w="4605" w:type="dxa"/>
            <w:gridSpan w:val="4"/>
            <w:tcBorders>
              <w:top w:val="single" w:color="000000" w:sz="4" w:space="0"/>
              <w:left w:val="single" w:color="000000" w:sz="4" w:space="0"/>
              <w:bottom w:val="single" w:color="000000" w:sz="4" w:space="0"/>
              <w:right w:val="single" w:color="000000" w:sz="4" w:space="0"/>
            </w:tcBorders>
            <w:shd w:val="clear"/>
            <w:vAlign w:val="center"/>
          </w:tcPr>
          <w:p w14:paraId="39420F82">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对照年度目标，说明相关任务目标的完成情况（100字以内）</w:t>
            </w:r>
          </w:p>
        </w:tc>
      </w:tr>
      <w:tr w14:paraId="0BE10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93"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500C508D">
            <w:pP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734EA565">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2.项目实施内容及过程概述</w:t>
            </w:r>
          </w:p>
        </w:tc>
        <w:tc>
          <w:tcPr>
            <w:tcW w:w="11370" w:type="dxa"/>
            <w:gridSpan w:val="9"/>
            <w:tcBorders>
              <w:top w:val="single" w:color="000000" w:sz="4" w:space="0"/>
              <w:left w:val="single" w:color="000000" w:sz="4" w:space="0"/>
              <w:bottom w:val="single" w:color="000000" w:sz="4" w:space="0"/>
              <w:right w:val="single" w:color="000000" w:sz="4" w:space="0"/>
            </w:tcBorders>
            <w:shd w:val="clear"/>
            <w:vAlign w:val="center"/>
          </w:tcPr>
          <w:p w14:paraId="6D60548F">
            <w:pPr>
              <w:keepNext w:val="0"/>
              <w:keepLines w:val="0"/>
              <w:widowControl/>
              <w:suppressLineNumbers w:val="0"/>
              <w:jc w:val="left"/>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启动阿坝州青少年发展规划编制工作，开展前期调研、资料收集、需求摸排、文稿撰写等工作，按规划编制流程推进各环节任务，科学谋划 2026-2030 年全州青少年发展目标与举措。</w:t>
            </w:r>
          </w:p>
        </w:tc>
      </w:tr>
      <w:tr w14:paraId="6C181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0E713A7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预算执行情况（10分）</w:t>
            </w: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49FEC85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年度预算数（万元）</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6CAA022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年初预算</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02D84F9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调整后预算数</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5616B1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预算执行数</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1AB71E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预算执行率</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64E809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54E8377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1474348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原因</w:t>
            </w:r>
          </w:p>
        </w:tc>
      </w:tr>
      <w:tr w14:paraId="3633F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625BC604">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53A6DE50">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总额</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1C2DCD4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295502D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7.50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76909D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7.50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06AC142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715AF5A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40378AF7">
            <w:pPr>
              <w:jc w:val="center"/>
              <w:rPr>
                <w:rFonts w:hint="eastAsia" w:ascii="宋体" w:hAnsi="宋体" w:eastAsia="宋体" w:cs="宋体"/>
                <w:i w:val="0"/>
                <w:iCs w:val="0"/>
                <w:color w:val="000000"/>
                <w:sz w:val="18"/>
                <w:szCs w:val="18"/>
                <w:highlight w:val="none"/>
                <w:u w:val="none"/>
              </w:rPr>
            </w:pPr>
          </w:p>
        </w:tc>
        <w:tc>
          <w:tcPr>
            <w:tcW w:w="2550" w:type="dxa"/>
            <w:vMerge w:val="restart"/>
            <w:tcBorders>
              <w:top w:val="single" w:color="000000" w:sz="4" w:space="0"/>
              <w:left w:val="single" w:color="000000" w:sz="4" w:space="0"/>
              <w:bottom w:val="single" w:color="000000" w:sz="4" w:space="0"/>
              <w:right w:val="single" w:color="000000" w:sz="4" w:space="0"/>
            </w:tcBorders>
            <w:shd w:val="clear"/>
            <w:vAlign w:val="center"/>
          </w:tcPr>
          <w:p w14:paraId="19E7BFF6">
            <w:pPr>
              <w:keepNext w:val="0"/>
              <w:keepLines w:val="0"/>
              <w:widowControl/>
              <w:suppressLineNumbers w:val="0"/>
              <w:jc w:val="left"/>
              <w:textAlignment w:val="center"/>
              <w:rPr>
                <w:rFonts w:hint="eastAsia" w:ascii="黑体" w:hAnsi="黑体" w:eastAsia="黑体" w:cs="黑体"/>
                <w:i/>
                <w:iCs/>
                <w:color w:val="000000"/>
                <w:sz w:val="18"/>
                <w:szCs w:val="18"/>
                <w:highlight w:val="none"/>
                <w:u w:val="none"/>
              </w:rPr>
            </w:pPr>
            <w:r>
              <w:rPr>
                <w:rFonts w:hint="eastAsia" w:ascii="黑体" w:hAnsi="黑体" w:eastAsia="黑体" w:cs="黑体"/>
                <w:i/>
                <w:iCs/>
                <w:color w:val="000000"/>
                <w:kern w:val="0"/>
                <w:sz w:val="18"/>
                <w:szCs w:val="18"/>
                <w:highlight w:val="none"/>
                <w:u w:val="none"/>
                <w:bdr w:val="none" w:color="auto" w:sz="0" w:space="0"/>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5134A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48BAE44">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126DDA7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其中：财政资金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78FAD49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23D558E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7.50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336B5D0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7.50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4D40E09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2D5626C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09307A5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F43AA91">
            <w:pPr>
              <w:rPr>
                <w:rFonts w:hint="eastAsia" w:ascii="黑体" w:hAnsi="黑体" w:eastAsia="黑体" w:cs="黑体"/>
                <w:i/>
                <w:iCs/>
                <w:color w:val="000000"/>
                <w:sz w:val="18"/>
                <w:szCs w:val="18"/>
                <w:highlight w:val="none"/>
                <w:u w:val="none"/>
              </w:rPr>
            </w:pPr>
          </w:p>
        </w:tc>
      </w:tr>
      <w:tr w14:paraId="5FE3AA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43C708AA">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7D1F5C75">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财政专户管理资金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23B0873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2808FDF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539D3EC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23D8392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2701F38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21490EB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086B1F15">
            <w:pPr>
              <w:rPr>
                <w:rFonts w:hint="eastAsia" w:ascii="黑体" w:hAnsi="黑体" w:eastAsia="黑体" w:cs="黑体"/>
                <w:i/>
                <w:iCs/>
                <w:color w:val="000000"/>
                <w:sz w:val="18"/>
                <w:szCs w:val="18"/>
                <w:highlight w:val="none"/>
                <w:u w:val="none"/>
              </w:rPr>
            </w:pPr>
          </w:p>
        </w:tc>
      </w:tr>
      <w:tr w14:paraId="5A1CE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A803FF0">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5A6D8D5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单位资金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4AFD099B">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7ABFE6B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58E81F4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6D52535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0.00%</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687388C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27A34C41">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2BF1D367">
            <w:pPr>
              <w:rPr>
                <w:rFonts w:hint="eastAsia" w:ascii="黑体" w:hAnsi="黑体" w:eastAsia="黑体" w:cs="黑体"/>
                <w:i/>
                <w:iCs/>
                <w:color w:val="000000"/>
                <w:sz w:val="18"/>
                <w:szCs w:val="18"/>
                <w:highlight w:val="none"/>
                <w:u w:val="none"/>
              </w:rPr>
            </w:pPr>
          </w:p>
        </w:tc>
      </w:tr>
      <w:tr w14:paraId="051E3D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1598FA88">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3C76B789">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其他资金</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6CBD3D61">
            <w:pPr>
              <w:jc w:val="center"/>
              <w:rPr>
                <w:rFonts w:hint="eastAsia" w:ascii="微软雅黑" w:hAnsi="微软雅黑" w:eastAsia="微软雅黑" w:cs="微软雅黑"/>
                <w:i/>
                <w:iCs/>
                <w:color w:val="000000"/>
                <w:sz w:val="16"/>
                <w:szCs w:val="16"/>
                <w:highlight w:val="none"/>
                <w:u w:val="none"/>
              </w:rPr>
            </w:pP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5FAFFADF">
            <w:pPr>
              <w:jc w:val="center"/>
              <w:rPr>
                <w:rFonts w:hint="eastAsia" w:ascii="微软雅黑" w:hAnsi="微软雅黑" w:eastAsia="微软雅黑" w:cs="微软雅黑"/>
                <w:i/>
                <w:iCs/>
                <w:color w:val="000000"/>
                <w:sz w:val="16"/>
                <w:szCs w:val="16"/>
                <w:highlight w:val="none"/>
                <w:u w:val="none"/>
              </w:rPr>
            </w:pPr>
          </w:p>
        </w:tc>
        <w:tc>
          <w:tcPr>
            <w:tcW w:w="2730" w:type="dxa"/>
            <w:gridSpan w:val="3"/>
            <w:tcBorders>
              <w:top w:val="single" w:color="000000" w:sz="4" w:space="0"/>
              <w:left w:val="single" w:color="000000" w:sz="4" w:space="0"/>
              <w:bottom w:val="single" w:color="000000" w:sz="4" w:space="0"/>
              <w:right w:val="single" w:color="000000" w:sz="4" w:space="0"/>
            </w:tcBorders>
            <w:shd w:val="clear"/>
            <w:vAlign w:val="center"/>
          </w:tcPr>
          <w:p w14:paraId="5254E064">
            <w:pPr>
              <w:jc w:val="center"/>
              <w:rPr>
                <w:rFonts w:hint="eastAsia" w:ascii="微软雅黑" w:hAnsi="微软雅黑" w:eastAsia="微软雅黑" w:cs="微软雅黑"/>
                <w:i/>
                <w:iCs/>
                <w:color w:val="000000"/>
                <w:sz w:val="16"/>
                <w:szCs w:val="16"/>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41291C13">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3ED1A51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6A046CA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w:t>
            </w:r>
          </w:p>
        </w:tc>
        <w:tc>
          <w:tcPr>
            <w:tcW w:w="255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795EB11C">
            <w:pPr>
              <w:rPr>
                <w:rFonts w:hint="eastAsia" w:ascii="黑体" w:hAnsi="黑体" w:eastAsia="黑体" w:cs="黑体"/>
                <w:i/>
                <w:iCs/>
                <w:color w:val="000000"/>
                <w:sz w:val="18"/>
                <w:szCs w:val="18"/>
                <w:highlight w:val="none"/>
                <w:u w:val="none"/>
              </w:rPr>
            </w:pPr>
          </w:p>
        </w:tc>
      </w:tr>
      <w:tr w14:paraId="64B2B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90" w:type="dxa"/>
            <w:vMerge w:val="restart"/>
            <w:tcBorders>
              <w:top w:val="single" w:color="000000" w:sz="4" w:space="0"/>
              <w:left w:val="single" w:color="000000" w:sz="4" w:space="0"/>
              <w:bottom w:val="single" w:color="000000" w:sz="4" w:space="0"/>
              <w:right w:val="single" w:color="000000" w:sz="4" w:space="0"/>
            </w:tcBorders>
            <w:shd w:val="clear"/>
            <w:vAlign w:val="center"/>
          </w:tcPr>
          <w:p w14:paraId="42273FEE">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绩效指标（90分）</w:t>
            </w: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6F42CBEA">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一级指标</w:t>
            </w: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118607A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二级指标</w:t>
            </w: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5D8EAE9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三级指标</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33BC650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指标性质</w:t>
            </w: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45BFA834">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指标值</w:t>
            </w: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08D6270D">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度量单位</w:t>
            </w: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108E3FB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完成值</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77003F38">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权重</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2ECED1E2">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得分</w:t>
            </w: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3285AD56">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未完成原因分析</w:t>
            </w:r>
          </w:p>
        </w:tc>
      </w:tr>
      <w:tr w14:paraId="4128D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690" w:type="dxa"/>
            <w:vMerge w:val="continue"/>
            <w:tcBorders>
              <w:top w:val="single" w:color="000000" w:sz="4" w:space="0"/>
              <w:left w:val="single" w:color="000000" w:sz="4" w:space="0"/>
              <w:bottom w:val="single" w:color="000000" w:sz="4" w:space="0"/>
              <w:right w:val="single" w:color="000000" w:sz="4" w:space="0"/>
            </w:tcBorders>
            <w:shd w:val="clear"/>
            <w:vAlign w:val="center"/>
          </w:tcPr>
          <w:p w14:paraId="3E19A8D0">
            <w:pPr>
              <w:jc w:val="center"/>
              <w:rPr>
                <w:rFonts w:hint="eastAsia" w:ascii="宋体" w:hAnsi="宋体" w:eastAsia="宋体" w:cs="宋体"/>
                <w:i w:val="0"/>
                <w:iCs w:val="0"/>
                <w:color w:val="000000"/>
                <w:sz w:val="18"/>
                <w:szCs w:val="18"/>
                <w:highlight w:val="none"/>
                <w:u w:val="none"/>
              </w:rPr>
            </w:pPr>
          </w:p>
        </w:tc>
        <w:tc>
          <w:tcPr>
            <w:tcW w:w="2055" w:type="dxa"/>
            <w:tcBorders>
              <w:top w:val="single" w:color="000000" w:sz="4" w:space="0"/>
              <w:left w:val="single" w:color="000000" w:sz="4" w:space="0"/>
              <w:bottom w:val="single" w:color="000000" w:sz="4" w:space="0"/>
              <w:right w:val="single" w:color="000000" w:sz="4" w:space="0"/>
            </w:tcBorders>
            <w:shd w:val="clear"/>
            <w:vAlign w:val="center"/>
          </w:tcPr>
          <w:p w14:paraId="37ED88C2">
            <w:pPr>
              <w:jc w:val="center"/>
              <w:rPr>
                <w:rFonts w:hint="eastAsia" w:ascii="宋体" w:hAnsi="宋体" w:eastAsia="宋体" w:cs="宋体"/>
                <w:i w:val="0"/>
                <w:iCs w:val="0"/>
                <w:color w:val="000000"/>
                <w:sz w:val="18"/>
                <w:szCs w:val="18"/>
                <w:highlight w:val="none"/>
                <w:u w:val="none"/>
              </w:rPr>
            </w:pPr>
          </w:p>
        </w:tc>
        <w:tc>
          <w:tcPr>
            <w:tcW w:w="1770" w:type="dxa"/>
            <w:tcBorders>
              <w:top w:val="single" w:color="000000" w:sz="4" w:space="0"/>
              <w:left w:val="single" w:color="000000" w:sz="4" w:space="0"/>
              <w:bottom w:val="single" w:color="000000" w:sz="4" w:space="0"/>
              <w:right w:val="single" w:color="000000" w:sz="4" w:space="0"/>
            </w:tcBorders>
            <w:shd w:val="clear"/>
            <w:vAlign w:val="center"/>
          </w:tcPr>
          <w:p w14:paraId="733E8406">
            <w:pPr>
              <w:jc w:val="center"/>
              <w:rPr>
                <w:rFonts w:hint="eastAsia" w:ascii="宋体" w:hAnsi="宋体" w:eastAsia="宋体" w:cs="宋体"/>
                <w:i w:val="0"/>
                <w:iCs w:val="0"/>
                <w:color w:val="000000"/>
                <w:sz w:val="18"/>
                <w:szCs w:val="18"/>
                <w:highlight w:val="none"/>
                <w:u w:val="none"/>
              </w:rPr>
            </w:pPr>
          </w:p>
        </w:tc>
        <w:tc>
          <w:tcPr>
            <w:tcW w:w="2265" w:type="dxa"/>
            <w:tcBorders>
              <w:top w:val="single" w:color="000000" w:sz="4" w:space="0"/>
              <w:left w:val="single" w:color="000000" w:sz="4" w:space="0"/>
              <w:bottom w:val="single" w:color="000000" w:sz="4" w:space="0"/>
              <w:right w:val="single" w:color="000000" w:sz="4" w:space="0"/>
            </w:tcBorders>
            <w:shd w:val="clear"/>
            <w:vAlign w:val="center"/>
          </w:tcPr>
          <w:p w14:paraId="27BCFAC5">
            <w:pPr>
              <w:jc w:val="center"/>
              <w:rPr>
                <w:rFonts w:hint="eastAsia" w:ascii="宋体" w:hAnsi="宋体" w:eastAsia="宋体" w:cs="宋体"/>
                <w:i w:val="0"/>
                <w:iCs w:val="0"/>
                <w:color w:val="000000"/>
                <w:sz w:val="18"/>
                <w:szCs w:val="18"/>
                <w:highlight w:val="none"/>
                <w:u w:val="none"/>
              </w:rPr>
            </w:pP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4A233CD1">
            <w:pPr>
              <w:jc w:val="center"/>
              <w:rPr>
                <w:rFonts w:hint="eastAsia" w:ascii="宋体" w:hAnsi="宋体" w:eastAsia="宋体" w:cs="宋体"/>
                <w:i w:val="0"/>
                <w:iCs w:val="0"/>
                <w:color w:val="000000"/>
                <w:sz w:val="18"/>
                <w:szCs w:val="18"/>
                <w:highlight w:val="none"/>
                <w:u w:val="none"/>
              </w:rPr>
            </w:pPr>
          </w:p>
        </w:tc>
        <w:tc>
          <w:tcPr>
            <w:tcW w:w="1680" w:type="dxa"/>
            <w:tcBorders>
              <w:top w:val="single" w:color="000000" w:sz="4" w:space="0"/>
              <w:left w:val="single" w:color="000000" w:sz="4" w:space="0"/>
              <w:bottom w:val="single" w:color="000000" w:sz="4" w:space="0"/>
              <w:right w:val="single" w:color="000000" w:sz="4" w:space="0"/>
            </w:tcBorders>
            <w:shd w:val="clear"/>
            <w:vAlign w:val="center"/>
          </w:tcPr>
          <w:p w14:paraId="49DBCBF4">
            <w:pPr>
              <w:jc w:val="center"/>
              <w:rPr>
                <w:rFonts w:hint="eastAsia" w:ascii="宋体" w:hAnsi="宋体" w:eastAsia="宋体" w:cs="宋体"/>
                <w:i w:val="0"/>
                <w:iCs w:val="0"/>
                <w:color w:val="000000"/>
                <w:sz w:val="18"/>
                <w:szCs w:val="18"/>
                <w:highlight w:val="none"/>
                <w:u w:val="none"/>
              </w:rPr>
            </w:pPr>
          </w:p>
        </w:tc>
        <w:tc>
          <w:tcPr>
            <w:tcW w:w="525" w:type="dxa"/>
            <w:tcBorders>
              <w:top w:val="single" w:color="000000" w:sz="4" w:space="0"/>
              <w:left w:val="single" w:color="000000" w:sz="4" w:space="0"/>
              <w:bottom w:val="single" w:color="000000" w:sz="4" w:space="0"/>
              <w:right w:val="single" w:color="000000" w:sz="4" w:space="0"/>
            </w:tcBorders>
            <w:shd w:val="clear"/>
            <w:vAlign w:val="center"/>
          </w:tcPr>
          <w:p w14:paraId="4B250904">
            <w:pPr>
              <w:jc w:val="center"/>
              <w:rPr>
                <w:rFonts w:hint="eastAsia" w:ascii="宋体" w:hAnsi="宋体" w:eastAsia="宋体" w:cs="宋体"/>
                <w:i w:val="0"/>
                <w:iCs w:val="0"/>
                <w:color w:val="000000"/>
                <w:sz w:val="18"/>
                <w:szCs w:val="18"/>
                <w:highlight w:val="none"/>
                <w:u w:val="none"/>
              </w:rPr>
            </w:pPr>
          </w:p>
        </w:tc>
        <w:tc>
          <w:tcPr>
            <w:tcW w:w="1095" w:type="dxa"/>
            <w:tcBorders>
              <w:top w:val="single" w:color="000000" w:sz="4" w:space="0"/>
              <w:left w:val="single" w:color="000000" w:sz="4" w:space="0"/>
              <w:bottom w:val="single" w:color="000000" w:sz="4" w:space="0"/>
              <w:right w:val="single" w:color="000000" w:sz="4" w:space="0"/>
            </w:tcBorders>
            <w:shd w:val="clear"/>
            <w:vAlign w:val="center"/>
          </w:tcPr>
          <w:p w14:paraId="36D681F0">
            <w:pPr>
              <w:jc w:val="center"/>
              <w:rPr>
                <w:rFonts w:hint="eastAsia" w:ascii="微软雅黑" w:hAnsi="微软雅黑" w:eastAsia="微软雅黑" w:cs="微软雅黑"/>
                <w:i/>
                <w:iCs/>
                <w:color w:val="000000"/>
                <w:sz w:val="16"/>
                <w:szCs w:val="16"/>
                <w:highlight w:val="none"/>
                <w:u w:val="none"/>
              </w:rPr>
            </w:pP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7BCDAF76">
            <w:pPr>
              <w:jc w:val="center"/>
              <w:rPr>
                <w:rFonts w:hint="eastAsia" w:ascii="宋体" w:hAnsi="宋体" w:eastAsia="宋体" w:cs="宋体"/>
                <w:i w:val="0"/>
                <w:iCs w:val="0"/>
                <w:color w:val="000000"/>
                <w:sz w:val="18"/>
                <w:szCs w:val="18"/>
                <w:highlight w:val="none"/>
                <w:u w:val="none"/>
              </w:rPr>
            </w:pP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45E4FAE5">
            <w:pPr>
              <w:jc w:val="cente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7DF211C7">
            <w:pPr>
              <w:jc w:val="center"/>
              <w:rPr>
                <w:rFonts w:hint="eastAsia" w:ascii="微软雅黑" w:hAnsi="微软雅黑" w:eastAsia="微软雅黑" w:cs="微软雅黑"/>
                <w:i/>
                <w:iCs/>
                <w:color w:val="000000"/>
                <w:sz w:val="16"/>
                <w:szCs w:val="16"/>
                <w:highlight w:val="none"/>
                <w:u w:val="none"/>
              </w:rPr>
            </w:pPr>
          </w:p>
        </w:tc>
      </w:tr>
      <w:tr w14:paraId="62692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605" w:type="dxa"/>
            <w:gridSpan w:val="8"/>
            <w:tcBorders>
              <w:top w:val="single" w:color="000000" w:sz="4" w:space="0"/>
              <w:left w:val="single" w:color="000000" w:sz="4" w:space="0"/>
              <w:bottom w:val="single" w:color="000000" w:sz="4" w:space="0"/>
              <w:right w:val="single" w:color="000000" w:sz="4" w:space="0"/>
            </w:tcBorders>
            <w:shd w:val="clear"/>
            <w:vAlign w:val="center"/>
          </w:tcPr>
          <w:p w14:paraId="6C2C28FC">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合计</w:t>
            </w:r>
          </w:p>
        </w:tc>
        <w:tc>
          <w:tcPr>
            <w:tcW w:w="510" w:type="dxa"/>
            <w:tcBorders>
              <w:top w:val="single" w:color="000000" w:sz="4" w:space="0"/>
              <w:left w:val="single" w:color="000000" w:sz="4" w:space="0"/>
              <w:bottom w:val="single" w:color="000000" w:sz="4" w:space="0"/>
              <w:right w:val="single" w:color="000000" w:sz="4" w:space="0"/>
            </w:tcBorders>
            <w:shd w:val="clear"/>
            <w:vAlign w:val="center"/>
          </w:tcPr>
          <w:p w14:paraId="00410A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100</w:t>
            </w:r>
          </w:p>
        </w:tc>
        <w:tc>
          <w:tcPr>
            <w:tcW w:w="450" w:type="dxa"/>
            <w:tcBorders>
              <w:top w:val="single" w:color="000000" w:sz="4" w:space="0"/>
              <w:left w:val="single" w:color="000000" w:sz="4" w:space="0"/>
              <w:bottom w:val="single" w:color="000000" w:sz="4" w:space="0"/>
              <w:right w:val="single" w:color="000000" w:sz="4" w:space="0"/>
            </w:tcBorders>
            <w:shd w:val="clear"/>
            <w:vAlign w:val="center"/>
          </w:tcPr>
          <w:p w14:paraId="6425AB5B">
            <w:pPr>
              <w:rPr>
                <w:rFonts w:hint="eastAsia" w:ascii="宋体" w:hAnsi="宋体" w:eastAsia="宋体" w:cs="宋体"/>
                <w:i w:val="0"/>
                <w:iCs w:val="0"/>
                <w:color w:val="000000"/>
                <w:sz w:val="18"/>
                <w:szCs w:val="18"/>
                <w:highlight w:val="none"/>
                <w:u w:val="none"/>
              </w:rPr>
            </w:pPr>
          </w:p>
        </w:tc>
        <w:tc>
          <w:tcPr>
            <w:tcW w:w="2550" w:type="dxa"/>
            <w:tcBorders>
              <w:top w:val="single" w:color="000000" w:sz="4" w:space="0"/>
              <w:left w:val="single" w:color="000000" w:sz="4" w:space="0"/>
              <w:bottom w:val="single" w:color="000000" w:sz="4" w:space="0"/>
              <w:right w:val="single" w:color="000000" w:sz="4" w:space="0"/>
            </w:tcBorders>
            <w:shd w:val="clear"/>
            <w:vAlign w:val="center"/>
          </w:tcPr>
          <w:p w14:paraId="3116D1FD">
            <w:pPr>
              <w:rPr>
                <w:rFonts w:hint="eastAsia" w:ascii="宋体" w:hAnsi="宋体" w:eastAsia="宋体" w:cs="宋体"/>
                <w:i w:val="0"/>
                <w:iCs w:val="0"/>
                <w:color w:val="000000"/>
                <w:sz w:val="18"/>
                <w:szCs w:val="18"/>
                <w:highlight w:val="none"/>
                <w:u w:val="none"/>
              </w:rPr>
            </w:pPr>
          </w:p>
        </w:tc>
      </w:tr>
      <w:tr w14:paraId="5D0E5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03"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35D4D61F">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评价结论</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43BBDF78">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自评总分 100 分。预算执行率 100%，顺利推进青少年发展规划编制工作，为全州青少年长远发展提供科学指引。</w:t>
            </w:r>
          </w:p>
        </w:tc>
      </w:tr>
      <w:tr w14:paraId="5936C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572"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164EDE17">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存在问题</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78AA409C">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规划调研覆盖面不够全面，基层青少年需求收集不够充分；规划落地配套措施尚未完善。</w:t>
            </w:r>
          </w:p>
        </w:tc>
      </w:tr>
      <w:tr w14:paraId="3BDB9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690" w:type="dxa"/>
            <w:tcBorders>
              <w:top w:val="single" w:color="000000" w:sz="4" w:space="0"/>
              <w:left w:val="single" w:color="000000" w:sz="4" w:space="0"/>
              <w:bottom w:val="single" w:color="000000" w:sz="4" w:space="0"/>
              <w:right w:val="single" w:color="000000" w:sz="4" w:space="0"/>
            </w:tcBorders>
            <w:shd w:val="clear"/>
            <w:vAlign w:val="center"/>
          </w:tcPr>
          <w:p w14:paraId="66AB6D93">
            <w:pPr>
              <w:keepNext w:val="0"/>
              <w:keepLines w:val="0"/>
              <w:widowControl/>
              <w:suppressLineNumbers w:val="0"/>
              <w:jc w:val="center"/>
              <w:textAlignment w:val="center"/>
              <w:rPr>
                <w:rFonts w:ascii="宋体" w:hAnsi="宋体" w:eastAsia="宋体" w:cs="宋体"/>
                <w:i w:val="0"/>
                <w:iCs w:val="0"/>
                <w:color w:val="000000"/>
                <w:sz w:val="18"/>
                <w:szCs w:val="18"/>
                <w:highlight w:val="none"/>
                <w:u w:val="none"/>
              </w:rPr>
            </w:pPr>
            <w:r>
              <w:rPr>
                <w:rFonts w:ascii="宋体" w:hAnsi="宋体" w:eastAsia="宋体" w:cs="宋体"/>
                <w:i w:val="0"/>
                <w:iCs w:val="0"/>
                <w:color w:val="000000"/>
                <w:kern w:val="0"/>
                <w:sz w:val="18"/>
                <w:szCs w:val="18"/>
                <w:highlight w:val="none"/>
                <w:u w:val="none"/>
                <w:bdr w:val="none" w:color="auto" w:sz="0" w:space="0"/>
                <w:lang w:val="en-US" w:eastAsia="zh-CN" w:bidi="ar"/>
              </w:rPr>
              <w:t>改进措施</w:t>
            </w:r>
          </w:p>
        </w:tc>
        <w:tc>
          <w:tcPr>
            <w:tcW w:w="13425" w:type="dxa"/>
            <w:gridSpan w:val="10"/>
            <w:tcBorders>
              <w:top w:val="single" w:color="000000" w:sz="4" w:space="0"/>
              <w:left w:val="single" w:color="000000" w:sz="4" w:space="0"/>
              <w:bottom w:val="single" w:color="000000" w:sz="4" w:space="0"/>
              <w:right w:val="single" w:color="000000" w:sz="4" w:space="0"/>
            </w:tcBorders>
            <w:shd w:val="clear"/>
            <w:vAlign w:val="center"/>
          </w:tcPr>
          <w:p w14:paraId="3A26A015">
            <w:pPr>
              <w:keepNext w:val="0"/>
              <w:keepLines w:val="0"/>
              <w:widowControl/>
              <w:suppressLineNumbers w:val="0"/>
              <w:jc w:val="left"/>
              <w:textAlignment w:val="center"/>
              <w:rPr>
                <w:rFonts w:hint="eastAsia" w:ascii="微软雅黑" w:hAnsi="微软雅黑" w:eastAsia="微软雅黑" w:cs="微软雅黑"/>
                <w:i/>
                <w:iCs/>
                <w:color w:val="000000"/>
                <w:sz w:val="16"/>
                <w:szCs w:val="16"/>
                <w:highlight w:val="none"/>
                <w:u w:val="none"/>
              </w:rPr>
            </w:pPr>
            <w:r>
              <w:rPr>
                <w:rFonts w:hint="eastAsia" w:ascii="微软雅黑" w:hAnsi="微软雅黑" w:eastAsia="微软雅黑" w:cs="微软雅黑"/>
                <w:i/>
                <w:iCs/>
                <w:color w:val="000000"/>
                <w:kern w:val="0"/>
                <w:sz w:val="16"/>
                <w:szCs w:val="16"/>
                <w:highlight w:val="none"/>
                <w:u w:val="none"/>
                <w:bdr w:val="none" w:color="auto" w:sz="0" w:space="0"/>
                <w:lang w:val="en-US" w:eastAsia="zh-CN" w:bidi="ar"/>
              </w:rPr>
              <w:t>扩大调研范围，精准摸排青少年需求；完善规划落地配套政策与实施方案；建立规划实施跟踪机制，确保落地见效。</w:t>
            </w:r>
          </w:p>
        </w:tc>
      </w:tr>
      <w:tr w14:paraId="57CF7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86" w:hRule="atLeast"/>
        </w:trPr>
        <w:tc>
          <w:tcPr>
            <w:tcW w:w="7305" w:type="dxa"/>
            <w:gridSpan w:val="5"/>
            <w:tcBorders>
              <w:top w:val="single" w:color="000000" w:sz="4" w:space="0"/>
              <w:left w:val="single" w:color="000000" w:sz="4" w:space="0"/>
              <w:bottom w:val="single" w:color="000000" w:sz="4" w:space="0"/>
              <w:right w:val="single" w:color="000000" w:sz="4" w:space="0"/>
            </w:tcBorders>
            <w:shd w:val="clear"/>
            <w:vAlign w:val="center"/>
          </w:tcPr>
          <w:p w14:paraId="5F796766">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项目负责人：李为玺</w:t>
            </w:r>
          </w:p>
        </w:tc>
        <w:tc>
          <w:tcPr>
            <w:tcW w:w="6810" w:type="dxa"/>
            <w:gridSpan w:val="6"/>
            <w:tcBorders>
              <w:top w:val="single" w:color="000000" w:sz="4" w:space="0"/>
              <w:left w:val="single" w:color="000000" w:sz="4" w:space="0"/>
              <w:bottom w:val="single" w:color="000000" w:sz="4" w:space="0"/>
              <w:right w:val="single" w:color="000000" w:sz="4" w:space="0"/>
            </w:tcBorders>
            <w:shd w:val="clear"/>
            <w:vAlign w:val="center"/>
          </w:tcPr>
          <w:p w14:paraId="3BDAF725">
            <w:pPr>
              <w:keepNext w:val="0"/>
              <w:keepLines w:val="0"/>
              <w:widowControl/>
              <w:suppressLineNumbers w:val="0"/>
              <w:jc w:val="left"/>
              <w:textAlignment w:val="center"/>
              <w:rPr>
                <w:rFonts w:hint="eastAsia" w:ascii="黑体" w:hAnsi="黑体" w:eastAsia="黑体" w:cs="黑体"/>
                <w:i w:val="0"/>
                <w:iCs w:val="0"/>
                <w:color w:val="000000"/>
                <w:sz w:val="18"/>
                <w:szCs w:val="18"/>
                <w:highlight w:val="none"/>
                <w:u w:val="none"/>
              </w:rPr>
            </w:pPr>
            <w:r>
              <w:rPr>
                <w:rFonts w:hint="eastAsia" w:ascii="黑体" w:hAnsi="黑体" w:eastAsia="黑体" w:cs="黑体"/>
                <w:i w:val="0"/>
                <w:iCs w:val="0"/>
                <w:color w:val="000000"/>
                <w:kern w:val="0"/>
                <w:sz w:val="18"/>
                <w:szCs w:val="18"/>
                <w:highlight w:val="none"/>
                <w:u w:val="none"/>
                <w:bdr w:val="none" w:color="auto" w:sz="0" w:space="0"/>
                <w:lang w:val="en-US" w:eastAsia="zh-CN" w:bidi="ar"/>
              </w:rPr>
              <w:t>财务负责人：杨嘉奇</w:t>
            </w:r>
          </w:p>
        </w:tc>
      </w:tr>
    </w:tbl>
    <w:p w14:paraId="4E441572">
      <w:pPr>
        <w:pStyle w:val="9"/>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none"/>
          <w:lang w:val="zh-CN" w:eastAsia="zh-CN"/>
        </w:rPr>
        <w:sectPr>
          <w:pgSz w:w="16838" w:h="11906" w:orient="landscape"/>
          <w:pgMar w:top="1800" w:right="1440" w:bottom="1800" w:left="1440" w:header="851" w:footer="992" w:gutter="0"/>
          <w:pgNumType w:fmt="decimal"/>
          <w:cols w:space="425" w:num="1"/>
          <w:titlePg/>
          <w:docGrid w:type="lines" w:linePitch="312" w:charSpace="0"/>
        </w:sectPr>
      </w:pPr>
    </w:p>
    <w:p w14:paraId="72F6FFC3">
      <w:pPr>
        <w:pStyle w:val="7"/>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511EC3B7">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5C163041">
      <w:pPr>
        <w:pStyle w:val="35"/>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我单位不涉及专项预算项目绩效评价报告</w:t>
      </w:r>
    </w:p>
    <w:p w14:paraId="6D1411D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326C28B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66"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144B5A96">
      <w:pPr>
        <w:widowControl/>
        <w:jc w:val="center"/>
        <w:outlineLvl w:val="0"/>
        <w:rPr>
          <w:rFonts w:hint="eastAsia" w:ascii="Times New Roman" w:hAnsi="Times New Roman" w:eastAsia="仿宋_GB2312" w:cs="仿宋_GB2312"/>
          <w:color w:val="auto"/>
          <w:sz w:val="32"/>
          <w:szCs w:val="32"/>
          <w:highlight w:val="none"/>
        </w:rPr>
      </w:pPr>
      <w:bookmarkStart w:id="67" w:name="_Toc18328"/>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 xml:space="preserve">五部分 </w:t>
      </w:r>
      <w:r>
        <w:rPr>
          <w:rStyle w:val="29"/>
          <w:rFonts w:hint="eastAsia" w:eastAsia="黑体"/>
          <w:b w:val="0"/>
          <w:color w:val="auto"/>
          <w:highlight w:val="none"/>
          <w:lang w:val="en-US" w:eastAsia="zh-CN"/>
        </w:rPr>
        <w:t xml:space="preserve"> </w:t>
      </w:r>
      <w:r>
        <w:rPr>
          <w:rStyle w:val="29"/>
          <w:rFonts w:hint="eastAsia" w:ascii="Times New Roman" w:hAnsi="Times New Roman" w:eastAsia="黑体"/>
          <w:b w:val="0"/>
          <w:color w:val="auto"/>
          <w:highlight w:val="none"/>
        </w:rPr>
        <w:t>附表</w:t>
      </w:r>
      <w:bookmarkEnd w:id="62"/>
      <w:bookmarkEnd w:id="66"/>
      <w:bookmarkEnd w:id="67"/>
      <w:bookmarkStart w:id="68" w:name="_Toc15396619"/>
    </w:p>
    <w:p w14:paraId="5B76F92B">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69" w:name="_Toc3436"/>
      <w:r>
        <w:rPr>
          <w:rFonts w:hint="eastAsia" w:ascii="Times New Roman" w:hAnsi="Times New Roman" w:eastAsia="仿宋_GB2312" w:cs="仿宋_GB2312"/>
          <w:color w:val="auto"/>
          <w:sz w:val="32"/>
          <w:szCs w:val="32"/>
          <w:highlight w:val="none"/>
        </w:rPr>
        <w:t>一、收入支出决算总表</w:t>
      </w:r>
      <w:bookmarkEnd w:id="68"/>
      <w:bookmarkEnd w:id="69"/>
    </w:p>
    <w:p w14:paraId="585E52DC">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0" w:name="_Toc15396620"/>
      <w:bookmarkStart w:id="71" w:name="_Toc10614"/>
      <w:r>
        <w:rPr>
          <w:rFonts w:hint="eastAsia" w:ascii="Times New Roman" w:hAnsi="Times New Roman" w:eastAsia="仿宋_GB2312" w:cs="仿宋_GB2312"/>
          <w:color w:val="auto"/>
          <w:sz w:val="32"/>
          <w:szCs w:val="32"/>
          <w:highlight w:val="none"/>
        </w:rPr>
        <w:t>二、收入决算表</w:t>
      </w:r>
      <w:bookmarkEnd w:id="70"/>
      <w:bookmarkEnd w:id="71"/>
    </w:p>
    <w:p w14:paraId="61C5EB46">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2" w:name="_Toc15396621"/>
      <w:bookmarkStart w:id="73" w:name="_Toc14774"/>
      <w:r>
        <w:rPr>
          <w:rFonts w:hint="eastAsia" w:ascii="Times New Roman" w:hAnsi="Times New Roman" w:eastAsia="仿宋_GB2312" w:cs="仿宋_GB2312"/>
          <w:color w:val="auto"/>
          <w:sz w:val="32"/>
          <w:szCs w:val="32"/>
          <w:highlight w:val="none"/>
        </w:rPr>
        <w:t>三、支出决算表</w:t>
      </w:r>
      <w:bookmarkEnd w:id="72"/>
      <w:bookmarkEnd w:id="73"/>
    </w:p>
    <w:p w14:paraId="2B40FB6D">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4" w:name="_Toc5392"/>
      <w:bookmarkStart w:id="75" w:name="_Toc15396622"/>
      <w:r>
        <w:rPr>
          <w:rFonts w:hint="eastAsia" w:ascii="Times New Roman" w:hAnsi="Times New Roman" w:eastAsia="仿宋_GB2312" w:cs="仿宋_GB2312"/>
          <w:color w:val="auto"/>
          <w:sz w:val="32"/>
          <w:szCs w:val="32"/>
          <w:highlight w:val="none"/>
        </w:rPr>
        <w:t>四、财政拨款收入支出决算总表</w:t>
      </w:r>
      <w:bookmarkEnd w:id="74"/>
      <w:bookmarkEnd w:id="75"/>
    </w:p>
    <w:p w14:paraId="0221BCAD">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6" w:name="_Toc15396623"/>
      <w:bookmarkStart w:id="77" w:name="_Toc29475"/>
      <w:r>
        <w:rPr>
          <w:rFonts w:hint="eastAsia" w:ascii="Times New Roman" w:hAnsi="Times New Roman" w:eastAsia="仿宋_GB2312" w:cs="仿宋_GB2312"/>
          <w:color w:val="auto"/>
          <w:sz w:val="32"/>
          <w:szCs w:val="32"/>
          <w:highlight w:val="none"/>
        </w:rPr>
        <w:t>五、财政拨款支出决算明细表</w:t>
      </w:r>
      <w:bookmarkEnd w:id="76"/>
      <w:bookmarkEnd w:id="77"/>
      <w:bookmarkStart w:id="78" w:name="_Toc15396624"/>
    </w:p>
    <w:p w14:paraId="53FD6F55">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79" w:name="_Toc2870"/>
      <w:r>
        <w:rPr>
          <w:rFonts w:hint="eastAsia" w:ascii="Times New Roman" w:hAnsi="Times New Roman" w:eastAsia="仿宋_GB2312" w:cs="仿宋_GB2312"/>
          <w:color w:val="auto"/>
          <w:sz w:val="32"/>
          <w:szCs w:val="32"/>
          <w:highlight w:val="none"/>
        </w:rPr>
        <w:t>六、一般公共预算财政拨款支出决算表</w:t>
      </w:r>
      <w:bookmarkEnd w:id="78"/>
      <w:bookmarkEnd w:id="79"/>
    </w:p>
    <w:p w14:paraId="2B8EE2E2">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0" w:name="_Toc25605"/>
      <w:bookmarkStart w:id="81" w:name="_Toc15396625"/>
      <w:r>
        <w:rPr>
          <w:rFonts w:hint="eastAsia" w:ascii="Times New Roman" w:hAnsi="Times New Roman" w:eastAsia="仿宋_GB2312" w:cs="仿宋_GB2312"/>
          <w:color w:val="auto"/>
          <w:sz w:val="32"/>
          <w:szCs w:val="32"/>
          <w:highlight w:val="none"/>
        </w:rPr>
        <w:t>七、一般公共预算财政拨款支出决算明细表</w:t>
      </w:r>
      <w:bookmarkEnd w:id="80"/>
      <w:bookmarkEnd w:id="81"/>
    </w:p>
    <w:p w14:paraId="7A3EDB48">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2" w:name="_Toc3760"/>
      <w:bookmarkStart w:id="83" w:name="_Toc15396626"/>
      <w:r>
        <w:rPr>
          <w:rFonts w:hint="eastAsia" w:ascii="Times New Roman" w:hAnsi="Times New Roman" w:eastAsia="仿宋_GB2312" w:cs="仿宋_GB2312"/>
          <w:color w:val="auto"/>
          <w:sz w:val="32"/>
          <w:szCs w:val="32"/>
          <w:highlight w:val="none"/>
        </w:rPr>
        <w:t>八、一般公共预算财政拨款基本支出决算表</w:t>
      </w:r>
      <w:bookmarkEnd w:id="82"/>
      <w:bookmarkEnd w:id="83"/>
    </w:p>
    <w:p w14:paraId="71633B3C">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4" w:name="_Toc26330"/>
      <w:bookmarkStart w:id="85" w:name="_Toc15396627"/>
      <w:r>
        <w:rPr>
          <w:rFonts w:hint="eastAsia" w:ascii="Times New Roman" w:hAnsi="Times New Roman" w:eastAsia="仿宋_GB2312" w:cs="仿宋_GB2312"/>
          <w:color w:val="auto"/>
          <w:sz w:val="32"/>
          <w:szCs w:val="32"/>
          <w:highlight w:val="none"/>
        </w:rPr>
        <w:t>九、一般公共预算财政拨款项目支出决算表</w:t>
      </w:r>
      <w:bookmarkEnd w:id="84"/>
      <w:bookmarkEnd w:id="85"/>
    </w:p>
    <w:p w14:paraId="5C8191B7">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6" w:name="_Toc15396628"/>
      <w:bookmarkStart w:id="87" w:name="_Toc12171"/>
      <w:r>
        <w:rPr>
          <w:rFonts w:hint="eastAsia" w:ascii="Times New Roman" w:hAnsi="Times New Roman" w:eastAsia="仿宋_GB2312" w:cs="仿宋_GB2312"/>
          <w:color w:val="auto"/>
          <w:sz w:val="32"/>
          <w:szCs w:val="32"/>
          <w:highlight w:val="none"/>
        </w:rPr>
        <w:t>十、</w:t>
      </w:r>
      <w:bookmarkEnd w:id="86"/>
      <w:r>
        <w:rPr>
          <w:rFonts w:hint="eastAsia" w:ascii="Times New Roman" w:hAnsi="Times New Roman" w:eastAsia="仿宋_GB2312" w:cs="仿宋_GB2312"/>
          <w:color w:val="auto"/>
          <w:sz w:val="32"/>
          <w:szCs w:val="32"/>
          <w:highlight w:val="none"/>
        </w:rPr>
        <w:t>政府性基金预算财政拨款收入支出决算表</w:t>
      </w:r>
      <w:bookmarkEnd w:id="87"/>
    </w:p>
    <w:p w14:paraId="2554C6AC">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88" w:name="_Toc15396629"/>
      <w:bookmarkStart w:id="89" w:name="_Toc5335"/>
      <w:r>
        <w:rPr>
          <w:rFonts w:hint="eastAsia" w:ascii="Times New Roman" w:hAnsi="Times New Roman" w:eastAsia="仿宋_GB2312" w:cs="仿宋_GB2312"/>
          <w:color w:val="auto"/>
          <w:sz w:val="32"/>
          <w:szCs w:val="32"/>
          <w:highlight w:val="none"/>
        </w:rPr>
        <w:t>十一、</w:t>
      </w:r>
      <w:bookmarkEnd w:id="8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89"/>
    </w:p>
    <w:p w14:paraId="54F8AF3D">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rPr>
      </w:pPr>
      <w:bookmarkStart w:id="90" w:name="_Toc15396630"/>
      <w:bookmarkStart w:id="91" w:name="_Toc19972"/>
      <w:r>
        <w:rPr>
          <w:rFonts w:hint="eastAsia" w:ascii="Times New Roman" w:hAnsi="Times New Roman" w:eastAsia="仿宋_GB2312" w:cs="仿宋_GB2312"/>
          <w:color w:val="auto"/>
          <w:sz w:val="32"/>
          <w:szCs w:val="32"/>
          <w:highlight w:val="none"/>
        </w:rPr>
        <w:t>十二、</w:t>
      </w:r>
      <w:bookmarkEnd w:id="90"/>
      <w:r>
        <w:rPr>
          <w:rFonts w:hint="eastAsia" w:ascii="Times New Roman" w:hAnsi="Times New Roman" w:eastAsia="仿宋_GB2312" w:cs="仿宋_GB2312"/>
          <w:color w:val="auto"/>
          <w:sz w:val="32"/>
          <w:szCs w:val="32"/>
          <w:highlight w:val="none"/>
          <w:lang w:eastAsia="zh-CN"/>
        </w:rPr>
        <w:t>国有资本经营预算财政拨款支出决算表</w:t>
      </w:r>
      <w:bookmarkEnd w:id="91"/>
    </w:p>
    <w:p w14:paraId="47908272">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outlineLvl w:val="1"/>
        <w:rPr>
          <w:rFonts w:hint="eastAsia" w:ascii="Times New Roman" w:hAnsi="Times New Roman" w:eastAsia="仿宋_GB2312" w:cs="仿宋_GB2312"/>
          <w:color w:val="auto"/>
          <w:sz w:val="32"/>
          <w:szCs w:val="32"/>
          <w:highlight w:val="none"/>
          <w:lang w:eastAsia="zh-CN"/>
        </w:rPr>
      </w:pPr>
      <w:bookmarkStart w:id="92" w:name="_Toc15396631"/>
      <w:bookmarkStart w:id="93" w:name="_Toc12736"/>
      <w:r>
        <w:rPr>
          <w:rFonts w:hint="eastAsia" w:ascii="Times New Roman" w:hAnsi="Times New Roman" w:eastAsia="仿宋_GB2312" w:cs="仿宋_GB2312"/>
          <w:color w:val="auto"/>
          <w:sz w:val="32"/>
          <w:szCs w:val="32"/>
          <w:highlight w:val="none"/>
        </w:rPr>
        <w:t>十三、</w:t>
      </w:r>
      <w:bookmarkEnd w:id="92"/>
      <w:r>
        <w:rPr>
          <w:rFonts w:hint="eastAsia" w:ascii="Times New Roman" w:hAnsi="Times New Roman" w:eastAsia="仿宋_GB2312" w:cs="仿宋_GB2312"/>
          <w:color w:val="auto"/>
          <w:sz w:val="32"/>
          <w:szCs w:val="32"/>
          <w:highlight w:val="none"/>
          <w:lang w:eastAsia="zh-CN"/>
        </w:rPr>
        <w:t>财政拨款“三公”经费支出决算表</w:t>
      </w:r>
      <w:bookmarkEnd w:id="93"/>
    </w:p>
    <w:p w14:paraId="08966D4F">
      <w:pPr>
        <w:rPr>
          <w:rFonts w:hint="eastAsia" w:ascii="Times New Roman" w:hAnsi="Times New Roman"/>
          <w:highlight w:val="none"/>
          <w:lang w:eastAsia="zh-CN"/>
        </w:rPr>
      </w:pPr>
    </w:p>
    <w:sectPr>
      <w:pgSz w:w="11906" w:h="16838"/>
      <w:pgMar w:top="1440" w:right="1800" w:bottom="1440" w:left="180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56F4B00-1799-4EBE-9749-34407F937AA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814FBC4C-54EA-46A8-B6B6-DB0AD735E6FC}"/>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2C3262BF-C850-4394-8957-0D21D8D86237}"/>
  </w:font>
  <w:font w:name="仿宋">
    <w:panose1 w:val="02010609060101010101"/>
    <w:charset w:val="86"/>
    <w:family w:val="modern"/>
    <w:pitch w:val="default"/>
    <w:sig w:usb0="800002BF" w:usb1="38CF7CFA" w:usb2="00000016" w:usb3="00000000" w:csb0="00040001" w:csb1="00000000"/>
    <w:embedRegular r:id="rId4" w:fontKey="{2AF032E3-CFF7-4104-A35C-10F3F2531287}"/>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5" w:fontKey="{F1C2BE27-17D9-4DA9-83F1-01CC294BD18E}"/>
  </w:font>
  <w:font w:name="楷体_GB2312">
    <w:altName w:val="楷体"/>
    <w:panose1 w:val="02010609030101010101"/>
    <w:charset w:val="86"/>
    <w:family w:val="auto"/>
    <w:pitch w:val="default"/>
    <w:sig w:usb0="00000000" w:usb1="00000000" w:usb2="00000000" w:usb3="00000000" w:csb0="00040000" w:csb1="00000000"/>
    <w:embedRegular r:id="rId6" w:fontKey="{C36FF338-0EA3-4C37-ADA2-CF6003748592}"/>
  </w:font>
  <w:font w:name="楷体">
    <w:panose1 w:val="02010609060101010101"/>
    <w:charset w:val="86"/>
    <w:family w:val="auto"/>
    <w:pitch w:val="default"/>
    <w:sig w:usb0="800002BF" w:usb1="38CF7CFA" w:usb2="00000016" w:usb3="00000000" w:csb0="00040001" w:csb1="00000000"/>
    <w:embedRegular r:id="rId7" w:fontKey="{98140EF2-E626-4D86-BC06-A4FFF8B23F76}"/>
  </w:font>
  <w:font w:name="微软雅黑">
    <w:panose1 w:val="020B0503020204020204"/>
    <w:charset w:val="86"/>
    <w:family w:val="auto"/>
    <w:pitch w:val="default"/>
    <w:sig w:usb0="80000287" w:usb1="2ACF3C50" w:usb2="00000016" w:usb3="00000000" w:csb0="0004001F" w:csb1="00000000"/>
    <w:embedRegular r:id="rId8" w:fontKey="{7748FA25-B2AA-4AC3-8705-2B8DACA6CC94}"/>
  </w:font>
  <w:font w:name="*KSWBRNYODG0_17_0">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124F0">
    <w:pPr>
      <w:pStyle w:val="12"/>
      <w:jc w:val="center"/>
    </w:pPr>
  </w:p>
  <w:p w14:paraId="3777894B">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46423">
    <w:pPr>
      <w:pStyle w:val="12"/>
      <w:jc w:val="center"/>
    </w:pPr>
  </w:p>
  <w:p w14:paraId="031821C6">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A7EFF">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31D20">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526C50"/>
    <w:multiLevelType w:val="singleLevel"/>
    <w:tmpl w:val="A7526C50"/>
    <w:lvl w:ilvl="0" w:tentative="0">
      <w:start w:val="1"/>
      <w:numFmt w:val="decimal"/>
      <w:suff w:val="nothing"/>
      <w:lvlText w:val="%1．"/>
      <w:lvlJc w:val="left"/>
      <w:pPr>
        <w:ind w:left="0" w:firstLine="400"/>
      </w:pPr>
      <w:rPr>
        <w:rFonts w:hint="default"/>
        <w:sz w:val="32"/>
        <w:szCs w:val="32"/>
      </w:rPr>
    </w:lvl>
  </w:abstractNum>
  <w:abstractNum w:abstractNumId="1">
    <w:nsid w:val="E09DFF8A"/>
    <w:multiLevelType w:val="singleLevel"/>
    <w:tmpl w:val="E09DFF8A"/>
    <w:lvl w:ilvl="0" w:tentative="0">
      <w:start w:val="1"/>
      <w:numFmt w:val="decimal"/>
      <w:suff w:val="nothing"/>
      <w:lvlText w:val="%1．"/>
      <w:lvlJc w:val="left"/>
      <w:pPr>
        <w:ind w:left="0" w:firstLine="400"/>
      </w:pPr>
      <w:rPr>
        <w:rFonts w:hint="default"/>
        <w:sz w:val="32"/>
        <w:szCs w:val="32"/>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E5743"/>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29C7664"/>
    <w:rsid w:val="02FEBE30"/>
    <w:rsid w:val="03030BB2"/>
    <w:rsid w:val="04826D2E"/>
    <w:rsid w:val="04916F1E"/>
    <w:rsid w:val="04DB26FC"/>
    <w:rsid w:val="057228FE"/>
    <w:rsid w:val="061E35DE"/>
    <w:rsid w:val="06523F87"/>
    <w:rsid w:val="066E0107"/>
    <w:rsid w:val="07375BAD"/>
    <w:rsid w:val="07996F6E"/>
    <w:rsid w:val="07DFD8BA"/>
    <w:rsid w:val="0841638B"/>
    <w:rsid w:val="08713341"/>
    <w:rsid w:val="09257549"/>
    <w:rsid w:val="09867E8F"/>
    <w:rsid w:val="0A2032A3"/>
    <w:rsid w:val="0A670558"/>
    <w:rsid w:val="0BA457DB"/>
    <w:rsid w:val="0C7D16A3"/>
    <w:rsid w:val="0CA8290A"/>
    <w:rsid w:val="0CBB28B8"/>
    <w:rsid w:val="0D35B1ED"/>
    <w:rsid w:val="0DF54607"/>
    <w:rsid w:val="0E063231"/>
    <w:rsid w:val="0E254B6B"/>
    <w:rsid w:val="0F98263C"/>
    <w:rsid w:val="101860EC"/>
    <w:rsid w:val="101F47CC"/>
    <w:rsid w:val="10C055FF"/>
    <w:rsid w:val="11694EBD"/>
    <w:rsid w:val="11772AA4"/>
    <w:rsid w:val="118107EC"/>
    <w:rsid w:val="125C0BBE"/>
    <w:rsid w:val="12E24EE2"/>
    <w:rsid w:val="13390EFF"/>
    <w:rsid w:val="13D50BC4"/>
    <w:rsid w:val="14B17F78"/>
    <w:rsid w:val="15397A06"/>
    <w:rsid w:val="165E0673"/>
    <w:rsid w:val="16AB2E5D"/>
    <w:rsid w:val="16B831D5"/>
    <w:rsid w:val="16BB723D"/>
    <w:rsid w:val="175400B6"/>
    <w:rsid w:val="175B488E"/>
    <w:rsid w:val="17E50567"/>
    <w:rsid w:val="186504BB"/>
    <w:rsid w:val="188744BB"/>
    <w:rsid w:val="19A445FC"/>
    <w:rsid w:val="1BA93DE4"/>
    <w:rsid w:val="1BE8440E"/>
    <w:rsid w:val="1CBF06C7"/>
    <w:rsid w:val="1CC6347C"/>
    <w:rsid w:val="1D155CEE"/>
    <w:rsid w:val="1D1638FE"/>
    <w:rsid w:val="1DEA3522"/>
    <w:rsid w:val="1E312DEB"/>
    <w:rsid w:val="1E740ACF"/>
    <w:rsid w:val="1F413615"/>
    <w:rsid w:val="1FF35744"/>
    <w:rsid w:val="1FF6BC77"/>
    <w:rsid w:val="208642F4"/>
    <w:rsid w:val="2186353C"/>
    <w:rsid w:val="21DE16AF"/>
    <w:rsid w:val="22791318"/>
    <w:rsid w:val="23540202"/>
    <w:rsid w:val="23860B96"/>
    <w:rsid w:val="238B670A"/>
    <w:rsid w:val="23BC14BC"/>
    <w:rsid w:val="240371BF"/>
    <w:rsid w:val="241E5CD3"/>
    <w:rsid w:val="244F3473"/>
    <w:rsid w:val="24C97D99"/>
    <w:rsid w:val="250E6DEB"/>
    <w:rsid w:val="25A718F0"/>
    <w:rsid w:val="25BB59F6"/>
    <w:rsid w:val="260F557C"/>
    <w:rsid w:val="261E020C"/>
    <w:rsid w:val="26970054"/>
    <w:rsid w:val="27316648"/>
    <w:rsid w:val="277F117F"/>
    <w:rsid w:val="27FA446F"/>
    <w:rsid w:val="281408E2"/>
    <w:rsid w:val="29656152"/>
    <w:rsid w:val="29FD04D3"/>
    <w:rsid w:val="2AA62D6D"/>
    <w:rsid w:val="2ABD43F8"/>
    <w:rsid w:val="2BFF7BC6"/>
    <w:rsid w:val="2C715B69"/>
    <w:rsid w:val="2C8A61B5"/>
    <w:rsid w:val="2D305A3B"/>
    <w:rsid w:val="2DA41CE1"/>
    <w:rsid w:val="2DC27430"/>
    <w:rsid w:val="2DF04E50"/>
    <w:rsid w:val="2E184C68"/>
    <w:rsid w:val="2E586DFA"/>
    <w:rsid w:val="2F040D46"/>
    <w:rsid w:val="2F320885"/>
    <w:rsid w:val="2F5F53F2"/>
    <w:rsid w:val="2F6B035B"/>
    <w:rsid w:val="2FAE5751"/>
    <w:rsid w:val="2FB1A395"/>
    <w:rsid w:val="2FD9A7D8"/>
    <w:rsid w:val="2FDBF714"/>
    <w:rsid w:val="30AB6865"/>
    <w:rsid w:val="311C359A"/>
    <w:rsid w:val="315C7E3B"/>
    <w:rsid w:val="316B62D0"/>
    <w:rsid w:val="319F7F4E"/>
    <w:rsid w:val="31AB4AC2"/>
    <w:rsid w:val="32BD1EF1"/>
    <w:rsid w:val="3304709D"/>
    <w:rsid w:val="33A773CB"/>
    <w:rsid w:val="34665331"/>
    <w:rsid w:val="349D6851"/>
    <w:rsid w:val="3521172E"/>
    <w:rsid w:val="35D755E7"/>
    <w:rsid w:val="36637A9D"/>
    <w:rsid w:val="368F0CB2"/>
    <w:rsid w:val="36AA5135"/>
    <w:rsid w:val="36BE0DA7"/>
    <w:rsid w:val="36DD2F4E"/>
    <w:rsid w:val="376B6AA6"/>
    <w:rsid w:val="376D39B2"/>
    <w:rsid w:val="37C678CF"/>
    <w:rsid w:val="37E16F03"/>
    <w:rsid w:val="37F53A3B"/>
    <w:rsid w:val="389B6C89"/>
    <w:rsid w:val="38D469F0"/>
    <w:rsid w:val="3913458B"/>
    <w:rsid w:val="392C4597"/>
    <w:rsid w:val="393A4D47"/>
    <w:rsid w:val="39627CCD"/>
    <w:rsid w:val="397BAF1F"/>
    <w:rsid w:val="39C80763"/>
    <w:rsid w:val="3AB79AF3"/>
    <w:rsid w:val="3ACC6031"/>
    <w:rsid w:val="3AD81A2B"/>
    <w:rsid w:val="3AE834C0"/>
    <w:rsid w:val="3AFB2473"/>
    <w:rsid w:val="3B7EF35A"/>
    <w:rsid w:val="3B9FDB6C"/>
    <w:rsid w:val="3BF5BC2F"/>
    <w:rsid w:val="3CAB7EC8"/>
    <w:rsid w:val="3CEBA265"/>
    <w:rsid w:val="3D98207C"/>
    <w:rsid w:val="3D982857"/>
    <w:rsid w:val="3DAE1A1E"/>
    <w:rsid w:val="3DEE7CF3"/>
    <w:rsid w:val="3E4707A5"/>
    <w:rsid w:val="3E740A63"/>
    <w:rsid w:val="3E78745D"/>
    <w:rsid w:val="3EDE0BF0"/>
    <w:rsid w:val="3EE17838"/>
    <w:rsid w:val="3F536D21"/>
    <w:rsid w:val="3F55381A"/>
    <w:rsid w:val="3F7F7599"/>
    <w:rsid w:val="3FE37CCF"/>
    <w:rsid w:val="3FF4CAE0"/>
    <w:rsid w:val="3FF7B227"/>
    <w:rsid w:val="40416B7A"/>
    <w:rsid w:val="40A47108"/>
    <w:rsid w:val="412F2E76"/>
    <w:rsid w:val="416F7D53"/>
    <w:rsid w:val="42B0448A"/>
    <w:rsid w:val="43164D0D"/>
    <w:rsid w:val="434D1CD9"/>
    <w:rsid w:val="43911BC6"/>
    <w:rsid w:val="44E268DA"/>
    <w:rsid w:val="450D13D7"/>
    <w:rsid w:val="454C31E3"/>
    <w:rsid w:val="45506656"/>
    <w:rsid w:val="45B7168C"/>
    <w:rsid w:val="463902F3"/>
    <w:rsid w:val="478919AF"/>
    <w:rsid w:val="48131E90"/>
    <w:rsid w:val="48313923"/>
    <w:rsid w:val="483C5908"/>
    <w:rsid w:val="486A6C7A"/>
    <w:rsid w:val="4A627F82"/>
    <w:rsid w:val="4B0E749A"/>
    <w:rsid w:val="4B2477C4"/>
    <w:rsid w:val="4B4F25DA"/>
    <w:rsid w:val="4BE068DB"/>
    <w:rsid w:val="4BE13907"/>
    <w:rsid w:val="4D510618"/>
    <w:rsid w:val="4D577224"/>
    <w:rsid w:val="4DBA7040"/>
    <w:rsid w:val="4DBF1CEB"/>
    <w:rsid w:val="4DF0007C"/>
    <w:rsid w:val="4EAB630A"/>
    <w:rsid w:val="4ECE2238"/>
    <w:rsid w:val="4F477F24"/>
    <w:rsid w:val="4F833267"/>
    <w:rsid w:val="4FB862CC"/>
    <w:rsid w:val="4FE9BD67"/>
    <w:rsid w:val="4FFB052F"/>
    <w:rsid w:val="52D47D21"/>
    <w:rsid w:val="533B7DA0"/>
    <w:rsid w:val="537E6D0A"/>
    <w:rsid w:val="53A828E9"/>
    <w:rsid w:val="53F74C96"/>
    <w:rsid w:val="53FD0BB2"/>
    <w:rsid w:val="54C65448"/>
    <w:rsid w:val="55170BA8"/>
    <w:rsid w:val="553218C9"/>
    <w:rsid w:val="55772500"/>
    <w:rsid w:val="55CB540B"/>
    <w:rsid w:val="567E1AA5"/>
    <w:rsid w:val="56E47B74"/>
    <w:rsid w:val="57175D52"/>
    <w:rsid w:val="57906374"/>
    <w:rsid w:val="57A7338F"/>
    <w:rsid w:val="57BD3DD4"/>
    <w:rsid w:val="581A01B1"/>
    <w:rsid w:val="584E2B8F"/>
    <w:rsid w:val="5A0D6898"/>
    <w:rsid w:val="5A3B68D8"/>
    <w:rsid w:val="5A9F6E67"/>
    <w:rsid w:val="5AF92295"/>
    <w:rsid w:val="5B250254"/>
    <w:rsid w:val="5BDD79E6"/>
    <w:rsid w:val="5BF561CA"/>
    <w:rsid w:val="5BFF5DFC"/>
    <w:rsid w:val="5C7779C1"/>
    <w:rsid w:val="5C8D7611"/>
    <w:rsid w:val="5CD71FC4"/>
    <w:rsid w:val="5D1F11B5"/>
    <w:rsid w:val="5D695134"/>
    <w:rsid w:val="5D8272F5"/>
    <w:rsid w:val="5DAE1B18"/>
    <w:rsid w:val="5DE7D9E5"/>
    <w:rsid w:val="5ECEC941"/>
    <w:rsid w:val="5FBF9FF3"/>
    <w:rsid w:val="5FCD4E2C"/>
    <w:rsid w:val="5FEF394A"/>
    <w:rsid w:val="5FF67715"/>
    <w:rsid w:val="5FFB68ED"/>
    <w:rsid w:val="60BB7E2A"/>
    <w:rsid w:val="612E2892"/>
    <w:rsid w:val="62BF3928"/>
    <w:rsid w:val="632C3261"/>
    <w:rsid w:val="63B3701E"/>
    <w:rsid w:val="647F5392"/>
    <w:rsid w:val="651951E5"/>
    <w:rsid w:val="65E66580"/>
    <w:rsid w:val="664B1D71"/>
    <w:rsid w:val="664B4E8E"/>
    <w:rsid w:val="66547382"/>
    <w:rsid w:val="66B477F6"/>
    <w:rsid w:val="66D206EE"/>
    <w:rsid w:val="67277B67"/>
    <w:rsid w:val="674A63AC"/>
    <w:rsid w:val="675F3C06"/>
    <w:rsid w:val="678E7ECB"/>
    <w:rsid w:val="67AA3209"/>
    <w:rsid w:val="698D0931"/>
    <w:rsid w:val="6A6F3CED"/>
    <w:rsid w:val="6A7FE5F3"/>
    <w:rsid w:val="6AD541DF"/>
    <w:rsid w:val="6B053271"/>
    <w:rsid w:val="6B555ED8"/>
    <w:rsid w:val="6BDD78B3"/>
    <w:rsid w:val="6C4A05C8"/>
    <w:rsid w:val="6C8742B8"/>
    <w:rsid w:val="6D013069"/>
    <w:rsid w:val="6DBF5E93"/>
    <w:rsid w:val="6DFF077E"/>
    <w:rsid w:val="6E714EF0"/>
    <w:rsid w:val="6E7E3605"/>
    <w:rsid w:val="6E7FDCC7"/>
    <w:rsid w:val="6EC46A44"/>
    <w:rsid w:val="6ED6A62E"/>
    <w:rsid w:val="6EE00B15"/>
    <w:rsid w:val="6F6FB3EB"/>
    <w:rsid w:val="6F8731EA"/>
    <w:rsid w:val="6FCE6052"/>
    <w:rsid w:val="6FD57C00"/>
    <w:rsid w:val="6FEFFFD8"/>
    <w:rsid w:val="6FF5CC65"/>
    <w:rsid w:val="6FFB47EC"/>
    <w:rsid w:val="6FFF034A"/>
    <w:rsid w:val="70484440"/>
    <w:rsid w:val="712A28F1"/>
    <w:rsid w:val="715C0E4B"/>
    <w:rsid w:val="71992E7C"/>
    <w:rsid w:val="72233669"/>
    <w:rsid w:val="72734D90"/>
    <w:rsid w:val="73160E6D"/>
    <w:rsid w:val="7332FE48"/>
    <w:rsid w:val="73AB61DA"/>
    <w:rsid w:val="73AD73D5"/>
    <w:rsid w:val="73B6EB34"/>
    <w:rsid w:val="73FA497D"/>
    <w:rsid w:val="74343D24"/>
    <w:rsid w:val="744731E5"/>
    <w:rsid w:val="74BBD01D"/>
    <w:rsid w:val="74ED5379"/>
    <w:rsid w:val="75DEEEC2"/>
    <w:rsid w:val="75E32345"/>
    <w:rsid w:val="76E3355F"/>
    <w:rsid w:val="76FF5125"/>
    <w:rsid w:val="776F6FFA"/>
    <w:rsid w:val="778769C8"/>
    <w:rsid w:val="77A75DCA"/>
    <w:rsid w:val="77DC22F5"/>
    <w:rsid w:val="783E271A"/>
    <w:rsid w:val="78616DE9"/>
    <w:rsid w:val="78C95383"/>
    <w:rsid w:val="78E35DB2"/>
    <w:rsid w:val="78E875D7"/>
    <w:rsid w:val="79086DAD"/>
    <w:rsid w:val="79D7FD79"/>
    <w:rsid w:val="79EE5BA4"/>
    <w:rsid w:val="7A0174D5"/>
    <w:rsid w:val="7A5779CE"/>
    <w:rsid w:val="7A894339"/>
    <w:rsid w:val="7AD284E8"/>
    <w:rsid w:val="7AFF7572"/>
    <w:rsid w:val="7B264BB7"/>
    <w:rsid w:val="7B6C7DFB"/>
    <w:rsid w:val="7B8C6B3B"/>
    <w:rsid w:val="7BBFBED0"/>
    <w:rsid w:val="7BC3E394"/>
    <w:rsid w:val="7C1F3737"/>
    <w:rsid w:val="7CBFC87B"/>
    <w:rsid w:val="7CE8640F"/>
    <w:rsid w:val="7CFE0F48"/>
    <w:rsid w:val="7D272ABC"/>
    <w:rsid w:val="7D7EC23E"/>
    <w:rsid w:val="7DE70964"/>
    <w:rsid w:val="7DF84014"/>
    <w:rsid w:val="7E8ADEBF"/>
    <w:rsid w:val="7EEF11D3"/>
    <w:rsid w:val="7EFE4840"/>
    <w:rsid w:val="7F0971A6"/>
    <w:rsid w:val="7F1B454B"/>
    <w:rsid w:val="7F1D62E7"/>
    <w:rsid w:val="7F3F679B"/>
    <w:rsid w:val="7F4FC4EF"/>
    <w:rsid w:val="7F5E4D54"/>
    <w:rsid w:val="7F6E0135"/>
    <w:rsid w:val="7F79F205"/>
    <w:rsid w:val="7FA30C79"/>
    <w:rsid w:val="7FA79C44"/>
    <w:rsid w:val="7FAF4BA7"/>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Normal Indent"/>
    <w:basedOn w:val="1"/>
    <w:unhideWhenUsed/>
    <w:qFormat/>
    <w:uiPriority w:val="99"/>
    <w:pPr>
      <w:ind w:firstLine="680"/>
    </w:pPr>
  </w:style>
  <w:style w:type="paragraph" w:styleId="7">
    <w:name w:val="Body Text"/>
    <w:basedOn w:val="1"/>
    <w:link w:val="26"/>
    <w:qFormat/>
    <w:uiPriority w:val="99"/>
    <w:pPr>
      <w:spacing w:beforeLines="30"/>
    </w:pPr>
    <w:rPr>
      <w:rFonts w:ascii="仿宋_GB2312" w:eastAsia="仿宋_GB2312"/>
      <w:kern w:val="0"/>
      <w:sz w:val="30"/>
    </w:rPr>
  </w:style>
  <w:style w:type="paragraph" w:styleId="8">
    <w:name w:val="Body Text Indent"/>
    <w:basedOn w:val="1"/>
    <w:next w:val="9"/>
    <w:qFormat/>
    <w:uiPriority w:val="0"/>
    <w:pPr>
      <w:spacing w:after="120"/>
      <w:ind w:leftChars="200"/>
    </w:pPr>
    <w:rPr>
      <w:rFonts w:ascii="仿宋_GB2312"/>
      <w:szCs w:val="32"/>
    </w:rPr>
  </w:style>
  <w:style w:type="paragraph" w:styleId="9">
    <w:name w:val="Body Text First Indent 2"/>
    <w:basedOn w:val="8"/>
    <w:unhideWhenUsed/>
    <w:qFormat/>
    <w:uiPriority w:val="99"/>
    <w:pPr>
      <w:ind w:firstLine="420" w:firstLineChars="200"/>
    </w:pPr>
  </w:style>
  <w:style w:type="paragraph" w:styleId="10">
    <w:name w:val="toc 3"/>
    <w:basedOn w:val="1"/>
    <w:next w:val="1"/>
    <w:unhideWhenUsed/>
    <w:qFormat/>
    <w:uiPriority w:val="39"/>
    <w:pPr>
      <w:tabs>
        <w:tab w:val="right" w:leader="dot" w:pos="8296"/>
      </w:tabs>
      <w:ind w:left="840" w:leftChars="400"/>
    </w:pPr>
  </w:style>
  <w:style w:type="paragraph" w:styleId="11">
    <w:name w:val="Balloon Text"/>
    <w:basedOn w:val="1"/>
    <w:link w:val="32"/>
    <w:semiHidden/>
    <w:unhideWhenUsed/>
    <w:qFormat/>
    <w:uiPriority w:val="99"/>
    <w:rPr>
      <w:sz w:val="18"/>
      <w:szCs w:val="18"/>
    </w:rPr>
  </w:style>
  <w:style w:type="paragraph" w:styleId="12">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3">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5">
    <w:name w:val="footnote text"/>
    <w:basedOn w:val="1"/>
    <w:next w:val="9"/>
    <w:semiHidden/>
    <w:qFormat/>
    <w:uiPriority w:val="0"/>
    <w:pPr>
      <w:snapToGrid w:val="0"/>
      <w:jc w:val="left"/>
    </w:pPr>
    <w:rPr>
      <w:sz w:val="18"/>
      <w:szCs w:val="18"/>
    </w:r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Header Char"/>
    <w:basedOn w:val="18"/>
    <w:semiHidden/>
    <w:qFormat/>
    <w:uiPriority w:val="99"/>
    <w:rPr>
      <w:rFonts w:ascii="Times New Roman" w:hAnsi="Times New Roman"/>
      <w:sz w:val="18"/>
      <w:szCs w:val="18"/>
    </w:rPr>
  </w:style>
  <w:style w:type="character" w:customStyle="1" w:styleId="22">
    <w:name w:val="页眉 Char"/>
    <w:link w:val="13"/>
    <w:semiHidden/>
    <w:qFormat/>
    <w:locked/>
    <w:uiPriority w:val="99"/>
    <w:rPr>
      <w:sz w:val="18"/>
    </w:rPr>
  </w:style>
  <w:style w:type="character" w:customStyle="1" w:styleId="23">
    <w:name w:val="Footer Char"/>
    <w:basedOn w:val="18"/>
    <w:semiHidden/>
    <w:qFormat/>
    <w:uiPriority w:val="99"/>
    <w:rPr>
      <w:rFonts w:ascii="Times New Roman" w:hAnsi="Times New Roman"/>
      <w:sz w:val="18"/>
      <w:szCs w:val="18"/>
    </w:rPr>
  </w:style>
  <w:style w:type="character" w:customStyle="1" w:styleId="24">
    <w:name w:val="页脚 Char"/>
    <w:link w:val="12"/>
    <w:qFormat/>
    <w:locked/>
    <w:uiPriority w:val="99"/>
    <w:rPr>
      <w:sz w:val="18"/>
    </w:rPr>
  </w:style>
  <w:style w:type="character" w:customStyle="1" w:styleId="25">
    <w:name w:val="Body Text Char"/>
    <w:basedOn w:val="18"/>
    <w:semiHidden/>
    <w:qFormat/>
    <w:uiPriority w:val="99"/>
    <w:rPr>
      <w:rFonts w:ascii="Times New Roman" w:hAnsi="Times New Roman"/>
      <w:szCs w:val="24"/>
    </w:rPr>
  </w:style>
  <w:style w:type="character" w:customStyle="1" w:styleId="26">
    <w:name w:val="正文文本 Char"/>
    <w:link w:val="7"/>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8"/>
    <w:link w:val="3"/>
    <w:qFormat/>
    <w:uiPriority w:val="9"/>
    <w:rPr>
      <w:rFonts w:ascii="Times New Roman" w:hAnsi="Times New Roman"/>
      <w:b/>
      <w:bCs/>
      <w:kern w:val="44"/>
      <w:sz w:val="44"/>
      <w:szCs w:val="44"/>
    </w:rPr>
  </w:style>
  <w:style w:type="character" w:customStyle="1" w:styleId="30">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8"/>
    <w:link w:val="11"/>
    <w:semiHidden/>
    <w:qFormat/>
    <w:uiPriority w:val="99"/>
    <w:rPr>
      <w:rFonts w:ascii="Times New Roman" w:hAnsi="Times New Roman"/>
      <w:kern w:val="2"/>
      <w:sz w:val="18"/>
      <w:szCs w:val="18"/>
    </w:rPr>
  </w:style>
  <w:style w:type="character" w:customStyle="1" w:styleId="33">
    <w:name w:val="标题 3 Char"/>
    <w:basedOn w:val="18"/>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6.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收入、支出决算总计变动（万元）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834.02</c:v>
                </c:pt>
                <c:pt idx="1">
                  <c:v>668.24</c:v>
                </c:pt>
              </c:numCache>
            </c:numRef>
          </c:val>
        </c:ser>
        <c:dLbls>
          <c:showLegendKey val="0"/>
          <c:showVal val="1"/>
          <c:showCatName val="0"/>
          <c:showSerName val="0"/>
          <c:showPercent val="0"/>
          <c:showBubbleSize val="0"/>
        </c:dLbls>
        <c:gapWidth val="150"/>
        <c:overlap val="-25"/>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extLst>
      <c:ext uri="{0b15fc19-7d7d-44ad-8c2d-2c3a37ce22c3}">
        <chartProps xmlns="https://web.wps.cn/et/2018/main" chartId="{1dcebafc-ba78-4c43-bffe-1d5cdf17d59e}"/>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一般公共预算财政收入</c:v>
                </c:pt>
                <c:pt idx="1">
                  <c:v>其他收入</c:v>
                </c:pt>
              </c:strCache>
            </c:strRef>
          </c:cat>
          <c:val>
            <c:numRef>
              <c:f>Sheet1!$B$2:$B$3</c:f>
              <c:numCache>
                <c:formatCode>General</c:formatCode>
                <c:ptCount val="2"/>
                <c:pt idx="0">
                  <c:v>664.27</c:v>
                </c:pt>
                <c:pt idx="1">
                  <c:v>3.97</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c056e32-2964-45c7-a869-d26d0f6fa347}"/>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支出决算图（万元）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398.37</c:v>
                </c:pt>
                <c:pt idx="1">
                  <c:v>265.9</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4c056e32-2964-45c7-a869-d26d0f6fa347}"/>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财政拨款收、支决算总计变动（万元）</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834.02</c:v>
                </c:pt>
                <c:pt idx="1">
                  <c:v>668.24</c:v>
                </c:pt>
              </c:numCache>
            </c:numRef>
          </c:val>
        </c:ser>
        <c:dLbls>
          <c:showLegendKey val="0"/>
          <c:showVal val="1"/>
          <c:showCatName val="0"/>
          <c:showSerName val="0"/>
          <c:showPercent val="0"/>
          <c:showBubbleSize val="0"/>
        </c:dLbls>
        <c:gapWidth val="150"/>
        <c:overlap val="-25"/>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1"/>
        <c:axPos val="l"/>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extLst>
      <c:ext uri="{0b15fc19-7d7d-44ad-8c2d-2c3a37ce22c3}">
        <chartProps xmlns="https://web.wps.cn/et/2018/main" chartId="{363ae6a0-7dbe-4e07-9fdd-e74f50175fe2}"/>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barChart>
        <c:barDir val="col"/>
        <c:grouping val="clustered"/>
        <c:varyColors val="0"/>
        <c:ser>
          <c:idx val="0"/>
          <c:order val="0"/>
          <c:tx>
            <c:strRef>
              <c:f>Sheet1!$B$1</c:f>
              <c:strCache>
                <c:ptCount val="1"/>
                <c:pt idx="0">
                  <c:v>一般公共预算财政拨款支出（万元）</c:v>
                </c:pt>
              </c:strCache>
            </c:strRef>
          </c:tx>
          <c:spPr>
            <a:solidFill>
              <a:schemeClr val="accent1"/>
            </a:solidFill>
            <a:ln>
              <a:noFill/>
            </a:ln>
            <a:effectLst/>
          </c:spPr>
          <c:invertIfNegative val="0"/>
          <c:dLbls>
            <c:delete val="1"/>
          </c:dLbls>
          <c:cat>
            <c:strRef>
              <c:f>Sheet1!$A$2:$A$3</c:f>
              <c:strCache>
                <c:ptCount val="2"/>
                <c:pt idx="0">
                  <c:v>2024年</c:v>
                </c:pt>
                <c:pt idx="1">
                  <c:v>2025年</c:v>
                </c:pt>
              </c:strCache>
            </c:strRef>
          </c:cat>
          <c:val>
            <c:numRef>
              <c:f>Sheet1!$B$2:$B$3</c:f>
              <c:numCache>
                <c:formatCode>General</c:formatCode>
                <c:ptCount val="2"/>
                <c:pt idx="0">
                  <c:v>834.02</c:v>
                </c:pt>
                <c:pt idx="1">
                  <c:v>664.27</c:v>
                </c:pt>
              </c:numCache>
            </c:numRef>
          </c:val>
        </c:ser>
        <c:dLbls>
          <c:showLegendKey val="0"/>
          <c:showVal val="1"/>
          <c:showCatName val="0"/>
          <c:showSerName val="0"/>
          <c:showPercent val="0"/>
          <c:showBubbleSize val="0"/>
        </c:dLbls>
        <c:gapWidth val="150"/>
        <c:overlap val="0"/>
        <c:axId val="692456381"/>
        <c:axId val="494984204"/>
      </c:barChart>
      <c:catAx>
        <c:axId val="69245638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94984204"/>
        <c:crosses val="autoZero"/>
        <c:auto val="1"/>
        <c:lblAlgn val="ctr"/>
        <c:lblOffset val="100"/>
        <c:noMultiLvlLbl val="0"/>
      </c:catAx>
      <c:valAx>
        <c:axId val="49498420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2456381"/>
        <c:crosses val="autoZero"/>
        <c:crossBetween val="between"/>
      </c:valAx>
      <c:spPr>
        <a:noFill/>
        <a:ln>
          <a:noFill/>
        </a:ln>
        <a:effectLst/>
      </c:spPr>
    </c:plotArea>
    <c:plotVisOnly val="1"/>
    <c:dispBlanksAs val="gap"/>
    <c:showDLblsOverMax val="0"/>
    <c:extLst>
      <c:ext uri="{0b15fc19-7d7d-44ad-8c2d-2c3a37ce22c3}">
        <chartProps xmlns="https://web.wps.cn/et/2018/main" chartId="{363ae6a0-7dbe-4e07-9fdd-e74f50175fe2}"/>
      </c:ext>
    </c:extLst>
  </c:chart>
  <c:spPr>
    <a:solidFill>
      <a:schemeClr val="bg1"/>
    </a:solidFill>
    <a:ln w="9525" cap="flat" cmpd="sng" algn="ctr">
      <a:solidFill>
        <a:schemeClr val="tx1"/>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ln>
                <a:noFill/>
              </a:ln>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一般公共预算财政拨款支出（万元）</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ln>
                      <a:noFill/>
                    </a:ln>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一般公共服务支出</c:v>
                </c:pt>
                <c:pt idx="1">
                  <c:v>社会保障和就业支出</c:v>
                </c:pt>
                <c:pt idx="2">
                  <c:v>卫生健康支出</c:v>
                </c:pt>
                <c:pt idx="3">
                  <c:v>住房保障支出</c:v>
                </c:pt>
              </c:strCache>
            </c:strRef>
          </c:cat>
          <c:val>
            <c:numRef>
              <c:f>Sheet1!$B$2:$B$5</c:f>
              <c:numCache>
                <c:formatCode>General</c:formatCode>
                <c:ptCount val="4"/>
                <c:pt idx="0">
                  <c:v>570.39</c:v>
                </c:pt>
                <c:pt idx="1">
                  <c:v>43.62</c:v>
                </c:pt>
                <c:pt idx="2">
                  <c:v>23.46</c:v>
                </c:pt>
                <c:pt idx="3">
                  <c:v>26.8</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egendEntry>
        <c:idx val="0"/>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900" b="0" i="0" u="none" strike="noStrike" kern="1200" baseline="0">
              <a:ln>
                <a:noFill/>
              </a:ln>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c46a54d-594c-40f2-b5cf-af3b2d5997e8}"/>
      </c:ext>
    </c:extLst>
  </c:chart>
  <c:spPr>
    <a:solidFill>
      <a:schemeClr val="bg1"/>
    </a:solidFill>
    <a:ln w="7620" cap="flat" cmpd="sng" algn="ctr">
      <a:solidFill>
        <a:schemeClr val="tx1"/>
      </a:solidFill>
      <a:round/>
    </a:ln>
    <a:effectLst/>
  </c:spPr>
  <c:txPr>
    <a:bodyPr/>
    <a:lstStyle/>
    <a:p>
      <a:pPr>
        <a:defRPr lang="zh-CN">
          <a:ln>
            <a:noFill/>
          </a:ln>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14.06</c:v>
                </c:pt>
                <c:pt idx="2">
                  <c:v>0</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5925bff-242a-4b51-a2bb-806cb12a3a27}"/>
      </c:ext>
    </c:extLst>
  </c:chart>
  <c:spPr>
    <a:solidFill>
      <a:schemeClr val="bg1"/>
    </a:solidFill>
    <a:ln w="7620" cap="flat" cmpd="sng" algn="ctr">
      <a:solidFill>
        <a:schemeClr val="tx1"/>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58</Pages>
  <Words>8206</Words>
  <Characters>8897</Characters>
  <Lines>61</Lines>
  <Paragraphs>17</Paragraphs>
  <TotalTime>2</TotalTime>
  <ScaleCrop>false</ScaleCrop>
  <LinksUpToDate>false</LinksUpToDate>
  <CharactersWithSpaces>9018</CharactersWithSpaces>
  <Application>WPS Office_12.1.0.28792_F1E327BC-269C-435d-A152-05C5408002CA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Tong</cp:lastModifiedBy>
  <cp:lastPrinted>2025-08-06T17:34:00Z</cp:lastPrinted>
  <dcterms:modified xsi:type="dcterms:W3CDTF">2026-09-18T07:12:47Z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2052-12.1.0.28792</vt:lpwstr>
  </property>
  <property fmtid="{D5CDD505-2E9C-101B-9397-08002B2CF9AE}" pid="3" name="ICV">
    <vt:lpwstr>4CCB72908C814FEA90FDB95460230FFF_13</vt:lpwstr>
  </property>
  <property fmtid="{D5CDD505-2E9C-101B-9397-08002B2CF9AE}" pid="4" name="KSOTemplateDocerSaveRecord">
    <vt:lpwstr>eyJoZGlkIjoiYzE2MDBlMDAzMTNhMThlOTQzMDNjNjFlZWI4YmVjZjAiLCJ1c2VySWQiOiI1MTQ3MzUwMTcifQ==</vt:lpwstr>
  </property>
</Properties>
</file>