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hint="eastAsia" w:ascii="Times New Roman" w:hAnsi="Times New Roman" w:eastAsia="方正小标宋简体" w:cs="Times New Roman"/>
          <w:color w:val="auto"/>
          <w:kern w:val="2"/>
          <w:sz w:val="72"/>
          <w:szCs w:val="72"/>
          <w:highlight w:val="none"/>
          <w:lang w:val="en-US" w:eastAsia="zh-CN" w:bidi="ar-SA"/>
        </w:rPr>
      </w:pPr>
      <w:bookmarkStart w:id="0" w:name="_Toc15396597"/>
      <w:bookmarkStart w:id="1" w:name="_Toc15377425"/>
      <w:bookmarkStart w:id="2" w:name="_Toc15396475"/>
      <w:bookmarkStart w:id="3" w:name="_Toc15306267"/>
      <w:bookmarkStart w:id="4" w:name="_Toc15377193"/>
      <w:bookmarkStart w:id="5" w:name="_Toc15378441"/>
    </w:p>
    <w:p>
      <w:pPr>
        <w:pStyle w:val="5"/>
        <w:rPr>
          <w:rFonts w:hint="eastAsia" w:ascii="Times New Roman" w:hAnsi="Times New Roman" w:eastAsia="方正小标宋简体" w:cs="Times New Roman"/>
          <w:color w:val="auto"/>
          <w:kern w:val="2"/>
          <w:sz w:val="72"/>
          <w:szCs w:val="72"/>
          <w:highlight w:val="none"/>
          <w:lang w:val="en-US" w:eastAsia="zh-CN" w:bidi="ar-SA"/>
        </w:rPr>
      </w:pPr>
    </w:p>
    <w:p>
      <w:pPr>
        <w:pStyle w:val="5"/>
        <w:rPr>
          <w:rFonts w:hint="eastAsia" w:ascii="Times New Roman" w:hAnsi="Times New Roman" w:eastAsia="方正小标宋简体" w:cs="Times New Roman"/>
          <w:color w:val="auto"/>
          <w:kern w:val="2"/>
          <w:sz w:val="72"/>
          <w:szCs w:val="72"/>
          <w:highlight w:val="none"/>
          <w:lang w:val="en-US" w:eastAsia="zh-CN" w:bidi="ar-SA"/>
        </w:rPr>
      </w:pPr>
    </w:p>
    <w:p>
      <w:pPr>
        <w:jc w:val="center"/>
        <w:rPr>
          <w:rFonts w:eastAsia="方正小标宋简体"/>
          <w:sz w:val="44"/>
          <w:szCs w:val="44"/>
        </w:rPr>
      </w:pPr>
      <w:r>
        <w:rPr>
          <w:rFonts w:hint="eastAsia" w:ascii="Times New Roman" w:hAnsi="Times New Roman" w:eastAsia="方正小标宋简体" w:cs="Times New Roman"/>
          <w:color w:val="auto"/>
          <w:kern w:val="2"/>
          <w:sz w:val="44"/>
          <w:szCs w:val="44"/>
          <w:highlight w:val="none"/>
          <w:lang w:val="en-US" w:eastAsia="zh-CN" w:bidi="ar-SA"/>
        </w:rPr>
        <w:t>202</w:t>
      </w:r>
      <w:r>
        <w:rPr>
          <w:rFonts w:hint="eastAsia" w:eastAsia="方正小标宋简体" w:cs="Times New Roman"/>
          <w:color w:val="auto"/>
          <w:kern w:val="2"/>
          <w:sz w:val="44"/>
          <w:szCs w:val="44"/>
          <w:highlight w:val="none"/>
          <w:lang w:val="en-US" w:eastAsia="zh-CN" w:bidi="ar-SA"/>
        </w:rPr>
        <w:t>5</w:t>
      </w:r>
      <w:r>
        <w:rPr>
          <w:rFonts w:hint="eastAsia" w:ascii="Times New Roman" w:hAnsi="Times New Roman" w:eastAsia="方正小标宋简体" w:cs="Times New Roman"/>
          <w:color w:val="auto"/>
          <w:kern w:val="2"/>
          <w:sz w:val="44"/>
          <w:szCs w:val="44"/>
          <w:highlight w:val="none"/>
          <w:lang w:val="en-US" w:eastAsia="zh-CN" w:bidi="ar-SA"/>
        </w:rPr>
        <w:t>年度</w:t>
      </w:r>
      <w:r>
        <w:rPr>
          <w:rFonts w:hint="default" w:eastAsia="方正小标宋简体"/>
          <w:sz w:val="44"/>
          <w:szCs w:val="44"/>
        </w:rPr>
        <w:t>阿坝州工商业联合会</w:t>
      </w:r>
    </w:p>
    <w:p>
      <w:pPr>
        <w:pStyle w:val="5"/>
        <w:jc w:val="center"/>
        <w:rPr>
          <w:rFonts w:eastAsia="方正小标宋简体"/>
          <w:sz w:val="44"/>
          <w:szCs w:val="44"/>
        </w:rPr>
      </w:pPr>
      <w:r>
        <w:rPr>
          <w:rFonts w:hint="default" w:eastAsia="方正小标宋简体"/>
          <w:sz w:val="44"/>
          <w:szCs w:val="44"/>
        </w:rPr>
        <w:t>部门决算</w:t>
      </w:r>
      <w:r>
        <w:rPr>
          <w:rFonts w:eastAsia="方正小标宋简体"/>
          <w:sz w:val="44"/>
          <w:szCs w:val="44"/>
        </w:rPr>
        <w:t>公开</w:t>
      </w:r>
      <w:bookmarkStart w:id="80" w:name="_GoBack"/>
      <w:bookmarkEnd w:id="80"/>
    </w:p>
    <w:p>
      <w:pPr>
        <w:pStyle w:val="5"/>
        <w:jc w:val="center"/>
        <w:rPr>
          <w:rFonts w:eastAsia="方正小标宋简体"/>
          <w:sz w:val="44"/>
          <w:szCs w:val="44"/>
        </w:rPr>
      </w:pPr>
    </w:p>
    <w:p>
      <w:pPr>
        <w:pStyle w:val="5"/>
        <w:jc w:val="center"/>
        <w:rPr>
          <w:rFonts w:eastAsia="方正小标宋简体"/>
          <w:sz w:val="44"/>
          <w:szCs w:val="44"/>
        </w:rPr>
      </w:pPr>
    </w:p>
    <w:p>
      <w:pPr>
        <w:pStyle w:val="5"/>
        <w:jc w:val="center"/>
        <w:rPr>
          <w:rFonts w:eastAsia="方正小标宋简体"/>
          <w:sz w:val="44"/>
          <w:szCs w:val="44"/>
        </w:rPr>
      </w:pPr>
    </w:p>
    <w:p>
      <w:pPr>
        <w:pStyle w:val="5"/>
        <w:jc w:val="center"/>
        <w:rPr>
          <w:rFonts w:eastAsia="方正小标宋简体"/>
          <w:sz w:val="44"/>
          <w:szCs w:val="44"/>
        </w:rPr>
      </w:pPr>
    </w:p>
    <w:p>
      <w:pPr>
        <w:pStyle w:val="5"/>
        <w:jc w:val="center"/>
        <w:rPr>
          <w:rFonts w:eastAsia="方正小标宋简体"/>
          <w:sz w:val="44"/>
          <w:szCs w:val="44"/>
        </w:rPr>
      </w:pPr>
    </w:p>
    <w:p>
      <w:pPr>
        <w:pStyle w:val="5"/>
        <w:jc w:val="center"/>
        <w:rPr>
          <w:rFonts w:eastAsia="方正小标宋简体"/>
          <w:sz w:val="44"/>
          <w:szCs w:val="44"/>
        </w:rPr>
      </w:pPr>
    </w:p>
    <w:p>
      <w:pPr>
        <w:bidi w:val="0"/>
        <w:jc w:val="center"/>
        <w:rPr>
          <w:rFonts w:eastAsia="方正小标宋简体"/>
          <w:sz w:val="44"/>
          <w:szCs w:val="44"/>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r>
        <w:rPr>
          <w:rFonts w:hint="default" w:eastAsia="宋体"/>
          <w:color w:val="000000"/>
          <w:sz w:val="32"/>
          <w:szCs w:val="32"/>
          <w:lang w:val="en-US" w:eastAsia="zh-CN" w:bidi="ar-SA"/>
        </w:rPr>
        <w:t>已经保密审查、内容审定，同意对外公开</w:t>
      </w:r>
    </w:p>
    <w:bookmarkEnd w:id="0"/>
    <w:bookmarkEnd w:id="1"/>
    <w:bookmarkEnd w:id="2"/>
    <w:bookmarkEnd w:id="3"/>
    <w:bookmarkEnd w:id="4"/>
    <w:bookmarkEnd w:id="5"/>
    <w:p>
      <w:pPr>
        <w:pStyle w:val="14"/>
        <w:keepNext w:val="0"/>
        <w:keepLines w:val="0"/>
        <w:pageBreakBefore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32"/>
          <w:szCs w:val="32"/>
          <w:highlight w:val="none"/>
          <w:lang w:val="en-US" w:eastAsia="zh-CN"/>
        </w:r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w:t>
      </w:r>
      <w:r>
        <w:rPr>
          <w:rFonts w:hint="default"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日</w:t>
      </w:r>
    </w:p>
    <w:p>
      <w:pPr>
        <w:pStyle w:val="12"/>
        <w:tabs>
          <w:tab w:val="right" w:leader="dot" w:pos="8306"/>
          <w:tab w:val="clear" w:pos="8296"/>
        </w:tabs>
      </w:pPr>
      <w:r>
        <w:rPr>
          <w:rFonts w:hint="default" w:ascii="Times New Roman" w:hAnsi="Times New Roman" w:eastAsia="仿宋_GB2312"/>
          <w:color w:val="000000"/>
          <w:sz w:val="32"/>
          <w:szCs w:val="32"/>
        </w:rPr>
        <w:fldChar w:fldCharType="begin"/>
      </w:r>
      <w:r>
        <w:rPr>
          <w:rFonts w:hint="default" w:ascii="Times New Roman" w:hAnsi="Times New Roman" w:eastAsia="仿宋_GB2312"/>
          <w:color w:val="000000"/>
          <w:sz w:val="32"/>
          <w:szCs w:val="32"/>
        </w:rPr>
        <w:instrText xml:space="preserve"> TOC \o "1-2" \h \z \u </w:instrText>
      </w:r>
      <w:r>
        <w:rPr>
          <w:rFonts w:hint="default" w:ascii="Times New Roman" w:hAnsi="Times New Roman" w:eastAsia="仿宋_GB2312"/>
          <w:color w:val="000000"/>
          <w:sz w:val="32"/>
          <w:szCs w:val="32"/>
        </w:rPr>
        <w:fldChar w:fldCharType="separate"/>
      </w:r>
      <w:r>
        <w:rPr>
          <w:rFonts w:hint="default" w:ascii="Times New Roman" w:hAnsi="Times New Roman" w:eastAsia="仿宋_GB2312"/>
          <w:color w:val="000000"/>
          <w:szCs w:val="32"/>
        </w:rPr>
        <w:fldChar w:fldCharType="begin"/>
      </w:r>
      <w:r>
        <w:rPr>
          <w:rFonts w:hint="default" w:ascii="Times New Roman" w:hAnsi="Times New Roman" w:eastAsia="仿宋_GB2312"/>
          <w:szCs w:val="32"/>
        </w:rPr>
        <w:instrText xml:space="preserve"> HYPERLINK \l _Toc468357113 </w:instrText>
      </w:r>
      <w:r>
        <w:rPr>
          <w:rFonts w:hint="default" w:ascii="Times New Roman" w:hAnsi="Times New Roman" w:eastAsia="仿宋_GB2312"/>
          <w:szCs w:val="32"/>
        </w:rPr>
        <w:fldChar w:fldCharType="separate"/>
      </w:r>
      <w:r>
        <w:rPr>
          <w:rFonts w:hint="eastAsia" w:ascii="Times New Roman" w:hAnsi="Times New Roman" w:eastAsia="方正小标宋简体" w:cs="方正小标宋简体"/>
          <w:highlight w:val="none"/>
        </w:rPr>
        <w:t>第一部分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bCs w:val="0"/>
          <w:highlight w:val="none"/>
        </w:rPr>
        <w:t>部门概况</w:t>
      </w:r>
      <w:r>
        <w:tab/>
      </w:r>
      <w:r>
        <w:fldChar w:fldCharType="begin"/>
      </w:r>
      <w:r>
        <w:instrText xml:space="preserve"> PAGEREF _Toc468357113 \h </w:instrText>
      </w:r>
      <w:r>
        <w:fldChar w:fldCharType="separate"/>
      </w:r>
      <w:r>
        <w:t>- 3 -</w:t>
      </w:r>
      <w:r>
        <w:fldChar w:fldCharType="end"/>
      </w:r>
      <w:r>
        <w:rPr>
          <w:rFonts w:hint="default" w:ascii="Times New Roman" w:hAnsi="Times New Roman" w:eastAsia="仿宋_GB2312"/>
          <w:color w:val="000000"/>
          <w:szCs w:val="32"/>
        </w:rPr>
        <w:fldChar w:fldCharType="end"/>
      </w:r>
    </w:p>
    <w:p>
      <w:pPr>
        <w:pStyle w:val="14"/>
        <w:tabs>
          <w:tab w:val="right" w:leader="dot" w:pos="8306"/>
          <w:tab w:val="clear" w:pos="8296"/>
        </w:tabs>
      </w:pPr>
      <w:r>
        <w:rPr>
          <w:rFonts w:hint="default" w:ascii="Times New Roman" w:hAnsi="Times New Roman" w:eastAsia="仿宋_GB2312"/>
          <w:color w:val="000000"/>
          <w:szCs w:val="32"/>
        </w:rPr>
        <w:fldChar w:fldCharType="begin"/>
      </w:r>
      <w:r>
        <w:rPr>
          <w:rFonts w:hint="default" w:ascii="Times New Roman" w:hAnsi="Times New Roman" w:eastAsia="仿宋_GB2312"/>
          <w:szCs w:val="32"/>
        </w:rPr>
        <w:instrText xml:space="preserve"> HYPERLINK \l _Toc873666891 </w:instrText>
      </w:r>
      <w:r>
        <w:rPr>
          <w:rFonts w:hint="default" w:ascii="Times New Roman" w:hAnsi="Times New Roman" w:eastAsia="仿宋_GB2312"/>
          <w:szCs w:val="32"/>
        </w:rPr>
        <w:fldChar w:fldCharType="separate"/>
      </w:r>
      <w:r>
        <w:rPr>
          <w:rFonts w:hint="eastAsia"/>
          <w:lang w:eastAsia="zh-CN"/>
        </w:rPr>
        <w:t xml:space="preserve">一、 </w:t>
      </w:r>
      <w:r>
        <w:rPr>
          <w:rFonts w:hint="eastAsia" w:ascii="Times New Roman" w:hAnsi="Times New Roman" w:eastAsia="黑体"/>
          <w:highlight w:val="none"/>
          <w:lang w:eastAsia="zh-CN"/>
        </w:rPr>
        <w:t>部门职责</w:t>
      </w:r>
      <w:r>
        <w:tab/>
      </w:r>
      <w:r>
        <w:fldChar w:fldCharType="begin"/>
      </w:r>
      <w:r>
        <w:instrText xml:space="preserve"> PAGEREF _Toc873666891 \h </w:instrText>
      </w:r>
      <w:r>
        <w:fldChar w:fldCharType="separate"/>
      </w:r>
      <w:r>
        <w:t>- 3 -</w:t>
      </w:r>
      <w:r>
        <w:fldChar w:fldCharType="end"/>
      </w:r>
      <w:r>
        <w:rPr>
          <w:rFonts w:hint="default" w:ascii="Times New Roman" w:hAnsi="Times New Roman" w:eastAsia="仿宋_GB2312"/>
          <w:color w:val="000000"/>
          <w:szCs w:val="32"/>
        </w:rPr>
        <w:fldChar w:fldCharType="end"/>
      </w:r>
    </w:p>
    <w:p>
      <w:pPr>
        <w:pStyle w:val="14"/>
        <w:tabs>
          <w:tab w:val="right" w:leader="dot" w:pos="8306"/>
          <w:tab w:val="clear" w:pos="8296"/>
        </w:tabs>
      </w:pPr>
      <w:r>
        <w:rPr>
          <w:rFonts w:hint="default" w:ascii="Times New Roman" w:hAnsi="Times New Roman" w:eastAsia="仿宋_GB2312"/>
          <w:color w:val="000000"/>
          <w:szCs w:val="32"/>
        </w:rPr>
        <w:fldChar w:fldCharType="begin"/>
      </w:r>
      <w:r>
        <w:rPr>
          <w:rFonts w:hint="default" w:ascii="Times New Roman" w:hAnsi="Times New Roman" w:eastAsia="仿宋_GB2312"/>
          <w:szCs w:val="32"/>
        </w:rPr>
        <w:instrText xml:space="preserve"> HYPERLINK \l _Toc1547990349 </w:instrText>
      </w:r>
      <w:r>
        <w:rPr>
          <w:rFonts w:hint="default" w:ascii="Times New Roman" w:hAnsi="Times New Roman" w:eastAsia="仿宋_GB2312"/>
          <w:szCs w:val="32"/>
        </w:rP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_Toc1547990349 \h </w:instrText>
      </w:r>
      <w:r>
        <w:fldChar w:fldCharType="separate"/>
      </w:r>
      <w:r>
        <w:t>- 3 -</w:t>
      </w:r>
      <w:r>
        <w:fldChar w:fldCharType="end"/>
      </w:r>
      <w:r>
        <w:rPr>
          <w:rFonts w:hint="default" w:ascii="Times New Roman" w:hAnsi="Times New Roman" w:eastAsia="仿宋_GB2312"/>
          <w:color w:val="000000"/>
          <w:szCs w:val="32"/>
        </w:rPr>
        <w:fldChar w:fldCharType="end"/>
      </w:r>
    </w:p>
    <w:p>
      <w:pPr>
        <w:pStyle w:val="12"/>
        <w:tabs>
          <w:tab w:val="right" w:leader="dot" w:pos="8306"/>
          <w:tab w:val="clear" w:pos="8296"/>
        </w:tabs>
      </w:pPr>
      <w:r>
        <w:rPr>
          <w:rFonts w:hint="default" w:ascii="Times New Roman" w:hAnsi="Times New Roman" w:eastAsia="仿宋_GB2312"/>
          <w:color w:val="000000"/>
          <w:szCs w:val="32"/>
        </w:rPr>
        <w:fldChar w:fldCharType="begin"/>
      </w:r>
      <w:r>
        <w:rPr>
          <w:rFonts w:hint="default" w:ascii="Times New Roman" w:hAnsi="Times New Roman" w:eastAsia="仿宋_GB2312"/>
          <w:szCs w:val="32"/>
        </w:rPr>
        <w:instrText xml:space="preserve"> HYPERLINK \l _Toc1769396423 </w:instrText>
      </w:r>
      <w:r>
        <w:rPr>
          <w:rFonts w:hint="default" w:ascii="Times New Roman" w:hAnsi="Times New Roman" w:eastAsia="仿宋_GB2312"/>
          <w:szCs w:val="32"/>
        </w:rPr>
        <w:fldChar w:fldCharType="separate"/>
      </w:r>
      <w:r>
        <w:rPr>
          <w:rFonts w:hint="eastAsia" w:ascii="Times New Roman" w:hAnsi="Times New Roman" w:eastAsia="方正小标宋简体" w:cs="方正小标宋简体"/>
          <w:highlight w:val="none"/>
        </w:rPr>
        <w:t>第二部分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highlight w:val="none"/>
          <w:lang w:val="en-US" w:eastAsia="zh-CN"/>
        </w:rPr>
        <w:t>202</w:t>
      </w:r>
      <w:r>
        <w:rPr>
          <w:rFonts w:hint="eastAsia" w:eastAsia="方正小标宋简体" w:cs="方正小标宋简体"/>
          <w:highlight w:val="none"/>
          <w:lang w:val="en-US" w:eastAsia="zh-CN"/>
        </w:rPr>
        <w:t>5</w:t>
      </w:r>
      <w:r>
        <w:rPr>
          <w:rFonts w:hint="eastAsia" w:ascii="Times New Roman" w:hAnsi="Times New Roman" w:eastAsia="方正小标宋简体" w:cs="方正小标宋简体"/>
          <w:highlight w:val="none"/>
          <w:lang w:val="en-US" w:eastAsia="zh-CN"/>
        </w:rPr>
        <w:t>年度</w:t>
      </w:r>
      <w:r>
        <w:rPr>
          <w:rFonts w:hint="eastAsia" w:ascii="Times New Roman" w:hAnsi="Times New Roman" w:eastAsia="方正小标宋简体" w:cs="方正小标宋简体"/>
          <w:highlight w:val="none"/>
        </w:rPr>
        <w:t>部门决算情况说明</w:t>
      </w:r>
      <w:r>
        <w:tab/>
      </w:r>
      <w:r>
        <w:fldChar w:fldCharType="begin"/>
      </w:r>
      <w:r>
        <w:instrText xml:space="preserve"> PAGEREF _Toc1769396423 \h </w:instrText>
      </w:r>
      <w:r>
        <w:fldChar w:fldCharType="separate"/>
      </w:r>
      <w:r>
        <w:t>- 4 -</w:t>
      </w:r>
      <w:r>
        <w:fldChar w:fldCharType="end"/>
      </w:r>
      <w:r>
        <w:rPr>
          <w:rFonts w:hint="default" w:ascii="Times New Roman" w:hAnsi="Times New Roman" w:eastAsia="仿宋_GB2312"/>
          <w:color w:val="000000"/>
          <w:szCs w:val="32"/>
        </w:rPr>
        <w:fldChar w:fldCharType="end"/>
      </w:r>
    </w:p>
    <w:p>
      <w:pPr>
        <w:pStyle w:val="14"/>
        <w:tabs>
          <w:tab w:val="right" w:leader="dot" w:pos="8306"/>
          <w:tab w:val="clear" w:pos="8296"/>
        </w:tabs>
      </w:pPr>
      <w:r>
        <w:rPr>
          <w:rFonts w:hint="default" w:ascii="Times New Roman" w:hAnsi="Times New Roman" w:eastAsia="仿宋_GB2312"/>
          <w:color w:val="000000"/>
          <w:szCs w:val="32"/>
        </w:rPr>
        <w:fldChar w:fldCharType="begin"/>
      </w:r>
      <w:r>
        <w:rPr>
          <w:rFonts w:hint="default" w:ascii="Times New Roman" w:hAnsi="Times New Roman" w:eastAsia="仿宋_GB2312"/>
          <w:szCs w:val="32"/>
        </w:rPr>
        <w:instrText xml:space="preserve"> HYPERLINK \l _Toc1781561876 </w:instrText>
      </w:r>
      <w:r>
        <w:rPr>
          <w:rFonts w:hint="default" w:ascii="Times New Roman" w:hAnsi="Times New Roman" w:eastAsia="仿宋_GB2312"/>
          <w:szCs w:val="32"/>
        </w:rP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_Toc1781561876 \h </w:instrText>
      </w:r>
      <w:r>
        <w:fldChar w:fldCharType="separate"/>
      </w:r>
      <w:r>
        <w:t>- 4 -</w:t>
      </w:r>
      <w:r>
        <w:fldChar w:fldCharType="end"/>
      </w:r>
      <w:r>
        <w:rPr>
          <w:rFonts w:hint="default" w:ascii="Times New Roman" w:hAnsi="Times New Roman" w:eastAsia="仿宋_GB2312"/>
          <w:color w:val="000000"/>
          <w:szCs w:val="32"/>
        </w:rPr>
        <w:fldChar w:fldCharType="end"/>
      </w:r>
    </w:p>
    <w:p>
      <w:pPr>
        <w:pStyle w:val="14"/>
        <w:tabs>
          <w:tab w:val="right" w:leader="dot" w:pos="8306"/>
          <w:tab w:val="clear" w:pos="8296"/>
        </w:tabs>
      </w:pPr>
      <w:r>
        <w:rPr>
          <w:rFonts w:hint="default" w:ascii="Times New Roman" w:hAnsi="Times New Roman" w:eastAsia="仿宋_GB2312"/>
          <w:color w:val="000000"/>
          <w:szCs w:val="32"/>
        </w:rPr>
        <w:fldChar w:fldCharType="begin"/>
      </w:r>
      <w:r>
        <w:rPr>
          <w:rFonts w:hint="default" w:ascii="Times New Roman" w:hAnsi="Times New Roman" w:eastAsia="仿宋_GB2312"/>
          <w:szCs w:val="32"/>
        </w:rPr>
        <w:instrText xml:space="preserve"> HYPERLINK \l _Toc1354165837 </w:instrText>
      </w:r>
      <w:r>
        <w:rPr>
          <w:rFonts w:hint="default" w:ascii="Times New Roman" w:hAnsi="Times New Roman" w:eastAsia="仿宋_GB2312"/>
          <w:szCs w:val="32"/>
        </w:rP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_Toc1354165837 \h </w:instrText>
      </w:r>
      <w:r>
        <w:fldChar w:fldCharType="separate"/>
      </w:r>
      <w:r>
        <w:t>- 4 -</w:t>
      </w:r>
      <w:r>
        <w:fldChar w:fldCharType="end"/>
      </w:r>
      <w:r>
        <w:rPr>
          <w:rFonts w:hint="default" w:ascii="Times New Roman" w:hAnsi="Times New Roman" w:eastAsia="仿宋_GB2312"/>
          <w:color w:val="000000"/>
          <w:szCs w:val="32"/>
        </w:rPr>
        <w:fldChar w:fldCharType="end"/>
      </w:r>
    </w:p>
    <w:p>
      <w:pPr>
        <w:pStyle w:val="14"/>
        <w:tabs>
          <w:tab w:val="right" w:leader="dot" w:pos="8306"/>
          <w:tab w:val="clear" w:pos="8296"/>
        </w:tabs>
      </w:pPr>
      <w:r>
        <w:rPr>
          <w:rFonts w:hint="default" w:ascii="Times New Roman" w:hAnsi="Times New Roman" w:eastAsia="仿宋_GB2312"/>
          <w:color w:val="000000"/>
          <w:szCs w:val="32"/>
        </w:rPr>
        <w:fldChar w:fldCharType="begin"/>
      </w:r>
      <w:r>
        <w:rPr>
          <w:rFonts w:hint="default" w:ascii="Times New Roman" w:hAnsi="Times New Roman" w:eastAsia="仿宋_GB2312"/>
          <w:szCs w:val="32"/>
        </w:rPr>
        <w:instrText xml:space="preserve"> HYPERLINK \l _Toc1780117555 </w:instrText>
      </w:r>
      <w:r>
        <w:rPr>
          <w:rFonts w:hint="default" w:ascii="Times New Roman" w:hAnsi="Times New Roman" w:eastAsia="仿宋_GB2312"/>
          <w:szCs w:val="32"/>
        </w:rP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_Toc1780117555 \h </w:instrText>
      </w:r>
      <w:r>
        <w:fldChar w:fldCharType="separate"/>
      </w:r>
      <w:r>
        <w:t>- 6 -</w:t>
      </w:r>
      <w:r>
        <w:fldChar w:fldCharType="end"/>
      </w:r>
      <w:r>
        <w:rPr>
          <w:rFonts w:hint="default" w:ascii="Times New Roman" w:hAnsi="Times New Roman" w:eastAsia="仿宋_GB2312"/>
          <w:color w:val="000000"/>
          <w:szCs w:val="32"/>
        </w:rPr>
        <w:fldChar w:fldCharType="end"/>
      </w:r>
    </w:p>
    <w:p>
      <w:pPr>
        <w:pStyle w:val="14"/>
        <w:tabs>
          <w:tab w:val="right" w:leader="dot" w:pos="8306"/>
          <w:tab w:val="clear" w:pos="8296"/>
        </w:tabs>
      </w:pPr>
      <w:r>
        <w:rPr>
          <w:rFonts w:hint="default" w:ascii="Times New Roman" w:hAnsi="Times New Roman" w:eastAsia="仿宋_GB2312"/>
          <w:color w:val="000000"/>
          <w:szCs w:val="32"/>
        </w:rPr>
        <w:fldChar w:fldCharType="begin"/>
      </w:r>
      <w:r>
        <w:rPr>
          <w:rFonts w:hint="default" w:ascii="Times New Roman" w:hAnsi="Times New Roman" w:eastAsia="仿宋_GB2312"/>
          <w:szCs w:val="32"/>
        </w:rPr>
        <w:instrText xml:space="preserve"> HYPERLINK \l _Toc1920833476 </w:instrText>
      </w:r>
      <w:r>
        <w:rPr>
          <w:rFonts w:hint="default" w:ascii="Times New Roman" w:hAnsi="Times New Roman" w:eastAsia="仿宋_GB2312"/>
          <w:szCs w:val="32"/>
        </w:rP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_Toc1920833476 \h </w:instrText>
      </w:r>
      <w:r>
        <w:fldChar w:fldCharType="separate"/>
      </w:r>
      <w:r>
        <w:t>- 7 -</w:t>
      </w:r>
      <w:r>
        <w:fldChar w:fldCharType="end"/>
      </w:r>
      <w:r>
        <w:rPr>
          <w:rFonts w:hint="default" w:ascii="Times New Roman" w:hAnsi="Times New Roman" w:eastAsia="仿宋_GB2312"/>
          <w:color w:val="000000"/>
          <w:szCs w:val="32"/>
        </w:rPr>
        <w:fldChar w:fldCharType="end"/>
      </w:r>
    </w:p>
    <w:p>
      <w:pPr>
        <w:pStyle w:val="14"/>
        <w:tabs>
          <w:tab w:val="right" w:leader="dot" w:pos="8306"/>
          <w:tab w:val="clear" w:pos="8296"/>
        </w:tabs>
      </w:pPr>
      <w:r>
        <w:rPr>
          <w:rFonts w:hint="default" w:ascii="Times New Roman" w:hAnsi="Times New Roman" w:eastAsia="仿宋_GB2312"/>
          <w:color w:val="000000"/>
          <w:szCs w:val="32"/>
        </w:rPr>
        <w:fldChar w:fldCharType="begin"/>
      </w:r>
      <w:r>
        <w:rPr>
          <w:rFonts w:hint="default" w:ascii="Times New Roman" w:hAnsi="Times New Roman" w:eastAsia="仿宋_GB2312"/>
          <w:szCs w:val="32"/>
        </w:rPr>
        <w:instrText xml:space="preserve"> HYPERLINK \l _Toc161056166 </w:instrText>
      </w:r>
      <w:r>
        <w:rPr>
          <w:rFonts w:hint="default" w:ascii="Times New Roman" w:hAnsi="Times New Roman" w:eastAsia="仿宋_GB2312"/>
          <w:szCs w:val="32"/>
        </w:rP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_Toc161056166 \h </w:instrText>
      </w:r>
      <w:r>
        <w:fldChar w:fldCharType="separate"/>
      </w:r>
      <w:r>
        <w:t>- 10 -</w:t>
      </w:r>
      <w:r>
        <w:fldChar w:fldCharType="end"/>
      </w:r>
      <w:r>
        <w:rPr>
          <w:rFonts w:hint="default" w:ascii="Times New Roman" w:hAnsi="Times New Roman" w:eastAsia="仿宋_GB2312"/>
          <w:color w:val="000000"/>
          <w:szCs w:val="32"/>
        </w:rPr>
        <w:fldChar w:fldCharType="end"/>
      </w:r>
    </w:p>
    <w:p>
      <w:pPr>
        <w:pStyle w:val="14"/>
        <w:tabs>
          <w:tab w:val="right" w:leader="dot" w:pos="8306"/>
          <w:tab w:val="clear" w:pos="8296"/>
        </w:tabs>
      </w:pPr>
      <w:r>
        <w:rPr>
          <w:rFonts w:hint="default" w:ascii="Times New Roman" w:hAnsi="Times New Roman" w:eastAsia="仿宋_GB2312"/>
          <w:color w:val="000000"/>
          <w:szCs w:val="32"/>
        </w:rPr>
        <w:fldChar w:fldCharType="begin"/>
      </w:r>
      <w:r>
        <w:rPr>
          <w:rFonts w:hint="default" w:ascii="Times New Roman" w:hAnsi="Times New Roman" w:eastAsia="仿宋_GB2312"/>
          <w:szCs w:val="32"/>
        </w:rPr>
        <w:instrText xml:space="preserve"> HYPERLINK \l _Toc969893629 </w:instrText>
      </w:r>
      <w:r>
        <w:rPr>
          <w:rFonts w:hint="default" w:ascii="Times New Roman" w:hAnsi="Times New Roman" w:eastAsia="仿宋_GB2312"/>
          <w:szCs w:val="32"/>
        </w:rP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_Toc969893629 \h </w:instrText>
      </w:r>
      <w:r>
        <w:fldChar w:fldCharType="separate"/>
      </w:r>
      <w:r>
        <w:t>- 11 -</w:t>
      </w:r>
      <w:r>
        <w:fldChar w:fldCharType="end"/>
      </w:r>
      <w:r>
        <w:rPr>
          <w:rFonts w:hint="default" w:ascii="Times New Roman" w:hAnsi="Times New Roman" w:eastAsia="仿宋_GB2312"/>
          <w:color w:val="000000"/>
          <w:szCs w:val="32"/>
        </w:rPr>
        <w:fldChar w:fldCharType="end"/>
      </w:r>
    </w:p>
    <w:p>
      <w:pPr>
        <w:pStyle w:val="14"/>
        <w:tabs>
          <w:tab w:val="right" w:leader="dot" w:pos="8306"/>
          <w:tab w:val="clear" w:pos="8296"/>
        </w:tabs>
      </w:pPr>
      <w:r>
        <w:rPr>
          <w:rFonts w:hint="default" w:ascii="Times New Roman" w:hAnsi="Times New Roman" w:eastAsia="仿宋_GB2312"/>
          <w:color w:val="000000"/>
          <w:szCs w:val="32"/>
        </w:rPr>
        <w:fldChar w:fldCharType="begin"/>
      </w:r>
      <w:r>
        <w:rPr>
          <w:rFonts w:hint="default" w:ascii="Times New Roman" w:hAnsi="Times New Roman" w:eastAsia="仿宋_GB2312"/>
          <w:szCs w:val="32"/>
        </w:rPr>
        <w:instrText xml:space="preserve"> HYPERLINK \l _Toc1785096942 </w:instrText>
      </w:r>
      <w:r>
        <w:rPr>
          <w:rFonts w:hint="default" w:ascii="Times New Roman" w:hAnsi="Times New Roman" w:eastAsia="仿宋_GB2312"/>
          <w:szCs w:val="32"/>
        </w:rP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_Toc1785096942 \h </w:instrText>
      </w:r>
      <w:r>
        <w:fldChar w:fldCharType="separate"/>
      </w:r>
      <w:r>
        <w:t>- 12 -</w:t>
      </w:r>
      <w:r>
        <w:fldChar w:fldCharType="end"/>
      </w:r>
      <w:r>
        <w:rPr>
          <w:rFonts w:hint="default" w:ascii="Times New Roman" w:hAnsi="Times New Roman" w:eastAsia="仿宋_GB2312"/>
          <w:color w:val="000000"/>
          <w:szCs w:val="32"/>
        </w:rPr>
        <w:fldChar w:fldCharType="end"/>
      </w:r>
    </w:p>
    <w:p>
      <w:pPr>
        <w:pStyle w:val="14"/>
        <w:tabs>
          <w:tab w:val="right" w:leader="dot" w:pos="8306"/>
          <w:tab w:val="clear" w:pos="8296"/>
        </w:tabs>
      </w:pPr>
      <w:r>
        <w:rPr>
          <w:rFonts w:hint="default" w:ascii="Times New Roman" w:hAnsi="Times New Roman" w:eastAsia="仿宋_GB2312"/>
          <w:color w:val="000000"/>
          <w:szCs w:val="32"/>
        </w:rPr>
        <w:fldChar w:fldCharType="begin"/>
      </w:r>
      <w:r>
        <w:rPr>
          <w:rFonts w:hint="default" w:ascii="Times New Roman" w:hAnsi="Times New Roman" w:eastAsia="仿宋_GB2312"/>
          <w:szCs w:val="32"/>
        </w:rPr>
        <w:instrText xml:space="preserve"> HYPERLINK \l _Toc1956455903 </w:instrText>
      </w:r>
      <w:r>
        <w:rPr>
          <w:rFonts w:hint="default" w:ascii="Times New Roman" w:hAnsi="Times New Roman" w:eastAsia="仿宋_GB2312"/>
          <w:szCs w:val="32"/>
        </w:rP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_Toc1956455903 \h </w:instrText>
      </w:r>
      <w:r>
        <w:fldChar w:fldCharType="separate"/>
      </w:r>
      <w:r>
        <w:t>- 12 -</w:t>
      </w:r>
      <w:r>
        <w:fldChar w:fldCharType="end"/>
      </w:r>
      <w:r>
        <w:rPr>
          <w:rFonts w:hint="default" w:ascii="Times New Roman" w:hAnsi="Times New Roman" w:eastAsia="仿宋_GB2312"/>
          <w:color w:val="000000"/>
          <w:szCs w:val="32"/>
        </w:rPr>
        <w:fldChar w:fldCharType="end"/>
      </w:r>
    </w:p>
    <w:p>
      <w:pPr>
        <w:pStyle w:val="14"/>
        <w:tabs>
          <w:tab w:val="right" w:leader="dot" w:pos="8306"/>
          <w:tab w:val="clear" w:pos="8296"/>
        </w:tabs>
      </w:pPr>
      <w:r>
        <w:rPr>
          <w:rFonts w:hint="default" w:ascii="Times New Roman" w:hAnsi="Times New Roman" w:eastAsia="仿宋_GB2312"/>
          <w:color w:val="000000"/>
          <w:szCs w:val="32"/>
        </w:rPr>
        <w:fldChar w:fldCharType="begin"/>
      </w:r>
      <w:r>
        <w:rPr>
          <w:rFonts w:hint="default" w:ascii="Times New Roman" w:hAnsi="Times New Roman" w:eastAsia="仿宋_GB2312"/>
          <w:szCs w:val="32"/>
        </w:rPr>
        <w:instrText xml:space="preserve"> HYPERLINK \l _Toc154439051 </w:instrText>
      </w:r>
      <w:r>
        <w:rPr>
          <w:rFonts w:hint="default" w:ascii="Times New Roman" w:hAnsi="Times New Roman" w:eastAsia="仿宋_GB2312"/>
          <w:szCs w:val="32"/>
        </w:rP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_Toc154439051 \h </w:instrText>
      </w:r>
      <w:r>
        <w:fldChar w:fldCharType="separate"/>
      </w:r>
      <w:r>
        <w:t>- 13 -</w:t>
      </w:r>
      <w:r>
        <w:fldChar w:fldCharType="end"/>
      </w:r>
      <w:r>
        <w:rPr>
          <w:rFonts w:hint="default" w:ascii="Times New Roman" w:hAnsi="Times New Roman" w:eastAsia="仿宋_GB2312"/>
          <w:color w:val="000000"/>
          <w:szCs w:val="32"/>
        </w:rPr>
        <w:fldChar w:fldCharType="end"/>
      </w:r>
    </w:p>
    <w:p>
      <w:pPr>
        <w:pStyle w:val="12"/>
        <w:tabs>
          <w:tab w:val="right" w:leader="dot" w:pos="8306"/>
          <w:tab w:val="clear" w:pos="8296"/>
        </w:tabs>
        <w:rPr>
          <w:rFonts w:hint="default" w:eastAsia="仿宋"/>
          <w:lang w:val="en-US" w:eastAsia="zh-CN"/>
        </w:rPr>
      </w:pPr>
      <w:r>
        <w:rPr>
          <w:rFonts w:hint="default" w:ascii="Times New Roman" w:hAnsi="Times New Roman" w:eastAsia="仿宋_GB2312"/>
          <w:color w:val="000000"/>
          <w:szCs w:val="32"/>
        </w:rPr>
        <w:fldChar w:fldCharType="begin"/>
      </w:r>
      <w:r>
        <w:rPr>
          <w:rFonts w:hint="default" w:ascii="Times New Roman" w:hAnsi="Times New Roman" w:eastAsia="仿宋_GB2312"/>
          <w:szCs w:val="32"/>
        </w:rPr>
        <w:instrText xml:space="preserve"> HYPERLINK \l _Toc1700309559 </w:instrText>
      </w:r>
      <w:r>
        <w:rPr>
          <w:rFonts w:hint="default" w:ascii="Times New Roman" w:hAnsi="Times New Roman" w:eastAsia="仿宋_GB2312"/>
          <w:szCs w:val="32"/>
        </w:rP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rPr>
        <w:t>名词解释</w:t>
      </w:r>
      <w:r>
        <w:tab/>
      </w:r>
      <w:r>
        <w:fldChar w:fldCharType="begin"/>
      </w:r>
      <w:r>
        <w:instrText xml:space="preserve"> PAGEREF _Toc1700309559 \h </w:instrText>
      </w:r>
      <w:r>
        <w:fldChar w:fldCharType="separate"/>
      </w:r>
      <w:r>
        <w:t>- 15 -</w:t>
      </w:r>
      <w:r>
        <w:fldChar w:fldCharType="end"/>
      </w:r>
      <w:r>
        <w:rPr>
          <w:rFonts w:hint="default" w:ascii="Times New Roman" w:hAnsi="Times New Roman" w:eastAsia="仿宋_GB2312"/>
          <w:color w:val="000000"/>
          <w:szCs w:val="32"/>
        </w:rPr>
        <w:fldChar w:fldCharType="end"/>
      </w:r>
      <w:r>
        <w:rPr>
          <w:rFonts w:hint="default" w:ascii="Times New Roman" w:hAnsi="Times New Roman" w:eastAsia="仿宋_GB2312"/>
          <w:color w:val="000000"/>
          <w:sz w:val="32"/>
          <w:szCs w:val="32"/>
        </w:rPr>
        <w:fldChar w:fldCharType="begin"/>
      </w:r>
      <w:r>
        <w:rPr>
          <w:rFonts w:hint="default" w:ascii="Times New Roman" w:hAnsi="Times New Roman" w:eastAsia="仿宋_GB2312"/>
          <w:color w:val="000000"/>
          <w:sz w:val="32"/>
          <w:szCs w:val="32"/>
        </w:rPr>
        <w:instrText xml:space="preserve"> TOC \o "1-2" \h \z \u </w:instrText>
      </w:r>
      <w:r>
        <w:rPr>
          <w:rFonts w:hint="default" w:ascii="Times New Roman" w:hAnsi="Times New Roman" w:eastAsia="仿宋_GB2312"/>
          <w:color w:val="000000"/>
          <w:sz w:val="32"/>
          <w:szCs w:val="32"/>
        </w:rPr>
        <w:fldChar w:fldCharType="separate"/>
      </w:r>
    </w:p>
    <w:p>
      <w:pPr>
        <w:pStyle w:val="12"/>
        <w:tabs>
          <w:tab w:val="right" w:leader="dot" w:pos="8845"/>
        </w:tabs>
        <w:rPr>
          <w:rFonts w:hint="default" w:eastAsia="仿宋"/>
          <w:lang w:val="en-US" w:eastAsia="zh-CN"/>
        </w:rPr>
      </w:pPr>
      <w:r>
        <w:fldChar w:fldCharType="begin"/>
      </w:r>
      <w:r>
        <w:instrText xml:space="preserve">Hyperlink \l "_Toc37607237"</w:instrText>
      </w:r>
      <w:r>
        <w:fldChar w:fldCharType="separate"/>
      </w:r>
      <w:r>
        <w:rPr>
          <w:rFonts w:hint="default" w:eastAsia="黑体"/>
          <w:kern w:val="44"/>
          <w:szCs w:val="44"/>
        </w:rPr>
        <w:t>第</w:t>
      </w:r>
      <w:r>
        <w:rPr>
          <w:rFonts w:hint="default" w:eastAsia="黑体"/>
          <w:bCs/>
          <w:kern w:val="44"/>
          <w:szCs w:val="44"/>
        </w:rPr>
        <w:t>四部分附件</w:t>
      </w:r>
      <w:r>
        <w:tab/>
      </w:r>
      <w:r>
        <w:fldChar w:fldCharType="end"/>
      </w:r>
      <w:r>
        <w:rPr>
          <w:rFonts w:hint="eastAsia"/>
          <w:lang w:val="en-US" w:eastAsia="zh-CN"/>
        </w:rPr>
        <w:t>-16-</w:t>
      </w:r>
    </w:p>
    <w:p>
      <w:pPr>
        <w:pStyle w:val="12"/>
        <w:tabs>
          <w:tab w:val="right" w:leader="dot" w:pos="8845"/>
        </w:tabs>
        <w:rPr>
          <w:rFonts w:hint="eastAsia" w:eastAsia="仿宋"/>
          <w:lang w:val="en-US" w:eastAsia="zh-CN"/>
        </w:rPr>
      </w:pPr>
      <w:r>
        <w:fldChar w:fldCharType="begin"/>
      </w:r>
      <w:r>
        <w:instrText xml:space="preserve">Hyperlink \l "_Toc37607238"</w:instrText>
      </w:r>
      <w:r>
        <w:fldChar w:fldCharType="separate"/>
      </w:r>
      <w:r>
        <w:rPr>
          <w:rFonts w:hint="default" w:eastAsia="黑体"/>
          <w:kern w:val="44"/>
          <w:szCs w:val="44"/>
        </w:rPr>
        <w:t>第</w:t>
      </w:r>
      <w:r>
        <w:rPr>
          <w:rFonts w:hint="default" w:ascii="Times New Roman" w:hAnsi="Times New Roman" w:eastAsia="黑体" w:cs="Times New Roman"/>
          <w:bCs/>
          <w:kern w:val="44"/>
          <w:szCs w:val="44"/>
          <w:lang w:val="en-US" w:eastAsia="zh-CN" w:bidi="ar-SA"/>
        </w:rPr>
        <w:t>五部分附表</w:t>
      </w:r>
      <w:r>
        <w:tab/>
      </w:r>
      <w:r>
        <w:rPr>
          <w:rFonts w:hint="eastAsia"/>
          <w:lang w:val="en-US" w:eastAsia="zh-CN"/>
        </w:rPr>
        <w:t>-42</w:t>
      </w:r>
      <w:r>
        <w:fldChar w:fldCharType="end"/>
      </w:r>
      <w:r>
        <w:rPr>
          <w:rFonts w:hint="eastAsia"/>
          <w:lang w:val="en-US" w:eastAsia="zh-CN"/>
        </w:rPr>
        <w:t>-</w:t>
      </w:r>
    </w:p>
    <w:p>
      <w:pPr>
        <w:pStyle w:val="14"/>
        <w:tabs>
          <w:tab w:val="right" w:leader="dot" w:pos="8845"/>
        </w:tabs>
        <w:rPr>
          <w:rFonts w:hint="eastAsia" w:eastAsia="仿宋_GB2312"/>
          <w:lang w:val="en-US" w:eastAsia="zh-CN"/>
        </w:rPr>
      </w:pPr>
      <w:r>
        <w:rPr>
          <w:rFonts w:hint="default" w:eastAsia="仿宋_GB2312"/>
        </w:rPr>
        <w:fldChar w:fldCharType="begin"/>
      </w:r>
      <w:r>
        <w:rPr>
          <w:rFonts w:hint="default" w:eastAsia="仿宋_GB2312"/>
        </w:rPr>
        <w:instrText xml:space="preserve">Hyperlink \l "_Toc37607239"</w:instrText>
      </w:r>
      <w:r>
        <w:rPr>
          <w:rFonts w:hint="default" w:eastAsia="仿宋_GB2312"/>
        </w:rPr>
        <w:fldChar w:fldCharType="separate"/>
      </w:r>
      <w:r>
        <w:rPr>
          <w:rFonts w:hint="default" w:eastAsia="仿宋_GB2312"/>
        </w:rPr>
        <w:t>一、收</w:t>
      </w:r>
      <w:r>
        <w:rPr>
          <w:rFonts w:hint="default" w:eastAsia="仿宋_GB2312"/>
          <w:lang w:val="en-US" w:eastAsia="zh-CN" w:bidi="ar-SA"/>
        </w:rPr>
        <w:t>入支出决算总表</w:t>
      </w:r>
      <w:r>
        <w:rPr>
          <w:rFonts w:hint="default" w:eastAsia="仿宋_GB2312"/>
        </w:rPr>
        <w:tab/>
      </w:r>
      <w:r>
        <w:rPr>
          <w:rFonts w:hint="eastAsia" w:eastAsia="仿宋_GB2312"/>
          <w:lang w:val="en-US" w:eastAsia="zh-CN"/>
        </w:rPr>
        <w:t>-42</w:t>
      </w:r>
      <w:r>
        <w:rPr>
          <w:rFonts w:hint="default" w:eastAsia="仿宋_GB2312"/>
        </w:rPr>
        <w:fldChar w:fldCharType="end"/>
      </w:r>
      <w:r>
        <w:rPr>
          <w:rFonts w:hint="eastAsia" w:eastAsia="仿宋_GB2312"/>
          <w:lang w:val="en-US" w:eastAsia="zh-CN"/>
        </w:rPr>
        <w:t>-</w:t>
      </w:r>
    </w:p>
    <w:p>
      <w:pPr>
        <w:pStyle w:val="14"/>
        <w:tabs>
          <w:tab w:val="right" w:leader="dot" w:pos="8845"/>
        </w:tabs>
        <w:rPr>
          <w:rFonts w:hint="eastAsia" w:eastAsia="宋体"/>
          <w:lang w:val="en-US" w:eastAsia="zh-CN"/>
        </w:rPr>
      </w:pPr>
      <w:r>
        <w:fldChar w:fldCharType="begin"/>
      </w:r>
      <w:r>
        <w:instrText xml:space="preserve">Hyperlink \l "_Toc37607240"</w:instrText>
      </w:r>
      <w:r>
        <w:fldChar w:fldCharType="separate"/>
      </w:r>
      <w:r>
        <w:rPr>
          <w:rFonts w:hint="default" w:ascii="Times New Roman" w:hAnsi="Times New Roman" w:eastAsia="仿宋_GB2312"/>
        </w:rPr>
        <w:t>二、收</w:t>
      </w:r>
      <w:r>
        <w:rPr>
          <w:rFonts w:hint="default" w:ascii="Times New Roman" w:hAnsi="Times New Roman" w:eastAsia="仿宋_GB2312" w:cs="Times New Roman"/>
          <w:bCs/>
          <w:kern w:val="2"/>
          <w:szCs w:val="32"/>
          <w:lang w:val="en-US" w:eastAsia="zh-CN" w:bidi="ar-SA"/>
        </w:rPr>
        <w:t>入总表</w:t>
      </w:r>
      <w:r>
        <w:tab/>
      </w:r>
      <w:r>
        <w:rPr>
          <w:rFonts w:hint="eastAsia"/>
          <w:lang w:val="en-US" w:eastAsia="zh-CN"/>
        </w:rPr>
        <w:t>-</w:t>
      </w:r>
      <w:r>
        <w:rPr>
          <w:rFonts w:hint="eastAsia" w:eastAsia="仿宋_GB2312"/>
          <w:lang w:val="en-US" w:eastAsia="zh-CN"/>
        </w:rPr>
        <w:t>42</w:t>
      </w:r>
      <w:r>
        <w:fldChar w:fldCharType="end"/>
      </w:r>
      <w:r>
        <w:rPr>
          <w:rFonts w:hint="eastAsia"/>
          <w:lang w:val="en-US" w:eastAsia="zh-CN"/>
        </w:rPr>
        <w:t>-</w:t>
      </w:r>
    </w:p>
    <w:p>
      <w:pPr>
        <w:pStyle w:val="14"/>
        <w:tabs>
          <w:tab w:val="right" w:leader="dot" w:pos="8845"/>
        </w:tabs>
        <w:rPr>
          <w:rFonts w:hint="eastAsia" w:eastAsia="宋体"/>
          <w:lang w:val="en-US" w:eastAsia="zh-CN"/>
        </w:rPr>
      </w:pPr>
      <w:r>
        <w:fldChar w:fldCharType="begin"/>
      </w:r>
      <w:r>
        <w:instrText xml:space="preserve">Hyperlink \l "_Toc37607241"</w:instrText>
      </w:r>
      <w:r>
        <w:fldChar w:fldCharType="separate"/>
      </w:r>
      <w:r>
        <w:rPr>
          <w:rFonts w:hint="default" w:ascii="Times New Roman" w:hAnsi="Times New Roman" w:eastAsia="仿宋_GB2312" w:cs="Times New Roman"/>
          <w:bCs/>
          <w:kern w:val="2"/>
          <w:szCs w:val="32"/>
          <w:lang w:val="en-US" w:eastAsia="zh-CN" w:bidi="ar-SA"/>
        </w:rPr>
        <w:t>三、</w:t>
      </w:r>
      <w:r>
        <w:rPr>
          <w:rFonts w:hint="default" w:ascii="Times New Roman" w:hAnsi="Times New Roman" w:eastAsia="仿宋_GB2312"/>
        </w:rPr>
        <w:t>支</w:t>
      </w:r>
      <w:r>
        <w:rPr>
          <w:rFonts w:hint="default" w:ascii="Times New Roman" w:hAnsi="Times New Roman" w:eastAsia="仿宋_GB2312" w:cs="Times New Roman"/>
          <w:bCs/>
          <w:kern w:val="2"/>
          <w:szCs w:val="32"/>
          <w:lang w:val="en-US" w:eastAsia="zh-CN" w:bidi="ar-SA"/>
        </w:rPr>
        <w:t>出总表</w:t>
      </w:r>
      <w:r>
        <w:tab/>
      </w:r>
      <w:r>
        <w:rPr>
          <w:rFonts w:hint="eastAsia"/>
          <w:lang w:val="en-US" w:eastAsia="zh-CN"/>
        </w:rPr>
        <w:t>-42</w:t>
      </w:r>
      <w:r>
        <w:fldChar w:fldCharType="end"/>
      </w:r>
      <w:r>
        <w:rPr>
          <w:rFonts w:hint="eastAsia"/>
          <w:lang w:val="en-US" w:eastAsia="zh-CN"/>
        </w:rPr>
        <w:t>-</w:t>
      </w:r>
    </w:p>
    <w:p>
      <w:pPr>
        <w:pStyle w:val="14"/>
        <w:tabs>
          <w:tab w:val="right" w:leader="dot" w:pos="8845"/>
        </w:tabs>
        <w:rPr>
          <w:rFonts w:hint="default"/>
          <w:lang w:val="en-US"/>
        </w:rPr>
      </w:pPr>
      <w:r>
        <w:fldChar w:fldCharType="begin"/>
      </w:r>
      <w:r>
        <w:instrText xml:space="preserve">Hyperlink \l "_Toc37607242"</w:instrText>
      </w:r>
      <w:r>
        <w:fldChar w:fldCharType="separate"/>
      </w:r>
      <w:r>
        <w:rPr>
          <w:rFonts w:hint="default" w:ascii="Times New Roman" w:hAnsi="Times New Roman" w:eastAsia="仿宋_GB2312" w:cs="Times New Roman"/>
          <w:bCs/>
          <w:kern w:val="2"/>
          <w:szCs w:val="32"/>
          <w:lang w:val="en-US" w:eastAsia="zh-CN" w:bidi="ar-SA"/>
        </w:rPr>
        <w:t>四、</w:t>
      </w:r>
      <w:r>
        <w:rPr>
          <w:rFonts w:hint="default" w:ascii="Times New Roman" w:hAnsi="Times New Roman" w:eastAsia="仿宋_GB2312"/>
        </w:rPr>
        <w:t>财</w:t>
      </w:r>
      <w:r>
        <w:rPr>
          <w:rFonts w:hint="default" w:ascii="Times New Roman" w:hAnsi="Times New Roman" w:eastAsia="仿宋_GB2312" w:cs="Times New Roman"/>
          <w:bCs/>
          <w:kern w:val="2"/>
          <w:szCs w:val="32"/>
          <w:lang w:val="en-US" w:eastAsia="zh-CN" w:bidi="ar-SA"/>
        </w:rPr>
        <w:t>政拨款收入支出决算总表</w:t>
      </w:r>
      <w:r>
        <w:tab/>
      </w:r>
      <w:r>
        <w:rPr>
          <w:rFonts w:hint="eastAsia"/>
          <w:lang w:val="en-US" w:eastAsia="zh-CN"/>
        </w:rPr>
        <w:t>-4</w:t>
      </w:r>
      <w:r>
        <w:fldChar w:fldCharType="end"/>
      </w:r>
      <w:r>
        <w:rPr>
          <w:rFonts w:hint="eastAsia"/>
          <w:lang w:val="en-US" w:eastAsia="zh-CN"/>
        </w:rPr>
        <w:t>2-</w:t>
      </w:r>
    </w:p>
    <w:p>
      <w:pPr>
        <w:pStyle w:val="14"/>
        <w:tabs>
          <w:tab w:val="right" w:leader="dot" w:pos="8845"/>
        </w:tabs>
        <w:rPr>
          <w:rFonts w:hint="eastAsia" w:eastAsia="宋体"/>
          <w:lang w:val="en-US" w:eastAsia="zh-CN"/>
        </w:rPr>
      </w:pPr>
      <w:r>
        <w:fldChar w:fldCharType="begin"/>
      </w:r>
      <w:r>
        <w:instrText xml:space="preserve">Hyperlink \l "_Toc37607243"</w:instrText>
      </w:r>
      <w:r>
        <w:fldChar w:fldCharType="separate"/>
      </w:r>
      <w:r>
        <w:rPr>
          <w:rFonts w:hint="default" w:ascii="Times New Roman" w:hAnsi="Times New Roman" w:eastAsia="仿宋_GB2312" w:cs="Times New Roman"/>
          <w:bCs/>
          <w:kern w:val="2"/>
          <w:szCs w:val="32"/>
          <w:lang w:val="en-US" w:eastAsia="zh-CN" w:bidi="ar-SA"/>
        </w:rPr>
        <w:t>五、</w:t>
      </w:r>
      <w:r>
        <w:rPr>
          <w:rFonts w:hint="default" w:ascii="Times New Roman" w:hAnsi="Times New Roman" w:eastAsia="仿宋_GB2312"/>
        </w:rPr>
        <w:t>财</w:t>
      </w:r>
      <w:r>
        <w:rPr>
          <w:rFonts w:hint="default" w:ascii="Times New Roman" w:hAnsi="Times New Roman" w:eastAsia="仿宋_GB2312" w:cs="Times New Roman"/>
          <w:bCs/>
          <w:kern w:val="2"/>
          <w:szCs w:val="32"/>
          <w:lang w:val="en-US" w:eastAsia="zh-CN" w:bidi="ar-SA"/>
        </w:rPr>
        <w:t>政拨款支出决算明细表</w:t>
      </w:r>
      <w:r>
        <w:tab/>
      </w:r>
      <w:r>
        <w:rPr>
          <w:rFonts w:hint="eastAsia"/>
          <w:lang w:val="en-US" w:eastAsia="zh-CN"/>
        </w:rPr>
        <w:t>-42</w:t>
      </w:r>
      <w:r>
        <w:fldChar w:fldCharType="end"/>
      </w:r>
      <w:r>
        <w:rPr>
          <w:rFonts w:hint="eastAsia"/>
          <w:lang w:val="en-US" w:eastAsia="zh-CN"/>
        </w:rPr>
        <w:t>-</w:t>
      </w:r>
    </w:p>
    <w:p>
      <w:pPr>
        <w:pStyle w:val="14"/>
        <w:tabs>
          <w:tab w:val="right" w:leader="dot" w:pos="8845"/>
        </w:tabs>
        <w:rPr>
          <w:rFonts w:hint="eastAsia" w:eastAsia="宋体"/>
          <w:lang w:val="en-US" w:eastAsia="zh-CN"/>
        </w:rPr>
      </w:pPr>
      <w:r>
        <w:fldChar w:fldCharType="begin"/>
      </w:r>
      <w:r>
        <w:instrText xml:space="preserve">Hyperlink \l "_Toc37607244"</w:instrText>
      </w:r>
      <w:r>
        <w:fldChar w:fldCharType="separate"/>
      </w:r>
      <w:r>
        <w:rPr>
          <w:rFonts w:hint="default" w:ascii="Times New Roman" w:hAnsi="Times New Roman" w:eastAsia="仿宋_GB2312" w:cs="Times New Roman"/>
          <w:bCs/>
          <w:kern w:val="2"/>
          <w:szCs w:val="32"/>
          <w:lang w:val="en-US" w:eastAsia="zh-CN" w:bidi="ar-SA"/>
        </w:rPr>
        <w:t>六、</w:t>
      </w:r>
      <w:r>
        <w:rPr>
          <w:rFonts w:hint="default" w:ascii="Times New Roman" w:hAnsi="Times New Roman" w:eastAsia="仿宋_GB2312"/>
        </w:rPr>
        <w:t>一</w:t>
      </w:r>
      <w:r>
        <w:rPr>
          <w:rFonts w:hint="default" w:ascii="Times New Roman" w:hAnsi="Times New Roman" w:eastAsia="仿宋_GB2312" w:cs="Times New Roman"/>
          <w:bCs/>
          <w:kern w:val="2"/>
          <w:szCs w:val="32"/>
          <w:lang w:val="en-US" w:eastAsia="zh-CN" w:bidi="ar-SA"/>
        </w:rPr>
        <w:t>般公共预算财政拨款支出决算表</w:t>
      </w:r>
      <w:r>
        <w:tab/>
      </w:r>
      <w:r>
        <w:rPr>
          <w:rFonts w:hint="eastAsia"/>
          <w:lang w:val="en-US" w:eastAsia="zh-CN"/>
        </w:rPr>
        <w:t>-42</w:t>
      </w:r>
      <w:r>
        <w:fldChar w:fldCharType="end"/>
      </w:r>
      <w:r>
        <w:rPr>
          <w:rFonts w:hint="eastAsia"/>
          <w:lang w:val="en-US" w:eastAsia="zh-CN"/>
        </w:rPr>
        <w:t>-</w:t>
      </w:r>
    </w:p>
    <w:p>
      <w:pPr>
        <w:pStyle w:val="14"/>
        <w:tabs>
          <w:tab w:val="right" w:leader="dot" w:pos="8845"/>
        </w:tabs>
        <w:rPr>
          <w:rFonts w:hint="eastAsia" w:eastAsia="宋体"/>
          <w:lang w:val="en-US" w:eastAsia="zh-CN"/>
        </w:rPr>
      </w:pPr>
      <w:r>
        <w:fldChar w:fldCharType="begin"/>
      </w:r>
      <w:r>
        <w:instrText xml:space="preserve">Hyperlink \l "_Toc37607245"</w:instrText>
      </w:r>
      <w:r>
        <w:fldChar w:fldCharType="separate"/>
      </w:r>
      <w:r>
        <w:rPr>
          <w:rFonts w:hint="default" w:ascii="Times New Roman" w:hAnsi="Times New Roman" w:eastAsia="仿宋_GB2312" w:cs="Times New Roman"/>
          <w:bCs/>
          <w:kern w:val="2"/>
          <w:szCs w:val="32"/>
          <w:lang w:val="en-US" w:eastAsia="zh-CN" w:bidi="ar-SA"/>
        </w:rPr>
        <w:t>七、</w:t>
      </w:r>
      <w:r>
        <w:rPr>
          <w:rFonts w:hint="default" w:ascii="Times New Roman" w:hAnsi="Times New Roman" w:eastAsia="仿宋_GB2312"/>
        </w:rPr>
        <w:t>一</w:t>
      </w:r>
      <w:r>
        <w:rPr>
          <w:rFonts w:hint="default" w:ascii="Times New Roman" w:hAnsi="Times New Roman" w:eastAsia="仿宋_GB2312" w:cs="Times New Roman"/>
          <w:bCs/>
          <w:kern w:val="2"/>
          <w:szCs w:val="32"/>
          <w:lang w:val="en-US" w:eastAsia="zh-CN" w:bidi="ar-SA"/>
        </w:rPr>
        <w:t>般公共预算财政拨款支出决算明细表</w:t>
      </w:r>
      <w:r>
        <w:tab/>
      </w:r>
      <w:r>
        <w:rPr>
          <w:rFonts w:hint="eastAsia"/>
          <w:lang w:val="en-US" w:eastAsia="zh-CN"/>
        </w:rPr>
        <w:t>-42</w:t>
      </w:r>
      <w:r>
        <w:fldChar w:fldCharType="end"/>
      </w:r>
      <w:r>
        <w:rPr>
          <w:rFonts w:hint="eastAsia"/>
          <w:lang w:val="en-US" w:eastAsia="zh-CN"/>
        </w:rPr>
        <w:t>-</w:t>
      </w:r>
    </w:p>
    <w:p>
      <w:pPr>
        <w:pStyle w:val="14"/>
        <w:tabs>
          <w:tab w:val="right" w:leader="dot" w:pos="8845"/>
        </w:tabs>
        <w:rPr>
          <w:rFonts w:hint="default"/>
          <w:lang w:val="en-US"/>
        </w:rPr>
      </w:pPr>
      <w:r>
        <w:fldChar w:fldCharType="begin"/>
      </w:r>
      <w:r>
        <w:instrText xml:space="preserve">Hyperlink \l "_Toc37607246"</w:instrText>
      </w:r>
      <w:r>
        <w:fldChar w:fldCharType="separate"/>
      </w:r>
      <w:r>
        <w:rPr>
          <w:rFonts w:hint="default" w:ascii="Times New Roman" w:hAnsi="Times New Roman" w:eastAsia="仿宋_GB2312" w:cs="Times New Roman"/>
          <w:bCs/>
          <w:kern w:val="2"/>
          <w:szCs w:val="32"/>
          <w:lang w:val="en-US" w:eastAsia="zh-CN" w:bidi="ar-SA"/>
        </w:rPr>
        <w:t>八、</w:t>
      </w:r>
      <w:r>
        <w:rPr>
          <w:rFonts w:hint="default" w:ascii="Times New Roman" w:hAnsi="Times New Roman" w:eastAsia="仿宋_GB2312"/>
        </w:rPr>
        <w:t>一</w:t>
      </w:r>
      <w:r>
        <w:rPr>
          <w:rFonts w:hint="default" w:ascii="Times New Roman" w:hAnsi="Times New Roman" w:eastAsia="仿宋_GB2312" w:cs="Times New Roman"/>
          <w:bCs/>
          <w:kern w:val="2"/>
          <w:szCs w:val="32"/>
          <w:lang w:val="en-US" w:eastAsia="zh-CN" w:bidi="ar-SA"/>
        </w:rPr>
        <w:t>般公共预算财政拨款基本支出决算表</w:t>
      </w:r>
      <w:r>
        <w:tab/>
      </w:r>
      <w:r>
        <w:rPr>
          <w:rFonts w:hint="eastAsia"/>
          <w:lang w:val="en-US" w:eastAsia="zh-CN"/>
        </w:rPr>
        <w:t>-4</w:t>
      </w:r>
      <w:r>
        <w:fldChar w:fldCharType="end"/>
      </w:r>
      <w:r>
        <w:rPr>
          <w:rFonts w:hint="eastAsia"/>
          <w:lang w:val="en-US" w:eastAsia="zh-CN"/>
        </w:rPr>
        <w:t>2-</w:t>
      </w:r>
    </w:p>
    <w:p>
      <w:pPr>
        <w:pStyle w:val="14"/>
        <w:tabs>
          <w:tab w:val="right" w:leader="dot" w:pos="8845"/>
        </w:tabs>
        <w:rPr>
          <w:rFonts w:hint="default"/>
          <w:lang w:val="en-US"/>
        </w:rPr>
      </w:pPr>
      <w:r>
        <w:fldChar w:fldCharType="begin"/>
      </w:r>
      <w:r>
        <w:instrText xml:space="preserve">Hyperlink \l "_Toc37607247"</w:instrText>
      </w:r>
      <w:r>
        <w:fldChar w:fldCharType="separate"/>
      </w:r>
      <w:r>
        <w:rPr>
          <w:rFonts w:hint="default" w:ascii="Times New Roman" w:hAnsi="Times New Roman" w:eastAsia="仿宋_GB2312" w:cs="Times New Roman"/>
          <w:bCs/>
          <w:kern w:val="2"/>
          <w:szCs w:val="32"/>
          <w:lang w:val="en-US" w:eastAsia="zh-CN" w:bidi="ar-SA"/>
        </w:rPr>
        <w:t>九、</w:t>
      </w:r>
      <w:r>
        <w:rPr>
          <w:rFonts w:hint="default" w:ascii="Times New Roman" w:hAnsi="Times New Roman" w:eastAsia="仿宋_GB2312"/>
        </w:rPr>
        <w:t>一</w:t>
      </w:r>
      <w:r>
        <w:rPr>
          <w:rFonts w:hint="default" w:ascii="Times New Roman" w:hAnsi="Times New Roman" w:eastAsia="仿宋_GB2312" w:cs="Times New Roman"/>
          <w:bCs/>
          <w:kern w:val="2"/>
          <w:szCs w:val="32"/>
          <w:lang w:val="en-US" w:eastAsia="zh-CN" w:bidi="ar-SA"/>
        </w:rPr>
        <w:t>般公共预算财政拨款项目支出决算表</w:t>
      </w:r>
      <w:r>
        <w:tab/>
      </w:r>
      <w:r>
        <w:rPr>
          <w:rFonts w:hint="eastAsia"/>
          <w:lang w:val="en-US" w:eastAsia="zh-CN"/>
        </w:rPr>
        <w:t>-4</w:t>
      </w:r>
      <w:r>
        <w:fldChar w:fldCharType="end"/>
      </w:r>
      <w:r>
        <w:rPr>
          <w:rFonts w:hint="eastAsia"/>
          <w:lang w:val="en-US" w:eastAsia="zh-CN"/>
        </w:rPr>
        <w:t>2-</w:t>
      </w:r>
    </w:p>
    <w:p>
      <w:pPr>
        <w:pStyle w:val="14"/>
        <w:tabs>
          <w:tab w:val="right" w:leader="dot" w:pos="8845"/>
        </w:tabs>
        <w:rPr>
          <w:rFonts w:hint="default"/>
          <w:lang w:val="en-US"/>
        </w:rPr>
      </w:pPr>
      <w:r>
        <w:fldChar w:fldCharType="begin"/>
      </w:r>
      <w:r>
        <w:instrText xml:space="preserve">Hyperlink \l "_Toc37607248"</w:instrText>
      </w:r>
      <w:r>
        <w:fldChar w:fldCharType="separate"/>
      </w:r>
      <w:r>
        <w:rPr>
          <w:rFonts w:hint="default" w:ascii="Times New Roman" w:hAnsi="Times New Roman" w:eastAsia="仿宋_GB2312" w:cs="Times New Roman"/>
          <w:bCs/>
          <w:kern w:val="2"/>
          <w:szCs w:val="32"/>
          <w:lang w:val="en-US" w:eastAsia="zh-CN" w:bidi="ar-SA"/>
        </w:rPr>
        <w:t>十、政府性基金预算财政拨款收入支出决算表</w:t>
      </w:r>
      <w:r>
        <w:tab/>
      </w:r>
      <w:r>
        <w:rPr>
          <w:rFonts w:hint="eastAsia"/>
          <w:lang w:val="en-US" w:eastAsia="zh-CN"/>
        </w:rPr>
        <w:t>-4</w:t>
      </w:r>
      <w:r>
        <w:fldChar w:fldCharType="end"/>
      </w:r>
      <w:r>
        <w:rPr>
          <w:rFonts w:hint="eastAsia"/>
          <w:lang w:val="en-US" w:eastAsia="zh-CN"/>
        </w:rPr>
        <w:t>2-</w:t>
      </w:r>
    </w:p>
    <w:p>
      <w:pPr>
        <w:pStyle w:val="14"/>
        <w:tabs>
          <w:tab w:val="right" w:leader="dot" w:pos="8845"/>
        </w:tabs>
        <w:rPr>
          <w:rFonts w:hint="default"/>
          <w:lang w:val="en-US"/>
        </w:rPr>
      </w:pPr>
      <w:r>
        <w:fldChar w:fldCharType="begin"/>
      </w:r>
      <w:r>
        <w:instrText xml:space="preserve">Hyperlink \l "_Toc37607249"</w:instrText>
      </w:r>
      <w:r>
        <w:fldChar w:fldCharType="separate"/>
      </w:r>
      <w:r>
        <w:rPr>
          <w:rFonts w:hint="default" w:ascii="Times New Roman" w:hAnsi="Times New Roman" w:eastAsia="仿宋_GB2312" w:cs="Times New Roman"/>
          <w:bCs/>
          <w:kern w:val="2"/>
          <w:szCs w:val="32"/>
          <w:lang w:val="en-US" w:eastAsia="zh-CN" w:bidi="ar-SA"/>
        </w:rPr>
        <w:t>十一、国有资本经营预算财政拨款收入支出决算表</w:t>
      </w:r>
      <w:r>
        <w:tab/>
      </w:r>
      <w:r>
        <w:rPr>
          <w:rFonts w:hint="eastAsia"/>
          <w:lang w:val="en-US" w:eastAsia="zh-CN"/>
        </w:rPr>
        <w:t>-4</w:t>
      </w:r>
      <w:r>
        <w:fldChar w:fldCharType="end"/>
      </w:r>
      <w:r>
        <w:rPr>
          <w:rFonts w:hint="eastAsia"/>
          <w:lang w:val="en-US" w:eastAsia="zh-CN"/>
        </w:rPr>
        <w:t>2-</w:t>
      </w:r>
    </w:p>
    <w:p>
      <w:pPr>
        <w:pStyle w:val="14"/>
        <w:tabs>
          <w:tab w:val="right" w:leader="dot" w:pos="8845"/>
        </w:tabs>
        <w:rPr>
          <w:rFonts w:hint="default"/>
          <w:lang w:val="en-US"/>
        </w:rPr>
      </w:pPr>
      <w:r>
        <w:fldChar w:fldCharType="begin"/>
      </w:r>
      <w:r>
        <w:instrText xml:space="preserve">Hyperlink \l "_Toc37607250"</w:instrText>
      </w:r>
      <w:r>
        <w:fldChar w:fldCharType="separate"/>
      </w:r>
      <w:r>
        <w:rPr>
          <w:rFonts w:hint="default" w:ascii="Times New Roman" w:hAnsi="Times New Roman" w:eastAsia="仿宋_GB2312" w:cs="Times New Roman"/>
          <w:bCs/>
          <w:kern w:val="2"/>
          <w:szCs w:val="32"/>
          <w:lang w:val="en-US" w:eastAsia="zh-CN" w:bidi="ar-SA"/>
        </w:rPr>
        <w:t>十二、国有资本经营预算财政拨款支出决算表</w:t>
      </w:r>
      <w:r>
        <w:tab/>
      </w:r>
      <w:r>
        <w:rPr>
          <w:rFonts w:hint="eastAsia"/>
          <w:lang w:val="en-US" w:eastAsia="zh-CN"/>
        </w:rPr>
        <w:t>-4</w:t>
      </w:r>
      <w:r>
        <w:fldChar w:fldCharType="end"/>
      </w:r>
      <w:r>
        <w:rPr>
          <w:rFonts w:hint="eastAsia"/>
          <w:lang w:val="en-US" w:eastAsia="zh-CN"/>
        </w:rPr>
        <w:t>2-</w:t>
      </w:r>
    </w:p>
    <w:p>
      <w:pPr>
        <w:pStyle w:val="14"/>
        <w:tabs>
          <w:tab w:val="right" w:leader="dot" w:pos="8845"/>
        </w:tabs>
        <w:rPr>
          <w:rFonts w:hint="default"/>
          <w:lang w:val="en-US"/>
        </w:rPr>
      </w:pPr>
      <w:r>
        <w:fldChar w:fldCharType="begin"/>
      </w:r>
      <w:r>
        <w:instrText xml:space="preserve">Hyperlink \l "_Toc37607251"</w:instrText>
      </w:r>
      <w:r>
        <w:fldChar w:fldCharType="separate"/>
      </w:r>
      <w:r>
        <w:rPr>
          <w:rFonts w:hint="default" w:ascii="Times New Roman" w:hAnsi="Times New Roman" w:eastAsia="仿宋_GB2312" w:cs="Times New Roman"/>
          <w:bCs/>
          <w:kern w:val="2"/>
          <w:szCs w:val="32"/>
          <w:lang w:val="en-US" w:eastAsia="zh-CN" w:bidi="ar-SA"/>
        </w:rPr>
        <w:t>十三、财政拨款“三公”经费支出决算表</w:t>
      </w:r>
      <w:r>
        <w:tab/>
      </w:r>
      <w:r>
        <w:rPr>
          <w:rFonts w:hint="eastAsia"/>
          <w:lang w:val="en-US" w:eastAsia="zh-CN"/>
        </w:rPr>
        <w:t>-4</w:t>
      </w:r>
      <w:r>
        <w:fldChar w:fldCharType="end"/>
      </w:r>
      <w:r>
        <w:rPr>
          <w:rFonts w:hint="default" w:ascii="Times New Roman" w:hAnsi="Times New Roman" w:eastAsia="仿宋_GB2312"/>
          <w:color w:val="000000"/>
          <w:sz w:val="32"/>
          <w:szCs w:val="32"/>
        </w:rPr>
        <w:fldChar w:fldCharType="end"/>
      </w:r>
      <w:r>
        <w:rPr>
          <w:rFonts w:hint="eastAsia"/>
          <w:lang w:val="en-US" w:eastAsia="zh-CN"/>
        </w:rPr>
        <w:t>2-</w:t>
      </w:r>
    </w:p>
    <w:p/>
    <w:p>
      <w:pPr>
        <w:pStyle w:val="14"/>
        <w:tabs>
          <w:tab w:val="right" w:leader="dot" w:pos="8845"/>
        </w:tabs>
        <w:ind w:left="0" w:leftChars="0" w:firstLine="0" w:firstLineChars="0"/>
        <w:rPr>
          <w:rFonts w:ascii="Times New Roman" w:hAnsi="Times New Roman"/>
          <w:color w:val="auto"/>
          <w:highlight w:val="none"/>
        </w:rPr>
        <w:sectPr>
          <w:footerReference r:id="rId6" w:type="first"/>
          <w:footerReference r:id="rId5" w:type="default"/>
          <w:pgSz w:w="11906" w:h="16838"/>
          <w:pgMar w:top="1440" w:right="1800" w:bottom="1440" w:left="1800" w:header="851" w:footer="992" w:gutter="0"/>
          <w:pgNumType w:fmt="numberInDash" w:start="1"/>
          <w:cols w:space="425" w:num="1"/>
          <w:titlePg/>
          <w:docGrid w:type="lines" w:linePitch="312" w:charSpace="0"/>
        </w:sectPr>
      </w:pPr>
      <w:r>
        <w:rPr>
          <w:rFonts w:hint="default" w:ascii="Times New Roman" w:hAnsi="Times New Roman" w:eastAsia="仿宋_GB2312"/>
          <w:color w:val="000000"/>
          <w:szCs w:val="32"/>
        </w:rPr>
        <w:fldChar w:fldCharType="end"/>
      </w:r>
    </w:p>
    <w:p>
      <w:pPr>
        <w:rPr>
          <w:rFonts w:ascii="Times New Roman" w:hAnsi="Times New Roman"/>
          <w:color w:val="auto"/>
          <w:highlight w:val="none"/>
        </w:rPr>
      </w:pPr>
    </w:p>
    <w:p>
      <w:pPr>
        <w:pStyle w:val="2"/>
        <w:jc w:val="center"/>
        <w:rPr>
          <w:rFonts w:ascii="Times New Roman" w:hAnsi="Times New Roman" w:eastAsia="黑体"/>
          <w:color w:val="auto"/>
          <w:sz w:val="32"/>
          <w:szCs w:val="32"/>
          <w:highlight w:val="none"/>
        </w:rPr>
      </w:pPr>
      <w:bookmarkStart w:id="6" w:name="_Toc15396599"/>
      <w:bookmarkStart w:id="7" w:name="_Toc468357113"/>
      <w:bookmarkStart w:id="8" w:name="_Toc15377196"/>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bookmarkEnd w:id="8"/>
    </w:p>
    <w:p>
      <w:pPr>
        <w:pStyle w:val="3"/>
        <w:numPr>
          <w:ilvl w:val="0"/>
          <w:numId w:val="1"/>
        </w:numPr>
        <w:rPr>
          <w:rFonts w:hint="eastAsia"/>
          <w:lang w:eastAsia="zh-CN"/>
        </w:rPr>
      </w:pPr>
      <w:bookmarkStart w:id="9" w:name="_Toc873666891"/>
      <w:r>
        <w:rPr>
          <w:rFonts w:hint="eastAsia" w:ascii="Times New Roman" w:hAnsi="Times New Roman" w:eastAsia="黑体"/>
          <w:b w:val="0"/>
          <w:color w:val="auto"/>
          <w:highlight w:val="none"/>
          <w:lang w:eastAsia="zh-CN"/>
        </w:rPr>
        <w:t>部门职责</w:t>
      </w:r>
      <w:bookmarkEnd w:id="9"/>
    </w:p>
    <w:p>
      <w:pPr>
        <w:ind w:firstLine="640" w:firstLineChars="200"/>
        <w:rPr>
          <w:rFonts w:hint="eastAsia"/>
          <w:lang w:eastAsia="zh-CN"/>
        </w:rPr>
      </w:pPr>
      <w:r>
        <w:rPr>
          <w:rFonts w:hint="default" w:eastAsia="方正仿宋_GBK"/>
          <w:bCs/>
          <w:sz w:val="32"/>
          <w:szCs w:val="32"/>
        </w:rPr>
        <w:t>根据《中华全国工商业联合会章程》、《中共中央国务院关于加强和改进新形式下工商联工作的意见》（中发〔2010〕16号）文件规定，工商联是中国共产党领导的以非公有制企业和非公有制经济人士为主体的人民团体和商会组织，是党和政府联系非公有制经济人士的桥梁和纽带，是政府管理非公有制经济的助手。加强非公有制经济代表人士思想政治工作；引导非公有制经济和非公有制经济代表人士健康成长；积极参政议政、发挥民主监督作用；服务非公有制经济发展，参加各种商务活动；履行社会团体业务主管单位职责，促进行业协会商会改革发展是工商联的主要职责。</w:t>
      </w:r>
    </w:p>
    <w:p>
      <w:pPr>
        <w:pStyle w:val="3"/>
        <w:rPr>
          <w:rStyle w:val="29"/>
          <w:rFonts w:ascii="Times New Roman" w:hAnsi="Times New Roman"/>
          <w:b w:val="0"/>
          <w:bCs w:val="0"/>
          <w:color w:val="auto"/>
          <w:highlight w:val="none"/>
        </w:rPr>
      </w:pPr>
      <w:bookmarkStart w:id="10" w:name="_Toc15377200"/>
      <w:bookmarkStart w:id="11" w:name="_Toc15396601"/>
      <w:bookmarkStart w:id="12" w:name="_Toc1547990349"/>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0"/>
      <w:bookmarkEnd w:id="11"/>
      <w:bookmarkEnd w:id="12"/>
    </w:p>
    <w:p>
      <w:pPr>
        <w:ind w:firstLine="800" w:firstLineChars="250"/>
        <w:rPr>
          <w:rFonts w:ascii="Times New Roman" w:hAnsi="Times New Roman" w:eastAsia="仿宋"/>
          <w:color w:val="auto"/>
          <w:kern w:val="0"/>
          <w:sz w:val="32"/>
          <w:szCs w:val="32"/>
          <w:highlight w:val="none"/>
        </w:rPr>
      </w:pPr>
      <w:r>
        <w:rPr>
          <w:rFonts w:hint="eastAsia" w:ascii="仿宋_GB2312" w:hAnsi="仿宋_GB2312" w:eastAsia="仿宋_GB2312" w:cs="仿宋_GB2312"/>
          <w:color w:val="auto"/>
          <w:sz w:val="32"/>
          <w:szCs w:val="32"/>
          <w:highlight w:val="none"/>
        </w:rPr>
        <w:t>阿坝藏族羌族自治州工商业联合会</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default" w:eastAsia="仿宋_GB2312" w:cs="仿宋_GB2312"/>
          <w:color w:val="auto"/>
          <w:sz w:val="32"/>
          <w:szCs w:val="32"/>
          <w:highlight w:val="none"/>
          <w:lang w:val="en-US"/>
        </w:rPr>
        <w:t>1</w:t>
      </w:r>
      <w:r>
        <w:rPr>
          <w:rFonts w:hint="eastAsia" w:ascii="Times New Roman" w:hAnsi="Times New Roman" w:eastAsia="仿宋_GB2312" w:cs="仿宋_GB2312"/>
          <w:color w:val="auto"/>
          <w:sz w:val="32"/>
          <w:szCs w:val="32"/>
          <w:highlight w:val="none"/>
        </w:rPr>
        <w:t>个，其中行政单位</w:t>
      </w:r>
      <w:r>
        <w:rPr>
          <w:rFonts w:hint="default" w:eastAsia="仿宋_GB2312" w:cs="仿宋_GB2312"/>
          <w:color w:val="auto"/>
          <w:sz w:val="32"/>
          <w:szCs w:val="32"/>
          <w:highlight w:val="none"/>
          <w:lang w:val="en-US"/>
        </w:rPr>
        <w:t>1</w:t>
      </w:r>
      <w:r>
        <w:rPr>
          <w:rFonts w:hint="eastAsia" w:ascii="Times New Roman" w:hAnsi="Times New Roman" w:eastAsia="仿宋_GB2312" w:cs="仿宋_GB2312"/>
          <w:color w:val="auto"/>
          <w:sz w:val="32"/>
          <w:szCs w:val="32"/>
          <w:highlight w:val="none"/>
        </w:rPr>
        <w:t>个，参照公务员法管理的事业单位</w:t>
      </w:r>
      <w:r>
        <w:rPr>
          <w:rFonts w:hint="default" w:eastAsia="仿宋_GB2312" w:cs="仿宋_GB2312"/>
          <w:bCs/>
          <w:color w:val="auto"/>
          <w:sz w:val="32"/>
          <w:szCs w:val="32"/>
          <w:highlight w:val="none"/>
          <w:lang w:val="en-US"/>
        </w:rPr>
        <w:t>0</w:t>
      </w:r>
      <w:r>
        <w:rPr>
          <w:rFonts w:hint="eastAsia" w:ascii="Times New Roman" w:hAnsi="Times New Roman" w:eastAsia="仿宋_GB2312" w:cs="仿宋_GB2312"/>
          <w:color w:val="auto"/>
          <w:sz w:val="32"/>
          <w:szCs w:val="32"/>
          <w:highlight w:val="none"/>
        </w:rPr>
        <w:t>个，其他事业单位</w:t>
      </w:r>
      <w:r>
        <w:rPr>
          <w:rFonts w:hint="default" w:eastAsia="仿宋_GB2312" w:cs="仿宋_GB2312"/>
          <w:color w:val="auto"/>
          <w:sz w:val="32"/>
          <w:szCs w:val="32"/>
          <w:highlight w:val="none"/>
          <w:lang w:val="en-US"/>
        </w:rPr>
        <w:t>0</w:t>
      </w:r>
      <w:r>
        <w:rPr>
          <w:rFonts w:hint="eastAsia" w:ascii="Times New Roman" w:hAnsi="Times New Roman" w:eastAsia="仿宋_GB2312" w:cs="仿宋_GB2312"/>
          <w:color w:val="auto"/>
          <w:sz w:val="32"/>
          <w:szCs w:val="32"/>
          <w:highlight w:val="none"/>
        </w:rPr>
        <w:t>个。</w:t>
      </w:r>
      <w:r>
        <w:rPr>
          <w:rFonts w:ascii="Times New Roman" w:hAnsi="Times New Roman" w:eastAsia="仿宋"/>
          <w:color w:val="auto"/>
          <w:sz w:val="32"/>
          <w:szCs w:val="32"/>
          <w:highlight w:val="none"/>
        </w:rPr>
        <w:br w:type="page"/>
      </w:r>
    </w:p>
    <w:p>
      <w:pPr>
        <w:pStyle w:val="2"/>
        <w:jc w:val="center"/>
        <w:rPr>
          <w:rFonts w:hint="eastAsia" w:ascii="Times New Roman" w:hAnsi="Times New Roman" w:eastAsia="方正小标宋简体" w:cs="方正小标宋简体"/>
          <w:b w:val="0"/>
          <w:color w:val="auto"/>
          <w:highlight w:val="none"/>
        </w:rPr>
      </w:pPr>
      <w:bookmarkStart w:id="13" w:name="_Toc1769396423"/>
      <w:bookmarkStart w:id="14" w:name="_Toc15396602"/>
      <w:bookmarkStart w:id="15"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3"/>
      <w:bookmarkEnd w:id="14"/>
      <w:bookmarkEnd w:id="15"/>
    </w:p>
    <w:p>
      <w:pPr>
        <w:rPr>
          <w:rFonts w:ascii="Times New Roman" w:hAnsi="Times New Roman"/>
          <w:color w:val="auto"/>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6" w:name="_Toc15396603"/>
      <w:bookmarkStart w:id="17" w:name="_Toc15377205"/>
      <w:bookmarkStart w:id="18" w:name="_Toc1781561876"/>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6"/>
      <w:bookmarkEnd w:id="17"/>
      <w:bookmarkEnd w:id="18"/>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19" w:name="_Toc177388917"/>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431.37</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w:t>
      </w:r>
      <w:r>
        <w:rPr>
          <w:rFonts w:hint="eastAsia" w:eastAsia="仿宋_GB2312" w:cs="仿宋_GB2312"/>
          <w:color w:val="auto"/>
          <w:sz w:val="32"/>
          <w:szCs w:val="32"/>
          <w:highlight w:val="none"/>
          <w:lang w:eastAsia="zh-CN"/>
        </w:rPr>
        <w:t>减少</w:t>
      </w:r>
      <w:r>
        <w:rPr>
          <w:rFonts w:hint="eastAsia" w:eastAsia="仿宋_GB2312" w:cs="仿宋_GB2312"/>
          <w:color w:val="auto"/>
          <w:sz w:val="32"/>
          <w:szCs w:val="32"/>
          <w:highlight w:val="none"/>
          <w:lang w:val="en-US" w:eastAsia="zh-CN"/>
        </w:rPr>
        <w:t>18.95</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eastAsia="zh-CN"/>
        </w:rPr>
        <w:t>减少</w:t>
      </w:r>
      <w:r>
        <w:rPr>
          <w:rFonts w:hint="eastAsia" w:eastAsia="仿宋_GB2312" w:cs="仿宋_GB2312"/>
          <w:color w:val="auto"/>
          <w:sz w:val="32"/>
          <w:szCs w:val="32"/>
          <w:highlight w:val="none"/>
          <w:lang w:val="en-US" w:eastAsia="zh-CN"/>
        </w:rPr>
        <w:t>4.21</w:t>
      </w:r>
      <w:r>
        <w:rPr>
          <w:rFonts w:hint="eastAsia" w:ascii="Times New Roman" w:hAnsi="Times New Roman" w:eastAsia="仿宋_GB2312" w:cs="仿宋_GB2312"/>
          <w:color w:val="auto"/>
          <w:sz w:val="32"/>
          <w:szCs w:val="32"/>
          <w:highlight w:val="none"/>
        </w:rPr>
        <w:t>%。主要变动原因是</w:t>
      </w:r>
      <w:r>
        <w:rPr>
          <w:rFonts w:hint="default" w:eastAsia="方正仿宋_GBK"/>
          <w:sz w:val="32"/>
          <w:szCs w:val="32"/>
        </w:rPr>
        <w:t>本年人员项目数及金额</w:t>
      </w:r>
      <w:r>
        <w:rPr>
          <w:rFonts w:hint="eastAsia" w:eastAsia="方正仿宋_GBK"/>
          <w:sz w:val="32"/>
          <w:szCs w:val="32"/>
          <w:lang w:eastAsia="zh-CN"/>
        </w:rPr>
        <w:t>减少</w:t>
      </w:r>
      <w:r>
        <w:rPr>
          <w:rFonts w:hint="default" w:eastAsia="方正仿宋_GBK"/>
          <w:sz w:val="32"/>
          <w:szCs w:val="32"/>
          <w:lang w:val="en-US" w:eastAsia="zh-CN"/>
        </w:rPr>
        <w:t>，</w:t>
      </w:r>
      <w:r>
        <w:rPr>
          <w:rFonts w:hint="default" w:eastAsia="方正仿宋_GBK"/>
          <w:sz w:val="32"/>
          <w:szCs w:val="32"/>
        </w:rPr>
        <w:t>经费</w:t>
      </w:r>
      <w:r>
        <w:rPr>
          <w:rFonts w:hint="default" w:eastAsia="方正仿宋_GBK"/>
          <w:sz w:val="32"/>
          <w:szCs w:val="32"/>
          <w:lang w:val="en-US" w:eastAsia="zh-CN"/>
        </w:rPr>
        <w:t>收入</w:t>
      </w:r>
      <w:r>
        <w:rPr>
          <w:rFonts w:hint="eastAsia" w:eastAsia="方正仿宋_GBK"/>
          <w:sz w:val="32"/>
          <w:szCs w:val="32"/>
          <w:lang w:val="en-US" w:eastAsia="zh-CN"/>
        </w:rPr>
        <w:t>减少，压减经费</w:t>
      </w:r>
      <w:r>
        <w:rPr>
          <w:rFonts w:hint="default" w:eastAsia="方正仿宋_GBK"/>
          <w:sz w:val="32"/>
          <w:szCs w:val="32"/>
        </w:rPr>
        <w:t>。</w:t>
      </w:r>
      <w:bookmarkEnd w:id="19"/>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 xml:space="preserve">   </w:t>
      </w:r>
      <w:r>
        <w:drawing>
          <wp:inline distT="0" distB="0" distL="114300" distR="114300">
            <wp:extent cx="4572000" cy="2766060"/>
            <wp:effectExtent l="4445" t="4445" r="14605" b="1079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77206"/>
      <w:bookmarkStart w:id="21" w:name="_Toc1354165837"/>
      <w:bookmarkStart w:id="22" w:name="_Toc15396604"/>
      <w:r>
        <w:rPr>
          <w:rFonts w:hint="eastAsia" w:ascii="Times New Roman" w:hAnsi="Times New Roman" w:eastAsia="黑体"/>
          <w:color w:val="auto"/>
          <w:sz w:val="32"/>
          <w:szCs w:val="32"/>
          <w:highlight w:val="none"/>
          <w:lang w:eastAsia="zh-CN"/>
        </w:rPr>
        <w:t>二、收入决算情况说明</w:t>
      </w:r>
      <w:bookmarkEnd w:id="20"/>
      <w:bookmarkEnd w:id="21"/>
      <w:bookmarkEnd w:id="22"/>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bookmarkStart w:id="23" w:name="_Toc1753232877"/>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年度本年收入合计</w:t>
      </w:r>
      <w:r>
        <w:rPr>
          <w:rFonts w:hint="eastAsia" w:ascii="仿宋_GB2312" w:hAnsi="仿宋_GB2312" w:eastAsia="仿宋_GB2312" w:cs="仿宋_GB2312"/>
          <w:sz w:val="32"/>
          <w:szCs w:val="32"/>
        </w:rPr>
        <w:t>431.37万元，其中：一般公共预算财政拨款收入431.37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bookmarkEnd w:id="23"/>
    </w:p>
    <w:p>
      <w:pPr>
        <w:ind w:firstLine="1440" w:firstLineChars="4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pPr>
        <w:ind w:firstLine="945" w:firstLineChars="450"/>
        <w:rPr>
          <w:rFonts w:hint="eastAsia" w:ascii="Times New Roman" w:hAnsi="Times New Roman" w:eastAsia="仿宋_GB2312" w:cs="仿宋_GB2312"/>
          <w:color w:val="auto"/>
          <w:sz w:val="32"/>
          <w:szCs w:val="32"/>
          <w:highlight w:val="none"/>
          <w:lang w:eastAsia="zh-CN"/>
        </w:rPr>
      </w:pPr>
      <w:r>
        <w:drawing>
          <wp:inline distT="0" distB="0" distL="114300" distR="114300">
            <wp:extent cx="4572000" cy="2743200"/>
            <wp:effectExtent l="4445" t="4445" r="14605" b="1460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4" w:name="_Toc15377207"/>
      <w:bookmarkStart w:id="25" w:name="_Toc1780117555"/>
      <w:bookmarkStart w:id="26"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4"/>
      <w:bookmarkEnd w:id="25"/>
      <w:bookmarkEnd w:id="26"/>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bookmarkStart w:id="27" w:name="_Toc358985935"/>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年度本年支出合计</w:t>
      </w:r>
      <w:r>
        <w:rPr>
          <w:rFonts w:hint="eastAsia" w:ascii="仿宋_GB2312" w:hAnsi="仿宋_GB2312" w:eastAsia="仿宋_GB2312" w:cs="仿宋_GB2312"/>
          <w:sz w:val="32"/>
          <w:szCs w:val="32"/>
        </w:rPr>
        <w:t>431.37</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387.81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89.9</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43.56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10.09</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bookmarkEnd w:id="27"/>
    </w:p>
    <w:p>
      <w:pPr>
        <w:ind w:firstLine="525" w:firstLineChars="250"/>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2336" behindDoc="0" locked="0" layoutInCell="1" allowOverlap="1">
            <wp:simplePos x="0" y="0"/>
            <wp:positionH relativeFrom="column">
              <wp:posOffset>481330</wp:posOffset>
            </wp:positionH>
            <wp:positionV relativeFrom="paragraph">
              <wp:posOffset>504825</wp:posOffset>
            </wp:positionV>
            <wp:extent cx="4564380" cy="2536825"/>
            <wp:effectExtent l="4445" t="4445" r="22225" b="11430"/>
            <wp:wrapTopAndBottom/>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lang w:eastAsia="zh-CN"/>
        </w:rPr>
        <w:t>（图3：支出决算结构图）（饼状图）</w:t>
      </w:r>
    </w:p>
    <w:p>
      <w:pPr>
        <w:spacing w:line="600" w:lineRule="exact"/>
        <w:ind w:firstLine="640" w:firstLineChars="200"/>
        <w:outlineLvl w:val="1"/>
        <w:rPr>
          <w:rStyle w:val="29"/>
          <w:rFonts w:ascii="Times New Roman" w:hAnsi="Times New Roman" w:eastAsia="黑体"/>
          <w:b w:val="0"/>
          <w:color w:val="auto"/>
          <w:highlight w:val="none"/>
        </w:rPr>
      </w:pPr>
      <w:bookmarkStart w:id="28" w:name="_Toc1920833476"/>
      <w:bookmarkStart w:id="29" w:name="_Toc15396606"/>
      <w:bookmarkStart w:id="30"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8"/>
      <w:bookmarkEnd w:id="29"/>
      <w:bookmarkEnd w:id="30"/>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kern w:val="2"/>
          <w:sz w:val="32"/>
          <w:szCs w:val="32"/>
          <w:highlight w:val="none"/>
          <w:lang w:val="en-US" w:eastAsia="zh-CN" w:bidi="ar-SA"/>
        </w:rPr>
      </w:pPr>
      <w:bookmarkStart w:id="31" w:name="_Toc1379168382"/>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sz w:val="32"/>
          <w:szCs w:val="32"/>
        </w:rPr>
        <w:t>431.37</w:t>
      </w:r>
      <w:r>
        <w:rPr>
          <w:rFonts w:hint="eastAsia" w:ascii="Times New Roman" w:hAnsi="Times New Roman" w:eastAsia="仿宋_GB2312" w:cs="仿宋_GB2312"/>
          <w:color w:val="auto"/>
          <w:kern w:val="2"/>
          <w:sz w:val="32"/>
          <w:szCs w:val="32"/>
          <w:highlight w:val="none"/>
          <w:lang w:val="en-US" w:eastAsia="zh-CN" w:bidi="ar-SA"/>
        </w:rPr>
        <w:t>万元。与202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w:t>
      </w:r>
      <w:r>
        <w:rPr>
          <w:rFonts w:hint="eastAsia" w:eastAsia="仿宋_GB2312" w:cs="仿宋_GB2312"/>
          <w:color w:val="auto"/>
          <w:kern w:val="2"/>
          <w:sz w:val="32"/>
          <w:szCs w:val="32"/>
          <w:highlight w:val="none"/>
          <w:lang w:val="en-US" w:eastAsia="zh-CN" w:bidi="ar-SA"/>
        </w:rPr>
        <w:t>减少18.95</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sz w:val="32"/>
          <w:szCs w:val="32"/>
          <w:highlight w:val="none"/>
          <w:lang w:eastAsia="zh-CN"/>
        </w:rPr>
        <w:t>减少</w:t>
      </w:r>
      <w:r>
        <w:rPr>
          <w:rFonts w:hint="eastAsia" w:eastAsia="仿宋_GB2312" w:cs="仿宋_GB2312"/>
          <w:color w:val="auto"/>
          <w:sz w:val="32"/>
          <w:szCs w:val="32"/>
          <w:highlight w:val="none"/>
          <w:lang w:val="en-US" w:eastAsia="zh-CN"/>
        </w:rPr>
        <w:t>4.21</w:t>
      </w:r>
      <w:r>
        <w:rPr>
          <w:rFonts w:hint="eastAsia" w:ascii="Times New Roman" w:hAnsi="Times New Roman" w:eastAsia="仿宋_GB2312" w:cs="仿宋_GB2312"/>
          <w:color w:val="auto"/>
          <w:sz w:val="32"/>
          <w:szCs w:val="32"/>
          <w:highlight w:val="none"/>
        </w:rPr>
        <w:t>%。主要变动原因是</w:t>
      </w:r>
      <w:r>
        <w:rPr>
          <w:rFonts w:hint="default" w:eastAsia="方正仿宋_GBK"/>
          <w:sz w:val="32"/>
          <w:szCs w:val="32"/>
        </w:rPr>
        <w:t>本年人员项目数及金额</w:t>
      </w:r>
      <w:r>
        <w:rPr>
          <w:rFonts w:hint="eastAsia" w:eastAsia="方正仿宋_GBK"/>
          <w:sz w:val="32"/>
          <w:szCs w:val="32"/>
          <w:lang w:eastAsia="zh-CN"/>
        </w:rPr>
        <w:t>减少</w:t>
      </w:r>
      <w:r>
        <w:rPr>
          <w:rFonts w:hint="default" w:eastAsia="方正仿宋_GBK"/>
          <w:sz w:val="32"/>
          <w:szCs w:val="32"/>
          <w:lang w:val="en-US" w:eastAsia="zh-CN"/>
        </w:rPr>
        <w:t>，</w:t>
      </w:r>
      <w:r>
        <w:rPr>
          <w:rFonts w:hint="default" w:eastAsia="方正仿宋_GBK"/>
          <w:sz w:val="32"/>
          <w:szCs w:val="32"/>
        </w:rPr>
        <w:t>经费</w:t>
      </w:r>
      <w:r>
        <w:rPr>
          <w:rFonts w:hint="default" w:eastAsia="方正仿宋_GBK"/>
          <w:sz w:val="32"/>
          <w:szCs w:val="32"/>
          <w:lang w:val="en-US" w:eastAsia="zh-CN"/>
        </w:rPr>
        <w:t>收入</w:t>
      </w:r>
      <w:r>
        <w:rPr>
          <w:rFonts w:hint="eastAsia" w:eastAsia="方正仿宋_GBK"/>
          <w:sz w:val="32"/>
          <w:szCs w:val="32"/>
          <w:lang w:val="en-US" w:eastAsia="zh-CN"/>
        </w:rPr>
        <w:t>减少，压减经费</w:t>
      </w:r>
      <w:r>
        <w:rPr>
          <w:rFonts w:hint="default" w:eastAsia="方正仿宋_GBK"/>
          <w:sz w:val="32"/>
          <w:szCs w:val="32"/>
        </w:rPr>
        <w:t>。</w:t>
      </w:r>
      <w:bookmarkEnd w:id="31"/>
    </w:p>
    <w:p>
      <w:pPr>
        <w:spacing w:line="600" w:lineRule="exact"/>
        <w:ind w:firstLine="420" w:firstLineChars="200"/>
        <w:rPr>
          <w:rFonts w:hint="eastAsia" w:ascii="Times New Roman" w:hAnsi="Times New Roman" w:eastAsia="黑体"/>
          <w:color w:val="auto"/>
          <w:sz w:val="32"/>
          <w:szCs w:val="32"/>
          <w:highlight w:val="none"/>
        </w:rPr>
      </w:pPr>
      <w:r>
        <w:drawing>
          <wp:anchor distT="0" distB="0" distL="114300" distR="114300" simplePos="0" relativeHeight="251663360" behindDoc="0" locked="0" layoutInCell="1" allowOverlap="1">
            <wp:simplePos x="0" y="0"/>
            <wp:positionH relativeFrom="column">
              <wp:posOffset>476250</wp:posOffset>
            </wp:positionH>
            <wp:positionV relativeFrom="paragraph">
              <wp:posOffset>553085</wp:posOffset>
            </wp:positionV>
            <wp:extent cx="4572000" cy="2766060"/>
            <wp:effectExtent l="4445" t="4445" r="14605" b="10795"/>
            <wp:wrapTopAndBottom/>
            <wp:docPr id="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bookmarkStart w:id="32" w:name="_Toc15396607"/>
      <w:bookmarkStart w:id="33" w:name="_Toc15377209"/>
    </w:p>
    <w:p>
      <w:pPr>
        <w:spacing w:line="600" w:lineRule="exact"/>
        <w:ind w:firstLine="960" w:firstLineChars="300"/>
        <w:rPr>
          <w:rStyle w:val="29"/>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32"/>
      <w:bookmarkEnd w:id="33"/>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4"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4"/>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bookmarkStart w:id="35" w:name="_Toc3541829"/>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rPr>
        <w:t>431.37</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w:t>
      </w:r>
      <w:r>
        <w:rPr>
          <w:rFonts w:hint="eastAsia" w:eastAsia="仿宋_GB2312" w:cs="仿宋_GB2312"/>
          <w:color w:val="auto"/>
          <w:kern w:val="2"/>
          <w:sz w:val="32"/>
          <w:szCs w:val="32"/>
          <w:highlight w:val="none"/>
          <w:lang w:val="en-US" w:eastAsia="zh-CN" w:bidi="ar-SA"/>
        </w:rPr>
        <w:t>减少18.95</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sz w:val="32"/>
          <w:szCs w:val="32"/>
          <w:highlight w:val="none"/>
          <w:lang w:eastAsia="zh-CN"/>
        </w:rPr>
        <w:t>减少</w:t>
      </w:r>
      <w:r>
        <w:rPr>
          <w:rFonts w:hint="eastAsia" w:eastAsia="仿宋_GB2312" w:cs="仿宋_GB2312"/>
          <w:color w:val="auto"/>
          <w:sz w:val="32"/>
          <w:szCs w:val="32"/>
          <w:highlight w:val="none"/>
          <w:lang w:val="en-US" w:eastAsia="zh-CN"/>
        </w:rPr>
        <w:t>4.21</w:t>
      </w:r>
      <w:r>
        <w:rPr>
          <w:rFonts w:hint="eastAsia" w:ascii="Times New Roman" w:hAnsi="Times New Roman" w:eastAsia="仿宋_GB2312" w:cs="仿宋_GB2312"/>
          <w:color w:val="auto"/>
          <w:sz w:val="32"/>
          <w:szCs w:val="32"/>
          <w:highlight w:val="none"/>
        </w:rPr>
        <w:t>%。主要变动原因是</w:t>
      </w:r>
      <w:r>
        <w:rPr>
          <w:rFonts w:hint="default" w:eastAsia="方正仿宋_GBK"/>
          <w:sz w:val="32"/>
          <w:szCs w:val="32"/>
        </w:rPr>
        <w:t>本年人员项目数及金额</w:t>
      </w:r>
      <w:r>
        <w:rPr>
          <w:rFonts w:hint="eastAsia" w:eastAsia="方正仿宋_GBK"/>
          <w:sz w:val="32"/>
          <w:szCs w:val="32"/>
          <w:lang w:eastAsia="zh-CN"/>
        </w:rPr>
        <w:t>减少</w:t>
      </w:r>
      <w:r>
        <w:rPr>
          <w:rFonts w:hint="default" w:eastAsia="方正仿宋_GBK"/>
          <w:sz w:val="32"/>
          <w:szCs w:val="32"/>
          <w:lang w:val="en-US" w:eastAsia="zh-CN"/>
        </w:rPr>
        <w:t>，</w:t>
      </w:r>
      <w:r>
        <w:rPr>
          <w:rFonts w:hint="default" w:eastAsia="方正仿宋_GBK"/>
          <w:sz w:val="32"/>
          <w:szCs w:val="32"/>
        </w:rPr>
        <w:t>经费</w:t>
      </w:r>
      <w:r>
        <w:rPr>
          <w:rFonts w:hint="default" w:eastAsia="方正仿宋_GBK"/>
          <w:sz w:val="32"/>
          <w:szCs w:val="32"/>
          <w:lang w:val="en-US" w:eastAsia="zh-CN"/>
        </w:rPr>
        <w:t>收入</w:t>
      </w:r>
      <w:r>
        <w:rPr>
          <w:rFonts w:hint="eastAsia" w:eastAsia="方正仿宋_GBK"/>
          <w:sz w:val="32"/>
          <w:szCs w:val="32"/>
          <w:lang w:val="en-US" w:eastAsia="zh-CN"/>
        </w:rPr>
        <w:t>减少，压减经费</w:t>
      </w:r>
      <w:r>
        <w:rPr>
          <w:rFonts w:hint="default" w:eastAsia="方正仿宋_GBK"/>
          <w:sz w:val="32"/>
          <w:szCs w:val="32"/>
        </w:rPr>
        <w:t>。</w:t>
      </w:r>
      <w:bookmarkEnd w:id="35"/>
    </w:p>
    <w:p>
      <w:pPr>
        <w:spacing w:line="600" w:lineRule="exact"/>
        <w:rPr>
          <w:rFonts w:hint="eastAsia" w:ascii="Times New Roman" w:hAnsi="Times New Roman" w:eastAsia="仿宋_GB2312" w:cs="仿宋_GB2312"/>
          <w:color w:val="auto"/>
          <w:kern w:val="2"/>
          <w:sz w:val="32"/>
          <w:szCs w:val="32"/>
          <w:highlight w:val="none"/>
          <w:lang w:val="en-US" w:eastAsia="zh-CN" w:bidi="ar-SA"/>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p>
    <w:p>
      <w:pPr>
        <w:spacing w:line="600" w:lineRule="exact"/>
        <w:rPr>
          <w:rFonts w:hint="eastAsia" w:ascii="Times New Roman" w:hAnsi="Times New Roman" w:eastAsia="楷体_GB2312" w:cs="楷体_GB2312"/>
          <w:b/>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bookmarkStart w:id="36" w:name="_Toc15377211"/>
    </w:p>
    <w:p>
      <w:pPr>
        <w:spacing w:line="600" w:lineRule="exact"/>
        <w:ind w:firstLine="640"/>
        <w:rPr>
          <w:rFonts w:hint="eastAsia" w:ascii="Times New Roman" w:hAnsi="Times New Roman" w:eastAsia="楷体_GB2312" w:cs="楷体_GB2312"/>
          <w:b/>
          <w:color w:val="auto"/>
          <w:sz w:val="32"/>
          <w:szCs w:val="32"/>
          <w:highlight w:val="none"/>
        </w:rPr>
      </w:pPr>
      <w:r>
        <w:drawing>
          <wp:anchor distT="0" distB="0" distL="114300" distR="114300" simplePos="0" relativeHeight="251661312" behindDoc="0" locked="0" layoutInCell="1" allowOverlap="1">
            <wp:simplePos x="0" y="0"/>
            <wp:positionH relativeFrom="column">
              <wp:posOffset>363855</wp:posOffset>
            </wp:positionH>
            <wp:positionV relativeFrom="paragraph">
              <wp:posOffset>58420</wp:posOffset>
            </wp:positionV>
            <wp:extent cx="4572000" cy="2750820"/>
            <wp:effectExtent l="4445" t="4445" r="14605" b="6985"/>
            <wp:wrapTopAndBottom/>
            <wp:docPr id="108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楷体_GB2312" w:cs="楷体_GB2312"/>
          <w:b/>
          <w:color w:val="auto"/>
          <w:sz w:val="32"/>
          <w:szCs w:val="32"/>
          <w:highlight w:val="none"/>
        </w:rPr>
        <w:t>（二）一般公共预算财政拨款支出决算结构情况</w:t>
      </w:r>
      <w:bookmarkEnd w:id="36"/>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eastAsia="方正仿宋_GBK"/>
          <w:sz w:val="32"/>
          <w:szCs w:val="32"/>
          <w:lang w:eastAsia="zh-CN"/>
        </w:rPr>
        <w:t>431.37</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default" w:eastAsia="方正仿宋_GBK"/>
          <w:sz w:val="32"/>
          <w:szCs w:val="32"/>
        </w:rPr>
        <w:t>一般公共服务支出为</w:t>
      </w:r>
      <w:r>
        <w:rPr>
          <w:rFonts w:hint="eastAsia" w:eastAsia="方正仿宋_GBK"/>
          <w:sz w:val="32"/>
          <w:szCs w:val="32"/>
          <w:lang w:val="en-US" w:eastAsia="zh-CN"/>
        </w:rPr>
        <w:t>341.63</w:t>
      </w:r>
      <w:r>
        <w:rPr>
          <w:rFonts w:hint="default" w:eastAsia="方正仿宋_GBK"/>
          <w:sz w:val="32"/>
          <w:szCs w:val="32"/>
        </w:rPr>
        <w:t>万元，占比</w:t>
      </w:r>
      <w:r>
        <w:rPr>
          <w:rFonts w:hint="eastAsia" w:eastAsia="方正仿宋_GBK"/>
          <w:sz w:val="32"/>
          <w:szCs w:val="32"/>
          <w:lang w:val="en-US" w:eastAsia="zh-CN"/>
        </w:rPr>
        <w:t>79.2</w:t>
      </w:r>
      <w:r>
        <w:rPr>
          <w:rFonts w:hint="default" w:eastAsia="方正仿宋_GBK"/>
          <w:sz w:val="32"/>
          <w:szCs w:val="32"/>
        </w:rPr>
        <w:t>%；社会保障和就业支出为</w:t>
      </w:r>
      <w:r>
        <w:rPr>
          <w:rFonts w:hint="eastAsia" w:eastAsia="方正仿宋_GBK"/>
          <w:sz w:val="32"/>
          <w:szCs w:val="32"/>
          <w:lang w:val="en-US" w:eastAsia="zh-CN"/>
        </w:rPr>
        <w:t>48.49</w:t>
      </w:r>
      <w:r>
        <w:rPr>
          <w:rFonts w:hint="default" w:eastAsia="方正仿宋_GBK"/>
          <w:sz w:val="32"/>
          <w:szCs w:val="32"/>
        </w:rPr>
        <w:t>万元，占比</w:t>
      </w:r>
      <w:r>
        <w:rPr>
          <w:rFonts w:hint="eastAsia" w:eastAsia="方正仿宋_GBK"/>
          <w:sz w:val="32"/>
          <w:szCs w:val="32"/>
          <w:lang w:val="en-US" w:eastAsia="zh-CN"/>
        </w:rPr>
        <w:t>11.24</w:t>
      </w:r>
      <w:r>
        <w:rPr>
          <w:rFonts w:hint="default" w:eastAsia="方正仿宋_GBK"/>
          <w:sz w:val="32"/>
          <w:szCs w:val="32"/>
        </w:rPr>
        <w:t>%；卫生健康支出为</w:t>
      </w:r>
      <w:r>
        <w:rPr>
          <w:rFonts w:hint="eastAsia" w:eastAsia="方正仿宋_GBK"/>
          <w:sz w:val="32"/>
          <w:szCs w:val="32"/>
          <w:lang w:val="en-US" w:eastAsia="zh-CN"/>
        </w:rPr>
        <w:t>17.68</w:t>
      </w:r>
      <w:r>
        <w:rPr>
          <w:rFonts w:hint="default" w:eastAsia="方正仿宋_GBK"/>
          <w:sz w:val="32"/>
          <w:szCs w:val="32"/>
        </w:rPr>
        <w:t>万元，占比</w:t>
      </w:r>
      <w:r>
        <w:rPr>
          <w:rFonts w:hint="eastAsia" w:eastAsia="方正仿宋_GBK"/>
          <w:sz w:val="32"/>
          <w:szCs w:val="32"/>
          <w:lang w:val="en-US" w:eastAsia="zh-CN"/>
        </w:rPr>
        <w:t>4.1</w:t>
      </w:r>
      <w:r>
        <w:rPr>
          <w:rFonts w:hint="default" w:eastAsia="方正仿宋_GBK"/>
          <w:sz w:val="32"/>
          <w:szCs w:val="32"/>
        </w:rPr>
        <w:t>%；住房保障支出为</w:t>
      </w:r>
      <w:r>
        <w:rPr>
          <w:rFonts w:hint="eastAsia" w:eastAsia="方正仿宋_GBK"/>
          <w:sz w:val="32"/>
          <w:szCs w:val="32"/>
          <w:lang w:val="en-US" w:eastAsia="zh-CN"/>
        </w:rPr>
        <w:t>23.57</w:t>
      </w:r>
      <w:r>
        <w:rPr>
          <w:rFonts w:hint="default" w:eastAsia="方正仿宋_GBK"/>
          <w:sz w:val="32"/>
          <w:szCs w:val="32"/>
        </w:rPr>
        <w:t>万元，占比</w:t>
      </w:r>
      <w:r>
        <w:rPr>
          <w:rFonts w:hint="eastAsia" w:eastAsia="方正仿宋_GBK"/>
          <w:sz w:val="32"/>
          <w:szCs w:val="32"/>
          <w:lang w:val="en-US" w:eastAsia="zh-CN"/>
        </w:rPr>
        <w:t>5.46</w:t>
      </w:r>
      <w:r>
        <w:rPr>
          <w:rFonts w:hint="default" w:eastAsia="方正仿宋_GBK"/>
          <w:sz w:val="32"/>
          <w:szCs w:val="32"/>
        </w:rPr>
        <w:t>%</w:t>
      </w:r>
      <w:r>
        <w:rPr>
          <w:rFonts w:hint="eastAsia" w:eastAsia="方正仿宋_GBK"/>
          <w:sz w:val="32"/>
          <w:szCs w:val="32"/>
          <w:lang w:eastAsia="zh-CN"/>
        </w:rPr>
        <w:t>。</w:t>
      </w:r>
    </w:p>
    <w:p>
      <w:pPr>
        <w:spacing w:line="600" w:lineRule="exact"/>
        <w:ind w:firstLine="640"/>
        <w:rPr>
          <w:rFonts w:hint="eastAsia" w:ascii="Times New Roman" w:hAnsi="Times New Roman" w:eastAsia="楷体_GB2312" w:cs="楷体_GB2312"/>
          <w:b/>
          <w:color w:val="auto"/>
          <w:sz w:val="32"/>
          <w:szCs w:val="32"/>
          <w:highlight w:val="none"/>
        </w:rPr>
      </w:pPr>
      <w:r>
        <w:drawing>
          <wp:anchor distT="0" distB="0" distL="114300" distR="114300" simplePos="0" relativeHeight="251659264" behindDoc="0" locked="0" layoutInCell="1" allowOverlap="1">
            <wp:simplePos x="0" y="0"/>
            <wp:positionH relativeFrom="column">
              <wp:posOffset>532130</wp:posOffset>
            </wp:positionH>
            <wp:positionV relativeFrom="paragraph">
              <wp:posOffset>789305</wp:posOffset>
            </wp:positionV>
            <wp:extent cx="4572000" cy="2743200"/>
            <wp:effectExtent l="4445" t="4445" r="14605" b="14605"/>
            <wp:wrapTopAndBottom/>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bookmarkStart w:id="37" w:name="_Toc15377212"/>
    </w:p>
    <w:p>
      <w:pPr>
        <w:spacing w:line="600" w:lineRule="exact"/>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3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8" w:name="_Toc15377213"/>
      <w:bookmarkStart w:id="39" w:name="_Toc15377444"/>
      <w:bookmarkStart w:id="40" w:name="_Toc15378460"/>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rPr>
        <w:t>431.37</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8"/>
      <w:bookmarkEnd w:id="39"/>
      <w:bookmarkEnd w:id="40"/>
    </w:p>
    <w:p>
      <w:pPr>
        <w:numPr>
          <w:ilvl w:val="0"/>
          <w:numId w:val="2"/>
        </w:numPr>
        <w:spacing w:line="560" w:lineRule="exact"/>
        <w:rPr>
          <w:rFonts w:hint="default" w:eastAsia="方正仿宋_GBK"/>
          <w:bCs/>
          <w:sz w:val="32"/>
          <w:szCs w:val="32"/>
        </w:rPr>
      </w:pPr>
      <w:r>
        <w:rPr>
          <w:rStyle w:val="17"/>
          <w:rFonts w:hint="default" w:eastAsia="方正仿宋_GBK"/>
          <w:bCs/>
          <w:color w:val="000000"/>
          <w:sz w:val="32"/>
          <w:szCs w:val="32"/>
        </w:rPr>
        <w:t>一般公共服务（类）</w:t>
      </w:r>
      <w:r>
        <w:rPr>
          <w:rFonts w:hint="default" w:eastAsia="方正仿宋_GBK"/>
          <w:b/>
          <w:bCs/>
          <w:color w:val="000000"/>
          <w:sz w:val="32"/>
          <w:szCs w:val="32"/>
        </w:rPr>
        <w:t>民主党派及工商联事务</w:t>
      </w:r>
      <w:r>
        <w:rPr>
          <w:rStyle w:val="17"/>
          <w:rFonts w:hint="default" w:eastAsia="方正仿宋_GBK"/>
          <w:bCs/>
          <w:color w:val="000000"/>
          <w:sz w:val="32"/>
          <w:szCs w:val="32"/>
        </w:rPr>
        <w:t>（款）</w:t>
      </w:r>
      <w:r>
        <w:rPr>
          <w:rFonts w:hint="default" w:eastAsia="方正仿宋_GBK"/>
          <w:b/>
          <w:bCs/>
          <w:color w:val="000000"/>
          <w:sz w:val="32"/>
          <w:szCs w:val="32"/>
        </w:rPr>
        <w:t>行</w:t>
      </w:r>
    </w:p>
    <w:p>
      <w:pPr>
        <w:spacing w:line="600" w:lineRule="exact"/>
        <w:rPr>
          <w:rFonts w:hint="default" w:eastAsia="方正仿宋_GBK"/>
          <w:bCs/>
          <w:sz w:val="32"/>
          <w:szCs w:val="32"/>
        </w:rPr>
      </w:pPr>
      <w:r>
        <w:rPr>
          <w:rFonts w:hint="default" w:eastAsia="方正仿宋_GBK"/>
          <w:b/>
          <w:bCs/>
          <w:color w:val="000000"/>
          <w:sz w:val="32"/>
          <w:szCs w:val="32"/>
        </w:rPr>
        <w:t>政运行</w:t>
      </w:r>
      <w:r>
        <w:rPr>
          <w:rStyle w:val="17"/>
          <w:rFonts w:hint="default" w:eastAsia="方正仿宋_GBK"/>
          <w:bCs/>
          <w:color w:val="000000"/>
          <w:sz w:val="32"/>
          <w:szCs w:val="32"/>
        </w:rPr>
        <w:t>（项）:</w:t>
      </w:r>
      <w:r>
        <w:rPr>
          <w:rFonts w:hint="default" w:eastAsia="方正仿宋_GBK"/>
          <w:bCs/>
          <w:sz w:val="32"/>
          <w:szCs w:val="32"/>
        </w:rPr>
        <w:t>支出决算为</w:t>
      </w:r>
      <w:r>
        <w:rPr>
          <w:rFonts w:hint="eastAsia" w:eastAsia="方正仿宋_GBK"/>
          <w:bCs/>
          <w:sz w:val="32"/>
          <w:szCs w:val="32"/>
          <w:lang w:val="en-US" w:eastAsia="zh-CN"/>
        </w:rPr>
        <w:t>298.07</w:t>
      </w:r>
      <w:r>
        <w:rPr>
          <w:rFonts w:hint="default" w:eastAsia="方正仿宋_GBK"/>
          <w:bCs/>
          <w:sz w:val="32"/>
          <w:szCs w:val="32"/>
        </w:rPr>
        <w:t>万元，完成预算100</w:t>
      </w:r>
      <w:r>
        <w:rPr>
          <w:rFonts w:hint="default" w:eastAsia="方正仿宋_GBK"/>
          <w:sz w:val="32"/>
          <w:szCs w:val="32"/>
        </w:rPr>
        <w:t>％</w:t>
      </w:r>
      <w:r>
        <w:rPr>
          <w:rFonts w:hint="default" w:eastAsia="方正仿宋_GBK"/>
          <w:bCs/>
          <w:sz w:val="32"/>
          <w:szCs w:val="32"/>
        </w:rPr>
        <w:t>。</w:t>
      </w:r>
    </w:p>
    <w:p>
      <w:pPr>
        <w:spacing w:line="560" w:lineRule="exact"/>
        <w:ind w:firstLine="642" w:firstLineChars="200"/>
        <w:jc w:val="left"/>
        <w:rPr>
          <w:rFonts w:hint="default" w:eastAsia="方正仿宋_GBK"/>
          <w:bCs/>
          <w:sz w:val="32"/>
          <w:szCs w:val="32"/>
        </w:rPr>
      </w:pPr>
      <w:r>
        <w:rPr>
          <w:rFonts w:hint="default" w:eastAsia="方正仿宋_GBK"/>
          <w:b/>
          <w:bCs/>
          <w:sz w:val="32"/>
          <w:szCs w:val="32"/>
        </w:rPr>
        <w:t>2.一般公共服务（类）民主党派及工商联事务（款）一般行政管理事务（项）:</w:t>
      </w:r>
      <w:r>
        <w:rPr>
          <w:rFonts w:hint="default" w:eastAsia="方正仿宋_GBK"/>
          <w:bCs/>
          <w:sz w:val="32"/>
          <w:szCs w:val="32"/>
        </w:rPr>
        <w:t>支出决算为</w:t>
      </w:r>
      <w:r>
        <w:rPr>
          <w:rFonts w:hint="eastAsia" w:eastAsia="方正仿宋_GBK"/>
          <w:bCs/>
          <w:sz w:val="32"/>
          <w:szCs w:val="32"/>
          <w:lang w:val="en-US" w:eastAsia="zh-CN"/>
        </w:rPr>
        <w:t>43.56</w:t>
      </w:r>
      <w:r>
        <w:rPr>
          <w:rFonts w:hint="default" w:eastAsia="方正仿宋_GBK"/>
          <w:bCs/>
          <w:sz w:val="32"/>
          <w:szCs w:val="32"/>
        </w:rPr>
        <w:t>万元，完成预算100％。</w:t>
      </w:r>
    </w:p>
    <w:p>
      <w:pPr>
        <w:spacing w:line="560" w:lineRule="exact"/>
        <w:ind w:firstLine="642" w:firstLineChars="200"/>
        <w:jc w:val="left"/>
        <w:rPr>
          <w:rFonts w:hint="default" w:eastAsia="方正仿宋_GBK"/>
          <w:bCs/>
          <w:sz w:val="32"/>
          <w:szCs w:val="32"/>
        </w:rPr>
      </w:pPr>
      <w:r>
        <w:rPr>
          <w:rFonts w:hint="default" w:eastAsia="方正仿宋_GBK"/>
          <w:b/>
          <w:bCs/>
          <w:sz w:val="32"/>
          <w:szCs w:val="32"/>
        </w:rPr>
        <w:t>3.社会保障和就业支出（类）行政事业单位养老支出（款）机关事业单位基本养老保险缴费（项）：</w:t>
      </w:r>
      <w:r>
        <w:rPr>
          <w:rFonts w:hint="default" w:eastAsia="方正仿宋_GBK"/>
          <w:bCs/>
          <w:sz w:val="32"/>
          <w:szCs w:val="32"/>
        </w:rPr>
        <w:t>支出决算为</w:t>
      </w:r>
      <w:r>
        <w:rPr>
          <w:rFonts w:hint="eastAsia" w:eastAsia="方正仿宋_GBK"/>
          <w:bCs/>
          <w:sz w:val="32"/>
          <w:szCs w:val="32"/>
          <w:lang w:val="en-US" w:eastAsia="zh-CN"/>
        </w:rPr>
        <w:t>28.76</w:t>
      </w:r>
      <w:r>
        <w:rPr>
          <w:rFonts w:hint="default" w:eastAsia="方正仿宋_GBK"/>
          <w:bCs/>
          <w:sz w:val="32"/>
          <w:szCs w:val="32"/>
        </w:rPr>
        <w:t>万元，完成预算100％。</w:t>
      </w:r>
    </w:p>
    <w:p>
      <w:pPr>
        <w:spacing w:line="560" w:lineRule="exact"/>
        <w:ind w:firstLine="642" w:firstLineChars="200"/>
        <w:jc w:val="left"/>
        <w:rPr>
          <w:rFonts w:hint="default" w:eastAsia="方正仿宋_GBK"/>
          <w:bCs/>
          <w:sz w:val="32"/>
          <w:szCs w:val="32"/>
        </w:rPr>
      </w:pPr>
      <w:r>
        <w:rPr>
          <w:rFonts w:hint="default" w:eastAsia="方正仿宋_GBK"/>
          <w:b/>
          <w:bCs/>
          <w:sz w:val="32"/>
          <w:szCs w:val="32"/>
        </w:rPr>
        <w:t>4..社会保障和就业支出（类）行政事业单位养老支出（款）机关事业单位职业年金缴费支出（项）：</w:t>
      </w:r>
      <w:r>
        <w:rPr>
          <w:rFonts w:hint="default" w:eastAsia="方正仿宋_GBK"/>
          <w:bCs/>
          <w:sz w:val="32"/>
          <w:szCs w:val="32"/>
        </w:rPr>
        <w:t>支出决算为</w:t>
      </w:r>
      <w:r>
        <w:rPr>
          <w:rFonts w:hint="eastAsia" w:eastAsia="方正仿宋_GBK"/>
          <w:bCs/>
          <w:sz w:val="32"/>
          <w:szCs w:val="32"/>
          <w:lang w:val="en-US" w:eastAsia="zh-CN"/>
        </w:rPr>
        <w:t>13.82</w:t>
      </w:r>
      <w:r>
        <w:rPr>
          <w:rFonts w:hint="default" w:eastAsia="方正仿宋_GBK"/>
          <w:bCs/>
          <w:sz w:val="32"/>
          <w:szCs w:val="32"/>
        </w:rPr>
        <w:t>万元，完成预算100％。</w:t>
      </w:r>
    </w:p>
    <w:p>
      <w:pPr>
        <w:spacing w:line="560" w:lineRule="exact"/>
        <w:ind w:firstLine="640"/>
        <w:jc w:val="left"/>
        <w:rPr>
          <w:rFonts w:hint="default" w:eastAsia="方正仿宋_GBK"/>
          <w:bCs/>
          <w:sz w:val="32"/>
          <w:szCs w:val="32"/>
        </w:rPr>
      </w:pPr>
      <w:r>
        <w:rPr>
          <w:rFonts w:hint="default" w:eastAsia="方正仿宋_GBK"/>
          <w:b/>
          <w:bCs/>
          <w:sz w:val="32"/>
          <w:szCs w:val="32"/>
        </w:rPr>
        <w:t>5.卫生健康支出（类）行政事业单位医疗（款）行政事业单位医疗（项）：</w:t>
      </w:r>
      <w:r>
        <w:rPr>
          <w:rFonts w:hint="default" w:eastAsia="方正仿宋_GBK"/>
          <w:bCs/>
          <w:sz w:val="32"/>
          <w:szCs w:val="32"/>
        </w:rPr>
        <w:t>支出决算为</w:t>
      </w:r>
      <w:r>
        <w:rPr>
          <w:rFonts w:hint="eastAsia" w:eastAsia="方正仿宋_GBK"/>
          <w:bCs/>
          <w:sz w:val="32"/>
          <w:szCs w:val="32"/>
          <w:lang w:val="en-US" w:eastAsia="zh-CN"/>
        </w:rPr>
        <w:t>13.99</w:t>
      </w:r>
      <w:r>
        <w:rPr>
          <w:rFonts w:hint="default" w:eastAsia="方正仿宋_GBK"/>
          <w:bCs/>
          <w:sz w:val="32"/>
          <w:szCs w:val="32"/>
        </w:rPr>
        <w:t>万元，完成预算100％。</w:t>
      </w:r>
    </w:p>
    <w:p>
      <w:pPr>
        <w:spacing w:line="560" w:lineRule="exact"/>
        <w:ind w:firstLine="640"/>
        <w:jc w:val="left"/>
        <w:rPr>
          <w:rFonts w:hint="default" w:eastAsia="方正仿宋_GBK"/>
          <w:bCs/>
          <w:sz w:val="32"/>
          <w:szCs w:val="32"/>
        </w:rPr>
      </w:pPr>
      <w:r>
        <w:rPr>
          <w:rFonts w:hint="default" w:eastAsia="方正仿宋_GBK"/>
          <w:b/>
          <w:bCs/>
          <w:sz w:val="32"/>
          <w:szCs w:val="32"/>
        </w:rPr>
        <w:t>6.卫生健康支出（类）行政事业单位医疗（款）公务员医疗补助（项））：</w:t>
      </w:r>
      <w:r>
        <w:rPr>
          <w:rFonts w:hint="default" w:eastAsia="方正仿宋_GBK"/>
          <w:bCs/>
          <w:sz w:val="32"/>
          <w:szCs w:val="32"/>
        </w:rPr>
        <w:t>支出决算为</w:t>
      </w:r>
      <w:r>
        <w:rPr>
          <w:rFonts w:hint="eastAsia" w:eastAsia="方正仿宋_GBK"/>
          <w:bCs/>
          <w:sz w:val="32"/>
          <w:szCs w:val="32"/>
          <w:lang w:val="en-US" w:eastAsia="zh-CN"/>
        </w:rPr>
        <w:t>3.68</w:t>
      </w:r>
      <w:r>
        <w:rPr>
          <w:rFonts w:hint="default" w:eastAsia="方正仿宋_GBK"/>
          <w:bCs/>
          <w:sz w:val="32"/>
          <w:szCs w:val="32"/>
        </w:rPr>
        <w:t>万元，完成预算100％。</w:t>
      </w:r>
    </w:p>
    <w:p>
      <w:pPr>
        <w:spacing w:line="560" w:lineRule="exact"/>
        <w:ind w:firstLine="640"/>
        <w:jc w:val="left"/>
        <w:rPr>
          <w:rFonts w:hint="default" w:eastAsia="方正仿宋_GBK"/>
          <w:bCs/>
          <w:sz w:val="32"/>
          <w:szCs w:val="32"/>
        </w:rPr>
      </w:pPr>
      <w:r>
        <w:rPr>
          <w:rFonts w:hint="default" w:eastAsia="方正仿宋_GBK"/>
          <w:b/>
          <w:bCs/>
          <w:sz w:val="32"/>
          <w:szCs w:val="32"/>
        </w:rPr>
        <w:t>7.住房保障（类）住房改革（款）住房公积金（项）：</w:t>
      </w:r>
      <w:r>
        <w:rPr>
          <w:rFonts w:hint="default" w:eastAsia="方正仿宋_GBK"/>
          <w:bCs/>
          <w:sz w:val="32"/>
          <w:szCs w:val="32"/>
        </w:rPr>
        <w:t>支出决算为</w:t>
      </w:r>
      <w:r>
        <w:rPr>
          <w:rFonts w:hint="eastAsia" w:eastAsia="方正仿宋_GBK"/>
          <w:bCs/>
          <w:sz w:val="32"/>
          <w:szCs w:val="32"/>
          <w:lang w:val="en-US" w:eastAsia="zh-CN"/>
        </w:rPr>
        <w:t>23.57</w:t>
      </w:r>
      <w:r>
        <w:rPr>
          <w:rFonts w:hint="default" w:eastAsia="方正仿宋_GBK"/>
          <w:bCs/>
          <w:sz w:val="32"/>
          <w:szCs w:val="32"/>
        </w:rPr>
        <w:t>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pPr>
        <w:tabs>
          <w:tab w:val="right" w:pos="8306"/>
        </w:tabs>
        <w:spacing w:line="600" w:lineRule="exact"/>
        <w:ind w:firstLine="640"/>
        <w:outlineLvl w:val="1"/>
        <w:rPr>
          <w:rStyle w:val="29"/>
          <w:rFonts w:ascii="Times New Roman" w:hAnsi="Times New Roman"/>
          <w:color w:val="auto"/>
          <w:highlight w:val="none"/>
        </w:rPr>
      </w:pPr>
      <w:bookmarkStart w:id="41" w:name="_Toc15377214"/>
      <w:bookmarkStart w:id="42" w:name="_Toc15396608"/>
      <w:bookmarkStart w:id="43" w:name="_Toc161056166"/>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41"/>
      <w:bookmarkEnd w:id="42"/>
      <w:bookmarkEnd w:id="43"/>
      <w:r>
        <w:rPr>
          <w:rStyle w:val="29"/>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387.81</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340.01</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47.8</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pPr>
        <w:spacing w:line="600" w:lineRule="exact"/>
        <w:ind w:firstLine="640"/>
        <w:outlineLvl w:val="1"/>
        <w:rPr>
          <w:rStyle w:val="29"/>
          <w:rFonts w:ascii="Times New Roman" w:hAnsi="Times New Roman" w:eastAsia="黑体"/>
          <w:b w:val="0"/>
          <w:color w:val="auto"/>
          <w:highlight w:val="none"/>
        </w:rPr>
      </w:pPr>
      <w:bookmarkStart w:id="44" w:name="_Toc969893629"/>
      <w:bookmarkStart w:id="45" w:name="_Toc15377215"/>
      <w:bookmarkStart w:id="46" w:name="_Toc15396609"/>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44"/>
      <w:bookmarkEnd w:id="45"/>
      <w:bookmarkEnd w:id="46"/>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7"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47"/>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年度“三公”经费财政拨款支出决算为18.33万元，完成预算100%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减少6.74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26.89</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eastAsia="仿宋_GB2312" w:cs="仿宋_GB2312"/>
          <w:color w:val="auto"/>
          <w:kern w:val="2"/>
          <w:sz w:val="32"/>
          <w:szCs w:val="32"/>
          <w:highlight w:val="none"/>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8"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48"/>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rPr>
        <w:t>17.95</w:t>
      </w:r>
      <w:r>
        <w:rPr>
          <w:rFonts w:hint="eastAsia" w:ascii="仿宋_GB2312" w:hAnsi="仿宋_GB2312" w:eastAsia="仿宋_GB2312" w:cs="仿宋_GB2312"/>
          <w:color w:val="auto"/>
          <w:kern w:val="2"/>
          <w:sz w:val="32"/>
          <w:szCs w:val="32"/>
          <w:highlight w:val="none"/>
          <w:lang w:val="en-US" w:eastAsia="zh-CN" w:bidi="ar-SA"/>
        </w:rPr>
        <w:t>万元，占%；公务接待费支出决算</w:t>
      </w:r>
      <w:r>
        <w:rPr>
          <w:rFonts w:hint="eastAsia" w:ascii="仿宋_GB2312" w:hAnsi="仿宋_GB2312" w:eastAsia="仿宋_GB2312" w:cs="仿宋_GB2312"/>
          <w:sz w:val="32"/>
          <w:szCs w:val="32"/>
        </w:rPr>
        <w:t>0.38</w:t>
      </w:r>
      <w:r>
        <w:rPr>
          <w:rFonts w:hint="eastAsia" w:ascii="仿宋_GB2312" w:hAnsi="仿宋_GB2312" w:eastAsia="仿宋_GB2312" w:cs="仿宋_GB2312"/>
          <w:color w:val="auto"/>
          <w:kern w:val="2"/>
          <w:sz w:val="32"/>
          <w:szCs w:val="32"/>
          <w:highlight w:val="none"/>
          <w:lang w:val="en-US" w:eastAsia="zh-CN" w:bidi="ar-SA"/>
        </w:rPr>
        <w:t>万元，占 %。具体情况如下：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0288" behindDoc="0" locked="0" layoutInCell="1" allowOverlap="1">
            <wp:simplePos x="0" y="0"/>
            <wp:positionH relativeFrom="column">
              <wp:posOffset>505460</wp:posOffset>
            </wp:positionH>
            <wp:positionV relativeFrom="paragraph">
              <wp:posOffset>526415</wp:posOffset>
            </wp:positionV>
            <wp:extent cx="4572000" cy="2766060"/>
            <wp:effectExtent l="4445" t="4445" r="14605" b="10795"/>
            <wp:wrapTopAndBottom/>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pPr>
        <w:spacing w:line="600" w:lineRule="exact"/>
        <w:ind w:firstLine="642"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w:t>
      </w:r>
      <w:r>
        <w:rPr>
          <w:rFonts w:hint="default" w:eastAsia="方正仿宋_GBK"/>
          <w:bCs/>
          <w:color w:val="000000"/>
          <w:sz w:val="32"/>
          <w:szCs w:val="32"/>
        </w:rPr>
        <w:t>同上年无变化。</w:t>
      </w:r>
    </w:p>
    <w:p>
      <w:pPr>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17.95万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方正仿宋_GBK"/>
          <w:sz w:val="32"/>
          <w:szCs w:val="32"/>
          <w:lang w:val="en-US" w:eastAsia="zh-CN"/>
        </w:rPr>
        <w:t>减少6.65</w:t>
      </w:r>
      <w:r>
        <w:rPr>
          <w:rFonts w:hint="default" w:eastAsia="方正仿宋_GBK"/>
          <w:sz w:val="32"/>
          <w:szCs w:val="32"/>
        </w:rPr>
        <w:t>万元，</w:t>
      </w:r>
      <w:r>
        <w:rPr>
          <w:rFonts w:hint="eastAsia" w:ascii="Times New Roman" w:hAnsi="Times New Roman" w:eastAsia="仿宋_GB2312" w:cs="仿宋_GB2312"/>
          <w:color w:val="auto"/>
          <w:kern w:val="2"/>
          <w:sz w:val="32"/>
          <w:szCs w:val="32"/>
          <w:highlight w:val="none"/>
          <w:lang w:val="en-US" w:eastAsia="zh-CN" w:bidi="ar-SA"/>
        </w:rPr>
        <w:t>下降</w:t>
      </w:r>
      <w:r>
        <w:rPr>
          <w:rFonts w:hint="eastAsia" w:eastAsia="仿宋_GB2312" w:cs="仿宋_GB2312"/>
          <w:color w:val="auto"/>
          <w:kern w:val="2"/>
          <w:sz w:val="32"/>
          <w:szCs w:val="32"/>
          <w:highlight w:val="none"/>
          <w:lang w:val="en-US" w:eastAsia="zh-CN" w:bidi="ar-SA"/>
        </w:rPr>
        <w:t>27.04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default" w:eastAsia="方正仿宋_GBK"/>
          <w:sz w:val="32"/>
          <w:szCs w:val="32"/>
        </w:rPr>
        <w:t>主要原因为</w:t>
      </w:r>
      <w:r>
        <w:rPr>
          <w:rFonts w:hint="default" w:eastAsia="方正仿宋_GBK"/>
          <w:sz w:val="32"/>
          <w:szCs w:val="32"/>
          <w:lang w:val="en-US" w:eastAsia="zh-CN"/>
        </w:rPr>
        <w:t>本年厉行节约，压减经费，出差数量减少，相关支出减少。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0"/>
        <w:rPr>
          <w:rFonts w:hint="eastAsia" w:ascii="Times New Roman" w:hAnsi="Times New Roman" w:eastAsia="方正仿宋_GBK"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17.95</w:t>
      </w:r>
      <w:r>
        <w:rPr>
          <w:rFonts w:hint="eastAsia" w:ascii="Times New Roman" w:hAnsi="Times New Roman" w:eastAsia="仿宋_GB2312" w:cs="仿宋_GB2312"/>
          <w:color w:val="auto"/>
          <w:kern w:val="2"/>
          <w:sz w:val="32"/>
          <w:szCs w:val="32"/>
          <w:highlight w:val="none"/>
          <w:lang w:val="en-US" w:eastAsia="zh-CN" w:bidi="ar-SA"/>
        </w:rPr>
        <w:t>万元。</w:t>
      </w:r>
      <w:r>
        <w:rPr>
          <w:rFonts w:hint="default" w:eastAsia="方正仿宋_GBK"/>
          <w:color w:val="000000"/>
          <w:sz w:val="32"/>
          <w:szCs w:val="32"/>
        </w:rPr>
        <w:t>主要用于</w:t>
      </w:r>
      <w:r>
        <w:rPr>
          <w:rFonts w:hint="default" w:eastAsia="方正仿宋_GBK"/>
          <w:bCs/>
          <w:color w:val="000000"/>
          <w:sz w:val="32"/>
          <w:szCs w:val="32"/>
        </w:rPr>
        <w:t>出差、调研</w:t>
      </w:r>
      <w:r>
        <w:rPr>
          <w:rFonts w:hint="default" w:eastAsia="方正仿宋_GBK"/>
          <w:color w:val="000000"/>
          <w:sz w:val="32"/>
          <w:szCs w:val="32"/>
        </w:rPr>
        <w:t>等所需的公务用车燃料费、维修费、过路过桥费、保险费等支出</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0.38万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0.09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18.85</w:t>
      </w:r>
      <w:r>
        <w:rPr>
          <w:rFonts w:hint="eastAsia" w:ascii="Times New Roman" w:hAnsi="Times New Roman" w:eastAsia="仿宋_GB2312" w:cs="仿宋_GB2312"/>
          <w:color w:val="auto"/>
          <w:kern w:val="2"/>
          <w:sz w:val="32"/>
          <w:szCs w:val="32"/>
          <w:highlight w:val="none"/>
          <w:lang w:val="en-US" w:eastAsia="zh-CN" w:bidi="ar-SA"/>
        </w:rPr>
        <w:t>%。主要原因是本年系统内部交流减少，接待支出减少。其中：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38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元，主要用于</w:t>
      </w:r>
      <w:r>
        <w:rPr>
          <w:rFonts w:hint="default" w:eastAsia="方正仿宋_GBK"/>
          <w:color w:val="000000"/>
          <w:sz w:val="32"/>
          <w:szCs w:val="32"/>
        </w:rPr>
        <w:t>执行公务、开展业务活动开支的交通费、住宿费、用餐费等</w:t>
      </w:r>
      <w:r>
        <w:rPr>
          <w:rFonts w:hint="eastAsia" w:ascii="Times New Roman" w:hAnsi="Times New Roman" w:eastAsia="仿宋_GB2312" w:cs="仿宋_GB2312"/>
          <w:color w:val="auto"/>
          <w:kern w:val="2"/>
          <w:sz w:val="32"/>
          <w:szCs w:val="32"/>
          <w:highlight w:val="none"/>
          <w:lang w:val="en-US" w:eastAsia="zh-CN" w:bidi="ar-SA"/>
        </w:rPr>
        <w:t>。国内公务接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lang w:val="en-US" w:eastAsia="zh-CN"/>
        </w:rPr>
        <w:t>39</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0.38</w:t>
      </w:r>
      <w:r>
        <w:rPr>
          <w:rFonts w:hint="eastAsia" w:ascii="Times New Roman" w:hAnsi="Times New Roman" w:eastAsia="仿宋_GB2312" w:cs="仿宋_GB2312"/>
          <w:color w:val="auto"/>
          <w:kern w:val="2"/>
          <w:sz w:val="32"/>
          <w:szCs w:val="32"/>
          <w:highlight w:val="none"/>
          <w:lang w:val="en-US" w:eastAsia="zh-CN" w:bidi="ar-SA"/>
        </w:rPr>
        <w:t>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bookmarkStart w:id="49" w:name="_Toc15377218"/>
      <w:bookmarkStart w:id="50" w:name="_Toc15396610"/>
    </w:p>
    <w:p>
      <w:pPr>
        <w:spacing w:line="600" w:lineRule="exact"/>
        <w:ind w:firstLine="640"/>
        <w:outlineLvl w:val="1"/>
        <w:rPr>
          <w:rStyle w:val="29"/>
          <w:rFonts w:ascii="Times New Roman" w:hAnsi="Times New Roman" w:eastAsia="黑体"/>
          <w:color w:val="auto"/>
          <w:highlight w:val="none"/>
        </w:rPr>
      </w:pPr>
      <w:bookmarkStart w:id="51" w:name="_Toc1785096942"/>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9"/>
      <w:bookmarkEnd w:id="50"/>
      <w:bookmarkEnd w:id="5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2025年度政府性基金预算财政拨款支出0万元。</w:t>
      </w:r>
    </w:p>
    <w:p>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52" w:name="_Toc15396611"/>
      <w:bookmarkStart w:id="53" w:name="_Toc1956455903"/>
      <w:bookmarkStart w:id="54"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52"/>
      <w:bookmarkEnd w:id="53"/>
      <w:bookmarkEnd w:id="5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2025年度国有资本经营预算财政拨款支出0万元。</w:t>
      </w:r>
    </w:p>
    <w:p>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55" w:name="_Toc15377221"/>
      <w:bookmarkStart w:id="56" w:name="_Toc15396612"/>
      <w:bookmarkStart w:id="57" w:name="_Toc15443905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55"/>
      <w:bookmarkEnd w:id="56"/>
      <w:bookmarkEnd w:id="57"/>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8" w:name="_Toc15377222"/>
      <w:r>
        <w:rPr>
          <w:rFonts w:hint="eastAsia" w:ascii="Times New Roman" w:hAnsi="Times New Roman" w:eastAsia="楷体_GB2312" w:cs="楷体_GB2312"/>
          <w:b/>
          <w:color w:val="auto"/>
          <w:sz w:val="32"/>
          <w:szCs w:val="32"/>
          <w:highlight w:val="none"/>
        </w:rPr>
        <w:t>（一）机关运行经费支出情况</w:t>
      </w:r>
      <w:bookmarkEnd w:id="5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年度，阿坝藏族</w:t>
      </w:r>
      <w:r>
        <w:rPr>
          <w:rFonts w:hint="eastAsia" w:ascii="仿宋_GB2312" w:hAnsi="仿宋_GB2312" w:eastAsia="仿宋_GB2312" w:cs="仿宋_GB2312"/>
          <w:color w:val="auto"/>
          <w:kern w:val="2"/>
          <w:sz w:val="32"/>
          <w:szCs w:val="32"/>
          <w:highlight w:val="none"/>
          <w:lang w:val="en-US" w:eastAsia="zh-CN" w:bidi="ar-SA"/>
        </w:rPr>
        <w:t>羌族自治州工</w:t>
      </w:r>
      <w:r>
        <w:rPr>
          <w:rFonts w:hint="eastAsia" w:ascii="仿宋_GB2312" w:hAnsi="仿宋_GB2312" w:eastAsia="仿宋_GB2312" w:cs="仿宋_GB2312"/>
          <w:sz w:val="32"/>
          <w:szCs w:val="32"/>
        </w:rPr>
        <w:t>商业联合会</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47.8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增加2.14</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增长4.7</w:t>
      </w:r>
      <w:r>
        <w:rPr>
          <w:rFonts w:hint="eastAsia" w:ascii="Times New Roman" w:hAnsi="Times New Roman" w:eastAsia="仿宋_GB2312" w:cs="仿宋_GB2312"/>
          <w:color w:val="auto"/>
          <w:kern w:val="2"/>
          <w:sz w:val="32"/>
          <w:szCs w:val="32"/>
          <w:highlight w:val="none"/>
          <w:lang w:val="en-US" w:eastAsia="zh-CN" w:bidi="ar-SA"/>
        </w:rPr>
        <w:t>%。主要原因是本年</w:t>
      </w:r>
      <w:r>
        <w:rPr>
          <w:rFonts w:hint="eastAsia" w:eastAsia="仿宋_GB2312" w:cs="仿宋_GB2312"/>
          <w:color w:val="auto"/>
          <w:kern w:val="2"/>
          <w:sz w:val="32"/>
          <w:szCs w:val="32"/>
          <w:highlight w:val="none"/>
          <w:lang w:val="en-US" w:eastAsia="zh-CN" w:bidi="ar-SA"/>
        </w:rPr>
        <w:t>出差次数多，机关运行支出</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9" w:name="_Toc15377223"/>
      <w:r>
        <w:rPr>
          <w:rFonts w:hint="eastAsia" w:ascii="Times New Roman" w:hAnsi="Times New Roman" w:eastAsia="楷体_GB2312" w:cs="楷体_GB2312"/>
          <w:b/>
          <w:color w:val="auto"/>
          <w:sz w:val="32"/>
          <w:szCs w:val="32"/>
          <w:highlight w:val="none"/>
        </w:rPr>
        <w:t>（二）政府采购支出情况</w:t>
      </w:r>
      <w:bookmarkEnd w:id="5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阿坝藏族羌族自治州工商业联合会政府采购支出总额3.4万元，其中：政府采购货物支出0.07万元、政府采购工程支出0万元、政府采购服务支出0万元。主要用于采购办公设备。授予中小企业合同金额0万元，占政府采购支出总额的0%，其中：授予小微企业合同金额0万元，占政府采购支出总额的0%。</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60" w:name="_Toc15377224"/>
      <w:r>
        <w:rPr>
          <w:rFonts w:hint="eastAsia" w:ascii="Times New Roman" w:hAnsi="Times New Roman" w:eastAsia="楷体_GB2312" w:cs="楷体_GB2312"/>
          <w:b/>
          <w:color w:val="auto"/>
          <w:sz w:val="32"/>
          <w:szCs w:val="32"/>
          <w:highlight w:val="none"/>
        </w:rPr>
        <w:t>（三）国有资产占有使用情况</w:t>
      </w:r>
      <w:bookmarkEnd w:id="6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2025年12月31日，阿坝藏族羌族自治州工商业联合会共有车辆2辆，其中：副部（省）级及以上领导用车0辆、主要负责人用车0辆、机要通信用车0辆、应急保障用车0辆、执法执勤用车0辆、特种专业技术用车0辆、离退休干部服务用车0辆、其他用车2辆，其他用车主要是用于</w:t>
      </w:r>
      <w:r>
        <w:rPr>
          <w:rFonts w:hint="eastAsia" w:eastAsia="仿宋_GB2312" w:cs="仿宋_GB2312"/>
          <w:color w:val="auto"/>
          <w:kern w:val="2"/>
          <w:sz w:val="32"/>
          <w:szCs w:val="32"/>
          <w:highlight w:val="none"/>
          <w:lang w:val="en-US" w:eastAsia="zh-CN" w:bidi="ar-SA"/>
        </w:rPr>
        <w:t>保障单位职工公务出行</w:t>
      </w:r>
      <w:r>
        <w:rPr>
          <w:rFonts w:hint="eastAsia" w:ascii="Times New Roman" w:hAnsi="Times New Roman" w:eastAsia="仿宋_GB2312" w:cs="仿宋_GB2312"/>
          <w:color w:val="auto"/>
          <w:kern w:val="2"/>
          <w:sz w:val="32"/>
          <w:szCs w:val="32"/>
          <w:highlight w:val="none"/>
          <w:lang w:val="en-US" w:eastAsia="zh-CN" w:bidi="ar-SA"/>
        </w:rPr>
        <w:t>。单价100万元（含）以上设备（不含车辆）0台（套）。</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根据预算绩效管理要求，本部门在202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个项目“考察调研工作经费”“工商联人民调解委员会工作经费”“参政议政工作经费”“阿坝州总商会成都办事处工作经费”“</w:t>
      </w:r>
      <w:r>
        <w:rPr>
          <w:rFonts w:hint="eastAsia" w:eastAsia="仿宋_GB2312" w:cs="仿宋_GB2312"/>
          <w:color w:val="auto"/>
          <w:kern w:val="2"/>
          <w:sz w:val="32"/>
          <w:szCs w:val="32"/>
          <w:highlight w:val="none"/>
          <w:lang w:val="en-US" w:eastAsia="zh-CN" w:bidi="ar-SA"/>
        </w:rPr>
        <w:t>“</w:t>
      </w:r>
      <w:r>
        <w:rPr>
          <w:rFonts w:hint="default" w:eastAsia="方正仿宋_GBK"/>
          <w:sz w:val="32"/>
          <w:szCs w:val="32"/>
        </w:rPr>
        <w:t>会员服务中心经费</w:t>
      </w:r>
      <w:r>
        <w:rPr>
          <w:rFonts w:hint="eastAsia" w:eastAsia="仿宋_GB2312" w:cs="仿宋_GB2312"/>
          <w:color w:val="auto"/>
          <w:kern w:val="2"/>
          <w:sz w:val="32"/>
          <w:szCs w:val="32"/>
          <w:highlight w:val="none"/>
          <w:lang w:val="en-US" w:eastAsia="zh-CN" w:bidi="ar-SA"/>
        </w:rPr>
        <w:t>”“</w:t>
      </w:r>
      <w:r>
        <w:rPr>
          <w:rFonts w:hint="default" w:eastAsia="方正仿宋_GBK"/>
          <w:sz w:val="32"/>
          <w:szCs w:val="32"/>
          <w:lang w:eastAsia="zh-CN"/>
        </w:rPr>
        <w:t>异地商会工作经费</w:t>
      </w:r>
      <w:r>
        <w:rPr>
          <w:rFonts w:hint="eastAsia" w:eastAsia="仿宋_GB2312" w:cs="仿宋_GB2312"/>
          <w:color w:val="auto"/>
          <w:kern w:val="2"/>
          <w:sz w:val="32"/>
          <w:szCs w:val="32"/>
          <w:highlight w:val="none"/>
          <w:lang w:val="en-US" w:eastAsia="zh-CN" w:bidi="ar-SA"/>
        </w:rPr>
        <w:t>”“</w:t>
      </w:r>
      <w:r>
        <w:rPr>
          <w:rFonts w:hint="default" w:eastAsia="方正仿宋_GBK"/>
          <w:sz w:val="32"/>
          <w:szCs w:val="32"/>
          <w:lang w:val="en-US" w:eastAsia="zh-CN"/>
        </w:rPr>
        <w:t>推动民营企业建立现代企业制度工作经费</w:t>
      </w:r>
      <w:r>
        <w:rPr>
          <w:rFonts w:hint="eastAsia" w:eastAsia="仿宋_GB2312" w:cs="仿宋_GB2312"/>
          <w:color w:val="auto"/>
          <w:kern w:val="2"/>
          <w:sz w:val="32"/>
          <w:szCs w:val="32"/>
          <w:highlight w:val="none"/>
          <w:lang w:val="en-US" w:eastAsia="zh-CN" w:bidi="ar-SA"/>
        </w:rPr>
        <w:t>”“</w:t>
      </w:r>
      <w:r>
        <w:rPr>
          <w:rFonts w:hint="default" w:eastAsia="方正仿宋_GBK"/>
          <w:sz w:val="32"/>
          <w:szCs w:val="32"/>
          <w:lang w:val="en-US" w:eastAsia="zh-CN"/>
        </w:rPr>
        <w:t>评价营商环境工作经费</w:t>
      </w:r>
      <w:r>
        <w:rPr>
          <w:rFonts w:hint="eastAsia" w:eastAsia="仿宋_GB2312" w:cs="仿宋_GB2312"/>
          <w:color w:val="auto"/>
          <w:kern w:val="2"/>
          <w:sz w:val="32"/>
          <w:szCs w:val="32"/>
          <w:highlight w:val="none"/>
          <w:lang w:val="en-US" w:eastAsia="zh-CN" w:bidi="ar-SA"/>
        </w:rPr>
        <w:t>”</w:t>
      </w:r>
      <w:r>
        <w:rPr>
          <w:rFonts w:hint="eastAsia" w:eastAsia="方正仿宋_GBK"/>
          <w:sz w:val="32"/>
          <w:szCs w:val="32"/>
          <w:lang w:eastAsia="zh-CN"/>
        </w:rPr>
        <w:t>“</w:t>
      </w:r>
      <w:r>
        <w:rPr>
          <w:rFonts w:hint="default" w:eastAsia="方正仿宋_GBK"/>
          <w:sz w:val="32"/>
          <w:szCs w:val="32"/>
        </w:rPr>
        <w:t>阿坝州浙江温州商会工作经费</w:t>
      </w:r>
      <w:r>
        <w:rPr>
          <w:rFonts w:hint="eastAsia" w:eastAsia="方正仿宋_GBK"/>
          <w:sz w:val="32"/>
          <w:szCs w:val="32"/>
          <w:lang w:eastAsia="zh-CN"/>
        </w:rPr>
        <w:t>”“</w:t>
      </w:r>
      <w:r>
        <w:rPr>
          <w:rFonts w:hint="eastAsia" w:eastAsia="方正仿宋_GBK"/>
          <w:sz w:val="32"/>
          <w:szCs w:val="32"/>
          <w:lang w:val="en-US" w:eastAsia="zh-CN"/>
        </w:rPr>
        <w:t>办公设备政府采购经费</w:t>
      </w:r>
      <w:r>
        <w:rPr>
          <w:rFonts w:hint="eastAsia" w:eastAsia="方正仿宋_GBK"/>
          <w:sz w:val="32"/>
          <w:szCs w:val="32"/>
          <w:lang w:eastAsia="zh-CN"/>
        </w:rPr>
        <w:t>”</w:t>
      </w:r>
      <w:r>
        <w:rPr>
          <w:rFonts w:hint="eastAsia" w:ascii="Times New Roman" w:hAnsi="Times New Roman" w:eastAsia="仿宋_GB2312" w:cs="仿宋_GB2312"/>
          <w:color w:val="auto"/>
          <w:kern w:val="2"/>
          <w:sz w:val="32"/>
          <w:szCs w:val="32"/>
          <w:highlight w:val="none"/>
          <w:lang w:val="en-US" w:eastAsia="zh-CN" w:bidi="ar-SA"/>
        </w:rPr>
        <w:t>开展了预算事前绩效评估，对</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年度一般公共预算、政府性基金预算、国有资本经营预算、社会保险基金预算以及资本资产、债券资金等全面开展绩效自评，形成202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年度阿坝州工商联部门整体绩效评价报告绩效自评报告，其中，202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年度阿坝州工商联部门整体绩效评价报告绩效自评得分为</w:t>
      </w:r>
      <w:r>
        <w:rPr>
          <w:rFonts w:hint="eastAsia" w:eastAsia="仿宋_GB2312" w:cs="仿宋_GB2312"/>
          <w:color w:val="auto"/>
          <w:kern w:val="2"/>
          <w:sz w:val="32"/>
          <w:szCs w:val="32"/>
          <w:highlight w:val="none"/>
          <w:lang w:val="en-US" w:eastAsia="zh-CN" w:bidi="ar-SA"/>
        </w:rPr>
        <w:t>90.7</w:t>
      </w:r>
      <w:r>
        <w:rPr>
          <w:rFonts w:hint="eastAsia" w:ascii="Times New Roman" w:hAnsi="Times New Roman" w:eastAsia="仿宋_GB2312" w:cs="仿宋_GB2312"/>
          <w:color w:val="auto"/>
          <w:kern w:val="2"/>
          <w:sz w:val="32"/>
          <w:szCs w:val="32"/>
          <w:highlight w:val="none"/>
          <w:lang w:val="en-US" w:eastAsia="zh-CN" w:bidi="ar-SA"/>
        </w:rPr>
        <w:t>分，绩效自评综述：及时、准确、优质地完成预算编制；支出管理规范，资金管理制度较为完善，会计核算和账务处理规范，会计资料完整；预算执行情况良好，项目资金合理使用；取得了显著的经济、社会效益，圆满完成了州委、州政府下达的目标任务。绩效自评报告《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年阿坝州工商联部门整体绩效评价报告》及项目自评表详见附件(第四部分)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1" w:name="_Toc15377225"/>
      <w:bookmarkStart w:id="62" w:name="_Toc15396613"/>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3" w:name="_Toc1700309559"/>
    </w:p>
    <w:p>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1"/>
      <w:bookmarkEnd w:id="62"/>
      <w:bookmarkEnd w:id="63"/>
    </w:p>
    <w:p>
      <w:pPr>
        <w:spacing w:line="600" w:lineRule="exact"/>
        <w:jc w:val="left"/>
        <w:rPr>
          <w:rFonts w:ascii="Times New Roman" w:hAnsi="Times New Roman"/>
          <w:b/>
          <w:color w:val="auto"/>
          <w:sz w:val="44"/>
          <w:szCs w:val="44"/>
          <w:highlight w:val="none"/>
        </w:rPr>
      </w:pPr>
    </w:p>
    <w:p>
      <w:pPr>
        <w:pStyle w:val="2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1.财政拨款收入：指单位从同级财政部门取得的财政预算资金。</w:t>
      </w:r>
    </w:p>
    <w:p>
      <w:pPr>
        <w:pStyle w:val="26"/>
        <w:spacing w:line="560" w:lineRule="exact"/>
        <w:ind w:firstLine="640" w:firstLineChars="200"/>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sz w:val="32"/>
          <w:szCs w:val="32"/>
          <w:highlight w:val="none"/>
          <w:lang w:bidi="ar-SA"/>
        </w:rPr>
        <w:t>2.</w:t>
      </w:r>
      <w:r>
        <w:rPr>
          <w:rFonts w:hint="default" w:ascii="Times New Roman" w:hAnsi="Times New Roman" w:eastAsia="方正仿宋_GBK" w:cs="Times New Roman"/>
          <w:color w:val="auto"/>
          <w:kern w:val="2"/>
          <w:sz w:val="32"/>
          <w:szCs w:val="32"/>
          <w:lang w:val="en-US" w:eastAsia="zh-CN" w:bidi="ar-SA"/>
        </w:rPr>
        <w:t>其他收入：指单位取得的除财政收入以外的各项收入。</w:t>
      </w:r>
    </w:p>
    <w:p>
      <w:pPr>
        <w:pStyle w:val="2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3结余分配：</w:t>
      </w:r>
      <w:r>
        <w:rPr>
          <w:rFonts w:hint="default" w:ascii="Times New Roman" w:hAnsi="Times New Roman" w:eastAsia="方正仿宋_GBK" w:cs="Times New Roman"/>
          <w:color w:val="auto"/>
          <w:sz w:val="32"/>
          <w:szCs w:val="32"/>
          <w:highlight w:val="none"/>
          <w:lang w:bidi="ar-SA"/>
        </w:rPr>
        <w:t>指事业单位按照会计制度规定</w:t>
      </w:r>
      <w:r>
        <w:rPr>
          <w:rFonts w:hint="default" w:ascii="Times New Roman" w:hAnsi="Times New Roman" w:eastAsia="方正仿宋_GBK" w:cs="Times New Roman"/>
          <w:color w:val="auto"/>
          <w:sz w:val="32"/>
          <w:szCs w:val="32"/>
          <w:highlight w:val="none"/>
          <w:lang w:eastAsia="zh-CN" w:bidi="ar-SA"/>
        </w:rPr>
        <w:t>缴纳的所得税、提取的专用结余以及转入非财政拨款结余的金额</w:t>
      </w:r>
      <w:r>
        <w:rPr>
          <w:rFonts w:hint="default" w:ascii="Times New Roman" w:hAnsi="Times New Roman" w:eastAsia="方正仿宋_GBK" w:cs="Times New Roman"/>
          <w:color w:val="auto"/>
          <w:sz w:val="32"/>
          <w:szCs w:val="32"/>
          <w:highlight w:val="none"/>
          <w:lang w:bidi="ar-SA"/>
        </w:rPr>
        <w:t>等。</w:t>
      </w:r>
    </w:p>
    <w:p>
      <w:pPr>
        <w:pStyle w:val="26"/>
        <w:spacing w:line="560" w:lineRule="exact"/>
        <w:ind w:firstLine="640" w:firstLineChars="200"/>
        <w:rPr>
          <w:rFonts w:hint="default" w:ascii="Times New Roman" w:hAnsi="Times New Roman" w:eastAsia="方正仿宋_GBK" w:cs="Times New Roman"/>
          <w:color w:val="auto"/>
          <w:sz w:val="32"/>
          <w:szCs w:val="32"/>
          <w:lang w:bidi="ar-SA"/>
        </w:rPr>
      </w:pPr>
      <w:r>
        <w:rPr>
          <w:rFonts w:hint="default" w:ascii="Times New Roman" w:hAnsi="Times New Roman" w:eastAsia="方正仿宋_GBK" w:cs="Times New Roman"/>
          <w:sz w:val="32"/>
          <w:szCs w:val="32"/>
          <w:lang w:bidi="ar-SA"/>
        </w:rPr>
        <w:t>4.年末结转和结余：</w:t>
      </w:r>
      <w:r>
        <w:rPr>
          <w:rFonts w:hint="default" w:ascii="Times New Roman" w:hAnsi="Times New Roman" w:eastAsia="方正仿宋_GBK" w:cs="Times New Roman"/>
          <w:color w:val="auto"/>
          <w:sz w:val="32"/>
          <w:szCs w:val="32"/>
          <w:highlight w:val="none"/>
          <w:lang w:bidi="ar-SA"/>
        </w:rPr>
        <w:t>指单位按有关规定结转到下年或以后年度继续使用的资金。</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eastAsia="方正仿宋_GBK"/>
          <w:color w:val="000000"/>
          <w:sz w:val="32"/>
          <w:szCs w:val="32"/>
        </w:rPr>
      </w:pPr>
      <w:r>
        <w:rPr>
          <w:rFonts w:hint="default" w:eastAsia="方正仿宋_GBK"/>
          <w:color w:val="000000"/>
          <w:sz w:val="32"/>
          <w:szCs w:val="32"/>
        </w:rPr>
        <w:t>5.一般公共服务（类）民主党派及工商联事务（款）行政运行（项）：指单位用于各民主党派（包括民革、民盟、民建、民进、农工、致公、九三、台盟等）及办事机构的支出，工商联的支出。</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eastAsia="方正仿宋_GBK"/>
          <w:color w:val="000000"/>
          <w:sz w:val="32"/>
          <w:szCs w:val="32"/>
        </w:rPr>
      </w:pPr>
      <w:r>
        <w:rPr>
          <w:rFonts w:hint="default" w:eastAsia="方正仿宋_GBK"/>
          <w:color w:val="000000"/>
          <w:sz w:val="32"/>
          <w:szCs w:val="32"/>
        </w:rPr>
        <w:t>6.一般公共服务（类）民主党派及工商联事务（款）  一般行政管理事务（项）：指单位除其他项目以外其他用于民主党派及工商联事务方面的支出。</w:t>
      </w:r>
    </w:p>
    <w:p>
      <w:pPr>
        <w:keepNext w:val="0"/>
        <w:keepLines w:val="0"/>
        <w:pageBreakBefore w:val="0"/>
        <w:widowControl w:val="0"/>
        <w:kinsoku/>
        <w:wordWrap/>
        <w:overflowPunct/>
        <w:topLinePunct w:val="0"/>
        <w:snapToGrid/>
        <w:spacing w:line="560" w:lineRule="exact"/>
        <w:ind w:firstLine="640" w:firstLineChars="200"/>
        <w:rPr>
          <w:rFonts w:hint="default" w:eastAsia="方正仿宋_GBK"/>
          <w:color w:val="000000"/>
          <w:sz w:val="32"/>
          <w:szCs w:val="32"/>
        </w:rPr>
      </w:pPr>
      <w:r>
        <w:rPr>
          <w:rFonts w:hint="default" w:eastAsia="方正仿宋_GBK"/>
          <w:color w:val="000000"/>
          <w:sz w:val="32"/>
          <w:szCs w:val="32"/>
        </w:rPr>
        <w:t>7..社会保障和就业（类）行政事业单位离退休（款）机关事业单位基本养老保险缴费支出（项）：指单位实施养老保险制度由单位缴纳的基本养老保险费支出。</w:t>
      </w:r>
    </w:p>
    <w:p>
      <w:pPr>
        <w:keepNext w:val="0"/>
        <w:keepLines w:val="0"/>
        <w:pageBreakBefore w:val="0"/>
        <w:widowControl w:val="0"/>
        <w:kinsoku/>
        <w:wordWrap/>
        <w:overflowPunct/>
        <w:topLinePunct w:val="0"/>
        <w:snapToGrid/>
        <w:spacing w:line="560" w:lineRule="exact"/>
        <w:ind w:firstLine="640" w:firstLineChars="200"/>
        <w:rPr>
          <w:rFonts w:hint="default" w:eastAsia="方正仿宋_GBK"/>
          <w:color w:val="000000"/>
          <w:sz w:val="32"/>
          <w:szCs w:val="32"/>
        </w:rPr>
      </w:pPr>
      <w:r>
        <w:rPr>
          <w:rFonts w:hint="default" w:eastAsia="方正仿宋_GBK"/>
          <w:color w:val="000000"/>
          <w:sz w:val="32"/>
          <w:szCs w:val="32"/>
        </w:rPr>
        <w:t>8. 社会保障和就业（类）行政事业单位离退休（款）机关事业单位职业年金缴费支出（项）：指单位实施养老保险制度由单位缴纳的职业年金支出。</w:t>
      </w:r>
    </w:p>
    <w:p>
      <w:pPr>
        <w:keepNext w:val="0"/>
        <w:keepLines w:val="0"/>
        <w:pageBreakBefore w:val="0"/>
        <w:widowControl w:val="0"/>
        <w:kinsoku/>
        <w:wordWrap/>
        <w:overflowPunct/>
        <w:topLinePunct w:val="0"/>
        <w:snapToGrid/>
        <w:spacing w:line="560" w:lineRule="exact"/>
        <w:ind w:firstLine="640" w:firstLineChars="200"/>
        <w:rPr>
          <w:rFonts w:hint="default" w:eastAsia="方正仿宋_GBK"/>
          <w:color w:val="000000"/>
          <w:sz w:val="32"/>
          <w:szCs w:val="32"/>
        </w:rPr>
      </w:pPr>
      <w:r>
        <w:rPr>
          <w:rFonts w:hint="default" w:eastAsia="方正仿宋_GBK"/>
          <w:color w:val="000000"/>
          <w:sz w:val="32"/>
          <w:szCs w:val="32"/>
        </w:rPr>
        <w:t>9.医疗卫生与计划生育（类）行政事业单位医疗</w:t>
      </w:r>
      <w:r>
        <w:rPr>
          <w:rFonts w:hint="default" w:eastAsia="方正仿宋_GBK"/>
          <w:sz w:val="32"/>
          <w:szCs w:val="32"/>
        </w:rPr>
        <w:t>（款）行政单位医疗（项）：指财政部门集中安排的行政单位基本医疗保险缴费经费，未参加医疗保险的行政单位的公费，按国家规定享受离休人员、红军老战士待遇人员的医疗的医疗经费</w:t>
      </w:r>
    </w:p>
    <w:p>
      <w:pPr>
        <w:keepNext w:val="0"/>
        <w:keepLines w:val="0"/>
        <w:pageBreakBefore w:val="0"/>
        <w:widowControl w:val="0"/>
        <w:kinsoku/>
        <w:wordWrap/>
        <w:overflowPunct/>
        <w:topLinePunct w:val="0"/>
        <w:snapToGrid/>
        <w:spacing w:line="560" w:lineRule="exact"/>
        <w:ind w:firstLine="640" w:firstLineChars="200"/>
        <w:rPr>
          <w:rFonts w:hint="default" w:eastAsia="方正仿宋_GBK"/>
          <w:color w:val="000000"/>
          <w:sz w:val="32"/>
          <w:szCs w:val="32"/>
        </w:rPr>
      </w:pPr>
      <w:r>
        <w:rPr>
          <w:rFonts w:hint="default" w:eastAsia="方正仿宋_GBK"/>
          <w:color w:val="000000"/>
          <w:sz w:val="32"/>
          <w:szCs w:val="32"/>
        </w:rPr>
        <w:t>10.住房保障（类）住房改革支出（款）住房公积金（项）：指反映单位按人力资源和社会保障部、财政部规定的基本工资和津贴补贴以及规定比例为职工缴纳的住房公积金</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eastAsia="方正仿宋_GBK"/>
          <w:color w:val="000000"/>
          <w:sz w:val="32"/>
          <w:szCs w:val="32"/>
        </w:rPr>
      </w:pPr>
      <w:r>
        <w:rPr>
          <w:rFonts w:hint="default" w:eastAsia="方正仿宋_GBK"/>
          <w:color w:val="000000"/>
          <w:sz w:val="32"/>
          <w:szCs w:val="32"/>
        </w:rPr>
        <w:t>11.基本支出：指为保障机构正常运转、完成日常工作任务而发生的人员支出和公用支出。</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eastAsia="方正仿宋_GBK"/>
          <w:color w:val="000000"/>
          <w:sz w:val="32"/>
          <w:szCs w:val="32"/>
        </w:rPr>
      </w:pPr>
      <w:r>
        <w:rPr>
          <w:rFonts w:hint="default" w:eastAsia="方正仿宋_GBK"/>
          <w:color w:val="000000"/>
          <w:sz w:val="32"/>
          <w:szCs w:val="32"/>
        </w:rPr>
        <w:t xml:space="preserve">12.项目支出：指在基本支出之外为完成特定行政任务和事业发展目标所发生的支出。 </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eastAsia="方正仿宋_GBK"/>
          <w:color w:val="000000"/>
          <w:sz w:val="32"/>
          <w:szCs w:val="32"/>
        </w:rPr>
      </w:pPr>
      <w:r>
        <w:rPr>
          <w:rFonts w:hint="default" w:eastAsia="方正仿宋_GBK"/>
          <w:sz w:val="32"/>
          <w:szCs w:val="32"/>
        </w:rPr>
        <w:t>13.“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default" w:ascii="Times New Roman" w:hAnsi="Times New Roman" w:eastAsia="方正仿宋_GBK" w:cs="Times New Roman"/>
          <w:sz w:val="32"/>
          <w:szCs w:val="32"/>
          <w:lang w:bidi="ar-SA"/>
        </w:rPr>
        <w:t>14.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Fonts w:hint="default" w:ascii="Times New Roman" w:hAnsi="Times New Roman" w:eastAsia="仿宋_GB2312" w:cs="Times New Roman"/>
          <w:sz w:val="32"/>
          <w:szCs w:val="32"/>
          <w:highlight w:val="none"/>
          <w:shd w:val="clear" w:color="auto" w:fill="FFFFFF"/>
        </w:rPr>
      </w:pPr>
      <w:bookmarkStart w:id="64"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65"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5"/>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kinsoku/>
        <w:wordWrap/>
        <w:overflowPunct/>
        <w:topLinePunct w:val="0"/>
        <w:autoSpaceDE/>
        <w:autoSpaceDN/>
        <w:bidi w:val="0"/>
        <w:adjustRightInd/>
        <w:snapToGrid/>
        <w:spacing w:line="640" w:lineRule="exact"/>
        <w:jc w:val="center"/>
        <w:textAlignment w:val="auto"/>
        <w:rPr>
          <w:rFonts w:hint="eastAsia" w:ascii="方正小标宋简体" w:hAnsi="Times New Roman" w:eastAsia="方正小标宋简体" w:cs="方正小标宋简体"/>
          <w:sz w:val="44"/>
          <w:szCs w:val="44"/>
          <w:lang w:bidi="ar-SA"/>
        </w:rPr>
      </w:pPr>
      <w:r>
        <w:rPr>
          <w:rFonts w:hint="eastAsia" w:ascii="方正小标宋简体" w:hAnsi="Times New Roman" w:eastAsia="方正小标宋简体" w:cs="方正小标宋简体"/>
          <w:sz w:val="44"/>
          <w:szCs w:val="44"/>
          <w:lang w:bidi="ar-SA"/>
        </w:rPr>
        <w:t>阿坝州工商联</w:t>
      </w:r>
    </w:p>
    <w:p>
      <w:pPr>
        <w:keepNext w:val="0"/>
        <w:keepLines w:val="0"/>
        <w:pageBreakBefore w:val="0"/>
        <w:widowControl/>
        <w:kinsoku/>
        <w:wordWrap/>
        <w:overflowPunct/>
        <w:topLinePunct w:val="0"/>
        <w:autoSpaceDE/>
        <w:autoSpaceDN/>
        <w:bidi w:val="0"/>
        <w:adjustRightInd/>
        <w:snapToGrid/>
        <w:spacing w:line="640" w:lineRule="exact"/>
        <w:jc w:val="center"/>
        <w:textAlignment w:val="auto"/>
        <w:rPr>
          <w:rFonts w:hint="eastAsia" w:ascii="方正小标宋简体" w:hAnsi="Times New Roman" w:eastAsia="方正小标宋简体" w:cs="Times New Roman"/>
          <w:sz w:val="44"/>
          <w:szCs w:val="44"/>
        </w:rPr>
      </w:pPr>
      <w:r>
        <w:rPr>
          <w:rFonts w:hint="eastAsia" w:ascii="方正小标宋简体" w:hAnsi="Times New Roman" w:eastAsia="方正小标宋简体" w:cs="方正小标宋简体"/>
          <w:sz w:val="44"/>
          <w:szCs w:val="44"/>
          <w:lang w:bidi="ar-SA"/>
        </w:rPr>
        <w:t>202</w:t>
      </w:r>
      <w:r>
        <w:rPr>
          <w:rFonts w:hint="eastAsia" w:ascii="方正小标宋简体" w:hAnsi="Times New Roman" w:eastAsia="方正小标宋简体" w:cs="方正小标宋简体"/>
          <w:sz w:val="44"/>
          <w:szCs w:val="44"/>
          <w:lang w:val="en-US" w:eastAsia="zh-CN" w:bidi="ar-SA"/>
        </w:rPr>
        <w:t>5</w:t>
      </w:r>
      <w:r>
        <w:rPr>
          <w:rFonts w:hint="eastAsia" w:ascii="方正小标宋简体" w:hAnsi="Times New Roman" w:eastAsia="方正小标宋简体" w:cs="方正小标宋简体"/>
          <w:sz w:val="44"/>
          <w:szCs w:val="44"/>
          <w:lang w:bidi="ar-SA"/>
        </w:rPr>
        <w:t>年部门整体支出绩效报告</w:t>
      </w:r>
      <w:r>
        <w:rPr>
          <w:rFonts w:hint="eastAsia" w:ascii="方正小标宋简体" w:hAnsi="Times New Roman" w:eastAsia="方正小标宋简体" w:cs="Times New Roman"/>
          <w:sz w:val="44"/>
          <w:szCs w:val="44"/>
        </w:rPr>
        <w:t>　</w:t>
      </w:r>
    </w:p>
    <w:p>
      <w:pPr>
        <w:keepNext w:val="0"/>
        <w:keepLines w:val="0"/>
        <w:pageBreakBefore w:val="0"/>
        <w:widowControl/>
        <w:kinsoku/>
        <w:wordWrap/>
        <w:overflowPunct/>
        <w:topLinePunct w:val="0"/>
        <w:autoSpaceDE/>
        <w:autoSpaceDN/>
        <w:bidi w:val="0"/>
        <w:adjustRightInd/>
        <w:snapToGrid/>
        <w:spacing w:line="640" w:lineRule="exact"/>
        <w:jc w:val="center"/>
        <w:textAlignment w:val="auto"/>
        <w:rPr>
          <w:rFonts w:ascii="Times New Roman" w:hAnsi="Times New Roman" w:eastAsia="方正小标宋简体" w:cs="Times New Roman"/>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方正黑体_GBK" w:hAnsi="Times New Roman" w:eastAsia="方正黑体_GBK" w:cs="方正黑体_GBK"/>
          <w:sz w:val="32"/>
          <w:szCs w:val="32"/>
          <w:lang w:val="zh-CN" w:eastAsia="zh-CN" w:bidi="ar-SA"/>
        </w:rPr>
      </w:pPr>
      <w:r>
        <w:rPr>
          <w:rFonts w:hint="eastAsia" w:ascii="方正黑体_GBK" w:hAnsi="Times New Roman" w:eastAsia="方正黑体_GBK" w:cs="方正黑体_GBK"/>
          <w:sz w:val="32"/>
          <w:szCs w:val="32"/>
          <w:lang w:bidi="ar-SA"/>
        </w:rPr>
        <w:t>一、</w:t>
      </w:r>
      <w:r>
        <w:rPr>
          <w:rFonts w:hint="eastAsia" w:ascii="方正黑体_GBK" w:hAnsi="Times New Roman" w:eastAsia="方正黑体_GBK" w:cs="方正黑体_GBK"/>
          <w:sz w:val="32"/>
          <w:szCs w:val="32"/>
          <w:lang w:val="zh-CN" w:eastAsia="zh-CN" w:bidi="ar-SA"/>
        </w:rPr>
        <w:t>部门（单位）概况</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eastAsia" w:ascii="方正楷体_GBK" w:hAnsi="Times New Roman" w:eastAsia="方正楷体_GBK" w:cs="方正楷体_GBK"/>
          <w:b/>
          <w:bCs/>
          <w:sz w:val="32"/>
          <w:szCs w:val="32"/>
          <w:lang w:val="en-US" w:eastAsia="zh-CN" w:bidi="ar-SA"/>
        </w:rPr>
      </w:pPr>
      <w:r>
        <w:rPr>
          <w:rFonts w:hint="eastAsia" w:ascii="方正楷体_GBK" w:hAnsi="Times New Roman" w:eastAsia="方正楷体_GBK" w:cs="方正楷体_GBK"/>
          <w:b/>
          <w:bCs/>
          <w:sz w:val="32"/>
          <w:szCs w:val="32"/>
          <w:lang w:val="zh-CN" w:eastAsia="zh-CN" w:bidi="ar-SA"/>
        </w:rPr>
        <w:t>（一）机构组成。</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本部门为一级预算单位，内设机构3个，执行行政单位会计制度。</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eastAsia" w:ascii="方正楷体_GBK" w:hAnsi="Times New Roman" w:eastAsia="方正楷体_GBK" w:cs="方正楷体_GBK"/>
          <w:b/>
          <w:bCs/>
          <w:sz w:val="32"/>
          <w:szCs w:val="32"/>
          <w:lang w:val="zh-CN" w:eastAsia="zh-CN" w:bidi="ar-SA"/>
        </w:rPr>
      </w:pPr>
      <w:r>
        <w:rPr>
          <w:rFonts w:hint="eastAsia" w:ascii="方正楷体_GBK" w:hAnsi="Times New Roman" w:eastAsia="方正楷体_GBK" w:cs="方正楷体_GBK"/>
          <w:b/>
          <w:bCs/>
          <w:sz w:val="32"/>
          <w:szCs w:val="32"/>
          <w:lang w:val="zh-CN" w:eastAsia="zh-CN" w:bidi="ar-SA"/>
        </w:rPr>
        <w:t>（二）机构职能。</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zh-CN" w:eastAsia="zh-CN" w:bidi="ar-SA"/>
        </w:rPr>
      </w:pPr>
      <w:r>
        <w:rPr>
          <w:rFonts w:hint="default" w:ascii="Times New Roman" w:hAnsi="Times New Roman" w:eastAsia="方正仿宋_GBK" w:cs="Times New Roman"/>
          <w:sz w:val="32"/>
          <w:szCs w:val="32"/>
          <w:lang w:bidi="ar-SA"/>
        </w:rPr>
        <w:t>根据《中华全国工商业联合会章程》、《中共中央国务院关于加强和改进新形式下工商联工作的意见》（中发〔2010〕16号）文件规定，工商联是中国共产党领导的以非公有制企业和非公有制经济人士为主体的人民团体和商会组织，是党和政府联系非公有制经济人士的桥梁和纽带，是政府管理非公有制经济的助手。加强非公有制经济代表人士思想政治工作；引导非公有制经济和非公有制经济代表人士健康成长；积极参政议政、发挥民主监督作用；服务非公有制经济发展，参加各种商务活动；履行社会团体业务主管单位职责，促进行业协会商会改革发展是工商联的主要职责。</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eastAsia" w:ascii="方正楷体_GBK" w:hAnsi="Times New Roman" w:eastAsia="方正楷体_GBK" w:cs="方正楷体_GBK"/>
          <w:b/>
          <w:bCs/>
          <w:sz w:val="32"/>
          <w:szCs w:val="32"/>
          <w:lang w:val="zh-CN" w:eastAsia="zh-CN" w:bidi="ar-SA"/>
        </w:rPr>
      </w:pPr>
      <w:r>
        <w:rPr>
          <w:rFonts w:hint="eastAsia" w:ascii="方正楷体_GBK" w:hAnsi="Times New Roman" w:eastAsia="方正楷体_GBK" w:cs="方正楷体_GBK"/>
          <w:b/>
          <w:bCs/>
          <w:sz w:val="32"/>
          <w:szCs w:val="32"/>
          <w:lang w:val="zh-CN" w:eastAsia="zh-CN" w:bidi="ar-SA"/>
        </w:rPr>
        <w:t>（三）人员概况。</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截至202</w:t>
      </w:r>
      <w:r>
        <w:rPr>
          <w:rFonts w:hint="default" w:ascii="Times New Roman" w:hAnsi="Times New Roman" w:eastAsia="方正仿宋_GBK" w:cs="Times New Roman"/>
          <w:sz w:val="32"/>
          <w:szCs w:val="32"/>
          <w:lang w:val="en-US" w:eastAsia="zh-CN" w:bidi="ar-SA"/>
        </w:rPr>
        <w:t>5</w:t>
      </w:r>
      <w:r>
        <w:rPr>
          <w:rFonts w:hint="default" w:ascii="Times New Roman" w:hAnsi="Times New Roman" w:eastAsia="方正仿宋_GBK" w:cs="Times New Roman"/>
          <w:sz w:val="32"/>
          <w:szCs w:val="32"/>
          <w:lang w:bidi="ar-SA"/>
        </w:rPr>
        <w:t>年末阿坝州工商联总编制10名，其中行政编制8名，机关工勤编制2名。在职人员总数9名，其中行政人员</w:t>
      </w:r>
      <w:r>
        <w:rPr>
          <w:rFonts w:hint="default" w:ascii="Times New Roman" w:hAnsi="Times New Roman" w:eastAsia="方正仿宋_GBK" w:cs="Times New Roman"/>
          <w:sz w:val="32"/>
          <w:szCs w:val="32"/>
          <w:lang w:val="en-US" w:eastAsia="zh-CN" w:bidi="ar-SA"/>
        </w:rPr>
        <w:t>8</w:t>
      </w:r>
      <w:r>
        <w:rPr>
          <w:rFonts w:hint="default" w:ascii="Times New Roman" w:hAnsi="Times New Roman" w:eastAsia="方正仿宋_GBK" w:cs="Times New Roman"/>
          <w:sz w:val="32"/>
          <w:szCs w:val="32"/>
          <w:lang w:bidi="ar-SA"/>
        </w:rPr>
        <w:t>名、工勤人员2名；退休人员</w:t>
      </w:r>
      <w:r>
        <w:rPr>
          <w:rFonts w:hint="default" w:ascii="Times New Roman" w:hAnsi="Times New Roman" w:eastAsia="方正仿宋_GBK" w:cs="Times New Roman"/>
          <w:sz w:val="32"/>
          <w:szCs w:val="32"/>
          <w:lang w:val="en-US" w:eastAsia="zh-CN" w:bidi="ar-SA"/>
        </w:rPr>
        <w:t>9</w:t>
      </w:r>
      <w:r>
        <w:rPr>
          <w:rFonts w:hint="default" w:ascii="Times New Roman" w:hAnsi="Times New Roman" w:eastAsia="方正仿宋_GBK" w:cs="Times New Roman"/>
          <w:sz w:val="32"/>
          <w:szCs w:val="32"/>
          <w:lang w:bidi="ar-SA"/>
        </w:rPr>
        <w:t>名；聘用清洁工1名，聘用合用工1名，劳务派遣人员2名。</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方正黑体_GBK" w:hAnsi="Times New Roman" w:eastAsia="方正黑体_GBK" w:cs="方正黑体_GBK"/>
          <w:sz w:val="32"/>
          <w:szCs w:val="32"/>
          <w:lang w:bidi="ar-SA"/>
        </w:rPr>
      </w:pPr>
      <w:r>
        <w:rPr>
          <w:rFonts w:hint="eastAsia" w:ascii="方正黑体_GBK" w:hAnsi="Times New Roman" w:eastAsia="方正黑体_GBK" w:cs="方正黑体_GBK"/>
          <w:sz w:val="32"/>
          <w:szCs w:val="32"/>
          <w:lang w:bidi="ar-SA"/>
        </w:rPr>
        <w:t>二、部门资金收支情况</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eastAsia" w:ascii="方正楷体_GBK" w:hAnsi="Times New Roman" w:eastAsia="方正楷体_GBK" w:cs="方正楷体_GBK"/>
          <w:b/>
          <w:bCs/>
          <w:sz w:val="32"/>
          <w:szCs w:val="32"/>
          <w:lang w:eastAsia="zh-CN" w:bidi="ar-SA"/>
        </w:rPr>
      </w:pPr>
      <w:r>
        <w:rPr>
          <w:rFonts w:hint="eastAsia" w:ascii="方正楷体_GBK" w:hAnsi="Times New Roman" w:eastAsia="方正楷体_GBK" w:cs="方正楷体_GBK"/>
          <w:b/>
          <w:bCs/>
          <w:sz w:val="32"/>
          <w:szCs w:val="32"/>
          <w:lang w:bidi="ar-SA"/>
        </w:rPr>
        <w:t>（一）收入情况</w:t>
      </w:r>
      <w:r>
        <w:rPr>
          <w:rFonts w:hint="eastAsia" w:ascii="方正楷体_GBK" w:hAnsi="Times New Roman" w:eastAsia="方正楷体_GBK" w:cs="方正楷体_GBK"/>
          <w:b/>
          <w:bCs/>
          <w:sz w:val="32"/>
          <w:szCs w:val="32"/>
          <w:lang w:eastAsia="zh-CN" w:bidi="ar-SA"/>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阿坝州工商联202</w:t>
      </w:r>
      <w:r>
        <w:rPr>
          <w:rFonts w:hint="eastAsia" w:ascii="Times New Roman" w:hAnsi="Times New Roman" w:eastAsia="方正仿宋_GBK" w:cs="Times New Roman"/>
          <w:sz w:val="32"/>
          <w:szCs w:val="32"/>
          <w:lang w:val="en-US" w:eastAsia="zh-CN" w:bidi="ar-SA"/>
        </w:rPr>
        <w:t>5</w:t>
      </w:r>
      <w:r>
        <w:rPr>
          <w:rFonts w:hint="default" w:ascii="Times New Roman" w:hAnsi="Times New Roman" w:eastAsia="方正仿宋_GBK" w:cs="Times New Roman"/>
          <w:sz w:val="32"/>
          <w:szCs w:val="32"/>
          <w:lang w:bidi="ar-SA"/>
        </w:rPr>
        <w:t>年收入经费为</w:t>
      </w:r>
      <w:r>
        <w:rPr>
          <w:rFonts w:hint="default" w:ascii="Times New Roman" w:hAnsi="Times New Roman" w:eastAsia="方正仿宋_GBK" w:cs="Times New Roman"/>
          <w:sz w:val="32"/>
          <w:szCs w:val="32"/>
          <w:lang w:val="en-US" w:eastAsia="zh-CN" w:bidi="ar-SA"/>
        </w:rPr>
        <w:t>431.37</w:t>
      </w:r>
      <w:r>
        <w:rPr>
          <w:rFonts w:hint="default" w:ascii="Times New Roman" w:hAnsi="Times New Roman" w:eastAsia="方正仿宋_GBK" w:cs="Times New Roman"/>
          <w:sz w:val="32"/>
          <w:szCs w:val="32"/>
          <w:lang w:bidi="ar-SA"/>
        </w:rPr>
        <w:t>万元，财政拨款支出为</w:t>
      </w:r>
      <w:r>
        <w:rPr>
          <w:rFonts w:hint="default" w:ascii="Times New Roman" w:hAnsi="Times New Roman" w:eastAsia="方正仿宋_GBK" w:cs="Times New Roman"/>
          <w:sz w:val="32"/>
          <w:szCs w:val="32"/>
          <w:lang w:val="en-US" w:eastAsia="zh-CN" w:bidi="ar-SA"/>
        </w:rPr>
        <w:t>431.37</w:t>
      </w:r>
      <w:r>
        <w:rPr>
          <w:rFonts w:hint="default" w:ascii="Times New Roman" w:hAnsi="Times New Roman" w:eastAsia="方正仿宋_GBK" w:cs="Times New Roman"/>
          <w:sz w:val="32"/>
          <w:szCs w:val="32"/>
          <w:lang w:bidi="ar-SA"/>
        </w:rPr>
        <w:t>万元，其中基本支出</w:t>
      </w:r>
      <w:r>
        <w:rPr>
          <w:rFonts w:hint="default" w:ascii="Times New Roman" w:hAnsi="Times New Roman" w:eastAsia="方正仿宋_GBK" w:cs="Times New Roman"/>
          <w:sz w:val="32"/>
          <w:szCs w:val="32"/>
          <w:lang w:val="en-US" w:eastAsia="zh-CN" w:bidi="ar-SA"/>
        </w:rPr>
        <w:t>387.81</w:t>
      </w:r>
      <w:r>
        <w:rPr>
          <w:rFonts w:hint="default" w:ascii="Times New Roman" w:hAnsi="Times New Roman" w:eastAsia="方正仿宋_GBK" w:cs="Times New Roman"/>
          <w:sz w:val="32"/>
          <w:szCs w:val="32"/>
          <w:lang w:bidi="ar-SA"/>
        </w:rPr>
        <w:t>万元，项目支出</w:t>
      </w:r>
      <w:r>
        <w:rPr>
          <w:rFonts w:hint="default" w:ascii="Times New Roman" w:hAnsi="Times New Roman" w:eastAsia="方正仿宋_GBK" w:cs="Times New Roman"/>
          <w:sz w:val="32"/>
          <w:szCs w:val="32"/>
          <w:lang w:val="en-US" w:eastAsia="zh-CN" w:bidi="ar-SA"/>
        </w:rPr>
        <w:t>43.56</w:t>
      </w:r>
      <w:r>
        <w:rPr>
          <w:rFonts w:hint="default" w:ascii="Times New Roman" w:hAnsi="Times New Roman" w:eastAsia="方正仿宋_GBK" w:cs="Times New Roman"/>
          <w:sz w:val="32"/>
          <w:szCs w:val="32"/>
          <w:lang w:bidi="ar-SA"/>
        </w:rPr>
        <w:t>万元。基本支出中：人员经费</w:t>
      </w:r>
      <w:r>
        <w:rPr>
          <w:rFonts w:hint="default" w:ascii="Times New Roman" w:hAnsi="Times New Roman" w:eastAsia="方正仿宋_GBK" w:cs="Times New Roman"/>
          <w:sz w:val="32"/>
          <w:szCs w:val="32"/>
          <w:lang w:val="en-US" w:eastAsia="zh-CN" w:bidi="ar-SA"/>
        </w:rPr>
        <w:t>340.01</w:t>
      </w:r>
      <w:r>
        <w:rPr>
          <w:rFonts w:hint="default" w:ascii="Times New Roman" w:hAnsi="Times New Roman" w:eastAsia="方正仿宋_GBK" w:cs="Times New Roman"/>
          <w:sz w:val="32"/>
          <w:szCs w:val="32"/>
          <w:lang w:bidi="ar-SA"/>
        </w:rPr>
        <w:t>万元；日常公用经费</w:t>
      </w:r>
      <w:r>
        <w:rPr>
          <w:rFonts w:hint="default" w:ascii="Times New Roman" w:hAnsi="Times New Roman" w:eastAsia="方正仿宋_GBK" w:cs="Times New Roman"/>
          <w:sz w:val="32"/>
          <w:szCs w:val="32"/>
          <w:lang w:val="en-US" w:eastAsia="zh-CN" w:bidi="ar-SA"/>
        </w:rPr>
        <w:t>47.8</w:t>
      </w:r>
      <w:r>
        <w:rPr>
          <w:rFonts w:hint="default" w:ascii="Times New Roman" w:hAnsi="Times New Roman" w:eastAsia="方正仿宋_GBK" w:cs="Times New Roman"/>
          <w:sz w:val="32"/>
          <w:szCs w:val="32"/>
          <w:lang w:bidi="ar-SA"/>
        </w:rPr>
        <w:t>元。项目支出中：会员服务中心经费</w:t>
      </w:r>
      <w:r>
        <w:rPr>
          <w:rFonts w:hint="default" w:ascii="Times New Roman" w:hAnsi="Times New Roman" w:eastAsia="方正仿宋_GBK" w:cs="Times New Roman"/>
          <w:sz w:val="32"/>
          <w:szCs w:val="32"/>
          <w:lang w:val="en-US" w:eastAsia="zh-CN" w:bidi="ar-SA"/>
        </w:rPr>
        <w:t>8.98</w:t>
      </w:r>
      <w:r>
        <w:rPr>
          <w:rFonts w:hint="default" w:ascii="Times New Roman" w:hAnsi="Times New Roman" w:eastAsia="方正仿宋_GBK" w:cs="Times New Roman"/>
          <w:sz w:val="32"/>
          <w:szCs w:val="32"/>
          <w:lang w:bidi="ar-SA"/>
        </w:rPr>
        <w:t>万元；州总商会成都办事处工作经费</w:t>
      </w:r>
      <w:r>
        <w:rPr>
          <w:rFonts w:hint="default" w:ascii="Times New Roman" w:hAnsi="Times New Roman" w:eastAsia="方正仿宋_GBK" w:cs="Times New Roman"/>
          <w:sz w:val="32"/>
          <w:szCs w:val="32"/>
          <w:lang w:val="en-US" w:eastAsia="zh-CN" w:bidi="ar-SA"/>
        </w:rPr>
        <w:t>4.09</w:t>
      </w:r>
      <w:r>
        <w:rPr>
          <w:rFonts w:hint="default" w:ascii="Times New Roman" w:hAnsi="Times New Roman" w:eastAsia="方正仿宋_GBK" w:cs="Times New Roman"/>
          <w:sz w:val="32"/>
          <w:szCs w:val="32"/>
          <w:lang w:bidi="ar-SA"/>
        </w:rPr>
        <w:t>万元；考察调研工作经费</w:t>
      </w:r>
      <w:r>
        <w:rPr>
          <w:rFonts w:hint="default" w:ascii="Times New Roman" w:hAnsi="Times New Roman" w:eastAsia="方正仿宋_GBK" w:cs="Times New Roman"/>
          <w:sz w:val="32"/>
          <w:szCs w:val="32"/>
          <w:lang w:val="en-US" w:eastAsia="zh-CN" w:bidi="ar-SA"/>
        </w:rPr>
        <w:t>4.94</w:t>
      </w:r>
      <w:r>
        <w:rPr>
          <w:rFonts w:hint="default" w:ascii="Times New Roman" w:hAnsi="Times New Roman" w:eastAsia="方正仿宋_GBK" w:cs="Times New Roman"/>
          <w:sz w:val="32"/>
          <w:szCs w:val="32"/>
          <w:lang w:bidi="ar-SA"/>
        </w:rPr>
        <w:t>元；参政议政工作经费</w:t>
      </w:r>
      <w:r>
        <w:rPr>
          <w:rFonts w:hint="default" w:ascii="Times New Roman" w:hAnsi="Times New Roman" w:eastAsia="方正仿宋_GBK" w:cs="Times New Roman"/>
          <w:sz w:val="32"/>
          <w:szCs w:val="32"/>
          <w:lang w:val="en-US" w:eastAsia="zh-CN" w:bidi="ar-SA"/>
        </w:rPr>
        <w:t>5.82</w:t>
      </w:r>
      <w:r>
        <w:rPr>
          <w:rFonts w:hint="default" w:ascii="Times New Roman" w:hAnsi="Times New Roman" w:eastAsia="方正仿宋_GBK" w:cs="Times New Roman"/>
          <w:sz w:val="32"/>
          <w:szCs w:val="32"/>
          <w:lang w:bidi="ar-SA"/>
        </w:rPr>
        <w:t>万元</w:t>
      </w:r>
      <w:r>
        <w:rPr>
          <w:rFonts w:hint="default" w:ascii="Times New Roman" w:hAnsi="Times New Roman" w:eastAsia="方正仿宋_GBK" w:cs="Times New Roman"/>
          <w:sz w:val="32"/>
          <w:szCs w:val="32"/>
          <w:lang w:eastAsia="zh-CN" w:bidi="ar-SA"/>
        </w:rPr>
        <w:t>；异地商会工作经费</w:t>
      </w:r>
      <w:r>
        <w:rPr>
          <w:rFonts w:hint="default" w:ascii="Times New Roman" w:hAnsi="Times New Roman" w:eastAsia="方正仿宋_GBK" w:cs="Times New Roman"/>
          <w:sz w:val="32"/>
          <w:szCs w:val="32"/>
          <w:lang w:val="en-US" w:eastAsia="zh-CN" w:bidi="ar-SA"/>
        </w:rPr>
        <w:t>6.37万元；工商联人民调解及“枫桥式”商会维权工作经费3.23万元；推动民营企业建立现代企业制度工作经费4.3万元；评价营商环境工作经费2.61万元；</w:t>
      </w:r>
      <w:r>
        <w:rPr>
          <w:rFonts w:hint="default" w:ascii="Times New Roman" w:hAnsi="Times New Roman" w:eastAsia="方正仿宋_GBK" w:cs="Times New Roman"/>
          <w:sz w:val="32"/>
          <w:szCs w:val="32"/>
          <w:lang w:bidi="ar-SA"/>
        </w:rPr>
        <w:t>阿坝州浙江温州商会工作经费3万元；</w:t>
      </w:r>
      <w:r>
        <w:rPr>
          <w:rFonts w:hint="default" w:ascii="Times New Roman" w:hAnsi="Times New Roman" w:eastAsia="方正仿宋_GBK" w:cs="Times New Roman"/>
          <w:sz w:val="32"/>
          <w:szCs w:val="32"/>
          <w:lang w:val="en-US" w:eastAsia="zh-CN" w:bidi="ar-SA"/>
        </w:rPr>
        <w:t>办公设备政府采购经费0.22万元。</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eastAsia" w:ascii="方正楷体_GBK" w:hAnsi="Times New Roman" w:eastAsia="方正楷体_GBK" w:cs="方正楷体_GBK"/>
          <w:b/>
          <w:bCs/>
          <w:sz w:val="32"/>
          <w:szCs w:val="32"/>
          <w:lang w:eastAsia="zh-CN" w:bidi="ar-SA"/>
        </w:rPr>
      </w:pPr>
      <w:r>
        <w:rPr>
          <w:rFonts w:hint="eastAsia" w:ascii="方正楷体_GBK" w:hAnsi="Times New Roman" w:eastAsia="方正楷体_GBK" w:cs="方正楷体_GBK"/>
          <w:b/>
          <w:bCs/>
          <w:sz w:val="32"/>
          <w:szCs w:val="32"/>
          <w:lang w:bidi="ar-SA"/>
        </w:rPr>
        <w:t>（二）支出情况</w:t>
      </w:r>
      <w:r>
        <w:rPr>
          <w:rFonts w:hint="eastAsia" w:ascii="方正楷体_GBK" w:hAnsi="Times New Roman" w:eastAsia="方正楷体_GBK" w:cs="方正楷体_GBK"/>
          <w:b/>
          <w:bCs/>
          <w:sz w:val="32"/>
          <w:szCs w:val="32"/>
          <w:lang w:eastAsia="zh-CN" w:bidi="ar-SA"/>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bidi="ar-SA"/>
        </w:rPr>
      </w:pPr>
      <w:r>
        <w:rPr>
          <w:rFonts w:hint="default" w:ascii="Times New Roman" w:hAnsi="Times New Roman" w:eastAsia="方正仿宋_GBK" w:cs="Times New Roman"/>
          <w:sz w:val="32"/>
          <w:szCs w:val="32"/>
          <w:lang w:bidi="ar-SA"/>
        </w:rPr>
        <w:t>阿坝州工商联202</w:t>
      </w:r>
      <w:r>
        <w:rPr>
          <w:rFonts w:hint="default" w:ascii="Times New Roman" w:hAnsi="Times New Roman" w:eastAsia="方正仿宋_GBK" w:cs="Times New Roman"/>
          <w:sz w:val="32"/>
          <w:szCs w:val="32"/>
          <w:lang w:val="en-US" w:eastAsia="zh-CN" w:bidi="ar-SA"/>
        </w:rPr>
        <w:t>5</w:t>
      </w:r>
      <w:r>
        <w:rPr>
          <w:rFonts w:hint="default" w:ascii="Times New Roman" w:hAnsi="Times New Roman" w:eastAsia="方正仿宋_GBK" w:cs="Times New Roman"/>
          <w:sz w:val="32"/>
          <w:szCs w:val="32"/>
          <w:lang w:bidi="ar-SA"/>
        </w:rPr>
        <w:t>年全年共计支出经费</w:t>
      </w:r>
      <w:r>
        <w:rPr>
          <w:rFonts w:hint="default" w:ascii="Times New Roman" w:hAnsi="Times New Roman" w:eastAsia="方正仿宋_GBK" w:cs="Times New Roman"/>
          <w:sz w:val="32"/>
          <w:szCs w:val="32"/>
          <w:lang w:val="en-US" w:eastAsia="zh-CN" w:bidi="ar-SA"/>
        </w:rPr>
        <w:t>431.37万元，431.37万元。其中：行政运行支出为298.07万元，占比69.10%；一般行政管理事务支出为43.56万元，占比10.10%；社会保障和就业支出为48.49万元，占比11.24%；卫生健康支出为17.68万元，占比4.10%；住房保障支出为23.57万元，占比5%。完成的任务、达成的效果如下：</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default" w:ascii="Times New Roman" w:hAnsi="Times New Roman" w:eastAsia="方正仿宋_GBK" w:cs="Times New Roman"/>
          <w:sz w:val="32"/>
          <w:szCs w:val="32"/>
          <w:lang w:val="en-US" w:eastAsia="zh-CN" w:bidi="ar-SA"/>
        </w:rPr>
      </w:pPr>
      <w:r>
        <w:rPr>
          <w:rFonts w:hint="eastAsia" w:ascii="Times New Roman" w:hAnsi="Times New Roman" w:eastAsia="方正仿宋_GBK" w:cs="Times New Roman"/>
          <w:b/>
          <w:bCs/>
          <w:sz w:val="32"/>
          <w:szCs w:val="32"/>
          <w:lang w:val="en-US" w:eastAsia="zh-CN" w:bidi="ar-SA"/>
        </w:rPr>
        <w:t>1.</w:t>
      </w:r>
      <w:r>
        <w:rPr>
          <w:rFonts w:hint="default" w:ascii="Times New Roman" w:hAnsi="Times New Roman" w:eastAsia="方正仿宋_GBK" w:cs="Times New Roman"/>
          <w:b/>
          <w:bCs/>
          <w:sz w:val="32"/>
          <w:szCs w:val="32"/>
          <w:lang w:val="en-US" w:eastAsia="zh-CN" w:bidi="ar-SA"/>
        </w:rPr>
        <w:t>聚焦主业、凝心聚力，思想政治引领塑造新面貌。</w:t>
      </w:r>
      <w:r>
        <w:rPr>
          <w:rFonts w:hint="default" w:ascii="Times New Roman" w:hAnsi="Times New Roman" w:eastAsia="方正仿宋_GBK" w:cs="Times New Roman"/>
          <w:sz w:val="32"/>
          <w:szCs w:val="32"/>
          <w:lang w:val="en-US" w:eastAsia="zh-CN" w:bidi="ar-SA"/>
        </w:rPr>
        <w:t>坚持“第一议题”制度，</w:t>
      </w:r>
      <w:r>
        <w:rPr>
          <w:rFonts w:hint="default" w:ascii="Times New Roman" w:hAnsi="Times New Roman" w:eastAsia="方正仿宋_GBK" w:cs="Times New Roman"/>
          <w:sz w:val="32"/>
          <w:szCs w:val="32"/>
          <w:lang w:bidi="ar-SA"/>
        </w:rPr>
        <w:t>坚定以习近平新时代中国特色社会主义思想为指导，认真贯彻落实党的</w:t>
      </w:r>
      <w:r>
        <w:rPr>
          <w:rFonts w:hint="default" w:ascii="Times New Roman" w:hAnsi="Times New Roman" w:eastAsia="方正仿宋_GBK" w:cs="Times New Roman"/>
          <w:sz w:val="32"/>
          <w:szCs w:val="32"/>
          <w:lang w:val="en-US" w:eastAsia="zh-CN" w:bidi="ar-SA"/>
        </w:rPr>
        <w:t>二十届三中、四中</w:t>
      </w:r>
      <w:r>
        <w:rPr>
          <w:rFonts w:hint="default" w:ascii="Times New Roman" w:hAnsi="Times New Roman" w:eastAsia="方正仿宋_GBK" w:cs="Times New Roman"/>
          <w:sz w:val="32"/>
          <w:szCs w:val="32"/>
          <w:lang w:bidi="ar-SA"/>
        </w:rPr>
        <w:t>精神和</w:t>
      </w:r>
      <w:r>
        <w:rPr>
          <w:rFonts w:hint="default" w:ascii="Times New Roman" w:hAnsi="Times New Roman" w:eastAsia="方正仿宋_GBK" w:cs="Times New Roman"/>
          <w:sz w:val="32"/>
          <w:szCs w:val="32"/>
          <w:lang w:val="en-US" w:eastAsia="zh-CN" w:bidi="ar-SA"/>
        </w:rPr>
        <w:t>省委、</w:t>
      </w:r>
      <w:r>
        <w:rPr>
          <w:rFonts w:hint="default" w:ascii="Times New Roman" w:hAnsi="Times New Roman" w:eastAsia="方正仿宋_GBK" w:cs="Times New Roman"/>
          <w:sz w:val="32"/>
          <w:szCs w:val="32"/>
          <w:lang w:bidi="ar-SA"/>
        </w:rPr>
        <w:t>州委</w:t>
      </w:r>
      <w:r>
        <w:rPr>
          <w:rFonts w:hint="default" w:ascii="Times New Roman" w:hAnsi="Times New Roman" w:eastAsia="方正仿宋_GBK" w:cs="Times New Roman"/>
          <w:sz w:val="32"/>
          <w:szCs w:val="32"/>
          <w:lang w:val="en-US" w:eastAsia="zh-CN" w:bidi="ar-SA"/>
        </w:rPr>
        <w:t>十二届历次全会</w:t>
      </w:r>
      <w:r>
        <w:rPr>
          <w:rFonts w:hint="default" w:ascii="Times New Roman" w:hAnsi="Times New Roman" w:eastAsia="方正仿宋_GBK" w:cs="Times New Roman"/>
          <w:sz w:val="32"/>
          <w:szCs w:val="32"/>
          <w:lang w:bidi="ar-SA"/>
        </w:rPr>
        <w:t>重大决策部署，</w:t>
      </w:r>
      <w:r>
        <w:rPr>
          <w:rFonts w:hint="default" w:ascii="Times New Roman" w:hAnsi="Times New Roman" w:eastAsia="方正仿宋_GBK" w:cs="Times New Roman"/>
          <w:sz w:val="32"/>
          <w:szCs w:val="32"/>
          <w:lang w:val="en-US" w:eastAsia="zh-CN" w:bidi="ar-SA"/>
        </w:rPr>
        <w:t>全面学习贯彻习近平总书记在民营企业座谈会上的重要讲话精神。开展宣讲活动13场次</w:t>
      </w:r>
      <w:r>
        <w:rPr>
          <w:rFonts w:hint="default" w:ascii="Times New Roman" w:hAnsi="Times New Roman" w:eastAsia="方正仿宋_GBK" w:cs="Times New Roman"/>
          <w:sz w:val="32"/>
          <w:szCs w:val="32"/>
          <w:lang w:eastAsia="zh-CN" w:bidi="ar-SA"/>
        </w:rPr>
        <w:t>、专题学习5场次，</w:t>
      </w:r>
      <w:r>
        <w:rPr>
          <w:rFonts w:hint="default" w:ascii="Times New Roman" w:hAnsi="Times New Roman" w:eastAsia="方正仿宋_GBK" w:cs="Times New Roman"/>
          <w:sz w:val="32"/>
          <w:szCs w:val="32"/>
          <w:lang w:val="en-US" w:eastAsia="zh-CN" w:bidi="ar-SA"/>
        </w:rPr>
        <w:t>按期推送《工商联法律微讲堂》《合规月月谈》等内容</w:t>
      </w:r>
      <w:r>
        <w:rPr>
          <w:rFonts w:hint="default" w:ascii="Times New Roman" w:hAnsi="Times New Roman" w:eastAsia="方正仿宋_GBK" w:cs="Times New Roman"/>
          <w:sz w:val="32"/>
          <w:szCs w:val="32"/>
          <w:lang w:eastAsia="zh-CN" w:bidi="ar-SA"/>
        </w:rPr>
        <w:t>，</w:t>
      </w:r>
      <w:r>
        <w:rPr>
          <w:rFonts w:hint="default" w:ascii="Times New Roman" w:hAnsi="Times New Roman" w:eastAsia="方正仿宋_GBK" w:cs="Times New Roman"/>
          <w:sz w:val="32"/>
          <w:szCs w:val="32"/>
          <w:lang w:val="en-US" w:eastAsia="zh-CN" w:bidi="ar-SA"/>
        </w:rPr>
        <w:t>组织民营企业家10余期专题培训班，组织宣传我州民营经济领域政策落实、典型案例等50余篇次，讲好阿坝故事，弘扬“阿商精神”，持续加强民营经济人士思想政治建设，切实发挥促进“两个健康”的重要作用。</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default" w:ascii="Times New Roman" w:hAnsi="Times New Roman" w:eastAsia="方正仿宋_GBK" w:cs="Times New Roman"/>
          <w:sz w:val="32"/>
          <w:szCs w:val="32"/>
          <w:lang w:val="en-US" w:eastAsia="zh-CN" w:bidi="ar-SA"/>
        </w:rPr>
      </w:pPr>
      <w:r>
        <w:rPr>
          <w:rFonts w:hint="eastAsia" w:ascii="Times New Roman" w:hAnsi="Times New Roman" w:eastAsia="方正仿宋_GBK" w:cs="Times New Roman"/>
          <w:b/>
          <w:bCs/>
          <w:sz w:val="32"/>
          <w:szCs w:val="32"/>
          <w:lang w:val="en-US" w:eastAsia="zh-CN" w:bidi="ar-SA"/>
        </w:rPr>
        <w:t>2.</w:t>
      </w:r>
      <w:r>
        <w:rPr>
          <w:rFonts w:hint="default" w:ascii="Times New Roman" w:hAnsi="Times New Roman" w:eastAsia="方正仿宋_GBK" w:cs="Times New Roman"/>
          <w:b/>
          <w:bCs/>
          <w:sz w:val="32"/>
          <w:szCs w:val="32"/>
          <w:lang w:val="en-US" w:eastAsia="zh-CN" w:bidi="ar-SA"/>
        </w:rPr>
        <w:t>紧盯重点、全力以赴，服务中心大局彰显新作为。</w:t>
      </w:r>
      <w:r>
        <w:rPr>
          <w:rFonts w:hint="default" w:ascii="Times New Roman" w:hAnsi="Times New Roman" w:eastAsia="方正仿宋_GBK" w:cs="Times New Roman"/>
          <w:sz w:val="32"/>
          <w:szCs w:val="32"/>
          <w:lang w:val="en-US" w:eastAsia="zh-CN" w:bidi="ar-SA"/>
        </w:rPr>
        <w:t>扎实推进“万家民营企业评营商环境”以评促改工作，开展营商环境专题调研，推动《阿坝州进一步优化营商环境更好服务市场主体七条措施》等政策措施落实落地。召开专题调研座谈会，收集意见建议42条，及时协调解决。积极搭建服务经济发展平台，组织30余家民营企业参加中亚商品贸易博览会、西博会等大型展会10场次，先后16次组织企业参加哈萨克斯坦、乌兹别克斯坦等出国境随团活动，推荐5家民营企业代表四川省藏区参加澳门国际贸易投资展览会，协同举办阿坝州项目投资推介会，召开阿坝州优化营商环境暨首届阿商大会。搭建非金属矿合作平台，推动四川省矿业商会赴小金、马尔康等6县开展调研。发布7期惠企政策汇编，推送中央、省、州惠企政策40篇，收集40余篇社情民意信息、2篇党外人士建言献策，组织召开政企座谈会30余场次，积极反应民营企业心声。推动落实“三张清单”，推动构建亲清政商关系。联合州律师协会召开“律企携手·以法赋能优环境”专题座谈会，指导各县（市）工商联开展“民法典宣传月”“宪法宣传周”等活动，指导3家商会组织开展枫桥式商会建设，筛选8家企业列入现代企业管理制度培育培育目录。开展法律进企业活动13场次，举办银企对接会4场。选树推荐</w:t>
      </w:r>
      <w:r>
        <w:rPr>
          <w:rFonts w:hint="default" w:ascii="Times New Roman" w:hAnsi="Times New Roman" w:eastAsia="方正仿宋_GBK" w:cs="Times New Roman"/>
          <w:sz w:val="32"/>
          <w:szCs w:val="32"/>
          <w:lang w:bidi="ar-SA"/>
        </w:rPr>
        <w:t>民营企业运行情况</w:t>
      </w:r>
      <w:r>
        <w:rPr>
          <w:rFonts w:hint="default" w:ascii="Times New Roman" w:hAnsi="Times New Roman" w:eastAsia="方正仿宋_GBK" w:cs="Times New Roman"/>
          <w:sz w:val="32"/>
          <w:szCs w:val="32"/>
          <w:lang w:val="en-US" w:eastAsia="zh-CN" w:bidi="ar-SA"/>
        </w:rPr>
        <w:t>调查优秀案例1个，投身“万企兴万村”行动和助力乡村振兴模范和典型人物23人，推广16名民营经济人士积极投入光彩事业典型事例。</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default" w:ascii="Times New Roman" w:hAnsi="Times New Roman" w:eastAsia="方正仿宋_GBK" w:cs="Times New Roman"/>
          <w:b/>
          <w:bCs/>
          <w:sz w:val="32"/>
          <w:szCs w:val="32"/>
          <w:lang w:val="en-US" w:eastAsia="zh-CN" w:bidi="ar-SA"/>
        </w:rPr>
      </w:pPr>
      <w:r>
        <w:rPr>
          <w:rFonts w:hint="eastAsia" w:ascii="Times New Roman" w:hAnsi="Times New Roman" w:eastAsia="方正仿宋_GBK" w:cs="Times New Roman"/>
          <w:b/>
          <w:bCs/>
          <w:sz w:val="32"/>
          <w:szCs w:val="32"/>
          <w:lang w:val="en-US" w:eastAsia="zh-CN" w:bidi="ar-SA"/>
        </w:rPr>
        <w:t>3.</w:t>
      </w:r>
      <w:r>
        <w:rPr>
          <w:rFonts w:hint="default" w:ascii="Times New Roman" w:hAnsi="Times New Roman" w:eastAsia="方正仿宋_GBK" w:cs="Times New Roman"/>
          <w:b/>
          <w:bCs/>
          <w:sz w:val="32"/>
          <w:szCs w:val="32"/>
          <w:lang w:val="en-US" w:eastAsia="zh-CN" w:bidi="ar-SA"/>
        </w:rPr>
        <w:t>统筹谋划、集智蓄力，调查研究工作取得新成果。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bidi="ar-SA"/>
        </w:rPr>
      </w:pPr>
      <w:r>
        <w:rPr>
          <w:rFonts w:hint="default" w:ascii="Times New Roman" w:hAnsi="Times New Roman" w:eastAsia="方正仿宋_GBK" w:cs="Times New Roman"/>
          <w:sz w:val="32"/>
          <w:szCs w:val="32"/>
          <w:lang w:val="en-US" w:eastAsia="zh-CN" w:bidi="ar-SA"/>
        </w:rPr>
        <w:t>围绕优化营商环境、商会建设、乡村振兴、城乡融合等主题，深入县（市）工商联、民营企业及商协会开展调研20余场次，推动解决涉企历史遗留问题2项，形成《阿坝州工商联关于推动文旅产业高质量发展的调研报告》《促进全州民营经济高质量发展暨优化营商环境的调研报告》等调研成果2篇。累计向省联报送社情民意60余条，向州政协提交“十五五”建言6条、党外人士建言1篇，完成四川省民营企业品牌价值调研，完成民营企业调查点入库企业231户、劳动关系监测入库企业121家、民营企业履行社会责任入库企业69家，组织6次线上问卷调研。</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default" w:ascii="Times New Roman" w:hAnsi="Times New Roman" w:eastAsia="方正仿宋_GBK" w:cs="Times New Roman"/>
          <w:b/>
          <w:bCs/>
          <w:sz w:val="32"/>
          <w:szCs w:val="32"/>
          <w:lang w:val="en-US" w:eastAsia="zh-CN" w:bidi="ar-SA"/>
        </w:rPr>
      </w:pPr>
      <w:r>
        <w:rPr>
          <w:rFonts w:hint="eastAsia" w:ascii="Times New Roman" w:hAnsi="Times New Roman" w:eastAsia="方正仿宋_GBK" w:cs="Times New Roman"/>
          <w:b/>
          <w:bCs/>
          <w:sz w:val="32"/>
          <w:szCs w:val="32"/>
          <w:lang w:val="en-US" w:eastAsia="zh-CN" w:bidi="ar-SA"/>
        </w:rPr>
        <w:t>4.</w:t>
      </w:r>
      <w:r>
        <w:rPr>
          <w:rFonts w:hint="default" w:ascii="Times New Roman" w:hAnsi="Times New Roman" w:eastAsia="方正仿宋_GBK" w:cs="Times New Roman"/>
          <w:b/>
          <w:bCs/>
          <w:sz w:val="32"/>
          <w:szCs w:val="32"/>
          <w:lang w:val="en-US" w:eastAsia="zh-CN" w:bidi="ar-SA"/>
        </w:rPr>
        <w:t>系统部署、筑牢基础，组织体系建设换发新活力</w:t>
      </w:r>
      <w:r>
        <w:rPr>
          <w:rFonts w:hint="eastAsia" w:ascii="Times New Roman" w:hAnsi="Times New Roman" w:eastAsia="方正仿宋_GBK" w:cs="Times New Roman"/>
          <w:b/>
          <w:bCs/>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bidi="ar-SA"/>
        </w:rPr>
      </w:pPr>
      <w:r>
        <w:rPr>
          <w:rFonts w:hint="default" w:ascii="Times New Roman" w:hAnsi="Times New Roman" w:eastAsia="方正仿宋_GBK" w:cs="Times New Roman"/>
          <w:sz w:val="32"/>
          <w:szCs w:val="32"/>
          <w:lang w:val="en-US" w:eastAsia="zh-CN" w:bidi="ar-SA"/>
        </w:rPr>
        <w:t>扎实开展党纪学习教育、深入贯彻中央八项规定精神学习教育和州委“四不”问题专项整治工作。新成立商协会1家，发展会员总数2460家。指导完成1个异地商会换届，指导推动2个异地商会和1家直属商会开展换届筹备工作，指导阿坝州冬虫夏草协会完成预登记。开展组织建设摸底，完成全州民营经济执委、273名青年民营经济代表人士、528名在外经商人员信息统计，“网上工商联”会员管理系统信息录入常态化开展。强化与其他行业商协会对接，促进行业自律、企业交流合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bidi="ar-SA"/>
        </w:rPr>
      </w:pPr>
      <w:r>
        <w:rPr>
          <w:rFonts w:hint="default" w:ascii="Times New Roman" w:hAnsi="Times New Roman" w:eastAsia="方正仿宋_GBK" w:cs="Times New Roman"/>
          <w:sz w:val="32"/>
          <w:szCs w:val="32"/>
          <w:lang w:val="en-US" w:eastAsia="zh-CN" w:bidi="ar-SA"/>
        </w:rPr>
        <w:t>结对共建、同心聚爱，履行社会责任显现新担当。扎实推进欠发达县域托底性帮扶工作，组织省州25家民营企业和14家商协会与阿坝州内欠发达县开展“2+2+N”结对帮扶，对接帮扶企业开展考察和交流30余次，促成落地产业项目2个，投入帮扶资金合计3680余万元。深化群众工作“石榴籽”工程六大行动。落实结对帮扶牵头单位责任，定期开展走访慰问、督导调研，动态掌握乡、村、户困难需求，协调解决帮扶村农牧民安全饮水、村组道路亮化、美丽新村建设、幼儿园提升改造、草原森林防护等项目，开展教育救助、爱心爸妈帮扶、走访慰问等9次，引导民企践行光彩精神，实施公益帮扶4次，建立教育救助基金3万元，发放奖学金2.3万元，直接捐款捐物合计10万余元。组织引导民营企业履行社会责任，助力州人民医院雪莲花医慈基金23万元，向西藏日喀则市定日县地震灾区、雪莲花医慈基金等捐款捐物达300余万元。持续开展“百城千校万企”促就业行动，开展职业技能培训2期，协调解决用工300余人。推荐阿坝铝厂、四川省九寨沟县黄浦电力能源有限公司为民营企业社会责任评价工作优秀典型。</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方正黑体_GBK" w:hAnsi="Times New Roman" w:eastAsia="方正黑体_GBK" w:cs="方正黑体_GBK"/>
          <w:sz w:val="32"/>
          <w:szCs w:val="32"/>
          <w:lang w:val="en-US" w:eastAsia="zh-CN" w:bidi="ar-SA"/>
        </w:rPr>
      </w:pPr>
      <w:r>
        <w:rPr>
          <w:rFonts w:hint="eastAsia" w:ascii="方正黑体_GBK" w:hAnsi="Times New Roman" w:eastAsia="方正黑体_GBK" w:cs="方正黑体_GBK"/>
          <w:sz w:val="32"/>
          <w:szCs w:val="32"/>
          <w:lang w:val="zh-CN" w:eastAsia="zh-CN" w:bidi="ar-SA"/>
        </w:rPr>
        <w:t>（三）</w:t>
      </w:r>
      <w:r>
        <w:rPr>
          <w:rFonts w:hint="eastAsia" w:ascii="方正黑体_GBK" w:hAnsi="Times New Roman" w:eastAsia="方正黑体_GBK" w:cs="方正黑体_GBK"/>
          <w:sz w:val="32"/>
          <w:szCs w:val="32"/>
          <w:lang w:bidi="ar-SA"/>
        </w:rPr>
        <w:t>结余分配和结转结余情况</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bidi="ar-SA"/>
        </w:rPr>
      </w:pPr>
      <w:r>
        <w:rPr>
          <w:rFonts w:hint="default" w:ascii="Times New Roman" w:hAnsi="Times New Roman" w:eastAsia="方正仿宋_GBK" w:cs="Times New Roman"/>
          <w:sz w:val="32"/>
          <w:szCs w:val="32"/>
          <w:lang w:val="en-US" w:eastAsia="zh-CN" w:bidi="ar-SA"/>
        </w:rPr>
        <w:t>阿坝州工商联2025年年末收支结转结余数为0万元。</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方正黑体_GBK" w:hAnsi="Times New Roman" w:eastAsia="方正黑体_GBK" w:cs="方正黑体_GBK"/>
          <w:sz w:val="32"/>
          <w:szCs w:val="32"/>
          <w:lang w:val="zh-CN" w:eastAsia="zh-CN" w:bidi="ar-SA"/>
        </w:rPr>
      </w:pPr>
      <w:r>
        <w:rPr>
          <w:rFonts w:hint="eastAsia" w:ascii="方正黑体_GBK" w:hAnsi="Times New Roman" w:eastAsia="方正黑体_GBK" w:cs="方正黑体_GBK"/>
          <w:sz w:val="32"/>
          <w:szCs w:val="32"/>
          <w:lang w:eastAsia="zh-CN" w:bidi="ar-SA"/>
        </w:rPr>
        <w:t>三、</w:t>
      </w:r>
      <w:r>
        <w:rPr>
          <w:rFonts w:hint="eastAsia" w:ascii="方正黑体_GBK" w:hAnsi="Times New Roman" w:eastAsia="方正黑体_GBK" w:cs="方正黑体_GBK"/>
          <w:sz w:val="32"/>
          <w:szCs w:val="32"/>
          <w:lang w:bidi="ar-SA"/>
        </w:rPr>
        <w:t>部门</w:t>
      </w:r>
      <w:r>
        <w:rPr>
          <w:rFonts w:hint="eastAsia" w:ascii="方正黑体_GBK" w:hAnsi="Times New Roman" w:eastAsia="方正黑体_GBK" w:cs="方正黑体_GBK"/>
          <w:sz w:val="32"/>
          <w:szCs w:val="32"/>
          <w:lang w:eastAsia="zh-CN" w:bidi="ar-SA"/>
        </w:rPr>
        <w:t>预算</w:t>
      </w:r>
      <w:r>
        <w:rPr>
          <w:rFonts w:hint="eastAsia" w:ascii="方正黑体_GBK" w:hAnsi="Times New Roman" w:eastAsia="方正黑体_GBK" w:cs="方正黑体_GBK"/>
          <w:sz w:val="32"/>
          <w:szCs w:val="32"/>
          <w:lang w:bidi="ar-SA"/>
        </w:rPr>
        <w:t>绩效</w:t>
      </w:r>
      <w:r>
        <w:rPr>
          <w:rFonts w:hint="eastAsia" w:ascii="方正黑体_GBK" w:hAnsi="Times New Roman" w:eastAsia="方正黑体_GBK" w:cs="方正黑体_GBK"/>
          <w:sz w:val="32"/>
          <w:szCs w:val="32"/>
          <w:lang w:eastAsia="zh-CN" w:bidi="ar-SA"/>
        </w:rPr>
        <w:t>分析</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eastAsia" w:ascii="方正楷体_GBK" w:hAnsi="Times New Roman" w:eastAsia="方正楷体_GBK" w:cs="方正楷体_GBK"/>
          <w:b/>
          <w:bCs/>
          <w:sz w:val="32"/>
          <w:szCs w:val="32"/>
          <w:lang w:val="zh-CN" w:eastAsia="zh-CN" w:bidi="ar-SA"/>
        </w:rPr>
      </w:pPr>
      <w:r>
        <w:rPr>
          <w:rFonts w:hint="eastAsia" w:ascii="方正楷体_GBK" w:hAnsi="Times New Roman" w:eastAsia="方正楷体_GBK" w:cs="方正楷体_GBK"/>
          <w:b/>
          <w:bCs/>
          <w:sz w:val="32"/>
          <w:szCs w:val="32"/>
          <w:lang w:val="zh-CN" w:eastAsia="zh-CN" w:bidi="ar-SA"/>
        </w:rPr>
        <w:t>（一）部门预算总体绩效分析。</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zh-CN" w:eastAsia="zh-CN" w:bidi="ar-SA"/>
        </w:rPr>
      </w:pPr>
      <w:r>
        <w:rPr>
          <w:rFonts w:hint="default" w:ascii="Times New Roman" w:hAnsi="Times New Roman" w:eastAsia="方正仿宋_GBK" w:cs="Times New Roman"/>
          <w:sz w:val="32"/>
          <w:szCs w:val="32"/>
          <w:lang w:val="zh-CN" w:eastAsia="zh-CN" w:bidi="ar-SA"/>
        </w:rPr>
        <w:t>根据部门预算绩效评价指标体系“总体绩效”涉及二、三级指标进行逐项绩效分析并评分，依次包括履职效能、预算管理、财务管理、资产管理、采购管理等情况。</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eastAsia" w:ascii="方正仿宋_GBK" w:hAnsi="Times New Roman" w:eastAsia="方正仿宋_GBK" w:cs="方正仿宋_GBK"/>
          <w:b/>
          <w:bCs/>
          <w:sz w:val="32"/>
          <w:szCs w:val="32"/>
          <w:lang w:val="zh-CN" w:eastAsia="zh-CN" w:bidi="ar-SA"/>
        </w:rPr>
      </w:pPr>
      <w:r>
        <w:rPr>
          <w:rFonts w:hint="eastAsia" w:ascii="方正仿宋_GBK" w:hAnsi="Times New Roman" w:eastAsia="方正仿宋_GBK" w:cs="方正仿宋_GBK"/>
          <w:b/>
          <w:bCs/>
          <w:sz w:val="32"/>
          <w:szCs w:val="32"/>
          <w:lang w:val="en-US" w:eastAsia="zh-CN" w:bidi="ar-SA"/>
        </w:rPr>
        <w:t>1.</w:t>
      </w:r>
      <w:r>
        <w:rPr>
          <w:rFonts w:hint="eastAsia" w:ascii="方正仿宋_GBK" w:hAnsi="Times New Roman" w:eastAsia="方正仿宋_GBK" w:cs="方正仿宋_GBK"/>
          <w:b/>
          <w:bCs/>
          <w:sz w:val="32"/>
          <w:szCs w:val="32"/>
          <w:lang w:val="zh-CN" w:eastAsia="zh-CN" w:bidi="ar-SA"/>
        </w:rPr>
        <w:t>履职效能。</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bidi="ar-SA"/>
        </w:rPr>
      </w:pPr>
      <w:r>
        <w:rPr>
          <w:rFonts w:hint="default" w:ascii="Times New Roman" w:hAnsi="Times New Roman" w:eastAsia="方正仿宋_GBK" w:cs="Times New Roman"/>
          <w:sz w:val="32"/>
          <w:szCs w:val="32"/>
          <w:lang w:bidi="ar-SA"/>
        </w:rPr>
        <w:t>结合工商联组织实际，采取各种灵活多样，针对性、实效性强的方式和措施，在全系统全面深入开展党的二十大精神学习宣传贯彻活动。以学习宣传贯彻党的二十大精神为契机，持续开展“走企业.进车间”活动，全面引导广大非公经济人士发扬创业创新精神，为阿坝州的经济社会发展作出应有的贡献；全面引导广大非公经济人士发扬创业创新精神，为阿坝州的经济社会发展作出应有的贡献；充分发挥工商联参谋助手、桥梁纽带、示范引领和服务保障作用，加大企业党建工作调研和工作指导，齐心协力帮助非公企业解决实际问题。组织会员企业中的人大代表、政协委员围绕推动地方经济和非公经济高质量发展等方面建言献策，组织非公经济中的人大代表和政协委员积极参与党委和政府组织的系列调研活动，为全州经济发展和社会稳定献策献力。据各县（市）经济发展情况，力争工商联会员在上一年的基础上增值6%。指导成都、重庆异地商会更好发挥作用，督促西藏四川阿坝州商会有效开展工作，推进北京四川阿坝州商会的筹建工作</w:t>
      </w:r>
      <w:r>
        <w:rPr>
          <w:rFonts w:hint="default" w:ascii="Times New Roman" w:hAnsi="Times New Roman" w:eastAsia="方正仿宋_GBK" w:cs="Times New Roman"/>
          <w:sz w:val="32"/>
          <w:szCs w:val="32"/>
          <w:lang w:eastAsia="zh-CN" w:bidi="ar-SA"/>
        </w:rPr>
        <w:t>；</w:t>
      </w:r>
      <w:r>
        <w:rPr>
          <w:rFonts w:hint="default" w:ascii="Times New Roman" w:hAnsi="Times New Roman" w:eastAsia="方正仿宋_GBK" w:cs="Times New Roman"/>
          <w:sz w:val="32"/>
          <w:szCs w:val="32"/>
          <w:lang w:val="en-US" w:eastAsia="zh-CN" w:bidi="ar-SA"/>
        </w:rPr>
        <w:t>推动落实“三张清单”，推动构建亲清政商关系。联合州律师协会召开“律企携手·以法赋能优环境”专题座谈会，指导各县（市）工商联开展“民法典宣传月”“宪法宣传周”等活动，指导3家商会组织开展枫桥式商会建设，筛选8家企业列入现代企业管理制度培育培育目录。</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eastAsia" w:ascii="方正仿宋_GBK" w:hAnsi="Times New Roman" w:eastAsia="方正仿宋_GBK" w:cs="方正仿宋_GBK"/>
          <w:b/>
          <w:bCs/>
          <w:sz w:val="32"/>
          <w:szCs w:val="32"/>
          <w:lang w:val="zh-CN" w:eastAsia="zh-CN" w:bidi="ar-SA"/>
        </w:rPr>
      </w:pPr>
      <w:r>
        <w:rPr>
          <w:rFonts w:hint="eastAsia" w:ascii="方正仿宋_GBK" w:hAnsi="Times New Roman" w:eastAsia="方正仿宋_GBK" w:cs="方正仿宋_GBK"/>
          <w:b/>
          <w:bCs/>
          <w:sz w:val="32"/>
          <w:szCs w:val="32"/>
          <w:lang w:val="en-US" w:eastAsia="zh-CN" w:bidi="ar-SA"/>
        </w:rPr>
        <w:t>2.</w:t>
      </w:r>
      <w:r>
        <w:rPr>
          <w:rFonts w:hint="eastAsia" w:ascii="方正仿宋_GBK" w:hAnsi="Times New Roman" w:eastAsia="方正仿宋_GBK" w:cs="方正仿宋_GBK"/>
          <w:b/>
          <w:bCs/>
          <w:sz w:val="32"/>
          <w:szCs w:val="32"/>
          <w:lang w:val="zh-CN" w:eastAsia="zh-CN" w:bidi="ar-SA"/>
        </w:rPr>
        <w:t>预算管理。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zh-CN" w:eastAsia="zh-CN" w:bidi="ar-SA"/>
        </w:rPr>
      </w:pPr>
      <w:r>
        <w:rPr>
          <w:rFonts w:hint="default" w:ascii="Times New Roman" w:hAnsi="Times New Roman" w:eastAsia="方正仿宋_GBK" w:cs="Times New Roman"/>
          <w:sz w:val="32"/>
          <w:szCs w:val="32"/>
          <w:lang w:val="zh-CN" w:eastAsia="zh-CN" w:bidi="ar-SA"/>
        </w:rPr>
        <w:t>预算编制质量：预算编制规范，符合财政要求。</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zh-CN" w:eastAsia="zh-CN" w:bidi="ar-SA"/>
        </w:rPr>
      </w:pPr>
      <w:r>
        <w:rPr>
          <w:rFonts w:hint="default" w:ascii="Times New Roman" w:hAnsi="Times New Roman" w:eastAsia="方正仿宋_GBK" w:cs="Times New Roman"/>
          <w:sz w:val="32"/>
          <w:szCs w:val="32"/>
          <w:lang w:val="zh-CN" w:eastAsia="zh-CN" w:bidi="ar-SA"/>
        </w:rPr>
        <w:t>单位收入统筹：各项收入按计划统筹安排，收入来源多样化。</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zh-CN" w:eastAsia="zh-CN" w:bidi="ar-SA"/>
        </w:rPr>
      </w:pPr>
      <w:r>
        <w:rPr>
          <w:rFonts w:hint="default" w:ascii="Times New Roman" w:hAnsi="Times New Roman" w:eastAsia="方正仿宋_GBK" w:cs="Times New Roman"/>
          <w:sz w:val="32"/>
          <w:szCs w:val="32"/>
          <w:lang w:val="zh-CN" w:eastAsia="zh-CN" w:bidi="ar-SA"/>
        </w:rPr>
        <w:t>支出执行进度：支出按计划推进，年度执行率为87%。</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zh-CN" w:eastAsia="zh-CN" w:bidi="ar-SA"/>
        </w:rPr>
      </w:pPr>
      <w:r>
        <w:rPr>
          <w:rFonts w:hint="default" w:ascii="Times New Roman" w:hAnsi="Times New Roman" w:eastAsia="方正仿宋_GBK" w:cs="Times New Roman"/>
          <w:sz w:val="32"/>
          <w:szCs w:val="32"/>
          <w:lang w:val="zh-CN" w:eastAsia="zh-CN" w:bidi="ar-SA"/>
        </w:rPr>
        <w:t>预算年终结余：结余适中，未超出预算范围。</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202</w:t>
      </w:r>
      <w:r>
        <w:rPr>
          <w:rFonts w:hint="default" w:ascii="Times New Roman" w:hAnsi="Times New Roman" w:eastAsia="方正仿宋_GBK" w:cs="Times New Roman"/>
          <w:sz w:val="32"/>
          <w:szCs w:val="32"/>
          <w:lang w:val="en-US" w:eastAsia="zh-CN" w:bidi="ar-SA"/>
        </w:rPr>
        <w:t>5</w:t>
      </w:r>
      <w:r>
        <w:rPr>
          <w:rFonts w:hint="default" w:ascii="Times New Roman" w:hAnsi="Times New Roman" w:eastAsia="方正仿宋_GBK" w:cs="Times New Roman"/>
          <w:sz w:val="32"/>
          <w:szCs w:val="32"/>
          <w:lang w:bidi="ar-SA"/>
        </w:rPr>
        <w:t>年度、202</w:t>
      </w:r>
      <w:r>
        <w:rPr>
          <w:rFonts w:hint="default" w:ascii="Times New Roman" w:hAnsi="Times New Roman" w:eastAsia="方正仿宋_GBK" w:cs="Times New Roman"/>
          <w:sz w:val="32"/>
          <w:szCs w:val="32"/>
          <w:lang w:val="en-US" w:eastAsia="zh-CN" w:bidi="ar-SA"/>
        </w:rPr>
        <w:t>6</w:t>
      </w:r>
      <w:r>
        <w:rPr>
          <w:rFonts w:hint="default" w:ascii="Times New Roman" w:hAnsi="Times New Roman" w:eastAsia="方正仿宋_GBK" w:cs="Times New Roman"/>
          <w:sz w:val="32"/>
          <w:szCs w:val="32"/>
          <w:lang w:bidi="ar-SA"/>
        </w:rPr>
        <w:t>年部门预算编制严格按照预算编制要求，强化预算的权威性与严肃性，充分发挥预算在资源配置中的主导作用，在编制过程中按照工作的常态性与时效性，对项目的申报进行可行性及绩效论证，撰写项目总体目标及分段实施计划、组织实施条件、测算依据等，准确编制部门预算，且细化到项级科目，按时完成基础库及项目库的数据报送。</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eastAsia" w:ascii="方正仿宋_GBK" w:hAnsi="Times New Roman" w:eastAsia="方正仿宋_GBK" w:cs="方正仿宋_GBK"/>
          <w:b/>
          <w:bCs/>
          <w:sz w:val="32"/>
          <w:szCs w:val="32"/>
          <w:lang w:val="zh-CN" w:eastAsia="zh-CN" w:bidi="ar-SA"/>
        </w:rPr>
      </w:pPr>
      <w:r>
        <w:rPr>
          <w:rFonts w:hint="eastAsia" w:ascii="方正仿宋_GBK" w:hAnsi="Times New Roman" w:eastAsia="方正仿宋_GBK" w:cs="方正仿宋_GBK"/>
          <w:b/>
          <w:bCs/>
          <w:sz w:val="32"/>
          <w:szCs w:val="32"/>
          <w:lang w:val="en-US" w:eastAsia="zh-CN" w:bidi="ar-SA"/>
        </w:rPr>
        <w:t>3.</w:t>
      </w:r>
      <w:r>
        <w:rPr>
          <w:rFonts w:hint="eastAsia" w:ascii="方正仿宋_GBK" w:hAnsi="Times New Roman" w:eastAsia="方正仿宋_GBK" w:cs="方正仿宋_GBK"/>
          <w:b/>
          <w:bCs/>
          <w:sz w:val="32"/>
          <w:szCs w:val="32"/>
          <w:lang w:val="zh-CN" w:eastAsia="zh-CN" w:bidi="ar-SA"/>
        </w:rPr>
        <w:t>财务管理。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val="zh-CN" w:eastAsia="zh-CN" w:bidi="ar-SA"/>
        </w:rPr>
        <w:t>财务管理制度：财务管理制度健全，执行严格。</w:t>
      </w:r>
      <w:r>
        <w:rPr>
          <w:rFonts w:hint="default" w:ascii="Times New Roman" w:hAnsi="Times New Roman" w:eastAsia="方正仿宋_GBK" w:cs="Times New Roman"/>
          <w:sz w:val="32"/>
          <w:szCs w:val="32"/>
          <w:lang w:bidi="ar-SA"/>
        </w:rPr>
        <w:t>建立了较为完善的财务管理制度，包括财务审批制度、预算管理制度、资产管理制度等，并能有效执行。各项费用的开支严格按照制度执行，审批流程规范，不存在违规开支的情况。</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lang w:eastAsia="zh-CN" w:bidi="ar-SA"/>
        </w:rPr>
      </w:pPr>
      <w:r>
        <w:rPr>
          <w:rFonts w:hint="default" w:ascii="Times New Roman" w:hAnsi="Times New Roman" w:eastAsia="方正仿宋_GBK" w:cs="Times New Roman"/>
          <w:sz w:val="32"/>
          <w:szCs w:val="32"/>
          <w:lang w:val="zh-CN" w:eastAsia="zh-CN" w:bidi="ar-SA"/>
        </w:rPr>
        <w:t>财务岗位设置：岗位设置合理，职责分明。</w:t>
      </w:r>
      <w:r>
        <w:rPr>
          <w:rFonts w:hint="default" w:ascii="Times New Roman" w:hAnsi="Times New Roman" w:eastAsia="方正仿宋_GBK" w:cs="Times New Roman"/>
          <w:sz w:val="32"/>
          <w:szCs w:val="32"/>
          <w:lang w:bidi="ar-SA"/>
        </w:rPr>
        <w:t>我会单独设立财务室，配备财务人员2名，会计机构负责人1名。其中：专职会计1名，具有会计专业资格，从事会计工作</w:t>
      </w:r>
      <w:r>
        <w:rPr>
          <w:rFonts w:hint="default" w:ascii="Times New Roman" w:hAnsi="Times New Roman" w:eastAsia="方正仿宋_GBK" w:cs="Times New Roman"/>
          <w:sz w:val="32"/>
          <w:szCs w:val="32"/>
          <w:lang w:val="en-US" w:eastAsia="zh-CN" w:bidi="ar-SA"/>
        </w:rPr>
        <w:t>8</w:t>
      </w:r>
      <w:r>
        <w:rPr>
          <w:rFonts w:hint="default" w:ascii="Times New Roman" w:hAnsi="Times New Roman" w:eastAsia="方正仿宋_GBK" w:cs="Times New Roman"/>
          <w:sz w:val="32"/>
          <w:szCs w:val="32"/>
          <w:lang w:bidi="ar-SA"/>
        </w:rPr>
        <w:t>年；兼职出纳1名，无会计专业资格从事出纳工作不足1年</w:t>
      </w:r>
      <w:r>
        <w:rPr>
          <w:rFonts w:hint="eastAsia" w:ascii="Times New Roman" w:hAnsi="Times New Roman" w:eastAsia="方正仿宋_GBK" w:cs="Times New Roman"/>
          <w:sz w:val="32"/>
          <w:szCs w:val="32"/>
          <w:lang w:eastAsia="zh-CN" w:bidi="ar-SA"/>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val="zh-CN" w:eastAsia="zh-CN" w:bidi="ar-SA"/>
        </w:rPr>
        <w:t>资金使用规范：资金使用符合规定，无违规情况。</w:t>
      </w:r>
      <w:r>
        <w:rPr>
          <w:rFonts w:hint="default" w:ascii="Times New Roman" w:hAnsi="Times New Roman" w:eastAsia="方正仿宋_GBK" w:cs="Times New Roman"/>
          <w:sz w:val="32"/>
          <w:szCs w:val="32"/>
          <w:lang w:bidi="ar-SA"/>
        </w:rPr>
        <w:t>我会按规定建立了会计账册、设置了会计科目，以实际发生的经济业务为依据，依法依规进行会计核算，会计信息真实、合法，账表和账实相符。</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eastAsia" w:ascii="方正仿宋_GBK" w:hAnsi="Times New Roman" w:eastAsia="方正仿宋_GBK" w:cs="方正仿宋_GBK"/>
          <w:b/>
          <w:bCs/>
          <w:sz w:val="32"/>
          <w:szCs w:val="32"/>
          <w:lang w:val="zh-CN" w:eastAsia="zh-CN" w:bidi="ar-SA"/>
        </w:rPr>
      </w:pPr>
      <w:r>
        <w:rPr>
          <w:rFonts w:hint="eastAsia" w:ascii="方正仿宋_GBK" w:hAnsi="Times New Roman" w:eastAsia="方正仿宋_GBK" w:cs="方正仿宋_GBK"/>
          <w:b/>
          <w:bCs/>
          <w:sz w:val="32"/>
          <w:szCs w:val="32"/>
          <w:lang w:val="en-US" w:eastAsia="zh-CN" w:bidi="ar-SA"/>
        </w:rPr>
        <w:t>4.</w:t>
      </w:r>
      <w:r>
        <w:rPr>
          <w:rFonts w:hint="eastAsia" w:ascii="方正仿宋_GBK" w:hAnsi="Times New Roman" w:eastAsia="方正仿宋_GBK" w:cs="方正仿宋_GBK"/>
          <w:b/>
          <w:bCs/>
          <w:sz w:val="32"/>
          <w:szCs w:val="32"/>
          <w:lang w:val="zh-CN" w:eastAsia="zh-CN" w:bidi="ar-SA"/>
        </w:rPr>
        <w:t>资产管理。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zh-CN" w:eastAsia="zh-CN" w:bidi="ar-SA"/>
        </w:rPr>
      </w:pPr>
      <w:r>
        <w:rPr>
          <w:rFonts w:hint="default" w:ascii="Times New Roman" w:hAnsi="Times New Roman" w:eastAsia="方正仿宋_GBK" w:cs="Times New Roman"/>
          <w:sz w:val="32"/>
          <w:szCs w:val="32"/>
          <w:lang w:val="zh-CN" w:eastAsia="zh-CN" w:bidi="ar-SA"/>
        </w:rPr>
        <w:t>人均资产变化率：保持稳定，略有增长。</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zh-CN" w:eastAsia="zh-CN" w:bidi="ar-SA"/>
        </w:rPr>
      </w:pPr>
      <w:r>
        <w:rPr>
          <w:rFonts w:hint="default" w:ascii="Times New Roman" w:hAnsi="Times New Roman" w:eastAsia="方正仿宋_GBK" w:cs="Times New Roman"/>
          <w:sz w:val="32"/>
          <w:szCs w:val="32"/>
          <w:lang w:val="zh-CN" w:eastAsia="zh-CN" w:bidi="ar-SA"/>
        </w:rPr>
        <w:t>资产利用率：资产利用率达到95%，无闲置资产。</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严格国有资产的购置、转让、报废报批报审，资产处置收入足额上缴国库。及时开展财政国有资产管理信息系统数据清查、报送，单位固定资产全部纳入信息系统管理，并按要求及时将资产增减变动情况准确录入信息系统。按要求编制、按时报送年度国有资产报告，做到数据真实、内容完整，通过信息系统提交了年度资产分析报告。加快推进资产管理和预算管理相结合的机制，完善资产配置标准，根据中心需求和存量资产情况编制资产购置预算，未出现超标准配置资产情况。</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eastAsia" w:ascii="方正仿宋_GBK" w:hAnsi="Times New Roman" w:eastAsia="方正仿宋_GBK" w:cs="方正仿宋_GBK"/>
          <w:b/>
          <w:bCs/>
          <w:sz w:val="32"/>
          <w:szCs w:val="32"/>
          <w:lang w:val="zh-CN" w:eastAsia="zh-CN" w:bidi="ar-SA"/>
        </w:rPr>
      </w:pPr>
      <w:r>
        <w:rPr>
          <w:rFonts w:hint="eastAsia" w:ascii="方正仿宋_GBK" w:hAnsi="Times New Roman" w:eastAsia="方正仿宋_GBK" w:cs="方正仿宋_GBK"/>
          <w:b/>
          <w:bCs/>
          <w:sz w:val="32"/>
          <w:szCs w:val="32"/>
          <w:lang w:val="en-US" w:eastAsia="zh-CN" w:bidi="ar-SA"/>
        </w:rPr>
        <w:t>5.</w:t>
      </w:r>
      <w:r>
        <w:rPr>
          <w:rFonts w:hint="eastAsia" w:ascii="方正仿宋_GBK" w:hAnsi="Times New Roman" w:eastAsia="方正仿宋_GBK" w:cs="方正仿宋_GBK"/>
          <w:b/>
          <w:bCs/>
          <w:sz w:val="32"/>
          <w:szCs w:val="32"/>
          <w:lang w:val="zh-CN" w:eastAsia="zh-CN" w:bidi="ar-SA"/>
        </w:rPr>
        <w:t>采购管理。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zh-CN" w:eastAsia="zh-CN" w:bidi="ar-SA"/>
        </w:rPr>
      </w:pPr>
      <w:r>
        <w:rPr>
          <w:rFonts w:hint="default" w:ascii="Times New Roman" w:hAnsi="Times New Roman" w:eastAsia="方正仿宋_GBK" w:cs="Times New Roman"/>
          <w:sz w:val="32"/>
          <w:szCs w:val="32"/>
          <w:lang w:val="zh-CN" w:eastAsia="zh-CN" w:bidi="ar-SA"/>
        </w:rPr>
        <w:t>支持中小企业发展：采购过程中优先考虑中小企业，支持力度大。</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按照《中华人民共和国政府采购法》，列入集中采购目录的项目，根据集中采购目录、采购限额标准和已批复的部门预算编制额度，实施政府采购计划；对于单一采购项目，履行政府采购相关备案手续，组织实施零散采购。本年预算采购计划一个，面向</w:t>
      </w:r>
      <w:r>
        <w:rPr>
          <w:rFonts w:hint="default" w:ascii="Times New Roman" w:hAnsi="Times New Roman" w:eastAsia="方正仿宋_GBK" w:cs="Times New Roman"/>
          <w:sz w:val="32"/>
          <w:szCs w:val="32"/>
          <w:lang w:val="zh-CN" w:eastAsia="zh-CN" w:bidi="ar-SA"/>
        </w:rPr>
        <w:t>中小企业</w:t>
      </w:r>
      <w:r>
        <w:rPr>
          <w:rFonts w:hint="default" w:ascii="Times New Roman" w:hAnsi="Times New Roman" w:eastAsia="方正仿宋_GBK" w:cs="Times New Roman"/>
          <w:sz w:val="32"/>
          <w:szCs w:val="32"/>
          <w:lang w:bidi="ar-SA"/>
        </w:rPr>
        <w:t>办公设备采购经费</w:t>
      </w:r>
      <w:r>
        <w:rPr>
          <w:rFonts w:hint="default" w:ascii="Times New Roman" w:hAnsi="Times New Roman" w:eastAsia="方正仿宋_GBK" w:cs="Times New Roman"/>
          <w:sz w:val="32"/>
          <w:szCs w:val="32"/>
          <w:lang w:val="en-US" w:eastAsia="zh-CN" w:bidi="ar-SA"/>
        </w:rPr>
        <w:t>0.22</w:t>
      </w:r>
      <w:r>
        <w:rPr>
          <w:rFonts w:hint="default" w:ascii="Times New Roman" w:hAnsi="Times New Roman" w:eastAsia="方正仿宋_GBK" w:cs="Times New Roman"/>
          <w:sz w:val="32"/>
          <w:szCs w:val="32"/>
          <w:lang w:bidi="ar-SA"/>
        </w:rPr>
        <w:t>万元，预算执行数为</w:t>
      </w:r>
      <w:r>
        <w:rPr>
          <w:rFonts w:hint="eastAsia" w:ascii="Times New Roman" w:hAnsi="Times New Roman" w:eastAsia="方正仿宋_GBK" w:cs="Times New Roman"/>
          <w:sz w:val="32"/>
          <w:szCs w:val="32"/>
          <w:lang w:val="en-US" w:eastAsia="zh-CN" w:bidi="ar-SA"/>
        </w:rPr>
        <w:t>0.22</w:t>
      </w:r>
      <w:r>
        <w:rPr>
          <w:rFonts w:hint="default" w:ascii="Times New Roman" w:hAnsi="Times New Roman" w:eastAsia="方正仿宋_GBK" w:cs="Times New Roman"/>
          <w:sz w:val="32"/>
          <w:szCs w:val="32"/>
          <w:lang w:bidi="ar-SA"/>
        </w:rPr>
        <w:t>万元，预算执行率为</w:t>
      </w:r>
      <w:r>
        <w:rPr>
          <w:rFonts w:hint="eastAsia" w:ascii="Times New Roman" w:hAnsi="Times New Roman" w:eastAsia="方正仿宋_GBK" w:cs="Times New Roman"/>
          <w:sz w:val="32"/>
          <w:szCs w:val="32"/>
          <w:lang w:val="en-US" w:eastAsia="zh-CN" w:bidi="ar-SA"/>
        </w:rPr>
        <w:t>9.8</w:t>
      </w:r>
      <w:r>
        <w:rPr>
          <w:rFonts w:hint="default" w:ascii="Times New Roman" w:hAnsi="Times New Roman" w:eastAsia="方正仿宋_GBK" w:cs="Times New Roman"/>
          <w:sz w:val="32"/>
          <w:szCs w:val="32"/>
          <w:lang w:bidi="ar-SA"/>
        </w:rPr>
        <w:t>%。</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eastAsia" w:ascii="方正楷体_GBK" w:hAnsi="Times New Roman" w:eastAsia="方正楷体_GBK" w:cs="方正楷体_GBK"/>
          <w:b/>
          <w:bCs/>
          <w:sz w:val="32"/>
          <w:szCs w:val="32"/>
          <w:lang w:val="en-US" w:eastAsia="zh-CN" w:bidi="ar-SA"/>
        </w:rPr>
      </w:pPr>
      <w:r>
        <w:rPr>
          <w:rFonts w:hint="eastAsia" w:ascii="方正楷体_GBK" w:hAnsi="Times New Roman" w:eastAsia="方正楷体_GBK" w:cs="方正楷体_GBK"/>
          <w:b/>
          <w:bCs/>
          <w:sz w:val="32"/>
          <w:szCs w:val="32"/>
          <w:lang w:val="zh-CN" w:eastAsia="zh-CN" w:bidi="ar-SA"/>
        </w:rPr>
        <w:t>（二）部门预算项目绩效分析。</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常年项目绩效分析。该类项目总数</w:t>
      </w:r>
      <w:r>
        <w:rPr>
          <w:rFonts w:hint="default" w:ascii="Times New Roman" w:hAnsi="Times New Roman" w:eastAsia="方正仿宋_GBK" w:cs="Times New Roman"/>
          <w:sz w:val="32"/>
          <w:szCs w:val="32"/>
          <w:lang w:val="en-US" w:eastAsia="zh-CN" w:bidi="ar-SA"/>
        </w:rPr>
        <w:t>10</w:t>
      </w:r>
      <w:r>
        <w:rPr>
          <w:rFonts w:hint="default" w:ascii="Times New Roman" w:hAnsi="Times New Roman" w:eastAsia="方正仿宋_GBK" w:cs="Times New Roman"/>
          <w:sz w:val="32"/>
          <w:szCs w:val="32"/>
          <w:lang w:bidi="ar-SA"/>
        </w:rPr>
        <w:t>个，涉及预算总金额</w:t>
      </w:r>
      <w:r>
        <w:rPr>
          <w:rFonts w:hint="default" w:ascii="Times New Roman" w:hAnsi="Times New Roman" w:eastAsia="方正仿宋_GBK" w:cs="Times New Roman"/>
          <w:sz w:val="32"/>
          <w:szCs w:val="32"/>
          <w:lang w:val="en-US" w:eastAsia="zh-CN" w:bidi="ar-SA"/>
        </w:rPr>
        <w:t>72</w:t>
      </w:r>
      <w:r>
        <w:rPr>
          <w:rFonts w:hint="default" w:ascii="Times New Roman" w:hAnsi="Times New Roman" w:eastAsia="方正仿宋_GBK" w:cs="Times New Roman"/>
          <w:sz w:val="32"/>
          <w:szCs w:val="32"/>
          <w:lang w:bidi="ar-SA"/>
        </w:rPr>
        <w:t>万元，1—12月预算执行总体进度为</w:t>
      </w:r>
      <w:r>
        <w:rPr>
          <w:rFonts w:hint="default" w:ascii="Times New Roman" w:hAnsi="Times New Roman" w:eastAsia="方正仿宋_GBK" w:cs="Times New Roman"/>
          <w:sz w:val="32"/>
          <w:szCs w:val="32"/>
          <w:lang w:val="en-US" w:eastAsia="zh-CN" w:bidi="ar-SA"/>
        </w:rPr>
        <w:t>60.19</w:t>
      </w:r>
      <w:r>
        <w:rPr>
          <w:rFonts w:hint="default" w:ascii="Times New Roman" w:hAnsi="Times New Roman" w:eastAsia="方正仿宋_GBK" w:cs="Times New Roman"/>
          <w:sz w:val="32"/>
          <w:szCs w:val="32"/>
          <w:lang w:bidi="ar-SA"/>
        </w:rPr>
        <w:t>%，其中：预算结余率大于10%的项目共计</w:t>
      </w:r>
      <w:r>
        <w:rPr>
          <w:rFonts w:hint="default" w:ascii="Times New Roman" w:hAnsi="Times New Roman" w:eastAsia="方正仿宋_GBK" w:cs="Times New Roman"/>
          <w:sz w:val="32"/>
          <w:szCs w:val="32"/>
          <w:lang w:val="en-US" w:eastAsia="zh-CN" w:bidi="ar-SA"/>
        </w:rPr>
        <w:t>2</w:t>
      </w:r>
      <w:r>
        <w:rPr>
          <w:rFonts w:hint="default" w:ascii="Times New Roman" w:hAnsi="Times New Roman" w:eastAsia="方正仿宋_GBK" w:cs="Times New Roman"/>
          <w:sz w:val="32"/>
          <w:szCs w:val="32"/>
          <w:lang w:bidi="ar-SA"/>
        </w:rPr>
        <w:t>个。</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阶段（一次性）项目绩效分析。该类项目总数</w:t>
      </w:r>
      <w:r>
        <w:rPr>
          <w:rFonts w:hint="default" w:ascii="Times New Roman" w:hAnsi="Times New Roman" w:eastAsia="方正仿宋_GBK" w:cs="Times New Roman"/>
          <w:sz w:val="32"/>
          <w:szCs w:val="32"/>
          <w:lang w:val="en-US" w:eastAsia="zh-CN" w:bidi="ar-SA"/>
        </w:rPr>
        <w:t>2</w:t>
      </w:r>
      <w:r>
        <w:rPr>
          <w:rFonts w:hint="default" w:ascii="Times New Roman" w:hAnsi="Times New Roman" w:eastAsia="方正仿宋_GBK" w:cs="Times New Roman"/>
          <w:sz w:val="32"/>
          <w:szCs w:val="32"/>
          <w:lang w:bidi="ar-SA"/>
        </w:rPr>
        <w:t>个，涉及预算总金额</w:t>
      </w:r>
      <w:r>
        <w:rPr>
          <w:rFonts w:hint="default" w:ascii="Times New Roman" w:hAnsi="Times New Roman" w:eastAsia="方正仿宋_GBK" w:cs="Times New Roman"/>
          <w:sz w:val="32"/>
          <w:szCs w:val="32"/>
          <w:lang w:val="en-US" w:eastAsia="zh-CN" w:bidi="ar-SA"/>
        </w:rPr>
        <w:t>2.86</w:t>
      </w:r>
      <w:r>
        <w:rPr>
          <w:rFonts w:hint="default" w:ascii="Times New Roman" w:hAnsi="Times New Roman" w:eastAsia="方正仿宋_GBK" w:cs="Times New Roman"/>
          <w:sz w:val="32"/>
          <w:szCs w:val="32"/>
          <w:lang w:bidi="ar-SA"/>
        </w:rPr>
        <w:t>万元，1—12月预算执行总体进度为</w:t>
      </w:r>
      <w:r>
        <w:rPr>
          <w:rFonts w:hint="default" w:ascii="Times New Roman" w:hAnsi="Times New Roman" w:eastAsia="方正仿宋_GBK" w:cs="Times New Roman"/>
          <w:sz w:val="32"/>
          <w:szCs w:val="32"/>
          <w:lang w:val="en-US" w:eastAsia="zh-CN" w:bidi="ar-SA"/>
        </w:rPr>
        <w:t>29.72</w:t>
      </w:r>
      <w:r>
        <w:rPr>
          <w:rFonts w:hint="default" w:ascii="Times New Roman" w:hAnsi="Times New Roman" w:eastAsia="方正仿宋_GBK" w:cs="Times New Roman"/>
          <w:sz w:val="32"/>
          <w:szCs w:val="32"/>
          <w:lang w:bidi="ar-SA"/>
        </w:rPr>
        <w:t>%，其中：预算结余率大于10%的项目共计</w:t>
      </w:r>
      <w:r>
        <w:rPr>
          <w:rFonts w:hint="default" w:ascii="Times New Roman" w:hAnsi="Times New Roman" w:eastAsia="方正仿宋_GBK" w:cs="Times New Roman"/>
          <w:sz w:val="32"/>
          <w:szCs w:val="32"/>
          <w:lang w:val="en-US" w:eastAsia="zh-CN" w:bidi="ar-SA"/>
        </w:rPr>
        <w:t>1</w:t>
      </w:r>
      <w:r>
        <w:rPr>
          <w:rFonts w:hint="default" w:ascii="Times New Roman" w:hAnsi="Times New Roman" w:eastAsia="方正仿宋_GBK" w:cs="Times New Roman"/>
          <w:sz w:val="32"/>
          <w:szCs w:val="32"/>
          <w:lang w:bidi="ar-SA"/>
        </w:rPr>
        <w:t>个。</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eastAsia" w:ascii="方正仿宋_GBK" w:hAnsi="Times New Roman" w:eastAsia="方正仿宋_GBK" w:cs="方正仿宋_GBK"/>
          <w:b/>
          <w:bCs/>
          <w:sz w:val="32"/>
          <w:szCs w:val="32"/>
          <w:lang w:val="en-US" w:eastAsia="zh-CN" w:bidi="ar-SA"/>
        </w:rPr>
      </w:pPr>
      <w:r>
        <w:rPr>
          <w:rFonts w:hint="eastAsia" w:ascii="方正仿宋_GBK" w:hAnsi="Times New Roman" w:eastAsia="方正仿宋_GBK" w:cs="方正仿宋_GBK"/>
          <w:b/>
          <w:bCs/>
          <w:sz w:val="32"/>
          <w:szCs w:val="32"/>
          <w:lang w:val="en-US" w:eastAsia="zh-CN" w:bidi="ar-SA"/>
        </w:rPr>
        <w:t>1.项目决策。</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zh-CN" w:eastAsia="zh-CN" w:bidi="ar-SA"/>
        </w:rPr>
      </w:pPr>
      <w:r>
        <w:rPr>
          <w:rFonts w:hint="default" w:ascii="Times New Roman" w:hAnsi="Times New Roman" w:eastAsia="方正仿宋_GBK" w:cs="Times New Roman"/>
          <w:sz w:val="32"/>
          <w:szCs w:val="32"/>
          <w:lang w:val="zh-CN" w:eastAsia="zh-CN" w:bidi="ar-SA"/>
        </w:rPr>
        <w:t>决策程序：严格按照程序决策，程序合规。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zh-CN" w:eastAsia="zh-CN" w:bidi="ar-SA"/>
        </w:rPr>
      </w:pPr>
      <w:r>
        <w:rPr>
          <w:rFonts w:hint="default" w:ascii="Times New Roman" w:hAnsi="Times New Roman" w:eastAsia="方正仿宋_GBK" w:cs="Times New Roman"/>
          <w:sz w:val="32"/>
          <w:szCs w:val="32"/>
          <w:lang w:val="zh-CN" w:eastAsia="zh-CN" w:bidi="ar-SA"/>
        </w:rPr>
        <w:t>目标设置：目标明确，符合实际需求。</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zh-CN" w:eastAsia="zh-CN" w:bidi="ar-SA"/>
        </w:rPr>
      </w:pPr>
      <w:r>
        <w:rPr>
          <w:rFonts w:hint="default" w:ascii="Times New Roman" w:hAnsi="Times New Roman" w:eastAsia="方正仿宋_GBK" w:cs="Times New Roman"/>
          <w:sz w:val="32"/>
          <w:szCs w:val="32"/>
          <w:lang w:val="zh-CN" w:eastAsia="zh-CN" w:bidi="ar-SA"/>
        </w:rPr>
        <w:t>项目入库：项目入库管理规范，信息齐全。</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eastAsia" w:ascii="方正仿宋_GBK" w:hAnsi="Times New Roman" w:eastAsia="方正仿宋_GBK" w:cs="方正仿宋_GBK"/>
          <w:b/>
          <w:bCs/>
          <w:sz w:val="32"/>
          <w:szCs w:val="32"/>
          <w:lang w:val="en-US" w:eastAsia="zh-CN" w:bidi="ar-SA"/>
        </w:rPr>
      </w:pPr>
      <w:r>
        <w:rPr>
          <w:rFonts w:hint="eastAsia" w:ascii="方正仿宋_GBK" w:hAnsi="Times New Roman" w:eastAsia="方正仿宋_GBK" w:cs="方正仿宋_GBK"/>
          <w:b/>
          <w:bCs/>
          <w:sz w:val="32"/>
          <w:szCs w:val="32"/>
          <w:lang w:val="en-US" w:eastAsia="zh-CN" w:bidi="ar-SA"/>
        </w:rPr>
        <w:t>2.项目执行。</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zh-CN" w:eastAsia="zh-CN" w:bidi="ar-SA"/>
        </w:rPr>
      </w:pPr>
      <w:r>
        <w:rPr>
          <w:rFonts w:hint="default" w:ascii="Times New Roman" w:hAnsi="Times New Roman" w:eastAsia="方正仿宋_GBK" w:cs="Times New Roman"/>
          <w:sz w:val="32"/>
          <w:szCs w:val="32"/>
          <w:lang w:val="zh-CN" w:eastAsia="zh-CN" w:bidi="ar-SA"/>
        </w:rPr>
        <w:t>资金执行同向：资金执行与项目进度一致，无资金挪用。</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zh-CN" w:eastAsia="zh-CN" w:bidi="ar-SA"/>
        </w:rPr>
      </w:pPr>
      <w:r>
        <w:rPr>
          <w:rFonts w:hint="default" w:ascii="Times New Roman" w:hAnsi="Times New Roman" w:eastAsia="方正仿宋_GBK" w:cs="Times New Roman"/>
          <w:sz w:val="32"/>
          <w:szCs w:val="32"/>
          <w:lang w:val="zh-CN" w:eastAsia="zh-CN" w:bidi="ar-SA"/>
        </w:rPr>
        <w:t>项目调整：项目调整及时，调整程序合规。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zh-CN" w:eastAsia="zh-CN" w:bidi="ar-SA"/>
        </w:rPr>
      </w:pPr>
      <w:r>
        <w:rPr>
          <w:rFonts w:hint="default" w:ascii="Times New Roman" w:hAnsi="Times New Roman" w:eastAsia="方正仿宋_GBK" w:cs="Times New Roman"/>
          <w:sz w:val="32"/>
          <w:szCs w:val="32"/>
          <w:lang w:val="zh-CN" w:eastAsia="zh-CN" w:bidi="ar-SA"/>
        </w:rPr>
        <w:t>执行结果：执行结果良好，项目按期完成。</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eastAsia" w:ascii="方正仿宋_GBK" w:hAnsi="Times New Roman" w:eastAsia="方正仿宋_GBK" w:cs="方正仿宋_GBK"/>
          <w:b/>
          <w:bCs/>
          <w:sz w:val="32"/>
          <w:szCs w:val="32"/>
          <w:lang w:val="en-US" w:eastAsia="zh-CN" w:bidi="ar-SA"/>
        </w:rPr>
      </w:pPr>
      <w:r>
        <w:rPr>
          <w:rFonts w:hint="eastAsia" w:ascii="方正仿宋_GBK" w:hAnsi="Times New Roman" w:eastAsia="方正仿宋_GBK" w:cs="方正仿宋_GBK"/>
          <w:b/>
          <w:bCs/>
          <w:sz w:val="32"/>
          <w:szCs w:val="32"/>
          <w:lang w:val="en-US" w:eastAsia="zh-CN" w:bidi="ar-SA"/>
        </w:rPr>
        <w:t>3.目标实现。</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zh-CN" w:eastAsia="zh-CN" w:bidi="ar-SA"/>
        </w:rPr>
      </w:pPr>
      <w:r>
        <w:rPr>
          <w:rFonts w:hint="default" w:ascii="Times New Roman" w:hAnsi="Times New Roman" w:eastAsia="方正仿宋_GBK" w:cs="Times New Roman"/>
          <w:sz w:val="32"/>
          <w:szCs w:val="32"/>
          <w:lang w:val="zh-CN" w:eastAsia="zh-CN" w:bidi="ar-SA"/>
        </w:rPr>
        <w:t>目标完成：各项目目标均按计划完成。</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zh-CN" w:eastAsia="zh-CN" w:bidi="ar-SA"/>
        </w:rPr>
      </w:pPr>
      <w:r>
        <w:rPr>
          <w:rFonts w:hint="default" w:ascii="Times New Roman" w:hAnsi="Times New Roman" w:eastAsia="方正仿宋_GBK" w:cs="Times New Roman"/>
          <w:sz w:val="32"/>
          <w:szCs w:val="32"/>
          <w:lang w:val="zh-CN" w:eastAsia="zh-CN" w:bidi="ar-SA"/>
        </w:rPr>
        <w:t>目标偏离：目标偏离度低，实际效果符合预期。</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val="zh-CN" w:eastAsia="zh-CN" w:bidi="ar-SA"/>
        </w:rPr>
        <w:t>实现效果：项目实现效果显著，社会效益良好。</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州级部门202</w:t>
      </w:r>
      <w:r>
        <w:rPr>
          <w:rFonts w:hint="default" w:ascii="Times New Roman" w:hAnsi="Times New Roman" w:eastAsia="方正仿宋_GBK" w:cs="Times New Roman"/>
          <w:sz w:val="32"/>
          <w:szCs w:val="32"/>
          <w:lang w:val="en-US" w:eastAsia="zh-CN" w:bidi="ar-SA"/>
        </w:rPr>
        <w:t>5</w:t>
      </w:r>
      <w:r>
        <w:rPr>
          <w:rFonts w:hint="default" w:ascii="Times New Roman" w:hAnsi="Times New Roman" w:eastAsia="方正仿宋_GBK" w:cs="Times New Roman"/>
          <w:sz w:val="32"/>
          <w:szCs w:val="32"/>
          <w:lang w:bidi="ar-SA"/>
        </w:rPr>
        <w:t>年度若涉及国有资本经营预算、社会保险基金预算的，应在部门预算绩效自评报告中对完成情况进行梳理阐述。国有资本经营预算绩效自评重点关注企业的运营质量、行业水平等情况；社会保险基金预算绩效自评重点关注基金可持续性、区域安全性等情况。</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eastAsia" w:ascii="方正楷体_GBK" w:hAnsi="Times New Roman" w:eastAsia="方正楷体_GBK" w:cs="方正楷体_GBK"/>
          <w:b/>
          <w:bCs/>
          <w:sz w:val="32"/>
          <w:szCs w:val="32"/>
          <w:lang w:val="zh-CN" w:eastAsia="zh-CN" w:bidi="ar-SA"/>
        </w:rPr>
      </w:pPr>
      <w:r>
        <w:rPr>
          <w:rFonts w:hint="eastAsia" w:ascii="方正楷体_GBK" w:hAnsi="Times New Roman" w:eastAsia="方正楷体_GBK" w:cs="方正楷体_GBK"/>
          <w:b/>
          <w:bCs/>
          <w:sz w:val="32"/>
          <w:szCs w:val="32"/>
          <w:lang w:val="zh-CN" w:eastAsia="zh-CN" w:bidi="ar-SA"/>
        </w:rPr>
        <w:t>（三）重点领域绩效分析。</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bidi="ar-SA"/>
        </w:rPr>
      </w:pPr>
      <w:r>
        <w:rPr>
          <w:rFonts w:hint="default" w:ascii="Times New Roman" w:hAnsi="Times New Roman" w:eastAsia="方正仿宋_GBK" w:cs="Times New Roman"/>
          <w:sz w:val="32"/>
          <w:szCs w:val="32"/>
          <w:lang w:val="en-US" w:eastAsia="zh-CN" w:bidi="ar-SA"/>
        </w:rPr>
        <w:t>扎实推进“万家民营企业评营商环境”以评促改工作，开展营商环境专题调研，推动《阿坝州进一步优化营商环境更好服务市场主体七条措施》等政策措施落实落地。召开专题调研座谈会，收集意见建议42条，及时协调解决。积极搭建服务经济发展平台，组织30余家民营企业参加中亚商品贸易博览会、西博会等大型展会10场次，先后16次组织企业参加哈萨克斯坦、乌兹别克斯坦等出国境随团活动，推荐5家民营企业代表四川省藏区参加澳门国际贸易投资展览会，协同举办阿坝州项目投资推介会，召开阿坝州优化营商环境暨首届阿商大会。搭建非金属矿合作平台，推动四川省矿业商会赴小金、马尔康等6县开展调研。发布7期惠企政策汇编，推送中央、省、州惠企政策40篇，收集40余篇社情民意信息、2篇党外人士建言献策，组织召开政企座谈会30余场次，积极反应民营企业心声。推动落实“三张清单”，推动构建亲清政商关系。联合州律师协会召开“律企携手·以法赋能优环境”专题座谈会，指导各县（市）工商联开展“民法典宣传月”“宪法宣传周”等活动，指导3家商会组织开展枫桥式商会建设，筛选8家企业列入现代企业管理制度培育培育目录。开展法律进企业活动13场次，举办银企对接会4场。选树推荐</w:t>
      </w:r>
      <w:r>
        <w:rPr>
          <w:rFonts w:hint="default" w:ascii="Times New Roman" w:hAnsi="Times New Roman" w:eastAsia="方正仿宋_GBK" w:cs="Times New Roman"/>
          <w:sz w:val="32"/>
          <w:szCs w:val="32"/>
          <w:lang w:bidi="ar-SA"/>
        </w:rPr>
        <w:t>民营企业运行情况</w:t>
      </w:r>
      <w:r>
        <w:rPr>
          <w:rFonts w:hint="default" w:ascii="Times New Roman" w:hAnsi="Times New Roman" w:eastAsia="方正仿宋_GBK" w:cs="Times New Roman"/>
          <w:sz w:val="32"/>
          <w:szCs w:val="32"/>
          <w:lang w:val="en-US" w:eastAsia="zh-CN" w:bidi="ar-SA"/>
        </w:rPr>
        <w:t>调查优秀案例1个，投身“万企兴万村”行动和助力乡村振兴模范和典型人物23人，推广16名民营经济人士积极投入光彩事业典型事例。</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202</w:t>
      </w:r>
      <w:r>
        <w:rPr>
          <w:rFonts w:hint="default" w:ascii="Times New Roman" w:hAnsi="Times New Roman" w:eastAsia="方正仿宋_GBK" w:cs="Times New Roman"/>
          <w:sz w:val="32"/>
          <w:szCs w:val="32"/>
          <w:lang w:val="en-US" w:eastAsia="zh-CN" w:bidi="ar-SA"/>
        </w:rPr>
        <w:t>5</w:t>
      </w:r>
      <w:r>
        <w:rPr>
          <w:rFonts w:hint="default" w:ascii="Times New Roman" w:hAnsi="Times New Roman" w:eastAsia="方正仿宋_GBK" w:cs="Times New Roman"/>
          <w:sz w:val="32"/>
          <w:szCs w:val="32"/>
          <w:lang w:bidi="ar-SA"/>
        </w:rPr>
        <w:t>年面向</w:t>
      </w:r>
      <w:r>
        <w:rPr>
          <w:rFonts w:hint="default" w:ascii="Times New Roman" w:hAnsi="Times New Roman" w:eastAsia="方正仿宋_GBK" w:cs="Times New Roman"/>
          <w:sz w:val="32"/>
          <w:szCs w:val="32"/>
          <w:lang w:val="zh-CN" w:eastAsia="zh-CN" w:bidi="ar-SA"/>
        </w:rPr>
        <w:t>中小企业</w:t>
      </w:r>
      <w:r>
        <w:rPr>
          <w:rFonts w:hint="default" w:ascii="Times New Roman" w:hAnsi="Times New Roman" w:eastAsia="方正仿宋_GBK" w:cs="Times New Roman"/>
          <w:sz w:val="32"/>
          <w:szCs w:val="32"/>
          <w:lang w:bidi="ar-SA"/>
        </w:rPr>
        <w:t>办公设备采购经费</w:t>
      </w:r>
      <w:r>
        <w:rPr>
          <w:rFonts w:hint="default" w:ascii="Times New Roman" w:hAnsi="Times New Roman" w:eastAsia="方正仿宋_GBK" w:cs="Times New Roman"/>
          <w:sz w:val="32"/>
          <w:szCs w:val="32"/>
          <w:lang w:val="en-US" w:eastAsia="zh-CN" w:bidi="ar-SA"/>
        </w:rPr>
        <w:t>0.22</w:t>
      </w:r>
      <w:r>
        <w:rPr>
          <w:rFonts w:hint="default" w:ascii="Times New Roman" w:hAnsi="Times New Roman" w:eastAsia="方正仿宋_GBK" w:cs="Times New Roman"/>
          <w:sz w:val="32"/>
          <w:szCs w:val="32"/>
          <w:lang w:bidi="ar-SA"/>
        </w:rPr>
        <w:t>万元，预算执行数为</w:t>
      </w:r>
      <w:r>
        <w:rPr>
          <w:rFonts w:hint="default" w:ascii="Times New Roman" w:hAnsi="Times New Roman" w:eastAsia="方正仿宋_GBK" w:cs="Times New Roman"/>
          <w:sz w:val="32"/>
          <w:szCs w:val="32"/>
          <w:lang w:val="en-US" w:eastAsia="zh-CN" w:bidi="ar-SA"/>
        </w:rPr>
        <w:t>0.22</w:t>
      </w:r>
      <w:r>
        <w:rPr>
          <w:rFonts w:hint="default" w:ascii="Times New Roman" w:hAnsi="Times New Roman" w:eastAsia="方正仿宋_GBK" w:cs="Times New Roman"/>
          <w:sz w:val="32"/>
          <w:szCs w:val="32"/>
          <w:lang w:bidi="ar-SA"/>
        </w:rPr>
        <w:t>万元，预算执行率为100%。</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eastAsia" w:ascii="方正楷体_GBK" w:hAnsi="Times New Roman" w:eastAsia="方正楷体_GBK" w:cs="方正楷体_GBK"/>
          <w:b/>
          <w:bCs/>
          <w:sz w:val="32"/>
          <w:szCs w:val="32"/>
          <w:lang w:val="zh-CN" w:eastAsia="zh-CN" w:bidi="ar-SA"/>
        </w:rPr>
      </w:pPr>
      <w:r>
        <w:rPr>
          <w:rFonts w:hint="eastAsia" w:ascii="方正楷体_GBK" w:hAnsi="Times New Roman" w:eastAsia="方正楷体_GBK" w:cs="方正楷体_GBK"/>
          <w:b/>
          <w:bCs/>
          <w:sz w:val="32"/>
          <w:szCs w:val="32"/>
          <w:lang w:val="zh-CN" w:eastAsia="zh-CN" w:bidi="ar-SA"/>
        </w:rPr>
        <w:t>（四）绩效结果应用情况。</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zh-CN" w:eastAsia="zh-CN" w:bidi="ar-SA"/>
        </w:rPr>
      </w:pPr>
      <w:r>
        <w:rPr>
          <w:rFonts w:hint="default" w:ascii="Times New Roman" w:hAnsi="Times New Roman" w:eastAsia="方正仿宋_GBK" w:cs="Times New Roman"/>
          <w:sz w:val="32"/>
          <w:szCs w:val="32"/>
          <w:lang w:val="zh-CN" w:eastAsia="zh-CN" w:bidi="ar-SA"/>
        </w:rPr>
        <w:t>内部应用情况：绩效结果用于改进内部管理，提高工作效率。</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zh-CN" w:eastAsia="zh-CN" w:bidi="ar-SA"/>
        </w:rPr>
      </w:pPr>
      <w:r>
        <w:rPr>
          <w:rFonts w:hint="default" w:ascii="Times New Roman" w:hAnsi="Times New Roman" w:eastAsia="方正仿宋_GBK" w:cs="Times New Roman"/>
          <w:sz w:val="32"/>
          <w:szCs w:val="32"/>
          <w:lang w:val="zh-CN" w:eastAsia="zh-CN" w:bidi="ar-SA"/>
        </w:rPr>
        <w:t>信息公开情况：定期向社会公布绩效评价结果，增强透明度。</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val="zh-CN" w:eastAsia="zh-CN" w:bidi="ar-SA"/>
        </w:rPr>
        <w:t>整改反馈情况：根据绩效评价结果，及时进行整改，反馈机制完善。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方正黑体_GBK" w:hAnsi="Times New Roman" w:eastAsia="方正黑体_GBK" w:cs="方正黑体_GBK"/>
          <w:sz w:val="32"/>
          <w:szCs w:val="32"/>
          <w:lang w:bidi="ar-SA"/>
        </w:rPr>
      </w:pPr>
      <w:r>
        <w:rPr>
          <w:rFonts w:hint="eastAsia" w:ascii="方正黑体_GBK" w:hAnsi="Times New Roman" w:eastAsia="方正黑体_GBK" w:cs="方正黑体_GBK"/>
          <w:sz w:val="32"/>
          <w:szCs w:val="32"/>
          <w:lang w:bidi="ar-SA"/>
        </w:rPr>
        <w:t>四、评价结论及建议</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eastAsia" w:ascii="方正楷体_GBK" w:hAnsi="Times New Roman" w:eastAsia="方正楷体_GBK" w:cs="方正楷体_GBK"/>
          <w:b/>
          <w:bCs/>
          <w:sz w:val="32"/>
          <w:szCs w:val="32"/>
          <w:lang w:bidi="ar-SA"/>
        </w:rPr>
      </w:pPr>
      <w:r>
        <w:rPr>
          <w:rFonts w:hint="eastAsia" w:ascii="方正楷体_GBK" w:hAnsi="Times New Roman" w:eastAsia="方正楷体_GBK" w:cs="方正楷体_GBK"/>
          <w:b/>
          <w:bCs/>
          <w:sz w:val="32"/>
          <w:szCs w:val="32"/>
          <w:lang w:bidi="ar-SA"/>
        </w:rPr>
        <w:t>（一）评价结论。</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202</w:t>
      </w:r>
      <w:r>
        <w:rPr>
          <w:rFonts w:hint="default" w:ascii="Times New Roman" w:hAnsi="Times New Roman" w:eastAsia="方正仿宋_GBK" w:cs="Times New Roman"/>
          <w:sz w:val="32"/>
          <w:szCs w:val="32"/>
          <w:lang w:val="en-US" w:eastAsia="zh-CN" w:bidi="ar-SA"/>
        </w:rPr>
        <w:t>5</w:t>
      </w:r>
      <w:r>
        <w:rPr>
          <w:rFonts w:hint="default" w:ascii="Times New Roman" w:hAnsi="Times New Roman" w:eastAsia="方正仿宋_GBK" w:cs="Times New Roman"/>
          <w:sz w:val="32"/>
          <w:szCs w:val="32"/>
          <w:lang w:bidi="ar-SA"/>
        </w:rPr>
        <w:t>年我会大力加强部门预算管理，努力提高财政资金使用效益，取得了较好的成绩，部门支出绩效评价自评得分</w:t>
      </w:r>
      <w:r>
        <w:rPr>
          <w:rFonts w:hint="default" w:ascii="Times New Roman" w:hAnsi="Times New Roman" w:eastAsia="方正仿宋_GBK" w:cs="Times New Roman"/>
          <w:sz w:val="32"/>
          <w:szCs w:val="32"/>
          <w:lang w:val="en-US" w:eastAsia="zh-CN" w:bidi="ar-SA"/>
        </w:rPr>
        <w:t>90.7</w:t>
      </w:r>
      <w:r>
        <w:rPr>
          <w:rFonts w:hint="default" w:ascii="Times New Roman" w:hAnsi="Times New Roman" w:eastAsia="方正仿宋_GBK" w:cs="Times New Roman"/>
          <w:sz w:val="32"/>
          <w:szCs w:val="32"/>
          <w:lang w:bidi="ar-SA"/>
        </w:rPr>
        <w:t>分。主要表现在：及时、准确、优质地完成预算编制；支出管理规范，资金管理制度较为完善，会计核算和账务处理规范，会计资料完整；预算执行情况良好，项目资金合理使用；取得了显著的经济、社会效益，圆满完成了州委、州政府下达的目标任务。</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Times New Roman" w:hAnsi="Times New Roman" w:eastAsia="仿宋_GB2312" w:cs="Times New Roman"/>
          <w:sz w:val="32"/>
          <w:szCs w:val="32"/>
        </w:rPr>
      </w:pPr>
      <w:r>
        <w:rPr>
          <w:rFonts w:hint="default" w:ascii="Times New Roman" w:hAnsi="Times New Roman" w:eastAsia="方正仿宋_GBK" w:cs="Times New Roman"/>
          <w:sz w:val="32"/>
          <w:szCs w:val="32"/>
          <w:lang w:bidi="ar-SA"/>
        </w:rPr>
        <w:t>1.预算编制准确，按时完成预算基础库及项目库的报送和预算草案的提交；2.对项目经费进行绩效目标编制，做到绩效目标与实际需求相吻合；3.部门预算按财政要求进行挂网公开；4.项目实施规划符合实际工作要求，资金按项目设立科目范围使用，实施进度明确、规范；5.财务管理制度健全、管理规范，会计人员岗位按职责分设，财务印鉴按要求保管，各司其职、各负其责，会计核算较规范、资金专款专用、资金支付依据和开支标准符合规定和要求。6.部门决算做到帐表一致，未出现应编未编、错误列编、虚假混编等现象，并按要求公开决算。</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eastAsia" w:ascii="方正楷体_GBK" w:hAnsi="Times New Roman" w:eastAsia="方正楷体_GBK" w:cs="方正楷体_GBK"/>
          <w:b/>
          <w:bCs/>
          <w:sz w:val="32"/>
          <w:szCs w:val="32"/>
          <w:lang w:bidi="ar-SA"/>
        </w:rPr>
      </w:pPr>
      <w:r>
        <w:rPr>
          <w:rFonts w:hint="eastAsia" w:ascii="方正楷体_GBK" w:hAnsi="Times New Roman" w:eastAsia="方正楷体_GBK" w:cs="方正楷体_GBK"/>
          <w:b/>
          <w:bCs/>
          <w:sz w:val="32"/>
          <w:szCs w:val="32"/>
          <w:lang w:bidi="ar-SA"/>
        </w:rPr>
        <w:t>（二）存在问题和措施。</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问题:1.整体预算编制缺乏长远考虑，项目预算编制前瞻性欠缺；2</w:t>
      </w:r>
      <w:r>
        <w:rPr>
          <w:rFonts w:hint="default" w:ascii="Times New Roman" w:hAnsi="Times New Roman" w:eastAsia="方正仿宋_GBK" w:cs="Times New Roman"/>
          <w:sz w:val="32"/>
          <w:szCs w:val="32"/>
          <w:lang w:val="zh-CN" w:eastAsia="zh-CN" w:bidi="ar-SA"/>
        </w:rPr>
        <w:t>.财务人员综合素质需大力提升。</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措施:</w:t>
      </w:r>
      <w:r>
        <w:rPr>
          <w:rFonts w:hint="default" w:ascii="Times New Roman" w:hAnsi="Times New Roman" w:eastAsia="方正仿宋_GBK" w:cs="Times New Roman"/>
          <w:sz w:val="32"/>
          <w:szCs w:val="32"/>
          <w:lang w:val="zh-CN" w:eastAsia="zh-CN" w:bidi="ar-SA"/>
        </w:rPr>
        <w:t>继续深化部门预算改革，建立部门预算项目储备、预算执行考核、预算执行动态监控三项机制；加强监督检查力度，确保</w:t>
      </w:r>
      <w:r>
        <w:rPr>
          <w:rFonts w:hint="default" w:ascii="Times New Roman" w:hAnsi="Times New Roman" w:eastAsia="方正仿宋_GBK" w:cs="Times New Roman"/>
          <w:sz w:val="32"/>
          <w:szCs w:val="32"/>
          <w:lang w:bidi="ar-SA"/>
        </w:rPr>
        <w:t>预算</w:t>
      </w:r>
      <w:r>
        <w:rPr>
          <w:rFonts w:hint="default" w:ascii="Times New Roman" w:hAnsi="Times New Roman" w:eastAsia="方正仿宋_GBK" w:cs="Times New Roman"/>
          <w:sz w:val="32"/>
          <w:szCs w:val="32"/>
          <w:lang w:val="zh-CN" w:eastAsia="zh-CN" w:bidi="ar-SA"/>
        </w:rPr>
        <w:t>资金规范安全运行；</w:t>
      </w:r>
      <w:r>
        <w:rPr>
          <w:rFonts w:hint="default" w:ascii="Times New Roman" w:hAnsi="Times New Roman" w:eastAsia="方正仿宋_GBK" w:cs="Times New Roman"/>
          <w:sz w:val="32"/>
          <w:szCs w:val="32"/>
          <w:lang w:bidi="ar-SA"/>
        </w:rPr>
        <w:t>下半年需加快进一步合理安排项目资金使用进度</w:t>
      </w:r>
      <w:r>
        <w:rPr>
          <w:rFonts w:hint="default" w:ascii="Times New Roman" w:hAnsi="Times New Roman" w:eastAsia="方正仿宋_GBK" w:cs="Times New Roman"/>
          <w:sz w:val="32"/>
          <w:szCs w:val="32"/>
          <w:lang w:val="zh-CN" w:eastAsia="zh-CN" w:bidi="ar-SA"/>
        </w:rPr>
        <w:t>；着力完善</w:t>
      </w:r>
      <w:r>
        <w:rPr>
          <w:rFonts w:hint="default" w:ascii="Times New Roman" w:hAnsi="Times New Roman" w:eastAsia="方正仿宋_GBK" w:cs="Times New Roman"/>
          <w:sz w:val="32"/>
          <w:szCs w:val="32"/>
          <w:lang w:bidi="ar-SA"/>
        </w:rPr>
        <w:t>项目资金绩效评价</w:t>
      </w:r>
      <w:r>
        <w:rPr>
          <w:rFonts w:hint="default" w:ascii="Times New Roman" w:hAnsi="Times New Roman" w:eastAsia="方正仿宋_GBK" w:cs="Times New Roman"/>
          <w:sz w:val="32"/>
          <w:szCs w:val="32"/>
          <w:lang w:val="zh-CN" w:eastAsia="zh-CN" w:bidi="ar-SA"/>
        </w:rPr>
        <w:t>机制，</w:t>
      </w:r>
      <w:r>
        <w:rPr>
          <w:rFonts w:hint="default" w:ascii="Times New Roman" w:hAnsi="Times New Roman" w:eastAsia="方正仿宋_GBK" w:cs="Times New Roman"/>
          <w:sz w:val="32"/>
          <w:szCs w:val="32"/>
          <w:lang w:bidi="ar-SA"/>
        </w:rPr>
        <w:t>加强财务人员业务培训，进一步提高业务能力</w:t>
      </w:r>
      <w:r>
        <w:rPr>
          <w:rFonts w:hint="default" w:ascii="Times New Roman" w:hAnsi="Times New Roman" w:eastAsia="方正仿宋_GBK" w:cs="Times New Roman"/>
          <w:sz w:val="32"/>
          <w:szCs w:val="32"/>
          <w:lang w:val="zh-CN" w:eastAsia="zh-CN" w:bidi="ar-SA"/>
        </w:rPr>
        <w:t>。</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eastAsia" w:ascii="方正楷体_GBK" w:hAnsi="Times New Roman" w:eastAsia="方正楷体_GBK" w:cs="方正楷体_GBK"/>
          <w:b/>
          <w:bCs/>
          <w:sz w:val="32"/>
          <w:szCs w:val="32"/>
          <w:lang w:val="zh-CN" w:eastAsia="zh-CN" w:bidi="ar-SA"/>
        </w:rPr>
      </w:pPr>
      <w:r>
        <w:rPr>
          <w:rFonts w:hint="eastAsia" w:ascii="方正楷体_GBK" w:hAnsi="Times New Roman" w:eastAsia="方正楷体_GBK" w:cs="方正楷体_GBK"/>
          <w:b/>
          <w:bCs/>
          <w:sz w:val="32"/>
          <w:szCs w:val="32"/>
          <w:lang w:bidi="ar-SA"/>
        </w:rPr>
        <w:t>（三）改进建议。</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Times New Roman" w:hAnsi="Times New Roman" w:eastAsia="仿宋_GB2312" w:cs="Times New Roman"/>
          <w:sz w:val="32"/>
          <w:szCs w:val="32"/>
          <w:lang w:val="en-US" w:eastAsia="zh-CN"/>
        </w:rPr>
      </w:pPr>
      <w:r>
        <w:rPr>
          <w:rFonts w:hint="default" w:ascii="Times New Roman" w:hAnsi="Times New Roman" w:eastAsia="方正仿宋_GBK" w:cs="Times New Roman"/>
          <w:sz w:val="32"/>
          <w:szCs w:val="32"/>
          <w:lang w:val="zh-CN" w:eastAsia="zh-CN" w:bidi="ar-SA"/>
        </w:rPr>
        <w:t>绩效管理工作从预算编制中绩效目标的设置、预算执行中绩效目标的检查以及预算执行终绩效目标的考核等方面都提出了更高的要求，政策性、专业性和系统性要求都比较高，日常工作量也大大增加。建议财政能够从人员保障上做出统一部署，在岗位设置明确要求专人专岗，以确保绩效管理工作能够保质保量的完成。</w:t>
      </w: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ascii="Times New Roman" w:hAnsi="Times New Roman" w:eastAsia="仿宋_GB2312" w:cs="Times New Roman"/>
          <w:sz w:val="32"/>
          <w:szCs w:val="32"/>
          <w:lang w:val="en-US" w:eastAsia="zh-CN"/>
        </w:rPr>
      </w:pPr>
    </w:p>
    <w:p>
      <w:pPr>
        <w:keepNext w:val="0"/>
        <w:keepLines w:val="0"/>
        <w:pageBreakBefore w:val="0"/>
        <w:widowControl/>
        <w:kinsoku/>
        <w:wordWrap/>
        <w:overflowPunct/>
        <w:topLinePunct w:val="0"/>
        <w:autoSpaceDE/>
        <w:autoSpaceDN/>
        <w:bidi w:val="0"/>
        <w:spacing w:line="560" w:lineRule="exact"/>
        <w:ind w:right="-334" w:rightChars="-159" w:firstLine="600"/>
        <w:jc w:val="lef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w:t>
      </w:r>
    </w:p>
    <w:p>
      <w:pPr>
        <w:keepNext w:val="0"/>
        <w:keepLines w:val="0"/>
        <w:pageBreakBefore w:val="0"/>
        <w:widowControl/>
        <w:kinsoku/>
        <w:wordWrap/>
        <w:overflowPunct/>
        <w:topLinePunct w:val="0"/>
        <w:autoSpaceDE/>
        <w:autoSpaceDN/>
        <w:bidi w:val="0"/>
        <w:spacing w:line="560" w:lineRule="exact"/>
        <w:ind w:left="0" w:right="-334" w:rightChars="-159"/>
        <w:jc w:val="left"/>
        <w:textAlignment w:val="auto"/>
        <w:rPr>
          <w:rFonts w:hint="eastAsia" w:ascii="Times New Roman" w:hAnsi="Times New Roman" w:eastAsia="仿宋_GB2312" w:cs="Times New Roman"/>
          <w:kern w:val="2"/>
          <w:sz w:val="32"/>
          <w:szCs w:val="32"/>
          <w:u w:val="none"/>
          <w:lang w:val="zh-CN" w:eastAsia="zh-CN" w:bidi="ar"/>
        </w:rPr>
      </w:pPr>
    </w:p>
    <w:p>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en-US" w:eastAsia="zh-CN" w:bidi="ar"/>
        </w:rPr>
        <w:sectPr>
          <w:footerReference r:id="rId8" w:type="first"/>
          <w:footerReference r:id="rId7" w:type="default"/>
          <w:pgSz w:w="11906" w:h="16838"/>
          <w:pgMar w:top="1440" w:right="1800" w:bottom="1440" w:left="1800" w:header="851" w:footer="992" w:gutter="0"/>
          <w:pgNumType w:fmt="numberInDash" w:start="3"/>
          <w:cols w:space="425" w:num="1"/>
          <w:docGrid w:type="lines" w:linePitch="312" w:charSpace="0"/>
        </w:sect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部门预算项目支出绩效自评表（202</w:t>
      </w:r>
      <w:r>
        <w:rPr>
          <w:rFonts w:hint="eastAsia" w:ascii="Times New Roman" w:eastAsia="仿宋_GB2312" w:cs="Times New Roman"/>
          <w:kern w:val="2"/>
          <w:sz w:val="32"/>
          <w:szCs w:val="32"/>
          <w:u w:val="none"/>
          <w:lang w:val="en-US" w:eastAsia="zh-CN" w:bidi="ar"/>
        </w:rPr>
        <w:t>5</w:t>
      </w:r>
      <w:r>
        <w:rPr>
          <w:rFonts w:hint="eastAsia" w:ascii="Times New Roman" w:hAnsi="Times New Roman" w:eastAsia="仿宋_GB2312" w:cs="Times New Roman"/>
          <w:kern w:val="2"/>
          <w:sz w:val="32"/>
          <w:szCs w:val="32"/>
          <w:u w:val="none"/>
          <w:lang w:val="en-US" w:eastAsia="zh-CN" w:bidi="ar"/>
        </w:rPr>
        <w:t>年度）</w:t>
      </w:r>
    </w:p>
    <w:tbl>
      <w:tblPr>
        <w:tblStyle w:val="15"/>
        <w:tblW w:w="16300" w:type="dxa"/>
        <w:tblInd w:w="-17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81"/>
        <w:gridCol w:w="1712"/>
        <w:gridCol w:w="1413"/>
        <w:gridCol w:w="2262"/>
        <w:gridCol w:w="775"/>
        <w:gridCol w:w="1588"/>
        <w:gridCol w:w="1141"/>
        <w:gridCol w:w="1482"/>
        <w:gridCol w:w="1482"/>
        <w:gridCol w:w="1482"/>
        <w:gridCol w:w="148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 w:hRule="atLeast"/>
        </w:trPr>
        <w:tc>
          <w:tcPr>
            <w:tcW w:w="163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22"/>
                <w:szCs w:val="22"/>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1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sz w:val="18"/>
                <w:szCs w:val="18"/>
                <w:lang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项目名称</w:t>
            </w:r>
          </w:p>
        </w:tc>
        <w:tc>
          <w:tcPr>
            <w:tcW w:w="131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sz w:val="18"/>
                <w:szCs w:val="18"/>
                <w:lang w:bidi="ar-SA"/>
              </w:rPr>
            </w:pPr>
            <w:r>
              <w:rPr>
                <w:rFonts w:hint="eastAsia" w:ascii="方正仿宋_GBK" w:hAnsi="方正仿宋_GBK" w:eastAsia="方正仿宋_GBK" w:cs="方正仿宋_GBK"/>
                <w:i w:val="0"/>
                <w:iCs w:val="0"/>
                <w:color w:val="000000"/>
                <w:kern w:val="0"/>
                <w:sz w:val="18"/>
                <w:szCs w:val="18"/>
                <w:u w:val="none"/>
                <w:lang w:val="en-US" w:eastAsia="zh-CN" w:bidi="ar"/>
              </w:rPr>
              <w:t>51320021T000000045336-考察调研工作经费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 w:hRule="atLeast"/>
        </w:trPr>
        <w:tc>
          <w:tcPr>
            <w:tcW w:w="31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sz w:val="18"/>
                <w:szCs w:val="18"/>
                <w:lang w:bidi="ar-SA"/>
              </w:rPr>
            </w:pPr>
            <w:r>
              <w:rPr>
                <w:rFonts w:hint="eastAsia" w:ascii="方正仿宋_GBK" w:hAnsi="方正仿宋_GBK" w:eastAsia="方正仿宋_GBK" w:cs="方正仿宋_GBK"/>
                <w:i w:val="0"/>
                <w:iCs w:val="0"/>
                <w:color w:val="000000"/>
                <w:kern w:val="0"/>
                <w:sz w:val="18"/>
                <w:szCs w:val="18"/>
                <w:u w:val="none"/>
                <w:lang w:val="en-US" w:eastAsia="zh-CN" w:bidi="ar"/>
              </w:rPr>
              <w:t>主管部门</w:t>
            </w:r>
          </w:p>
        </w:tc>
        <w:tc>
          <w:tcPr>
            <w:tcW w:w="7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sz w:val="18"/>
                <w:szCs w:val="18"/>
                <w:lang w:bidi="ar-SA"/>
              </w:rPr>
            </w:pPr>
            <w:r>
              <w:rPr>
                <w:rFonts w:hint="eastAsia" w:ascii="方正仿宋_GBK" w:hAnsi="方正仿宋_GBK" w:eastAsia="方正仿宋_GBK" w:cs="方正仿宋_GBK"/>
                <w:i w:val="0"/>
                <w:iCs w:val="0"/>
                <w:color w:val="000000"/>
                <w:kern w:val="0"/>
                <w:sz w:val="18"/>
                <w:szCs w:val="18"/>
                <w:u w:val="none"/>
                <w:lang w:val="en-US" w:eastAsia="zh-CN" w:bidi="ar"/>
              </w:rPr>
              <w:t>州工商联部门</w:t>
            </w:r>
          </w:p>
        </w:tc>
        <w:tc>
          <w:tcPr>
            <w:tcW w:w="1482"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sz w:val="18"/>
                <w:szCs w:val="18"/>
                <w:lang w:bidi="ar-SA"/>
              </w:rPr>
            </w:pPr>
            <w:r>
              <w:rPr>
                <w:rFonts w:hint="eastAsia" w:ascii="方正仿宋_GBK" w:hAnsi="方正仿宋_GBK" w:eastAsia="方正仿宋_GBK" w:cs="方正仿宋_GBK"/>
                <w:i w:val="0"/>
                <w:iCs w:val="0"/>
                <w:color w:val="000000"/>
                <w:kern w:val="0"/>
                <w:sz w:val="18"/>
                <w:szCs w:val="18"/>
                <w:u w:val="none"/>
                <w:lang w:val="en-US" w:eastAsia="zh-CN" w:bidi="ar"/>
              </w:rPr>
              <w:t xml:space="preserve">实施单位 </w:t>
            </w:r>
          </w:p>
        </w:tc>
        <w:tc>
          <w:tcPr>
            <w:tcW w:w="44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sz w:val="18"/>
                <w:szCs w:val="18"/>
                <w:lang w:bidi="ar-SA"/>
              </w:rPr>
            </w:pPr>
            <w:r>
              <w:rPr>
                <w:rFonts w:hint="eastAsia" w:ascii="方正仿宋_GBK" w:hAnsi="方正仿宋_GBK" w:eastAsia="方正仿宋_GBK" w:cs="方正仿宋_GBK"/>
                <w:i w:val="0"/>
                <w:iCs w:val="0"/>
                <w:color w:val="000000"/>
                <w:kern w:val="0"/>
                <w:sz w:val="18"/>
                <w:szCs w:val="18"/>
                <w:u w:val="none"/>
                <w:lang w:val="en-US" w:eastAsia="zh-CN" w:bidi="ar"/>
              </w:rPr>
              <w:t>州工商联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 w:hRule="atLeast"/>
        </w:trPr>
        <w:tc>
          <w:tcPr>
            <w:tcW w:w="14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sz w:val="18"/>
                <w:szCs w:val="18"/>
                <w:lang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项目基本情况</w:t>
            </w:r>
          </w:p>
        </w:tc>
        <w:tc>
          <w:tcPr>
            <w:tcW w:w="1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sz w:val="18"/>
                <w:szCs w:val="18"/>
                <w:lang w:bidi="ar-SA"/>
              </w:rPr>
            </w:pPr>
            <w:r>
              <w:rPr>
                <w:rFonts w:hint="eastAsia" w:ascii="方正仿宋_GBK" w:hAnsi="方正仿宋_GBK" w:eastAsia="方正仿宋_GBK" w:cs="方正仿宋_GBK"/>
                <w:i w:val="0"/>
                <w:iCs w:val="0"/>
                <w:color w:val="000000"/>
                <w:kern w:val="0"/>
                <w:sz w:val="18"/>
                <w:szCs w:val="18"/>
                <w:u w:val="none"/>
                <w:lang w:val="en-US" w:eastAsia="zh-CN" w:bidi="ar"/>
              </w:rPr>
              <w:t>1.项目年度目标完成情况</w:t>
            </w:r>
          </w:p>
        </w:tc>
        <w:tc>
          <w:tcPr>
            <w:tcW w:w="7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sz w:val="18"/>
                <w:szCs w:val="18"/>
                <w:lang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项目年度目标</w:t>
            </w:r>
          </w:p>
        </w:tc>
        <w:tc>
          <w:tcPr>
            <w:tcW w:w="59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sz w:val="18"/>
                <w:szCs w:val="18"/>
                <w:lang w:bidi="ar-SA"/>
              </w:rPr>
            </w:pPr>
            <w:r>
              <w:rPr>
                <w:rFonts w:hint="eastAsia" w:ascii="方正仿宋_GBK" w:hAnsi="方正仿宋_GBK" w:eastAsia="方正仿宋_GBK" w:cs="方正仿宋_GBK"/>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color w:val="000000"/>
                <w:kern w:val="2"/>
                <w:sz w:val="18"/>
                <w:szCs w:val="18"/>
                <w:lang w:val="en-US" w:eastAsia="zh-CN" w:bidi="ar-SA"/>
              </w:rPr>
            </w:pPr>
          </w:p>
        </w:tc>
        <w:tc>
          <w:tcPr>
            <w:tcW w:w="7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　为深入推进贯彻落实习近平新时代中国特色社会主义思想，以开展大走访大调研为抓手，深入企业实地走访、考察调研，了解企业生产经营情况、行业发展现状、助企惠企政策落实情况和制约企业发展的痛点难点堵点问题，提供信息资源，搭建合作平台，广泛听取对我州非公有制经济发展提出的建议，积极向州委州政府反映。形成长效调研机制，深入企业调研，组织专业人员对我州公有制经济发展现状、存在的主要问题提供决策帮助。</w:t>
            </w:r>
          </w:p>
        </w:tc>
        <w:tc>
          <w:tcPr>
            <w:tcW w:w="59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深入企业考察调研，广泛听取广大非公有制经济代表人士意见建议对我州非公有制经济发展现状、存在的主要问题和困难等进行了解和深入研究并提供建议和决策帮助，积极向州委州政府反映。了解企业业务提供会员企业相互合作机会，帮助构建合作平台。收集、整理意见建议22条，形成较高质量调研成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2.项目实施内容及过程概述</w:t>
            </w:r>
          </w:p>
        </w:tc>
        <w:tc>
          <w:tcPr>
            <w:tcW w:w="131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2025年深入企业考察调研，广泛听取广大非公有制经济代表人士意见建议对我州非公有制经济发展现状、存在的主要问题和困难等进行了解和深入研究并提供建议和决策帮助，积极向州委州政府反映。了解企业业务提供会员企业相互合作机会，帮助构建合作平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trPr>
        <w:tc>
          <w:tcPr>
            <w:tcW w:w="14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预算执行情况（10分）</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年度预算数（万元）</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年初预算</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调整后预算数</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预算执行数</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预算执行率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权重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得分</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总额</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5.00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4.94</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4.94</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其中：财政资金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5.00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4.94</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4.94</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财政专户管理资金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7"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单位资金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其他资金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sz w:val="18"/>
                <w:szCs w:val="18"/>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14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绩效指标（90分）</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一级指标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二级指标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三级指标</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指标性质</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指标值</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度量单位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完成值</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权重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得分</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产出指标</w:t>
            </w:r>
          </w:p>
        </w:tc>
        <w:tc>
          <w:tcPr>
            <w:tcW w:w="14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数量指标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调研次数</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4</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次</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6</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完成调研报告数量</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3</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质量指标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 xml:space="preserve"> 调研数据准确率</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95</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95</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时效指标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 xml:space="preserve"> 调研报告提交及时率</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sz w:val="18"/>
                <w:szCs w:val="18"/>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效益指标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社会效益指标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促进阿坝州非公有制经济健康发展</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定性</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显著提升</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显著提升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满意度指标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服务对象满意度指标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民营企业满意度</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95</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95</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成本指标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经济成本指标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调研每家企业时间成本控制</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小时</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1185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合计</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评价结论</w:t>
            </w:r>
          </w:p>
        </w:tc>
        <w:tc>
          <w:tcPr>
            <w:tcW w:w="148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完成年初预算99.2%。自评得分100分，深入13县（市）民营企业、商协会开展调查研究，收集、整理意见建议，形成较高质量调研成果。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 w:hRule="atLeast"/>
        </w:trPr>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存在问题</w:t>
            </w:r>
          </w:p>
        </w:tc>
        <w:tc>
          <w:tcPr>
            <w:tcW w:w="148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改进措施</w:t>
            </w:r>
          </w:p>
        </w:tc>
        <w:tc>
          <w:tcPr>
            <w:tcW w:w="148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4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项目负责人：谢亚</w:t>
            </w:r>
          </w:p>
        </w:tc>
        <w:tc>
          <w:tcPr>
            <w:tcW w:w="865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财务负责人：龙安国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163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SimSun" w:cs="Times New Roman"/>
                <w:color w:val="000000"/>
                <w:kern w:val="2"/>
                <w:sz w:val="15"/>
                <w:szCs w:val="15"/>
                <w:lang w:val="en-US" w:eastAsia="zh-CN" w:bidi="ar-SA"/>
              </w:rPr>
            </w:pPr>
            <w:r>
              <w:rPr>
                <w:rFonts w:hint="eastAsia" w:ascii="黑体" w:hAnsi="宋体" w:eastAsia="黑体" w:cs="黑体"/>
                <w:b/>
                <w:bCs/>
                <w:i w:val="0"/>
                <w:iCs w:val="0"/>
                <w:color w:val="000000"/>
                <w:kern w:val="0"/>
                <w:sz w:val="22"/>
                <w:szCs w:val="22"/>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1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项目名称</w:t>
            </w:r>
          </w:p>
        </w:tc>
        <w:tc>
          <w:tcPr>
            <w:tcW w:w="131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51320021T000000045420-参政议政工作经费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5" w:hRule="atLeast"/>
        </w:trPr>
        <w:tc>
          <w:tcPr>
            <w:tcW w:w="31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主管部门</w:t>
            </w:r>
          </w:p>
        </w:tc>
        <w:tc>
          <w:tcPr>
            <w:tcW w:w="7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州工商联部门</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实施单位 （盖章）</w:t>
            </w:r>
          </w:p>
        </w:tc>
        <w:tc>
          <w:tcPr>
            <w:tcW w:w="44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州工商联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14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项目基本情况</w:t>
            </w:r>
          </w:p>
        </w:tc>
        <w:tc>
          <w:tcPr>
            <w:tcW w:w="1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1.项目年度目标完成情况</w:t>
            </w:r>
          </w:p>
        </w:tc>
        <w:tc>
          <w:tcPr>
            <w:tcW w:w="7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项目年度目标</w:t>
            </w:r>
          </w:p>
        </w:tc>
        <w:tc>
          <w:tcPr>
            <w:tcW w:w="59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color w:val="000000"/>
                <w:kern w:val="2"/>
                <w:sz w:val="18"/>
                <w:szCs w:val="18"/>
                <w:lang w:val="en-US" w:eastAsia="zh-CN" w:bidi="ar-SA"/>
              </w:rPr>
            </w:pPr>
          </w:p>
        </w:tc>
        <w:tc>
          <w:tcPr>
            <w:tcW w:w="7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通过开展讲座等方式听取意见建议。2.引导非公有制经济人大代表、政协委员提出有质量的提案、议案。3.组织专门人员撰写出有质量、高水平的调研文章，积极参政议政撰写调研文章4篇。4.提升民营经济代表人士参政议政能力，促进民营经济领域政策完善。</w:t>
            </w:r>
          </w:p>
        </w:tc>
        <w:tc>
          <w:tcPr>
            <w:tcW w:w="59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通过实地走访调研、座谈交流等方式听取民营经济人士意见建议，结合当前民营经济或行业发展中面临的形势与挑战，以及民营经济人士普遍关心的热点问题，提出了有质量的提案、社情民意，撰写了高质量的调研报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2.项目实施内容及过程概述</w:t>
            </w:r>
          </w:p>
        </w:tc>
        <w:tc>
          <w:tcPr>
            <w:tcW w:w="131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通过到民营企业、商（协）会实地走访调研、开展座谈交流的方式听取意见建议，引导民营经济代表人士中的人大代表、政协委员围绕事关经济社会发展全局性、战略性的关键问题、深层问题、焦点问题，以及民营经济发展难点问题和民营经济人士普遍关心的热点问题建言献策。组织专人撰写高质量的提案、社情民意、调研文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14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预算执行情况（10分）</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年度预算数（万元）</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年初预算</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调整后预算数</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预算执行数</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预算执行率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权重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得分</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总额</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6.00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5.82</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5.82</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其中：财政资金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6.00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5.82</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5.82</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财政专户管理资金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单位资金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其他资金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绩效指标（90分）</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一级指标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二级指标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三级指标</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指标性质</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指标值</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度量单位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完成值</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权重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得分</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产出指标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数量指标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提案件数、社情民意、调研文章篇数</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4</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质量指标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调研文章质量</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定性</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优</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优</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时效指标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项目完成时间</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年</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1</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效益指标</w:t>
            </w:r>
          </w:p>
        </w:tc>
        <w:tc>
          <w:tcPr>
            <w:tcW w:w="14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社会效益指标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提高调研文章撰写水平，真实反映社情民意</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定性</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显著提高</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显著提高</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提高参政议政能力水平</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定性</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显著提升</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显著提升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5</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5</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可持续影响指标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引导民营经济代表人士中的人大代表、政协委员建言献策、积极参政议政</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定性</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显著提升</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显著提升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5</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5</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满意度指标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服务对象满意度指标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社会服务对象满意度</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90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90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成本指标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经济成本指标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成本控制率</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185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合计</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评价结论</w:t>
            </w:r>
          </w:p>
        </w:tc>
        <w:tc>
          <w:tcPr>
            <w:tcW w:w="148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完成年初预算数的62%，自评得分100分，通过实地调研走访、交流座谈等方式听取民营经济人士意见建议，提出了有质量的提案、社情民意，撰写了高质量的调研报告。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存在问题</w:t>
            </w:r>
          </w:p>
        </w:tc>
        <w:tc>
          <w:tcPr>
            <w:tcW w:w="148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81"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改进措施</w:t>
            </w:r>
          </w:p>
        </w:tc>
        <w:tc>
          <w:tcPr>
            <w:tcW w:w="14819" w:type="dxa"/>
            <w:gridSpan w:val="10"/>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64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项目负责人：屈珊</w:t>
            </w:r>
          </w:p>
        </w:tc>
        <w:tc>
          <w:tcPr>
            <w:tcW w:w="865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财务负责人：龙安国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7" w:hRule="atLeast"/>
        </w:trPr>
        <w:tc>
          <w:tcPr>
            <w:tcW w:w="163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黑体" w:hAnsi="宋体" w:eastAsia="黑体" w:cs="黑体"/>
                <w:b/>
                <w:bCs/>
                <w:i w:val="0"/>
                <w:iCs w:val="0"/>
                <w:color w:val="000000"/>
                <w:kern w:val="0"/>
                <w:sz w:val="22"/>
                <w:szCs w:val="22"/>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1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项目名称</w:t>
            </w:r>
          </w:p>
        </w:tc>
        <w:tc>
          <w:tcPr>
            <w:tcW w:w="131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51320024T000010427056-阿坝州浙江温州商会工作经费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1" w:hRule="atLeast"/>
        </w:trPr>
        <w:tc>
          <w:tcPr>
            <w:tcW w:w="31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主管部门</w:t>
            </w:r>
          </w:p>
        </w:tc>
        <w:tc>
          <w:tcPr>
            <w:tcW w:w="7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州工商联部门</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实施单位 （盖章）</w:t>
            </w:r>
          </w:p>
        </w:tc>
        <w:tc>
          <w:tcPr>
            <w:tcW w:w="44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州工商联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14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项目基本情况</w:t>
            </w:r>
          </w:p>
        </w:tc>
        <w:tc>
          <w:tcPr>
            <w:tcW w:w="1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1.项目年度目标完成情况</w:t>
            </w:r>
          </w:p>
        </w:tc>
        <w:tc>
          <w:tcPr>
            <w:tcW w:w="7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项目年度目标</w:t>
            </w:r>
          </w:p>
        </w:tc>
        <w:tc>
          <w:tcPr>
            <w:tcW w:w="59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color w:val="000000"/>
                <w:kern w:val="2"/>
                <w:sz w:val="18"/>
                <w:szCs w:val="18"/>
                <w:lang w:val="en-US" w:eastAsia="zh-CN" w:bidi="ar-SA"/>
              </w:rPr>
            </w:pPr>
          </w:p>
        </w:tc>
        <w:tc>
          <w:tcPr>
            <w:tcW w:w="7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持“政治建会、团结立会、服务兴会、改革强会”方针，充分发挥工商联对商会组织的指导、引导、服务作用，通过实地走访调研、座谈交流等形式，以务实举措推动阿坝州浙江温州商会快速健康发展，促进商会会员企业合作增长率达80%以上。</w:t>
            </w:r>
          </w:p>
        </w:tc>
        <w:tc>
          <w:tcPr>
            <w:tcW w:w="59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充分发挥工商联对商会组织的指导、引导、服务作用，通过对阿坝州浙江温州商会实地走访调研、座谈交流等形式，以务实举措推动阿坝州浙江温州商会快速健康发展。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2.项目实施内容及过程概述</w:t>
            </w:r>
          </w:p>
        </w:tc>
        <w:tc>
          <w:tcPr>
            <w:tcW w:w="131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 xml:space="preserve"> 补助阿坝州浙江温州商会3万元办公补助，以务实举措推动阿坝州浙江温州商会快速健康发展。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14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预算执行情况（10分）</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年度预算数（万元）</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年初预算</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调整后预算数</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预算执行数</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预算执行率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权重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得分</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总额</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4.00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3.00</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3.00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其中：财政资金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4.00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3.00</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3.00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财政专户管理资金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单位资金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其他资金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绩效指标（90分）</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一级指标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二级指标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三级指标</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指标性质</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指标值</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度量单位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完成值</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权重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得分</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产出指标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数量指标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走访会员企业数量</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3</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家</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3</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时效指标</w:t>
            </w:r>
          </w:p>
        </w:tc>
        <w:tc>
          <w:tcPr>
            <w:tcW w:w="22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项目完成时间</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年</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22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定性</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2025年12月底前</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2025年12月底前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效益指标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社会效益指标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充分发挥工商联对商会组织的指导、引导、服务作用</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定性</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效果显著</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效果显著</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可持续影响指标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建立良好营商环境，推动阿坝州经济高质量发展。</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定性</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效果显著</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效果显著</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满意度指标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服务对象满意度指标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异地在州企业家满意度</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90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90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成本指标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经济成本指标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成本控制率</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1185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合计</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trPr>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评价结论</w:t>
            </w:r>
          </w:p>
        </w:tc>
        <w:tc>
          <w:tcPr>
            <w:tcW w:w="148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完成年初预算75%，自评得分100分，以务实举措推动阿坝州浙江温州商会快速健康发展。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存在问题</w:t>
            </w:r>
          </w:p>
        </w:tc>
        <w:tc>
          <w:tcPr>
            <w:tcW w:w="148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81"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改进措施</w:t>
            </w:r>
          </w:p>
        </w:tc>
        <w:tc>
          <w:tcPr>
            <w:tcW w:w="14819" w:type="dxa"/>
            <w:gridSpan w:val="10"/>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4" w:hRule="atLeast"/>
        </w:trPr>
        <w:tc>
          <w:tcPr>
            <w:tcW w:w="764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项目负责人：谢亚</w:t>
            </w:r>
          </w:p>
        </w:tc>
        <w:tc>
          <w:tcPr>
            <w:tcW w:w="865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财务负责人：龙安国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163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黑体" w:hAnsi="宋体" w:eastAsia="黑体" w:cs="黑体"/>
                <w:b/>
                <w:bCs/>
                <w:i w:val="0"/>
                <w:iCs w:val="0"/>
                <w:color w:val="000000"/>
                <w:kern w:val="0"/>
                <w:sz w:val="22"/>
                <w:szCs w:val="22"/>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1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项目名称</w:t>
            </w:r>
          </w:p>
        </w:tc>
        <w:tc>
          <w:tcPr>
            <w:tcW w:w="131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51320021T000000045435-阿坝州总商会成都办事处工作经费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31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主管部门</w:t>
            </w:r>
          </w:p>
        </w:tc>
        <w:tc>
          <w:tcPr>
            <w:tcW w:w="7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州工商联部门</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实施单位 （盖章）</w:t>
            </w:r>
          </w:p>
        </w:tc>
        <w:tc>
          <w:tcPr>
            <w:tcW w:w="44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州工商联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14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项目基本情况</w:t>
            </w:r>
          </w:p>
        </w:tc>
        <w:tc>
          <w:tcPr>
            <w:tcW w:w="1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1.项目年度目标完成情况</w:t>
            </w:r>
          </w:p>
        </w:tc>
        <w:tc>
          <w:tcPr>
            <w:tcW w:w="7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项目年度目标</w:t>
            </w:r>
          </w:p>
        </w:tc>
        <w:tc>
          <w:tcPr>
            <w:tcW w:w="59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color w:val="000000"/>
                <w:kern w:val="2"/>
                <w:sz w:val="18"/>
                <w:szCs w:val="18"/>
                <w:lang w:val="en-US" w:eastAsia="zh-CN" w:bidi="ar-SA"/>
              </w:rPr>
            </w:pPr>
          </w:p>
        </w:tc>
        <w:tc>
          <w:tcPr>
            <w:tcW w:w="7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开展城市民族工作、维护会员合法权益，完善为促进在蓉阿坝州籍商人团结，提升维权服务效率，阿坝州13个县在成都成立异地商会，阿坝州籍在蓉经商人员有近10万余人，州工商联（商会）成都办事处工作量越来越大。</w:t>
            </w:r>
          </w:p>
        </w:tc>
        <w:tc>
          <w:tcPr>
            <w:tcW w:w="59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开展城市民族工作、维护会员合法权益，完善为促进在蓉阿坝州籍商人团结，提升维权服务效率。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2.项目实施内容及过程概述</w:t>
            </w:r>
          </w:p>
        </w:tc>
        <w:tc>
          <w:tcPr>
            <w:tcW w:w="131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根据州委主要领导指示，阿坝州10个县在成都成立了异地商会，阿坝州籍在蓉经商人员有近10万余人，总商会负责指导我州各县异地商会工作、负联系、引导在蓉非公有制经济代表人士，工作量越来越大。开展工作所需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14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预算执行情况（10分）</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年度预算数（万元）</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年初预算</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调整后预算数</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预算执行数</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预算执行率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权重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得分</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总额</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5.00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4.09</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4.09</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其中：财政资金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5.00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4.09</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4.09</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财政专户管理资金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单位资金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其他资金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绩效指标（90分）</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一级指标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二级指标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三级指标</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指标性质</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指标值</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度量单位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完成值</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权重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得分</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产出指标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数量指标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阿坝州籍在蓉经商人员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万人</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质量指标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商会吸纳在蓉民企率</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95</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95</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异地商会覆盖率</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时效指标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重大维权案件响应时效</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3</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个工作日</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3</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效益指标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社会效益指标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维护会员合法权益</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定性</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效果显著</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效果显著</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满意度指标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服务对象满意度指标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会员企业满意度</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90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90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成本指标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经济成本指标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成本节约率</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185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合计</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trPr>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评价结论</w:t>
            </w:r>
          </w:p>
        </w:tc>
        <w:tc>
          <w:tcPr>
            <w:tcW w:w="148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完成预算的 60.2%，自评得分100分，该项目为阿坝州商会开展城市民族工作、维护会员合法权益提供经费保障。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81"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存在问题</w:t>
            </w:r>
          </w:p>
        </w:tc>
        <w:tc>
          <w:tcPr>
            <w:tcW w:w="14819" w:type="dxa"/>
            <w:gridSpan w:val="10"/>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改进措施</w:t>
            </w:r>
          </w:p>
        </w:tc>
        <w:tc>
          <w:tcPr>
            <w:tcW w:w="14819"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7643" w:type="dxa"/>
            <w:gridSpan w:val="5"/>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项目负责人：武向威</w:t>
            </w:r>
          </w:p>
        </w:tc>
        <w:tc>
          <w:tcPr>
            <w:tcW w:w="8657" w:type="dxa"/>
            <w:gridSpan w:val="6"/>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财务负责人：龙安国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63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黑体" w:hAnsi="宋体" w:eastAsia="黑体" w:cs="黑体"/>
                <w:b/>
                <w:bCs/>
                <w:i w:val="0"/>
                <w:iCs w:val="0"/>
                <w:color w:val="000000"/>
                <w:kern w:val="0"/>
                <w:sz w:val="22"/>
                <w:szCs w:val="22"/>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1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项目名称</w:t>
            </w:r>
          </w:p>
        </w:tc>
        <w:tc>
          <w:tcPr>
            <w:tcW w:w="131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51320025T000012566776-工商联人民调解及“枫桥式”商会维权工作经费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31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主管部门</w:t>
            </w:r>
          </w:p>
        </w:tc>
        <w:tc>
          <w:tcPr>
            <w:tcW w:w="7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州工商联部门</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 xml:space="preserve">实施单位 </w:t>
            </w:r>
          </w:p>
        </w:tc>
        <w:tc>
          <w:tcPr>
            <w:tcW w:w="44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州工商联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14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项目基本情况</w:t>
            </w:r>
          </w:p>
        </w:tc>
        <w:tc>
          <w:tcPr>
            <w:tcW w:w="1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1.项目年度目标完成情况</w:t>
            </w:r>
          </w:p>
        </w:tc>
        <w:tc>
          <w:tcPr>
            <w:tcW w:w="7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项目年度目标</w:t>
            </w:r>
          </w:p>
        </w:tc>
        <w:tc>
          <w:tcPr>
            <w:tcW w:w="59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color w:val="000000"/>
                <w:kern w:val="2"/>
                <w:sz w:val="18"/>
                <w:szCs w:val="18"/>
                <w:lang w:val="en-US" w:eastAsia="zh-CN" w:bidi="ar-SA"/>
              </w:rPr>
            </w:pPr>
          </w:p>
        </w:tc>
        <w:tc>
          <w:tcPr>
            <w:tcW w:w="7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为深入贯彻落实习近平法治思想，按照州委、州政府构建“大调解”工作体系战略部署，积极妥善化解涉企矛盾纠纷，促进社会和谐和社会稳定，服务全州“两个加快”，根据州委、州政府和上级部门的指示，州司法局和州工商联成立了“州工商联人民调解委员会”，主要调解发生在工商联会员企业之间以及会员企业与客户之间的经营、管理、劳资等涉企纠纷和矛盾排查预防和防激化工作。积极探索群团组织参与社会治理、促进社会和谐稳定，贯彻新发展理念，服务构建新发展格局，采取涉企法治宣传培训、涉企矛盾纠纷排查和诉求调处等多种措施，加大“枫桥式”商会宣介和引导力度，发挥商会在基层治理、行业治理中的独特作用，多元化解民营经济领域各类矛盾纠纷，助力法治民企建设。</w:t>
            </w:r>
          </w:p>
        </w:tc>
        <w:tc>
          <w:tcPr>
            <w:tcW w:w="59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州司法局和州工商联成立了“州工商联人民调解委员会”，聘请法律兼职人员积极妥善化解会员企业之间以及会员企业与客户之间的经营、管理、劳资等涉企纠纷和矛盾排查预防和防激化工作，促进社会和谐和社会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2.项目实施内容及过程概述</w:t>
            </w:r>
          </w:p>
        </w:tc>
        <w:tc>
          <w:tcPr>
            <w:tcW w:w="131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商会人民调解委员会要定期或不定期在会员企业开展矛盾纠纷排查工作，发现风险隐患及时采取针对性措施处置。主要调解发生在工商联会员企业之间以及会员企业与客户之间的经营、管理、劳资等涉企纠纷和矛盾排查预防和防激化工作。州工商联人民调解委员会人员由工商联专职人员和聘请法律兼职人员组成，开展工作经费。走访企业开展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14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预算执行情况（10分）</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年度预算数（万元）</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年初预算</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调整后预算数</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预算执行数</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预算执行率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权重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得分</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总额</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3.23</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3.23</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其中：财政资金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3.23</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3.23</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财政专户管理资金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单位资金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其他资金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绩效指标（90分）</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一级指标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二级指标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三级指标</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指标性质</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指标值</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度量单位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完成值</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权重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得分</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产出指标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数量指标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聘请人员数量</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人</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质量指标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茅盾调解率</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95</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95</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时效指标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项目完成时间</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定性</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2025年12月底前</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2025年12月底前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效益指标</w:t>
            </w:r>
          </w:p>
        </w:tc>
        <w:tc>
          <w:tcPr>
            <w:tcW w:w="14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社会效益指标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服务促进“两个健康”，助力维护经济社会和谐稳定。</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定性</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显著提升</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显著提升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化解涉企矛盾纠纷</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定性</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妥善化解</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妥善化解</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满意度指标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服务对象满意度指标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社会服务对象满意度</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95</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95</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成本指标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经济成本指标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成本控制率</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 w:hRule="atLeast"/>
        </w:trPr>
        <w:tc>
          <w:tcPr>
            <w:tcW w:w="1185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合计</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评价结论</w:t>
            </w:r>
          </w:p>
        </w:tc>
        <w:tc>
          <w:tcPr>
            <w:tcW w:w="148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完成年初预算71.67%。自评得分100分，通过州司法局和州工商联成立了“州工商联人民调解委员会”，聘请法律兼职人员积极妥善化解涉企矛盾纠纷，促进社会和谐和社会稳定。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81"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存在问题</w:t>
            </w:r>
          </w:p>
        </w:tc>
        <w:tc>
          <w:tcPr>
            <w:tcW w:w="14819" w:type="dxa"/>
            <w:gridSpan w:val="10"/>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改进措施</w:t>
            </w:r>
          </w:p>
        </w:tc>
        <w:tc>
          <w:tcPr>
            <w:tcW w:w="14819"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6" w:hRule="atLeast"/>
        </w:trPr>
        <w:tc>
          <w:tcPr>
            <w:tcW w:w="7643"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项目负责人：谢亚</w:t>
            </w:r>
          </w:p>
        </w:tc>
        <w:tc>
          <w:tcPr>
            <w:tcW w:w="8657"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财务负责人：龙安国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trPr>
        <w:tc>
          <w:tcPr>
            <w:tcW w:w="16300" w:type="dxa"/>
            <w:gridSpan w:val="11"/>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黑体" w:hAnsi="宋体" w:eastAsia="黑体" w:cs="黑体"/>
                <w:b/>
                <w:bCs/>
                <w:i w:val="0"/>
                <w:iCs w:val="0"/>
                <w:color w:val="000000"/>
                <w:kern w:val="0"/>
                <w:sz w:val="22"/>
                <w:szCs w:val="22"/>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1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项目名称</w:t>
            </w:r>
          </w:p>
        </w:tc>
        <w:tc>
          <w:tcPr>
            <w:tcW w:w="131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51320021T000000045461-会员服务中心工作经费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31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主管部门</w:t>
            </w:r>
          </w:p>
        </w:tc>
        <w:tc>
          <w:tcPr>
            <w:tcW w:w="7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州工商联部门</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 xml:space="preserve">实施单位 </w:t>
            </w:r>
          </w:p>
        </w:tc>
        <w:tc>
          <w:tcPr>
            <w:tcW w:w="44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州工商联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14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项目基本情况</w:t>
            </w:r>
          </w:p>
        </w:tc>
        <w:tc>
          <w:tcPr>
            <w:tcW w:w="1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1.项目年度目标完成情况</w:t>
            </w:r>
          </w:p>
        </w:tc>
        <w:tc>
          <w:tcPr>
            <w:tcW w:w="7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项目年度目标</w:t>
            </w:r>
          </w:p>
        </w:tc>
        <w:tc>
          <w:tcPr>
            <w:tcW w:w="59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color w:val="000000"/>
                <w:kern w:val="2"/>
                <w:sz w:val="18"/>
                <w:szCs w:val="18"/>
                <w:lang w:val="en-US" w:eastAsia="zh-CN" w:bidi="ar-SA"/>
              </w:rPr>
            </w:pPr>
          </w:p>
        </w:tc>
        <w:tc>
          <w:tcPr>
            <w:tcW w:w="7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　　按照全联和省联的要求，结合本会工作实际，牢固确立“服务立会、服务兴会”的思想，以服务会员企业和维护企业合法权益为中心，进一步增强会员凝聚力、增进会员企业间的交流与发展，为会员发展提供良好的交流和活动平台，为促进企业“两个健康”发展创造条件，显著提升非公有制经济健康发展和非公有制经济人士健康成长水平。</w:t>
            </w:r>
          </w:p>
        </w:tc>
        <w:tc>
          <w:tcPr>
            <w:tcW w:w="59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以服务会员企业和维护企业合法权益为中心，进一步增强了会员凝聚力、增进了会员企业间的交流与发展，为会员发展提供了良好的交流和活动平台，为促进“两个健康”创造了条件。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2.项目实施内容及过程概述</w:t>
            </w:r>
          </w:p>
        </w:tc>
        <w:tc>
          <w:tcPr>
            <w:tcW w:w="131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州工商联会员服务中心以劳务派遣方式聘请商（协）会维护民营企业和民营企业家权益调解员、政策咨询员1人，支付劳务费共8万。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14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预算执行情况（10分）</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年度预算数（万元）</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年初预算</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调整后预算数</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预算执行数</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预算执行率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权重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得分</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总额</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12.00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8.98</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8.98</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其中：财政资金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12.00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8.98</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8.98</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财政专户管理资金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单位资金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其他资金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绩效指标（90分）</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一级指标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二级指标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三级指标</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指标性质</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指标值</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度量单位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完成值</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权重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得分</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产出指标</w:t>
            </w:r>
          </w:p>
        </w:tc>
        <w:tc>
          <w:tcPr>
            <w:tcW w:w="14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数量指标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会员服务中心数量</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个</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聘用工作人员数量</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人</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质量指标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会员服务中心服务平台效果</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定性</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优</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时效指标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项目完成时间</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定性</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2025年12月底前</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2025年12月底前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效益指标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社会效益指标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增强会员凝聚力</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90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90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sz w:val="18"/>
                <w:szCs w:val="18"/>
              </w:rPr>
            </w:pP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可持续影响指标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非公有制经济健康发展和非公有制经济人士健康成长</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定性</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显著提升</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sz w:val="18"/>
                <w:szCs w:val="18"/>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显著提升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满意度指标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服务对象满意度指标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社会服务对象满意度</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90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90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成本指标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经济成本指标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成本控制率</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atLeast"/>
        </w:trPr>
        <w:tc>
          <w:tcPr>
            <w:tcW w:w="1185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合计</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81"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评价结论</w:t>
            </w:r>
          </w:p>
        </w:tc>
        <w:tc>
          <w:tcPr>
            <w:tcW w:w="14819" w:type="dxa"/>
            <w:gridSpan w:val="10"/>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完成年初预算数的92.88%，项目自评得分100分。以服务会员企业和维护企业合法权益为中心，进一步增强了会员凝聚力、增进了会员企业间的交流与发展，为会员发展提供了良好的交流和活动平台，为促进“两个健康”创造了条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存在问题</w:t>
            </w:r>
          </w:p>
        </w:tc>
        <w:tc>
          <w:tcPr>
            <w:tcW w:w="14819"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1481"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改进措施</w:t>
            </w:r>
          </w:p>
        </w:tc>
        <w:tc>
          <w:tcPr>
            <w:tcW w:w="14819" w:type="dxa"/>
            <w:gridSpan w:val="10"/>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4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项目负责人：屈珊</w:t>
            </w:r>
          </w:p>
        </w:tc>
        <w:tc>
          <w:tcPr>
            <w:tcW w:w="865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财务负责人：龙安国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黑体" w:hAnsi="宋体" w:eastAsia="黑体" w:cs="黑体"/>
                <w:b/>
                <w:bCs/>
                <w:i w:val="0"/>
                <w:iCs w:val="0"/>
                <w:color w:val="000000"/>
                <w:kern w:val="0"/>
                <w:sz w:val="22"/>
                <w:szCs w:val="22"/>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31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项目名称</w:t>
            </w:r>
          </w:p>
        </w:tc>
        <w:tc>
          <w:tcPr>
            <w:tcW w:w="131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51320024T000010559543-评价营商环境工作经费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1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主管部门</w:t>
            </w:r>
          </w:p>
        </w:tc>
        <w:tc>
          <w:tcPr>
            <w:tcW w:w="7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州工商联部门</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 xml:space="preserve">实施单位 </w:t>
            </w:r>
          </w:p>
        </w:tc>
        <w:tc>
          <w:tcPr>
            <w:tcW w:w="44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州工商联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4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项目基本情况</w:t>
            </w:r>
          </w:p>
        </w:tc>
        <w:tc>
          <w:tcPr>
            <w:tcW w:w="1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1.项目年度目标完成情况</w:t>
            </w:r>
          </w:p>
        </w:tc>
        <w:tc>
          <w:tcPr>
            <w:tcW w:w="7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项目年度目标</w:t>
            </w:r>
          </w:p>
        </w:tc>
        <w:tc>
          <w:tcPr>
            <w:tcW w:w="59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color w:val="000000"/>
                <w:kern w:val="2"/>
                <w:sz w:val="18"/>
                <w:szCs w:val="18"/>
                <w:lang w:val="en-US" w:eastAsia="zh-CN" w:bidi="ar-SA"/>
              </w:rPr>
            </w:pPr>
          </w:p>
        </w:tc>
        <w:tc>
          <w:tcPr>
            <w:tcW w:w="7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为深入贯彻落实习近平新时代中国特色社会主义思想，深入民营企业了解民营企业经营中的困难和问题，积极建言献策，强化评价结果运用，切实发挥以评促改作用，促进营商环境优化，提升民营企业政策获得感，为州委、州政府制定出台关于民营经济发展的专门政策和法规文件提供意见。</w:t>
            </w:r>
          </w:p>
        </w:tc>
        <w:tc>
          <w:tcPr>
            <w:tcW w:w="59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深入民营企业了解了民营企业经营中的困难和问题，积极建言献策，强化评价结果运用，切实发挥了以评促改作用，促进了营商环境优化，提升了民营企业政策获得感，为州委、州政府制定出台关于民营经济发展的专门政策和法规文件提供意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2.项目实施内容及过程概述</w:t>
            </w:r>
          </w:p>
        </w:tc>
        <w:tc>
          <w:tcPr>
            <w:tcW w:w="131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深入民营企业了解了民营企业经营中的困难和问题，积极建言献策，强化评价结果运用，切实发挥了以评促改作用，促进了营商环境优化，提升了民营企业政策获得感。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预算执行情况（10分）</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年度预算数（万元）</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年初预算</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调整后预算数</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预算执行数</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预算执行率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权重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得分</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总额</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3.00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2.61</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2.61</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其中：财政资金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3.00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2.61</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2.61</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财政专户管理资金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单位资金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其他资金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绩效指标（90分）</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一级指标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二级指标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三级指标</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指标性质</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指标值</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度量单位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完成值</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权重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得分</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产出指标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数量指标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引导开展评价营商环境民营企业覆盖率</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85</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85</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质量指标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高质量完成评价工作</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定性</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优</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优</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时效指标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项目完成时间</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定性</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2025年12月底前</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2025年12月底前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效益指标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社会效益指标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畅通民营经济人士理性反映诉求，积极建言献策，推动政策落实。</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定性</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效果显著</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效果显著</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sz w:val="18"/>
                <w:szCs w:val="18"/>
              </w:rPr>
            </w:pP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可持续发展指标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优化营商环境，不断完善民营经济发展的政策和法规文件。</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定性</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显著提升</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sz w:val="18"/>
                <w:szCs w:val="18"/>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显著提升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满意度指标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满意度指标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会员企业满意度</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95</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95</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3"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成本指标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经济成本指标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成本控制率</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trPr>
        <w:tc>
          <w:tcPr>
            <w:tcW w:w="1185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合计</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 w:hRule="atLeast"/>
        </w:trPr>
        <w:tc>
          <w:tcPr>
            <w:tcW w:w="1481"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评价结论</w:t>
            </w:r>
          </w:p>
        </w:tc>
        <w:tc>
          <w:tcPr>
            <w:tcW w:w="14819" w:type="dxa"/>
            <w:gridSpan w:val="10"/>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完成年初预算的5%，自评得分100分，深入民营企业了解了民营企业经营中的困难和问题，积极建言献策，强化评价结果运用，切实发挥了以评促改作用，促进了营商环境优化，提升了民营企业政策获得感。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存在问题</w:t>
            </w:r>
          </w:p>
        </w:tc>
        <w:tc>
          <w:tcPr>
            <w:tcW w:w="14819"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6" w:hRule="atLeast"/>
        </w:trPr>
        <w:tc>
          <w:tcPr>
            <w:tcW w:w="1481"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改进措施</w:t>
            </w:r>
          </w:p>
        </w:tc>
        <w:tc>
          <w:tcPr>
            <w:tcW w:w="14819" w:type="dxa"/>
            <w:gridSpan w:val="10"/>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4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项目负责人：谢亚</w:t>
            </w:r>
          </w:p>
        </w:tc>
        <w:tc>
          <w:tcPr>
            <w:tcW w:w="865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财务负责人：龙安国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黑体" w:hAnsi="宋体" w:eastAsia="黑体" w:cs="黑体"/>
                <w:b/>
                <w:bCs/>
                <w:i w:val="0"/>
                <w:iCs w:val="0"/>
                <w:color w:val="000000"/>
                <w:kern w:val="0"/>
                <w:sz w:val="22"/>
                <w:szCs w:val="22"/>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31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项目名称</w:t>
            </w:r>
          </w:p>
        </w:tc>
        <w:tc>
          <w:tcPr>
            <w:tcW w:w="131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51320024T000010559315-推动民营企业建立现代企业制度工作经费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31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主管部门</w:t>
            </w:r>
          </w:p>
        </w:tc>
        <w:tc>
          <w:tcPr>
            <w:tcW w:w="7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州工商联部门</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实施单位 （盖章）</w:t>
            </w:r>
          </w:p>
        </w:tc>
        <w:tc>
          <w:tcPr>
            <w:tcW w:w="44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州工商联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4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项目基本情况</w:t>
            </w:r>
          </w:p>
        </w:tc>
        <w:tc>
          <w:tcPr>
            <w:tcW w:w="1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1.项目年度目标完成情况</w:t>
            </w:r>
          </w:p>
        </w:tc>
        <w:tc>
          <w:tcPr>
            <w:tcW w:w="7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项目年度目标</w:t>
            </w:r>
          </w:p>
        </w:tc>
        <w:tc>
          <w:tcPr>
            <w:tcW w:w="59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color w:val="000000"/>
                <w:kern w:val="2"/>
                <w:sz w:val="18"/>
                <w:szCs w:val="18"/>
                <w:lang w:val="en-US" w:eastAsia="zh-CN" w:bidi="ar-SA"/>
              </w:rPr>
            </w:pPr>
          </w:p>
        </w:tc>
        <w:tc>
          <w:tcPr>
            <w:tcW w:w="7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为深入推进贯彻落实习近平新时代中国特色社会主义思想，推动民营企业治理现代化，建立健全民营企业现代化公司治理体系，不断提升经营能力和管理水平，促进我州民营经济高质量发展。</w:t>
            </w:r>
          </w:p>
        </w:tc>
        <w:tc>
          <w:tcPr>
            <w:tcW w:w="59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推动了民营企业治理现代化，建立了健全民营企业现代化公司治理体系，不断提升经营能力和管理水平，促进我州民营经济高质量发展。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2.项目实施内容及过程概述</w:t>
            </w:r>
          </w:p>
        </w:tc>
        <w:tc>
          <w:tcPr>
            <w:tcW w:w="131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深入民营企业调研，引导民营企业建立健全现代化公司治理体系，不断提升经营能力和管理水平，促进我州民营经济高质量发展。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预算执行情况（10分）</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年度预算数（万元）</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年初预算</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调整后预算数</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预算执行数</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预算执行率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权重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得分</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总额</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5.00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4.30</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4.30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其中：财政资金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5.00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4.30</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4.30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财政专户管理资金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单位资金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其他资金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绩效指标（90分）</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一级指标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二级指标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三级指标</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指标性质</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指标值</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度量单位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完成值</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权重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得分</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产出指标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数量指标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引导民营企业建立健全现代化公司治理体系个数</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个</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质量指标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高质量完成建立现代企业制度工作</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定性</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优</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优</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时效指标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项目完成时间</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定性</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2025年12月底前</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2025年12月底前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效益指标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社会效益指标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推动民营企业建立中国特色现代企业制度</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定性</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显著提高</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显著提高</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sz w:val="18"/>
                <w:szCs w:val="18"/>
              </w:rPr>
            </w:pP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可持续影响指标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不断提升民营企业经营能力和管理水平，增加民营企业收益。</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定性</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效果显著</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sz w:val="18"/>
                <w:szCs w:val="18"/>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效果显著</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满意度指标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满意度指标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员企业满意度</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95</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95</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成本指标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经济成本指标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成本控制率</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1185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合计</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评价结论</w:t>
            </w:r>
          </w:p>
        </w:tc>
        <w:tc>
          <w:tcPr>
            <w:tcW w:w="148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完成年初预算的63%，自评得分100分，推动了民营企业治理现代化，建立了健全民营企业现代化公司治理体系，不断提升经营能力和管理水平，促进我州民营经济高质量发展。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81"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存在问题</w:t>
            </w:r>
          </w:p>
        </w:tc>
        <w:tc>
          <w:tcPr>
            <w:tcW w:w="14819" w:type="dxa"/>
            <w:gridSpan w:val="10"/>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改进措施</w:t>
            </w:r>
          </w:p>
        </w:tc>
        <w:tc>
          <w:tcPr>
            <w:tcW w:w="148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4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项目负责人：谢亚</w:t>
            </w:r>
          </w:p>
        </w:tc>
        <w:tc>
          <w:tcPr>
            <w:tcW w:w="865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财务负责人：龙安国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黑体" w:hAnsi="宋体" w:eastAsia="黑体" w:cs="黑体"/>
                <w:b/>
                <w:bCs/>
                <w:i w:val="0"/>
                <w:iCs w:val="0"/>
                <w:color w:val="000000"/>
                <w:kern w:val="0"/>
                <w:sz w:val="22"/>
                <w:szCs w:val="22"/>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 w:hRule="atLeast"/>
        </w:trPr>
        <w:tc>
          <w:tcPr>
            <w:tcW w:w="31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项目名称</w:t>
            </w:r>
          </w:p>
        </w:tc>
        <w:tc>
          <w:tcPr>
            <w:tcW w:w="131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51320022T000000344105-异地商会工作经费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31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主管部门</w:t>
            </w:r>
          </w:p>
        </w:tc>
        <w:tc>
          <w:tcPr>
            <w:tcW w:w="7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州工商联部门</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 xml:space="preserve">实施单位 </w:t>
            </w:r>
          </w:p>
        </w:tc>
        <w:tc>
          <w:tcPr>
            <w:tcW w:w="44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州工商联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4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项目基本情况</w:t>
            </w:r>
          </w:p>
        </w:tc>
        <w:tc>
          <w:tcPr>
            <w:tcW w:w="1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1.项目年度目标完成情况</w:t>
            </w:r>
          </w:p>
        </w:tc>
        <w:tc>
          <w:tcPr>
            <w:tcW w:w="7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项目年度目标</w:t>
            </w:r>
          </w:p>
        </w:tc>
        <w:tc>
          <w:tcPr>
            <w:tcW w:w="59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color w:val="000000"/>
                <w:kern w:val="2"/>
                <w:sz w:val="18"/>
                <w:szCs w:val="18"/>
                <w:lang w:val="en-US" w:eastAsia="zh-CN" w:bidi="ar-SA"/>
              </w:rPr>
            </w:pPr>
          </w:p>
        </w:tc>
        <w:tc>
          <w:tcPr>
            <w:tcW w:w="71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为创新经济服务工作，加强对产业政策对产业政策、行业发展规律的研究，主动参与行业标准制定，加强与异地商会非公企业联络与交流，对指导异地商会工作提供保障，建立商会联络制度完成率 = 100%。</w:t>
            </w:r>
          </w:p>
        </w:tc>
        <w:tc>
          <w:tcPr>
            <w:tcW w:w="59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对指导异地商会工作提供保障，加强与异地商会非公企业联络与交流．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2.项目实施内容及过程概述</w:t>
            </w:r>
          </w:p>
        </w:tc>
        <w:tc>
          <w:tcPr>
            <w:tcW w:w="1310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2025年协助党委政府帮助异地企业维护权益，用于异地商会办公经费补助及到异地商会开展工作联系服务等所需经费。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预算执行情况（10分）</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年度预算数（万元）</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年初预算</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调整后预算数</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预算执行数</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预算执行率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权重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得分</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总额</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12.00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6.37</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6.37</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其中：财政资金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12.00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6.37</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6.37</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财政专户管理资金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单位资金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其他资金</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35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绩效指标（90分）</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一级指标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二级指标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三级指标</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指标性质</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指标值</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度量单位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完成值</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权重</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得分</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产出指标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数量指标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扶持商会数量</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个</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5</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西藏商会暂无办公点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质量指标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异地商会工作开展覆盖率</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时效指标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项目完成时间</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定性</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2025年12月底</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2025年12月底</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效益指标</w:t>
            </w:r>
          </w:p>
        </w:tc>
        <w:tc>
          <w:tcPr>
            <w:tcW w:w="14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社会效益指标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提升加强与异地商会非公企业联络与交流</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定性</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显著提升</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显著提升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sz w:val="18"/>
                <w:szCs w:val="18"/>
              </w:rPr>
            </w:pPr>
          </w:p>
        </w:tc>
        <w:tc>
          <w:tcPr>
            <w:tcW w:w="14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sz w:val="18"/>
                <w:szCs w:val="18"/>
              </w:rPr>
            </w:pP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促进异地商会的发展</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定性</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效果显著</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sz w:val="18"/>
                <w:szCs w:val="18"/>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效果显著</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满意度指标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服务对象满意度指标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异地商会服务对象满意度</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color w:val="000000"/>
                <w:kern w:val="2"/>
                <w:sz w:val="18"/>
                <w:szCs w:val="18"/>
                <w:lang w:val="en-US" w:eastAsia="zh-CN" w:bidi="ar-SA"/>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成本指标</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经济成本指标</w:t>
            </w:r>
          </w:p>
        </w:tc>
        <w:tc>
          <w:tcPr>
            <w:tcW w:w="22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成本控制率</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185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合计</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85</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81"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评价结论</w:t>
            </w:r>
          </w:p>
        </w:tc>
        <w:tc>
          <w:tcPr>
            <w:tcW w:w="14819" w:type="dxa"/>
            <w:gridSpan w:val="10"/>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完成年初预算62.5%，自评得分95分，西藏商会因换届等原因未申请办公补助，为协助党委政府帮助异地企业维护权益，用于异地商会办公经费补助，2025年拨付重庆阿坝州商会3万元，帮扶成都阿坝州商会3万元。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8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存在问题</w:t>
            </w:r>
          </w:p>
        </w:tc>
        <w:tc>
          <w:tcPr>
            <w:tcW w:w="14819"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81"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改进措施</w:t>
            </w:r>
          </w:p>
        </w:tc>
        <w:tc>
          <w:tcPr>
            <w:tcW w:w="14819" w:type="dxa"/>
            <w:gridSpan w:val="10"/>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4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项目负责人：武向威</w:t>
            </w:r>
          </w:p>
        </w:tc>
        <w:tc>
          <w:tcPr>
            <w:tcW w:w="865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color w:val="000000"/>
                <w:kern w:val="2"/>
                <w:sz w:val="18"/>
                <w:szCs w:val="18"/>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财务负责人：龙安国</w:t>
            </w:r>
          </w:p>
        </w:tc>
      </w:tr>
    </w:tbl>
    <w:p>
      <w:pPr>
        <w:pStyle w:val="5"/>
        <w:rPr>
          <w:rFonts w:hint="eastAsia" w:ascii="Times New Roman" w:hAnsi="Times New Roman" w:cs="宋体"/>
          <w:color w:val="FF0000"/>
          <w:kern w:val="0"/>
          <w:sz w:val="32"/>
          <w:szCs w:val="32"/>
          <w:highlight w:val="yellow"/>
          <w:shd w:val="clear" w:color="auto" w:fill="FFFFFF"/>
          <w:lang w:val="zh-CN"/>
        </w:rPr>
      </w:pPr>
    </w:p>
    <w:tbl>
      <w:tblPr>
        <w:tblStyle w:val="15"/>
        <w:tblW w:w="16337" w:type="dxa"/>
        <w:tblInd w:w="-1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34"/>
        <w:gridCol w:w="945"/>
        <w:gridCol w:w="1846"/>
        <w:gridCol w:w="1525"/>
        <w:gridCol w:w="137"/>
        <w:gridCol w:w="1063"/>
        <w:gridCol w:w="1225"/>
        <w:gridCol w:w="737"/>
        <w:gridCol w:w="550"/>
        <w:gridCol w:w="410"/>
        <w:gridCol w:w="728"/>
        <w:gridCol w:w="625"/>
        <w:gridCol w:w="53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6337"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22"/>
                <w:szCs w:val="22"/>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1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项目名称</w:t>
            </w:r>
          </w:p>
        </w:tc>
        <w:tc>
          <w:tcPr>
            <w:tcW w:w="1415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51320025T000012466464-政府采购办公设备采购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1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主管部门</w:t>
            </w:r>
          </w:p>
        </w:tc>
        <w:tc>
          <w:tcPr>
            <w:tcW w:w="57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州工商联部门</w:t>
            </w:r>
          </w:p>
        </w:tc>
        <w:tc>
          <w:tcPr>
            <w:tcW w:w="1287"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 xml:space="preserve">实施单位 </w:t>
            </w:r>
          </w:p>
        </w:tc>
        <w:tc>
          <w:tcPr>
            <w:tcW w:w="70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州工商联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项目基本情况</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1.项目年度目标完成情况</w:t>
            </w:r>
          </w:p>
        </w:tc>
        <w:tc>
          <w:tcPr>
            <w:tcW w:w="57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项目年度目标</w:t>
            </w:r>
          </w:p>
        </w:tc>
        <w:tc>
          <w:tcPr>
            <w:tcW w:w="83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i w:val="0"/>
                <w:iCs w:val="0"/>
                <w:color w:val="000000"/>
                <w:sz w:val="18"/>
                <w:szCs w:val="18"/>
                <w:u w:val="none"/>
              </w:rPr>
            </w:pP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i w:val="0"/>
                <w:iCs w:val="0"/>
                <w:color w:val="000000"/>
                <w:sz w:val="18"/>
                <w:szCs w:val="18"/>
                <w:u w:val="none"/>
              </w:rPr>
            </w:pPr>
          </w:p>
        </w:tc>
        <w:tc>
          <w:tcPr>
            <w:tcW w:w="57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提升办公设备运行效率，保障日常工作高效开展。现在办公电脑设备均为2010年及2013年采购，机器老化，反应慢，影响办公效率。按照安可替代工程要求，需购置国产台式计算机4台*5000＝20000元，碎纸机1台*800元＝800元，档案柜3组*500元＝1500元，共计22300元。</w:t>
            </w:r>
          </w:p>
        </w:tc>
        <w:tc>
          <w:tcPr>
            <w:tcW w:w="83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完成设备购置任务，碎纸机1台档案柜3组，因接安可办通知国产电脑购置由他们统一采购发放，故未采购使用经费，年底退回财政。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方正仿宋_GBK" w:hAnsi="方正仿宋_GBK" w:eastAsia="方正仿宋_GBK" w:cs="方正仿宋_GBK"/>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2.项目实施内容及过程概述</w:t>
            </w:r>
          </w:p>
        </w:tc>
        <w:tc>
          <w:tcPr>
            <w:tcW w:w="1415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完成设备购置任务，碎纸机1台档案柜3组，因接安可办通知国产台式电脑由他们统一采购并发放，故未采购使用经费，年底退回财政。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2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预算执行情况（10分）</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年度预算数（万元）</w:t>
            </w:r>
          </w:p>
        </w:tc>
        <w:tc>
          <w:tcPr>
            <w:tcW w:w="18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年初预算</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调整后预算数</w:t>
            </w:r>
          </w:p>
        </w:tc>
        <w:tc>
          <w:tcPr>
            <w:tcW w:w="24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预算执行数</w:t>
            </w:r>
          </w:p>
        </w:tc>
        <w:tc>
          <w:tcPr>
            <w:tcW w:w="12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预算执行率</w:t>
            </w:r>
          </w:p>
        </w:tc>
        <w:tc>
          <w:tcPr>
            <w:tcW w:w="1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权重</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得分</w:t>
            </w:r>
          </w:p>
        </w:tc>
        <w:tc>
          <w:tcPr>
            <w:tcW w:w="5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总额</w:t>
            </w:r>
          </w:p>
        </w:tc>
        <w:tc>
          <w:tcPr>
            <w:tcW w:w="18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2.23</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0.22</w:t>
            </w:r>
          </w:p>
        </w:tc>
        <w:tc>
          <w:tcPr>
            <w:tcW w:w="24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0.22</w:t>
            </w:r>
          </w:p>
        </w:tc>
        <w:tc>
          <w:tcPr>
            <w:tcW w:w="12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100.00%</w:t>
            </w:r>
          </w:p>
        </w:tc>
        <w:tc>
          <w:tcPr>
            <w:tcW w:w="1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53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iCs/>
                <w:color w:val="000000"/>
                <w:sz w:val="18"/>
                <w:szCs w:val="18"/>
                <w:u w:val="none"/>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其中：财政资金</w:t>
            </w:r>
          </w:p>
        </w:tc>
        <w:tc>
          <w:tcPr>
            <w:tcW w:w="18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2.23</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0.22</w:t>
            </w:r>
          </w:p>
        </w:tc>
        <w:tc>
          <w:tcPr>
            <w:tcW w:w="24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0.22</w:t>
            </w:r>
          </w:p>
        </w:tc>
        <w:tc>
          <w:tcPr>
            <w:tcW w:w="12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100.00%</w:t>
            </w:r>
          </w:p>
        </w:tc>
        <w:tc>
          <w:tcPr>
            <w:tcW w:w="1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53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财政专户管理资金</w:t>
            </w:r>
          </w:p>
        </w:tc>
        <w:tc>
          <w:tcPr>
            <w:tcW w:w="18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24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2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53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单位资金</w:t>
            </w:r>
          </w:p>
        </w:tc>
        <w:tc>
          <w:tcPr>
            <w:tcW w:w="18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24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2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0.00%</w:t>
            </w:r>
          </w:p>
        </w:tc>
        <w:tc>
          <w:tcPr>
            <w:tcW w:w="1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53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其他资金</w:t>
            </w:r>
          </w:p>
        </w:tc>
        <w:tc>
          <w:tcPr>
            <w:tcW w:w="18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iCs/>
                <w:color w:val="000000"/>
                <w:sz w:val="18"/>
                <w:szCs w:val="18"/>
                <w:u w:val="none"/>
              </w:rPr>
            </w:pP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iCs/>
                <w:color w:val="000000"/>
                <w:sz w:val="18"/>
                <w:szCs w:val="18"/>
                <w:u w:val="none"/>
              </w:rPr>
            </w:pPr>
          </w:p>
        </w:tc>
        <w:tc>
          <w:tcPr>
            <w:tcW w:w="24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iCs/>
                <w:color w:val="000000"/>
                <w:sz w:val="18"/>
                <w:szCs w:val="18"/>
                <w:u w:val="none"/>
              </w:rPr>
            </w:pPr>
          </w:p>
        </w:tc>
        <w:tc>
          <w:tcPr>
            <w:tcW w:w="12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iCs/>
                <w:color w:val="000000"/>
                <w:sz w:val="18"/>
                <w:szCs w:val="18"/>
                <w:u w:val="none"/>
              </w:rPr>
            </w:pPr>
          </w:p>
        </w:tc>
        <w:tc>
          <w:tcPr>
            <w:tcW w:w="1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53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2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绩效指标（90分）</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一级指标</w:t>
            </w:r>
          </w:p>
        </w:tc>
        <w:tc>
          <w:tcPr>
            <w:tcW w:w="18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二级指标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三级指标</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指标值</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度量单位</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完成值</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权重</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得分</w:t>
            </w:r>
          </w:p>
        </w:tc>
        <w:tc>
          <w:tcPr>
            <w:tcW w:w="5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产出指标</w:t>
            </w:r>
          </w:p>
        </w:tc>
        <w:tc>
          <w:tcPr>
            <w:tcW w:w="1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数量指标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台式计算机数量</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4</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台</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0</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5</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5</w:t>
            </w:r>
          </w:p>
        </w:tc>
        <w:tc>
          <w:tcPr>
            <w:tcW w:w="5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iCs/>
                <w:color w:val="000000"/>
                <w:sz w:val="18"/>
                <w:szCs w:val="18"/>
                <w:u w:val="none"/>
              </w:rPr>
            </w:pPr>
            <w:r>
              <w:rPr>
                <w:rFonts w:hint="eastAsia" w:ascii="方正仿宋_GBK" w:hAnsi="方正仿宋_GBK" w:eastAsia="方正仿宋_GBK" w:cs="方正仿宋_GBK"/>
                <w:i/>
                <w:iCs/>
                <w:color w:val="000000"/>
                <w:kern w:val="0"/>
                <w:sz w:val="18"/>
                <w:szCs w:val="18"/>
                <w:u w:val="none"/>
                <w:lang w:val="en-US" w:eastAsia="zh-CN" w:bidi="ar"/>
              </w:rPr>
              <w:t>接安可办通知国产台式电脑由他们统一采购并发放，故未采购使用经费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1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档案柜数量</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3</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组</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3</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5</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5</w:t>
            </w:r>
          </w:p>
        </w:tc>
        <w:tc>
          <w:tcPr>
            <w:tcW w:w="5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iCs/>
                <w:color w:val="000000"/>
                <w:sz w:val="18"/>
                <w:szCs w:val="18"/>
                <w:u w:val="none"/>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1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碎纸机数量</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台</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5</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5</w:t>
            </w:r>
          </w:p>
        </w:tc>
        <w:tc>
          <w:tcPr>
            <w:tcW w:w="5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iCs/>
                <w:color w:val="000000"/>
                <w:sz w:val="18"/>
                <w:szCs w:val="18"/>
                <w:u w:val="none"/>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1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质量指标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验收合格率</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5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iCs/>
                <w:color w:val="000000"/>
                <w:sz w:val="18"/>
                <w:szCs w:val="18"/>
                <w:u w:val="none"/>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1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设备性能达标率</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53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18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时效指标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购买完成时间</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2025年12月底前</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2025年12月底前</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5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iCs/>
                <w:color w:val="000000"/>
                <w:sz w:val="18"/>
                <w:szCs w:val="18"/>
                <w:u w:val="none"/>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1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效益指标</w:t>
            </w:r>
          </w:p>
        </w:tc>
        <w:tc>
          <w:tcPr>
            <w:tcW w:w="18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可持续影响指标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保障工商联职工工作正常开展</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效果显著</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效果显著</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5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iCs/>
                <w:color w:val="000000"/>
                <w:sz w:val="18"/>
                <w:szCs w:val="18"/>
                <w:u w:val="none"/>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满意度指标</w:t>
            </w:r>
          </w:p>
        </w:tc>
        <w:tc>
          <w:tcPr>
            <w:tcW w:w="18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满意度指标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工作人员满意度</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5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iCs/>
                <w:color w:val="000000"/>
                <w:sz w:val="18"/>
                <w:szCs w:val="18"/>
                <w:u w:val="none"/>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2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成本指标</w:t>
            </w:r>
          </w:p>
        </w:tc>
        <w:tc>
          <w:tcPr>
            <w:tcW w:w="18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经济成本指标</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成本控制率</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10</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20</w:t>
            </w:r>
          </w:p>
        </w:tc>
        <w:tc>
          <w:tcPr>
            <w:tcW w:w="5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iCs/>
                <w:color w:val="000000"/>
                <w:sz w:val="18"/>
                <w:szCs w:val="18"/>
                <w:u w:val="none"/>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 w:hRule="atLeast"/>
        </w:trPr>
        <w:tc>
          <w:tcPr>
            <w:tcW w:w="926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合计</w:t>
            </w:r>
          </w:p>
        </w:tc>
        <w:tc>
          <w:tcPr>
            <w:tcW w:w="1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100</w:t>
            </w:r>
          </w:p>
        </w:tc>
        <w:tc>
          <w:tcPr>
            <w:tcW w:w="53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方正仿宋_GBK" w:hAnsi="方正仿宋_GBK" w:eastAsia="方正仿宋_GBK" w:cs="方正仿宋_GBK"/>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评价结论</w:t>
            </w:r>
          </w:p>
        </w:tc>
        <w:tc>
          <w:tcPr>
            <w:tcW w:w="15103"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iCs/>
                <w:color w:val="000000"/>
                <w:sz w:val="18"/>
                <w:szCs w:val="18"/>
                <w:u w:val="none"/>
              </w:rPr>
            </w:pPr>
            <w:r>
              <w:rPr>
                <w:rFonts w:hint="eastAsia" w:ascii="方正仿宋_GBK" w:hAnsi="方正仿宋_GBK" w:eastAsia="方正仿宋_GBK" w:cs="方正仿宋_GBK"/>
                <w:i/>
                <w:iCs/>
                <w:color w:val="000000"/>
                <w:kern w:val="0"/>
                <w:sz w:val="18"/>
                <w:szCs w:val="18"/>
                <w:u w:val="none"/>
                <w:lang w:val="en-US" w:eastAsia="zh-CN" w:bidi="ar"/>
              </w:rPr>
              <w:t>完成年初预算的90.44%，自评得分100分，完成设备购置任务，保障工商联职工工作正常开展。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存在问题</w:t>
            </w:r>
          </w:p>
        </w:tc>
        <w:tc>
          <w:tcPr>
            <w:tcW w:w="15103"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iCs/>
                <w:color w:val="000000"/>
                <w:sz w:val="18"/>
                <w:szCs w:val="18"/>
                <w:u w:val="none"/>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改进措施</w:t>
            </w:r>
          </w:p>
        </w:tc>
        <w:tc>
          <w:tcPr>
            <w:tcW w:w="15103"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iCs/>
                <w:color w:val="000000"/>
                <w:sz w:val="18"/>
                <w:szCs w:val="18"/>
                <w:u w:val="none"/>
              </w:rPr>
            </w:pPr>
            <w:r>
              <w:rPr>
                <w:rFonts w:hint="eastAsia" w:ascii="方正仿宋_GBK" w:hAnsi="方正仿宋_GBK" w:eastAsia="方正仿宋_GBK" w:cs="方正仿宋_GBK"/>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6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项目负责人：武向威</w:t>
            </w:r>
          </w:p>
        </w:tc>
        <w:tc>
          <w:tcPr>
            <w:tcW w:w="1065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财务负责人：龙安国</w:t>
            </w:r>
          </w:p>
        </w:tc>
      </w:tr>
    </w:tbl>
    <w:p>
      <w:pPr>
        <w:rPr>
          <w:rFonts w:hint="eastAsia" w:ascii="Times New Roman" w:hAnsi="Times New Roman" w:eastAsia="黑体" w:cs="黑体"/>
          <w:color w:val="auto"/>
          <w:kern w:val="0"/>
          <w:sz w:val="32"/>
          <w:szCs w:val="32"/>
          <w:highlight w:val="none"/>
          <w:shd w:val="clear" w:color="auto" w:fill="FFFFFF"/>
          <w:lang w:val="zh-CN"/>
        </w:rPr>
        <w:sectPr>
          <w:type w:val="continuous"/>
          <w:pgSz w:w="16838" w:h="11906" w:orient="landscape"/>
          <w:pgMar w:top="57" w:right="567" w:bottom="283" w:left="567" w:header="851" w:footer="992" w:gutter="0"/>
          <w:pgNumType w:fmt="numberInDash"/>
          <w:cols w:space="425" w:num="1"/>
          <w:titlePg/>
          <w:docGrid w:type="lines" w:linePitch="312" w:charSpace="0"/>
        </w:sectPr>
      </w:pPr>
    </w:p>
    <w:p>
      <w:pPr>
        <w:widowControl/>
        <w:jc w:val="center"/>
        <w:rPr>
          <w:rFonts w:hint="eastAsia" w:ascii="Times New Roman" w:hAnsi="Times New Roman" w:eastAsia="仿宋"/>
          <w:b w:val="0"/>
          <w:color w:val="auto"/>
          <w:highlight w:val="none"/>
        </w:rPr>
      </w:pPr>
      <w:bookmarkStart w:id="66" w:name="_Toc15396618"/>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64"/>
      <w:bookmarkEnd w:id="66"/>
      <w:bookmarkStart w:id="67"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7"/>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0"/>
      <w:r>
        <w:rPr>
          <w:rFonts w:hint="eastAsia" w:ascii="Times New Roman" w:hAnsi="Times New Roman" w:eastAsia="仿宋_GB2312" w:cs="仿宋_GB2312"/>
          <w:color w:val="auto"/>
          <w:sz w:val="32"/>
          <w:szCs w:val="32"/>
          <w:highlight w:val="none"/>
        </w:rPr>
        <w:t>二、收入决算表</w:t>
      </w:r>
      <w:bookmarkEnd w:id="68"/>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21"/>
      <w:r>
        <w:rPr>
          <w:rFonts w:hint="eastAsia" w:ascii="Times New Roman" w:hAnsi="Times New Roman" w:eastAsia="仿宋_GB2312" w:cs="仿宋_GB2312"/>
          <w:color w:val="auto"/>
          <w:sz w:val="32"/>
          <w:szCs w:val="32"/>
          <w:highlight w:val="none"/>
        </w:rPr>
        <w:t>三、支出决算表</w:t>
      </w:r>
      <w:bookmarkEnd w:id="6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0" w:name="_Toc15396622"/>
      <w:r>
        <w:rPr>
          <w:rFonts w:hint="eastAsia" w:ascii="Times New Roman" w:hAnsi="Times New Roman" w:eastAsia="仿宋_GB2312" w:cs="仿宋_GB2312"/>
          <w:color w:val="auto"/>
          <w:sz w:val="32"/>
          <w:szCs w:val="32"/>
          <w:highlight w:val="none"/>
        </w:rPr>
        <w:t>四、财政拨款收入支出决算总表</w:t>
      </w:r>
      <w:bookmarkEnd w:id="70"/>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1" w:name="_Toc15396623"/>
      <w:r>
        <w:rPr>
          <w:rFonts w:hint="eastAsia" w:ascii="Times New Roman" w:hAnsi="Times New Roman" w:eastAsia="仿宋_GB2312" w:cs="仿宋_GB2312"/>
          <w:color w:val="auto"/>
          <w:sz w:val="32"/>
          <w:szCs w:val="32"/>
          <w:highlight w:val="none"/>
        </w:rPr>
        <w:t>五、财政拨款支出决算明细表</w:t>
      </w:r>
      <w:bookmarkEnd w:id="71"/>
      <w:bookmarkStart w:id="72"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2"/>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3" w:name="_Toc15396625"/>
      <w:r>
        <w:rPr>
          <w:rFonts w:hint="eastAsia" w:ascii="Times New Roman" w:hAnsi="Times New Roman" w:eastAsia="仿宋_GB2312" w:cs="仿宋_GB2312"/>
          <w:color w:val="auto"/>
          <w:sz w:val="32"/>
          <w:szCs w:val="32"/>
          <w:highlight w:val="none"/>
        </w:rPr>
        <w:t>七、一般公共预算财政拨款支出决算明细表</w:t>
      </w:r>
      <w:bookmarkEnd w:id="73"/>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4" w:name="_Toc15396626"/>
      <w:r>
        <w:rPr>
          <w:rFonts w:hint="eastAsia" w:ascii="Times New Roman" w:hAnsi="Times New Roman" w:eastAsia="仿宋_GB2312" w:cs="仿宋_GB2312"/>
          <w:color w:val="auto"/>
          <w:sz w:val="32"/>
          <w:szCs w:val="32"/>
          <w:highlight w:val="none"/>
        </w:rPr>
        <w:t>八、一般公共预算财政拨款基本支出决算表</w:t>
      </w:r>
      <w:bookmarkEnd w:id="7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5" w:name="_Toc15396627"/>
      <w:r>
        <w:rPr>
          <w:rFonts w:hint="eastAsia" w:ascii="Times New Roman" w:hAnsi="Times New Roman" w:eastAsia="仿宋_GB2312" w:cs="仿宋_GB2312"/>
          <w:color w:val="auto"/>
          <w:sz w:val="32"/>
          <w:szCs w:val="32"/>
          <w:highlight w:val="none"/>
        </w:rPr>
        <w:t>九、一般公共预算财政拨款项目支出决算表</w:t>
      </w:r>
      <w:bookmarkEnd w:id="75"/>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6" w:name="_Toc15396628"/>
      <w:r>
        <w:rPr>
          <w:rFonts w:hint="eastAsia" w:ascii="Times New Roman" w:hAnsi="Times New Roman" w:eastAsia="仿宋_GB2312" w:cs="仿宋_GB2312"/>
          <w:color w:val="auto"/>
          <w:sz w:val="32"/>
          <w:szCs w:val="32"/>
          <w:highlight w:val="none"/>
        </w:rPr>
        <w:t>十、</w:t>
      </w:r>
      <w:bookmarkEnd w:id="76"/>
      <w:r>
        <w:rPr>
          <w:rFonts w:hint="eastAsia" w:ascii="Times New Roman" w:hAnsi="Times New Roman" w:eastAsia="仿宋_GB2312" w:cs="仿宋_GB2312"/>
          <w:color w:val="auto"/>
          <w:sz w:val="32"/>
          <w:szCs w:val="32"/>
          <w:highlight w:val="none"/>
        </w:rPr>
        <w:t>政府性基金预算财政拨款收入支出决算表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7" w:name="_Toc15396629"/>
      <w:r>
        <w:rPr>
          <w:rFonts w:hint="eastAsia" w:ascii="Times New Roman" w:hAnsi="Times New Roman" w:eastAsia="仿宋_GB2312" w:cs="仿宋_GB2312"/>
          <w:color w:val="auto"/>
          <w:sz w:val="32"/>
          <w:szCs w:val="32"/>
          <w:highlight w:val="none"/>
        </w:rPr>
        <w:t>十一、</w:t>
      </w:r>
      <w:bookmarkEnd w:id="77"/>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8" w:name="_Toc15396630"/>
      <w:r>
        <w:rPr>
          <w:rFonts w:hint="eastAsia" w:ascii="Times New Roman" w:hAnsi="Times New Roman" w:eastAsia="仿宋_GB2312" w:cs="仿宋_GB2312"/>
          <w:color w:val="auto"/>
          <w:sz w:val="32"/>
          <w:szCs w:val="32"/>
          <w:highlight w:val="none"/>
        </w:rPr>
        <w:t>十二、</w:t>
      </w:r>
      <w:bookmarkEnd w:id="78"/>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9" w:name="_Toc15396631"/>
      <w:r>
        <w:rPr>
          <w:rFonts w:hint="eastAsia" w:ascii="Times New Roman" w:hAnsi="Times New Roman" w:eastAsia="仿宋_GB2312" w:cs="仿宋_GB2312"/>
          <w:color w:val="auto"/>
          <w:sz w:val="32"/>
          <w:szCs w:val="32"/>
          <w:highlight w:val="none"/>
        </w:rPr>
        <w:t>十三、</w:t>
      </w:r>
      <w:bookmarkEnd w:id="79"/>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type w:val="continuous"/>
      <w:pgSz w:w="11906" w:h="16838"/>
      <w:pgMar w:top="1440" w:right="1800" w:bottom="1440" w:left="1800"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微软雅黑">
    <w:altName w:val="黑体"/>
    <w:panose1 w:val="00000000000000000000"/>
    <w:charset w:val="00"/>
    <w:family w:val="auto"/>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script"/>
    <w:pitch w:val="default"/>
    <w:sig w:usb0="A00002BF" w:usb1="38CF7CFA" w:usb2="00082016" w:usb3="00000000" w:csb0="00040001" w:csb1="00000000"/>
  </w:font>
  <w:font w:name="方正楷体_GBK">
    <w:panose1 w:val="02000000000000000000"/>
    <w:charset w:val="86"/>
    <w:family w:val="auto"/>
    <w:pitch w:val="default"/>
    <w:sig w:usb0="00000001" w:usb1="08000000" w:usb2="00000000" w:usb3="00000000" w:csb0="00040000" w:csb1="00000000"/>
  </w:font>
  <w:font w:name="SimSun">
    <w:panose1 w:val="02010600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6wA4ejECAABjBAAADgAAAAAAAAABACAAAAA1&#10;AQAAZHJzL2Uyb0RvYy54bWxQSwUGAAAAAAYABgBZAQAA2A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s/vGRMQIAAGM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bP7xkTECAABjBAAADgAAAAAAAAABACAAAAA1&#10;AQAAZHJzL2Uyb0RvYy54bWxQSwUGAAAAAAYABgBZAQAA2A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7BCAE3"/>
    <w:multiLevelType w:val="singleLevel"/>
    <w:tmpl w:val="F77BCAE3"/>
    <w:lvl w:ilvl="0" w:tentative="0">
      <w:start w:val="1"/>
      <w:numFmt w:val="chineseCounting"/>
      <w:suff w:val="nothing"/>
      <w:lvlText w:val="%1、"/>
      <w:lvlJc w:val="left"/>
      <w:rPr>
        <w:rFonts w:hint="eastAsia"/>
      </w:rPr>
    </w:lvl>
  </w:abstractNum>
  <w:abstractNum w:abstractNumId="1">
    <w:nsid w:val="FCB08EFC"/>
    <w:multiLevelType w:val="multilevel"/>
    <w:tmpl w:val="FCB08EFC"/>
    <w:lvl w:ilvl="0" w:tentative="0">
      <w:start w:val="1"/>
      <w:numFmt w:val="decimal"/>
      <w:lvlText w:val="%1."/>
      <w:legacy w:legacy="1" w:legacySpace="0" w:legacyIndent="360"/>
      <w:lvlJc w:val="left"/>
      <w:pPr>
        <w:ind w:left="1000" w:hanging="360"/>
      </w:pPr>
    </w:lvl>
    <w:lvl w:ilvl="1" w:tentative="0">
      <w:start w:val="1"/>
      <w:numFmt w:val="lowerLetter"/>
      <w:lvlText w:val="%2)"/>
      <w:legacy w:legacy="1" w:legacySpace="0" w:legacyIndent="420"/>
      <w:lvlJc w:val="left"/>
      <w:pPr>
        <w:ind w:left="1480" w:hanging="420"/>
      </w:pPr>
    </w:lvl>
    <w:lvl w:ilvl="2" w:tentative="0">
      <w:start w:val="1"/>
      <w:numFmt w:val="lowerRoman"/>
      <w:lvlText w:val="%3."/>
      <w:legacy w:legacy="1" w:legacySpace="0" w:legacyIndent="420"/>
      <w:lvlJc w:val="right"/>
      <w:pPr>
        <w:ind w:left="1900" w:hanging="420"/>
      </w:pPr>
    </w:lvl>
    <w:lvl w:ilvl="3" w:tentative="0">
      <w:start w:val="1"/>
      <w:numFmt w:val="decimal"/>
      <w:lvlText w:val="%4."/>
      <w:legacy w:legacy="1" w:legacySpace="0" w:legacyIndent="420"/>
      <w:lvlJc w:val="left"/>
      <w:pPr>
        <w:ind w:left="2320" w:hanging="420"/>
      </w:pPr>
    </w:lvl>
    <w:lvl w:ilvl="4" w:tentative="0">
      <w:start w:val="1"/>
      <w:numFmt w:val="lowerLetter"/>
      <w:lvlText w:val="%5)"/>
      <w:legacy w:legacy="1" w:legacySpace="0" w:legacyIndent="420"/>
      <w:lvlJc w:val="left"/>
      <w:pPr>
        <w:ind w:left="2740" w:hanging="420"/>
      </w:pPr>
    </w:lvl>
    <w:lvl w:ilvl="5" w:tentative="0">
      <w:start w:val="1"/>
      <w:numFmt w:val="lowerRoman"/>
      <w:lvlText w:val="%6."/>
      <w:legacy w:legacy="1" w:legacySpace="0" w:legacyIndent="420"/>
      <w:lvlJc w:val="right"/>
      <w:pPr>
        <w:ind w:left="3160" w:hanging="420"/>
      </w:pPr>
    </w:lvl>
    <w:lvl w:ilvl="6" w:tentative="0">
      <w:start w:val="1"/>
      <w:numFmt w:val="decimal"/>
      <w:lvlText w:val="%7."/>
      <w:legacy w:legacy="1" w:legacySpace="0" w:legacyIndent="420"/>
      <w:lvlJc w:val="left"/>
      <w:pPr>
        <w:ind w:left="3580" w:hanging="420"/>
      </w:pPr>
    </w:lvl>
    <w:lvl w:ilvl="7" w:tentative="0">
      <w:start w:val="1"/>
      <w:numFmt w:val="lowerLetter"/>
      <w:lvlText w:val="%8)"/>
      <w:legacy w:legacy="1" w:legacySpace="0" w:legacyIndent="420"/>
      <w:lvlJc w:val="left"/>
      <w:pPr>
        <w:ind w:left="4000" w:hanging="420"/>
      </w:pPr>
    </w:lvl>
    <w:lvl w:ilvl="8" w:tentative="0">
      <w:start w:val="1"/>
      <w:numFmt w:val="lowerRoman"/>
      <w:lvlText w:val="%9."/>
      <w:legacy w:legacy="1" w:legacySpace="0" w:legacyIndent="420"/>
      <w:lvlJc w:val="right"/>
      <w:pPr>
        <w:ind w:left="44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DFD8BA"/>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7FF3EE6"/>
    <w:rsid w:val="186504BB"/>
    <w:rsid w:val="19A445FC"/>
    <w:rsid w:val="1BE8440E"/>
    <w:rsid w:val="1D155CEE"/>
    <w:rsid w:val="1D1638FE"/>
    <w:rsid w:val="1E312DEB"/>
    <w:rsid w:val="1E740ACF"/>
    <w:rsid w:val="1F73B895"/>
    <w:rsid w:val="1FF35744"/>
    <w:rsid w:val="1FF6BC77"/>
    <w:rsid w:val="2186353C"/>
    <w:rsid w:val="23860B96"/>
    <w:rsid w:val="240371BF"/>
    <w:rsid w:val="244F3473"/>
    <w:rsid w:val="24C97D99"/>
    <w:rsid w:val="25A718F0"/>
    <w:rsid w:val="25BB59F6"/>
    <w:rsid w:val="260F557C"/>
    <w:rsid w:val="26970054"/>
    <w:rsid w:val="27FB011C"/>
    <w:rsid w:val="281408E2"/>
    <w:rsid w:val="29FD04D3"/>
    <w:rsid w:val="2B7FCBD0"/>
    <w:rsid w:val="2BFD5AE9"/>
    <w:rsid w:val="2BFF7BC6"/>
    <w:rsid w:val="2C8A61B5"/>
    <w:rsid w:val="2DF04E50"/>
    <w:rsid w:val="2E586DFA"/>
    <w:rsid w:val="2F040D46"/>
    <w:rsid w:val="2F6B035B"/>
    <w:rsid w:val="2FAE5751"/>
    <w:rsid w:val="2FB1A395"/>
    <w:rsid w:val="2FD9A7D8"/>
    <w:rsid w:val="2FDBF714"/>
    <w:rsid w:val="30AB6865"/>
    <w:rsid w:val="319F7F4E"/>
    <w:rsid w:val="32BD1EF1"/>
    <w:rsid w:val="3304709D"/>
    <w:rsid w:val="33A773CB"/>
    <w:rsid w:val="349D6851"/>
    <w:rsid w:val="35AB5045"/>
    <w:rsid w:val="35E71368"/>
    <w:rsid w:val="36AA5135"/>
    <w:rsid w:val="36BE0DA7"/>
    <w:rsid w:val="376B6AA6"/>
    <w:rsid w:val="376D39B2"/>
    <w:rsid w:val="37E16F03"/>
    <w:rsid w:val="37F53A3B"/>
    <w:rsid w:val="389B6C89"/>
    <w:rsid w:val="38D469F0"/>
    <w:rsid w:val="39627CCD"/>
    <w:rsid w:val="396B8B84"/>
    <w:rsid w:val="3977AC4B"/>
    <w:rsid w:val="397BAF1F"/>
    <w:rsid w:val="3AB79AF3"/>
    <w:rsid w:val="3AE834C0"/>
    <w:rsid w:val="3B7EF35A"/>
    <w:rsid w:val="3B9FDB6C"/>
    <w:rsid w:val="3BF5BC2F"/>
    <w:rsid w:val="3CEBA265"/>
    <w:rsid w:val="3D32C8B4"/>
    <w:rsid w:val="3D98207C"/>
    <w:rsid w:val="3DDF7155"/>
    <w:rsid w:val="3DEE7CF3"/>
    <w:rsid w:val="3E740A63"/>
    <w:rsid w:val="3E78745D"/>
    <w:rsid w:val="3EE17838"/>
    <w:rsid w:val="3F55381A"/>
    <w:rsid w:val="3F7F7599"/>
    <w:rsid w:val="3FB60844"/>
    <w:rsid w:val="3FDF89A2"/>
    <w:rsid w:val="3FF4CAE0"/>
    <w:rsid w:val="3FF7B227"/>
    <w:rsid w:val="44E268DA"/>
    <w:rsid w:val="450D13D7"/>
    <w:rsid w:val="45506656"/>
    <w:rsid w:val="486A6C7A"/>
    <w:rsid w:val="4A627F82"/>
    <w:rsid w:val="4B0E749A"/>
    <w:rsid w:val="4B2477C4"/>
    <w:rsid w:val="4B3E06CD"/>
    <w:rsid w:val="4B4F25DA"/>
    <w:rsid w:val="4BE068DB"/>
    <w:rsid w:val="4D577224"/>
    <w:rsid w:val="4DBF1CEB"/>
    <w:rsid w:val="4DF0007C"/>
    <w:rsid w:val="4EAB630A"/>
    <w:rsid w:val="4ECE2238"/>
    <w:rsid w:val="4F6FFD60"/>
    <w:rsid w:val="4F833267"/>
    <w:rsid w:val="4FE9BD67"/>
    <w:rsid w:val="4FFB052F"/>
    <w:rsid w:val="50F17A28"/>
    <w:rsid w:val="537E6D0A"/>
    <w:rsid w:val="53F74C96"/>
    <w:rsid w:val="55170BA8"/>
    <w:rsid w:val="553218C9"/>
    <w:rsid w:val="567E1AA5"/>
    <w:rsid w:val="56E47B74"/>
    <w:rsid w:val="57175D52"/>
    <w:rsid w:val="57BD3DD4"/>
    <w:rsid w:val="59A30DE8"/>
    <w:rsid w:val="5AF92295"/>
    <w:rsid w:val="5B250254"/>
    <w:rsid w:val="5BDD79E6"/>
    <w:rsid w:val="5BF561CA"/>
    <w:rsid w:val="5BFABDBC"/>
    <w:rsid w:val="5BFF5DFC"/>
    <w:rsid w:val="5CD71FC4"/>
    <w:rsid w:val="5D1F11B5"/>
    <w:rsid w:val="5D5E2818"/>
    <w:rsid w:val="5D695134"/>
    <w:rsid w:val="5DAE1B18"/>
    <w:rsid w:val="5DE7D9E5"/>
    <w:rsid w:val="5E0FD55E"/>
    <w:rsid w:val="5ECEC941"/>
    <w:rsid w:val="5EEF6A9A"/>
    <w:rsid w:val="5FBBCC37"/>
    <w:rsid w:val="5FBF9FF3"/>
    <w:rsid w:val="5FCD4E2C"/>
    <w:rsid w:val="5FEF394A"/>
    <w:rsid w:val="5FF67715"/>
    <w:rsid w:val="627F9F4A"/>
    <w:rsid w:val="62BF3928"/>
    <w:rsid w:val="63B3701E"/>
    <w:rsid w:val="647F5392"/>
    <w:rsid w:val="65E66580"/>
    <w:rsid w:val="664B1D71"/>
    <w:rsid w:val="664B4E8E"/>
    <w:rsid w:val="67277B67"/>
    <w:rsid w:val="676E753E"/>
    <w:rsid w:val="67AA3209"/>
    <w:rsid w:val="698D0931"/>
    <w:rsid w:val="6A7FE5F3"/>
    <w:rsid w:val="6B053271"/>
    <w:rsid w:val="6BD8F658"/>
    <w:rsid w:val="6BDD78B3"/>
    <w:rsid w:val="6C4A05C8"/>
    <w:rsid w:val="6C8742B8"/>
    <w:rsid w:val="6DBF5E93"/>
    <w:rsid w:val="6DFF077E"/>
    <w:rsid w:val="6E714EF0"/>
    <w:rsid w:val="6E7E3605"/>
    <w:rsid w:val="6E7FDCC7"/>
    <w:rsid w:val="6ED6A62E"/>
    <w:rsid w:val="6ED7D394"/>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7FC792"/>
    <w:rsid w:val="778769C8"/>
    <w:rsid w:val="77A75DCA"/>
    <w:rsid w:val="77DC22F5"/>
    <w:rsid w:val="77F28284"/>
    <w:rsid w:val="783E271A"/>
    <w:rsid w:val="78616DE9"/>
    <w:rsid w:val="78E875D7"/>
    <w:rsid w:val="79086DAD"/>
    <w:rsid w:val="79D7FD79"/>
    <w:rsid w:val="79EE5BA4"/>
    <w:rsid w:val="7A894339"/>
    <w:rsid w:val="7AD284E8"/>
    <w:rsid w:val="7AFF7572"/>
    <w:rsid w:val="7B6C7DFB"/>
    <w:rsid w:val="7BBB3701"/>
    <w:rsid w:val="7BBF2299"/>
    <w:rsid w:val="7BBFBED0"/>
    <w:rsid w:val="7BC3E394"/>
    <w:rsid w:val="7C1F3737"/>
    <w:rsid w:val="7CBFC87B"/>
    <w:rsid w:val="7CE186AD"/>
    <w:rsid w:val="7CFE0F48"/>
    <w:rsid w:val="7D091597"/>
    <w:rsid w:val="7D272ABC"/>
    <w:rsid w:val="7D7EC23E"/>
    <w:rsid w:val="7E8ADEBF"/>
    <w:rsid w:val="7EEF11D3"/>
    <w:rsid w:val="7EFD7BB6"/>
    <w:rsid w:val="7EFE4840"/>
    <w:rsid w:val="7F0971A6"/>
    <w:rsid w:val="7F1D62E7"/>
    <w:rsid w:val="7F3F679B"/>
    <w:rsid w:val="7F3FEB60"/>
    <w:rsid w:val="7F4FC4EF"/>
    <w:rsid w:val="7F5E4D54"/>
    <w:rsid w:val="7F6E0135"/>
    <w:rsid w:val="7F79F205"/>
    <w:rsid w:val="7F7DA797"/>
    <w:rsid w:val="7FA30C79"/>
    <w:rsid w:val="7FA79C44"/>
    <w:rsid w:val="7FAF8ABF"/>
    <w:rsid w:val="7FAFA348"/>
    <w:rsid w:val="7FB63E21"/>
    <w:rsid w:val="7FB7269E"/>
    <w:rsid w:val="7FC96657"/>
    <w:rsid w:val="7FDA9588"/>
    <w:rsid w:val="7FDF220F"/>
    <w:rsid w:val="7FE3A1CF"/>
    <w:rsid w:val="7FEDC5F7"/>
    <w:rsid w:val="7FEDD9DE"/>
    <w:rsid w:val="7FEF240C"/>
    <w:rsid w:val="7FF5890D"/>
    <w:rsid w:val="7FF93490"/>
    <w:rsid w:val="7FFC8746"/>
    <w:rsid w:val="7FFDF500"/>
    <w:rsid w:val="7FFED473"/>
    <w:rsid w:val="8F7F92C4"/>
    <w:rsid w:val="99FF2014"/>
    <w:rsid w:val="9BFF426F"/>
    <w:rsid w:val="9FD64AE8"/>
    <w:rsid w:val="A6DD0D7F"/>
    <w:rsid w:val="ACFF4FBB"/>
    <w:rsid w:val="ADC6F725"/>
    <w:rsid w:val="B7CF06AB"/>
    <w:rsid w:val="B7CFA926"/>
    <w:rsid w:val="B7F8786B"/>
    <w:rsid w:val="BABB6AA1"/>
    <w:rsid w:val="BB2F4199"/>
    <w:rsid w:val="BCFFB442"/>
    <w:rsid w:val="BD079C78"/>
    <w:rsid w:val="BD733540"/>
    <w:rsid w:val="BE7F40E6"/>
    <w:rsid w:val="BF3735D5"/>
    <w:rsid w:val="BF7F09AC"/>
    <w:rsid w:val="BFAED5A6"/>
    <w:rsid w:val="BFD475C3"/>
    <w:rsid w:val="BFDE5EA6"/>
    <w:rsid w:val="CF6FC6F3"/>
    <w:rsid w:val="CFD3D3D7"/>
    <w:rsid w:val="CFDF1009"/>
    <w:rsid w:val="D5BD35F3"/>
    <w:rsid w:val="D6FB8D56"/>
    <w:rsid w:val="D7D7B16A"/>
    <w:rsid w:val="D8D6DB89"/>
    <w:rsid w:val="D9FEDD88"/>
    <w:rsid w:val="DB6F4CAB"/>
    <w:rsid w:val="DB777682"/>
    <w:rsid w:val="DCF9306D"/>
    <w:rsid w:val="DD1FB521"/>
    <w:rsid w:val="DEF767CE"/>
    <w:rsid w:val="DEFBFEAE"/>
    <w:rsid w:val="DF1F3B80"/>
    <w:rsid w:val="DF6F9789"/>
    <w:rsid w:val="DF7D1A40"/>
    <w:rsid w:val="DFDF2127"/>
    <w:rsid w:val="DFE9BE81"/>
    <w:rsid w:val="DFFFA9E8"/>
    <w:rsid w:val="E1FE6350"/>
    <w:rsid w:val="E5F4E9DC"/>
    <w:rsid w:val="E70FE695"/>
    <w:rsid w:val="E75FB271"/>
    <w:rsid w:val="EB2E368B"/>
    <w:rsid w:val="ECFED1BC"/>
    <w:rsid w:val="ED1D69BB"/>
    <w:rsid w:val="ED7FD312"/>
    <w:rsid w:val="ED7FE7AB"/>
    <w:rsid w:val="EF2E1AC6"/>
    <w:rsid w:val="EF53993F"/>
    <w:rsid w:val="EF6FD633"/>
    <w:rsid w:val="EFB5837A"/>
    <w:rsid w:val="EFBFB2F4"/>
    <w:rsid w:val="EFBFFA21"/>
    <w:rsid w:val="F2BEBCB8"/>
    <w:rsid w:val="F36FB518"/>
    <w:rsid w:val="F3BE1909"/>
    <w:rsid w:val="F3DE1A04"/>
    <w:rsid w:val="F3F722E5"/>
    <w:rsid w:val="F4FBCD07"/>
    <w:rsid w:val="F7552672"/>
    <w:rsid w:val="F7FE17B0"/>
    <w:rsid w:val="FA5F1E70"/>
    <w:rsid w:val="FA5FDB97"/>
    <w:rsid w:val="FB03AF96"/>
    <w:rsid w:val="FB7F486A"/>
    <w:rsid w:val="FBACB7B0"/>
    <w:rsid w:val="FBB9203C"/>
    <w:rsid w:val="FBFACD56"/>
    <w:rsid w:val="FBFB7A93"/>
    <w:rsid w:val="FBFF5B2E"/>
    <w:rsid w:val="FD7FFE2B"/>
    <w:rsid w:val="FDEE196B"/>
    <w:rsid w:val="FDF50377"/>
    <w:rsid w:val="FDFE6575"/>
    <w:rsid w:val="FEDFDDC2"/>
    <w:rsid w:val="FEED32F6"/>
    <w:rsid w:val="FEED8EC2"/>
    <w:rsid w:val="FEF781DD"/>
    <w:rsid w:val="FF3F7E3F"/>
    <w:rsid w:val="FF7DA3F4"/>
    <w:rsid w:val="FF9C1CD3"/>
    <w:rsid w:val="FFB64E1A"/>
    <w:rsid w:val="FFB9B82D"/>
    <w:rsid w:val="FFBA12D7"/>
    <w:rsid w:val="FFBFCAD8"/>
    <w:rsid w:val="FFCBD314"/>
    <w:rsid w:val="FFDE8CCD"/>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5">
    <w:name w:val="font31"/>
    <w:basedOn w:val="16"/>
    <w:qFormat/>
    <w:uiPriority w:val="0"/>
    <w:rPr>
      <w:rFonts w:hint="eastAsia" w:ascii="宋体" w:hAnsi="宋体" w:eastAsia="宋体" w:cs="宋体"/>
      <w:color w:val="000000"/>
      <w:sz w:val="18"/>
      <w:szCs w:val="18"/>
      <w:u w:val="none"/>
    </w:rPr>
  </w:style>
  <w:style w:type="character" w:customStyle="1" w:styleId="36">
    <w:name w:val="font51"/>
    <w:basedOn w:val="16"/>
    <w:qFormat/>
    <w:uiPriority w:val="0"/>
    <w:rPr>
      <w:rFonts w:hint="default" w:ascii="微软雅黑" w:hAnsi="微软雅黑" w:eastAsia="微软雅黑" w:cs="微软雅黑"/>
      <w:i/>
      <w:iCs/>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home/user/Desktop/2025&#24180;&#20915;&#31639;&#20844;&#24320;/&#30011;&#22270;&#20915;.xls"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home/user/Desktop/&#30011;&#22270;&#20915;.xls"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home/user/Desktop/&#30011;&#22270;&#20915;.xls"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home/user/Desktop/2025&#24180;&#20915;&#31639;&#20844;&#24320;/&#30011;&#22270;&#20915;.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home/user/Desktop/2025&#24180;&#20915;&#31639;&#20844;&#24320;/&#30011;&#22270;&#20915;.xls"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home/user/Desktop/&#30011;&#22270;&#20915;.xls"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home/user/Desktop/&#30011;&#22270;&#20915;.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收入、支出决算总计变动情况图</a:t>
            </a:r>
          </a:p>
          <a:p>
            <a:pPr defTabSz="914400">
              <a:defRPr lang="zh-CN" sz="1400" b="0" i="0" u="none" strike="noStrike" kern="1200" spc="0" baseline="0">
                <a:solidFill>
                  <a:schemeClr val="tx1">
                    <a:lumMod val="65000"/>
                    <a:lumOff val="35000"/>
                  </a:schemeClr>
                </a:solidFill>
                <a:latin typeface="+mn-lt"/>
                <a:ea typeface="+mn-ea"/>
                <a:cs typeface="+mn-cs"/>
              </a:defRPr>
            </a:pPr>
          </a:p>
        </c:rich>
      </c:tx>
      <c:layout/>
      <c:overlay val="0"/>
      <c:spPr>
        <a:noFill/>
        <a:ln>
          <a:noFill/>
        </a:ln>
        <a:effectLst/>
      </c:spPr>
    </c:title>
    <c:autoTitleDeleted val="0"/>
    <c:plotArea>
      <c:layout/>
      <c:barChart>
        <c:barDir val="col"/>
        <c:grouping val="clustered"/>
        <c:varyColors val="0"/>
        <c:ser>
          <c:idx val="0"/>
          <c:order val="0"/>
          <c:tx>
            <c:strRef>
              <c:f>[画图决.xls]Sheet1!$A$3</c:f>
              <c:strCache>
                <c:ptCount val="1"/>
                <c:pt idx="0">
                  <c:v>2024年</c:v>
                </c:pt>
              </c:strCache>
            </c:strRef>
          </c:tx>
          <c:spPr>
            <a:solidFill>
              <a:schemeClr val="accent1"/>
            </a:solidFill>
            <a:ln>
              <a:noFill/>
            </a:ln>
            <a:effectLst/>
          </c:spPr>
          <c:invertIfNegative val="0"/>
          <c:dLbls>
            <c:delete val="1"/>
          </c:dLbls>
          <c:cat>
            <c:strRef>
              <c:f>[画图决.xls]Sheet1!$B$2:$C$2</c:f>
              <c:strCache>
                <c:ptCount val="2"/>
                <c:pt idx="0">
                  <c:v>收入数</c:v>
                </c:pt>
                <c:pt idx="1">
                  <c:v>支出数</c:v>
                </c:pt>
              </c:strCache>
            </c:strRef>
          </c:cat>
          <c:val>
            <c:numRef>
              <c:f>[画图决.xls]Sheet1!$B$3:$C$3</c:f>
              <c:numCache>
                <c:formatCode>General</c:formatCode>
                <c:ptCount val="2"/>
                <c:pt idx="0">
                  <c:v>450.32</c:v>
                </c:pt>
                <c:pt idx="1">
                  <c:v>450.32</c:v>
                </c:pt>
              </c:numCache>
            </c:numRef>
          </c:val>
        </c:ser>
        <c:ser>
          <c:idx val="1"/>
          <c:order val="1"/>
          <c:tx>
            <c:strRef>
              <c:f>[画图决.xls]Sheet1!$A$4</c:f>
              <c:strCache>
                <c:ptCount val="1"/>
                <c:pt idx="0">
                  <c:v>2025年</c:v>
                </c:pt>
              </c:strCache>
            </c:strRef>
          </c:tx>
          <c:spPr>
            <a:solidFill>
              <a:schemeClr val="accent2"/>
            </a:solidFill>
            <a:ln>
              <a:noFill/>
            </a:ln>
            <a:effectLst/>
          </c:spPr>
          <c:invertIfNegative val="0"/>
          <c:dLbls>
            <c:delete val="1"/>
          </c:dLbls>
          <c:cat>
            <c:strRef>
              <c:f>[画图决.xls]Sheet1!$B$2:$C$2</c:f>
              <c:strCache>
                <c:ptCount val="2"/>
                <c:pt idx="0">
                  <c:v>收入数</c:v>
                </c:pt>
                <c:pt idx="1">
                  <c:v>支出数</c:v>
                </c:pt>
              </c:strCache>
            </c:strRef>
          </c:cat>
          <c:val>
            <c:numRef>
              <c:f>[画图决.xls]Sheet1!$B$4:$C$4</c:f>
              <c:numCache>
                <c:formatCode>General</c:formatCode>
                <c:ptCount val="2"/>
                <c:pt idx="0">
                  <c:v>431.37</c:v>
                </c:pt>
                <c:pt idx="1">
                  <c:v>431.37</c:v>
                </c:pt>
              </c:numCache>
            </c:numRef>
          </c:val>
        </c:ser>
        <c:dLbls>
          <c:showLegendKey val="0"/>
          <c:showVal val="0"/>
          <c:showCatName val="0"/>
          <c:showSerName val="0"/>
          <c:showPercent val="0"/>
          <c:showBubbleSize val="0"/>
        </c:dLbls>
        <c:gapWidth val="150"/>
        <c:overlap val="0"/>
        <c:axId val="151364241"/>
        <c:axId val="549239453"/>
      </c:barChart>
      <c:catAx>
        <c:axId val="15136424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9239453"/>
        <c:crosses val="autoZero"/>
        <c:auto val="1"/>
        <c:lblAlgn val="ctr"/>
        <c:lblOffset val="100"/>
        <c:noMultiLvlLbl val="0"/>
      </c:catAx>
      <c:valAx>
        <c:axId val="54923945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136424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[画图决.xls]Sheet1!$A$165:$A$172</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[画图决.xls]Sheet1!$B$165:$B$172</c:f>
              <c:numCache>
                <c:formatCode>General</c:formatCode>
                <c:ptCount val="8"/>
                <c:pt idx="0">
                  <c:v>450.32</c:v>
                </c:pt>
                <c:pt idx="1">
                  <c:v>0</c:v>
                </c:pt>
                <c:pt idx="2">
                  <c:v>0</c:v>
                </c:pt>
                <c:pt idx="3">
                  <c:v>0</c:v>
                </c:pt>
                <c:pt idx="4">
                  <c:v>0</c:v>
                </c:pt>
                <c:pt idx="5">
                  <c:v>0</c:v>
                </c:pt>
                <c:pt idx="6">
                  <c:v>0</c:v>
                </c:pt>
                <c:pt idx="7">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[画图决.xls]Sheet1!$A$186:$A$190</c:f>
              <c:strCache>
                <c:ptCount val="5"/>
                <c:pt idx="0">
                  <c:v>基本支出</c:v>
                </c:pt>
                <c:pt idx="1">
                  <c:v>项目支出</c:v>
                </c:pt>
                <c:pt idx="2">
                  <c:v>上缴上级支出</c:v>
                </c:pt>
                <c:pt idx="3">
                  <c:v>经营支出</c:v>
                </c:pt>
                <c:pt idx="4">
                  <c:v>对附属单位补助支出</c:v>
                </c:pt>
              </c:strCache>
            </c:strRef>
          </c:cat>
          <c:val>
            <c:numRef>
              <c:f>[画图决.xls]Sheet1!$B$186:$B$190</c:f>
              <c:numCache>
                <c:formatCode>General</c:formatCode>
                <c:ptCount val="5"/>
                <c:pt idx="0">
                  <c:v>365.45</c:v>
                </c:pt>
                <c:pt idx="1">
                  <c:v>84.87</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收入、支出决算总计变动情况图</a:t>
            </a:r>
          </a:p>
          <a:p>
            <a:pPr defTabSz="914400">
              <a:defRPr lang="zh-CN" sz="1400" b="0" i="0" u="none" strike="noStrike" kern="1200" spc="0" baseline="0">
                <a:solidFill>
                  <a:schemeClr val="tx1">
                    <a:lumMod val="65000"/>
                    <a:lumOff val="35000"/>
                  </a:schemeClr>
                </a:solidFill>
                <a:latin typeface="+mn-lt"/>
                <a:ea typeface="+mn-ea"/>
                <a:cs typeface="+mn-cs"/>
              </a:defRPr>
            </a:pPr>
          </a:p>
        </c:rich>
      </c:tx>
      <c:layout/>
      <c:overlay val="0"/>
      <c:spPr>
        <a:noFill/>
        <a:ln>
          <a:noFill/>
        </a:ln>
        <a:effectLst/>
      </c:spPr>
    </c:title>
    <c:autoTitleDeleted val="0"/>
    <c:plotArea>
      <c:layout/>
      <c:barChart>
        <c:barDir val="col"/>
        <c:grouping val="clustered"/>
        <c:varyColors val="0"/>
        <c:ser>
          <c:idx val="0"/>
          <c:order val="0"/>
          <c:tx>
            <c:strRef>
              <c:f>[画图决.xls]Sheet1!$A$3</c:f>
              <c:strCache>
                <c:ptCount val="1"/>
                <c:pt idx="0">
                  <c:v>2024年</c:v>
                </c:pt>
              </c:strCache>
            </c:strRef>
          </c:tx>
          <c:spPr>
            <a:solidFill>
              <a:schemeClr val="accent1"/>
            </a:solidFill>
            <a:ln>
              <a:noFill/>
            </a:ln>
            <a:effectLst/>
          </c:spPr>
          <c:invertIfNegative val="0"/>
          <c:dLbls>
            <c:delete val="1"/>
          </c:dLbls>
          <c:cat>
            <c:strRef>
              <c:f>[画图决.xls]Sheet1!$B$2:$C$2</c:f>
              <c:strCache>
                <c:ptCount val="2"/>
                <c:pt idx="0">
                  <c:v>收入数</c:v>
                </c:pt>
                <c:pt idx="1">
                  <c:v>支出数</c:v>
                </c:pt>
              </c:strCache>
            </c:strRef>
          </c:cat>
          <c:val>
            <c:numRef>
              <c:f>[画图决.xls]Sheet1!$B$3:$C$3</c:f>
              <c:numCache>
                <c:formatCode>General</c:formatCode>
                <c:ptCount val="2"/>
                <c:pt idx="0">
                  <c:v>450.32</c:v>
                </c:pt>
                <c:pt idx="1">
                  <c:v>450.32</c:v>
                </c:pt>
              </c:numCache>
            </c:numRef>
          </c:val>
        </c:ser>
        <c:ser>
          <c:idx val="1"/>
          <c:order val="1"/>
          <c:tx>
            <c:strRef>
              <c:f>[画图决.xls]Sheet1!$A$4</c:f>
              <c:strCache>
                <c:ptCount val="1"/>
                <c:pt idx="0">
                  <c:v>2025年</c:v>
                </c:pt>
              </c:strCache>
            </c:strRef>
          </c:tx>
          <c:spPr>
            <a:solidFill>
              <a:schemeClr val="accent2"/>
            </a:solidFill>
            <a:ln>
              <a:noFill/>
            </a:ln>
            <a:effectLst/>
          </c:spPr>
          <c:invertIfNegative val="0"/>
          <c:dLbls>
            <c:delete val="1"/>
          </c:dLbls>
          <c:cat>
            <c:strRef>
              <c:f>[画图决.xls]Sheet1!$B$2:$C$2</c:f>
              <c:strCache>
                <c:ptCount val="2"/>
                <c:pt idx="0">
                  <c:v>收入数</c:v>
                </c:pt>
                <c:pt idx="1">
                  <c:v>支出数</c:v>
                </c:pt>
              </c:strCache>
            </c:strRef>
          </c:cat>
          <c:val>
            <c:numRef>
              <c:f>[画图决.xls]Sheet1!$B$4:$C$4</c:f>
              <c:numCache>
                <c:formatCode>General</c:formatCode>
                <c:ptCount val="2"/>
                <c:pt idx="0">
                  <c:v>431.37</c:v>
                </c:pt>
                <c:pt idx="1">
                  <c:v>431.37</c:v>
                </c:pt>
              </c:numCache>
            </c:numRef>
          </c:val>
        </c:ser>
        <c:dLbls>
          <c:showLegendKey val="0"/>
          <c:showVal val="0"/>
          <c:showCatName val="0"/>
          <c:showSerName val="0"/>
          <c:showPercent val="0"/>
          <c:showBubbleSize val="0"/>
        </c:dLbls>
        <c:gapWidth val="150"/>
        <c:overlap val="0"/>
        <c:axId val="151364241"/>
        <c:axId val="549239453"/>
      </c:barChart>
      <c:catAx>
        <c:axId val="15136424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9239453"/>
        <c:crosses val="autoZero"/>
        <c:auto val="1"/>
        <c:lblAlgn val="ctr"/>
        <c:lblOffset val="100"/>
        <c:noMultiLvlLbl val="0"/>
      </c:catAx>
      <c:valAx>
        <c:axId val="54923945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136424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rPr>
              <a:t>一般公共预算财政拨款支出决算变动情况</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tx>
            <c:strRef>
              <c:f>[画图决.xls]Sheet1!$A$29</c:f>
              <c:strCache>
                <c:ptCount val="1"/>
                <c:pt idx="0">
                  <c:v>2024年</c:v>
                </c:pt>
              </c:strCache>
            </c:strRef>
          </c:tx>
          <c:spPr>
            <a:solidFill>
              <a:schemeClr val="accent1"/>
            </a:solidFill>
            <a:ln>
              <a:noFill/>
            </a:ln>
            <a:effectLst/>
          </c:spPr>
          <c:invertIfNegative val="0"/>
          <c:dLbls>
            <c:delete val="1"/>
          </c:dLbls>
          <c:cat>
            <c:strRef>
              <c:f>[画图决.xls]Sheet1!$B$28:$C$28</c:f>
              <c:strCache>
                <c:ptCount val="2"/>
                <c:pt idx="0">
                  <c:v>收入数</c:v>
                </c:pt>
                <c:pt idx="1">
                  <c:v>支出数</c:v>
                </c:pt>
              </c:strCache>
            </c:strRef>
          </c:cat>
          <c:val>
            <c:numRef>
              <c:f>[画图决.xls]Sheet1!$B$29:$C$29</c:f>
              <c:numCache>
                <c:formatCode>General</c:formatCode>
                <c:ptCount val="2"/>
                <c:pt idx="0">
                  <c:v>450.32</c:v>
                </c:pt>
                <c:pt idx="1">
                  <c:v>450.32</c:v>
                </c:pt>
              </c:numCache>
            </c:numRef>
          </c:val>
        </c:ser>
        <c:ser>
          <c:idx val="1"/>
          <c:order val="1"/>
          <c:tx>
            <c:strRef>
              <c:f>[画图决.xls]Sheet1!$A$30</c:f>
              <c:strCache>
                <c:ptCount val="1"/>
                <c:pt idx="0">
                  <c:v>2025年</c:v>
                </c:pt>
              </c:strCache>
            </c:strRef>
          </c:tx>
          <c:spPr>
            <a:solidFill>
              <a:schemeClr val="accent2"/>
            </a:solidFill>
            <a:ln>
              <a:noFill/>
            </a:ln>
            <a:effectLst/>
          </c:spPr>
          <c:invertIfNegative val="0"/>
          <c:dLbls>
            <c:delete val="1"/>
          </c:dLbls>
          <c:cat>
            <c:strRef>
              <c:f>[画图决.xls]Sheet1!$B$28:$C$28</c:f>
              <c:strCache>
                <c:ptCount val="2"/>
                <c:pt idx="0">
                  <c:v>收入数</c:v>
                </c:pt>
                <c:pt idx="1">
                  <c:v>支出数</c:v>
                </c:pt>
              </c:strCache>
            </c:strRef>
          </c:cat>
          <c:val>
            <c:numRef>
              <c:f>[画图决.xls]Sheet1!$B$30:$C$30</c:f>
              <c:numCache>
                <c:formatCode>General</c:formatCode>
                <c:ptCount val="2"/>
                <c:pt idx="0">
                  <c:v>431.37</c:v>
                </c:pt>
                <c:pt idx="1">
                  <c:v>431.37</c:v>
                </c:pt>
              </c:numCache>
            </c:numRef>
          </c:val>
        </c:ser>
        <c:dLbls>
          <c:showLegendKey val="0"/>
          <c:showVal val="0"/>
          <c:showCatName val="0"/>
          <c:showSerName val="0"/>
          <c:showPercent val="0"/>
          <c:showBubbleSize val="0"/>
        </c:dLbls>
        <c:gapWidth val="219"/>
        <c:overlap val="-27"/>
        <c:axId val="834904546"/>
        <c:axId val="191751739"/>
      </c:barChart>
      <c:catAx>
        <c:axId val="834904546"/>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1751739"/>
        <c:crosses val="autoZero"/>
        <c:auto val="1"/>
        <c:lblAlgn val="ctr"/>
        <c:lblOffset val="100"/>
        <c:noMultiLvlLbl val="0"/>
      </c:catAx>
      <c:valAx>
        <c:axId val="191751739"/>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490454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[画图决.xls]Sheet1!$A$204:$A$207</c:f>
              <c:strCache>
                <c:ptCount val="4"/>
                <c:pt idx="0">
                  <c:v>一般公共服务支出</c:v>
                </c:pt>
                <c:pt idx="1">
                  <c:v>社会保障和就业支出</c:v>
                </c:pt>
                <c:pt idx="2">
                  <c:v>卫生健康支出</c:v>
                </c:pt>
                <c:pt idx="3">
                  <c:v>住房保障支出</c:v>
                </c:pt>
              </c:strCache>
            </c:strRef>
          </c:cat>
          <c:val>
            <c:numRef>
              <c:f>[画图决.xls]Sheet1!$B$204:$B$207</c:f>
              <c:numCache>
                <c:formatCode>General</c:formatCode>
                <c:ptCount val="4"/>
                <c:pt idx="0">
                  <c:v>370.89</c:v>
                </c:pt>
                <c:pt idx="1">
                  <c:v>40.05</c:v>
                </c:pt>
                <c:pt idx="2">
                  <c:v>16.99</c:v>
                </c:pt>
                <c:pt idx="3">
                  <c:v>22.38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三公”经费财政拨款支出结构</a:t>
            </a:r>
          </a:p>
        </c:rich>
      </c:tx>
      <c:layout>
        <c:manualLayout>
          <c:xMode val="edge"/>
          <c:yMode val="edge"/>
          <c:x val="0.254027777777778"/>
          <c:y val="0.0173611111111111"/>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elete val="1"/>
          </c:dLbls>
          <c:cat>
            <c:strRef>
              <c:f>[画图决.xls]Sheet1!$A$86:$A$88</c:f>
              <c:strCache>
                <c:ptCount val="3"/>
                <c:pt idx="0">
                  <c:v>公务用车购置及运行维护费</c:v>
                </c:pt>
                <c:pt idx="1">
                  <c:v>公务接待费</c:v>
                </c:pt>
                <c:pt idx="2">
                  <c:v>因公出国（境）费</c:v>
                </c:pt>
              </c:strCache>
            </c:strRef>
          </c:cat>
          <c:val>
            <c:numRef>
              <c:f>[画图决.xls]Sheet1!$B$86:$B$88</c:f>
              <c:numCache>
                <c:formatCode>#,##0.00</c:formatCode>
                <c:ptCount val="3"/>
                <c:pt idx="0">
                  <c:v>24.6</c:v>
                </c:pt>
                <c:pt idx="1">
                  <c:v>0.47</c:v>
                </c:pt>
                <c:pt idx="2" c:formatCode="General">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1299</Words>
  <Characters>7410</Characters>
  <Lines>61</Lines>
  <Paragraphs>17</Paragraphs>
  <TotalTime>8</TotalTime>
  <ScaleCrop>false</ScaleCrop>
  <LinksUpToDate>false</LinksUpToDate>
  <CharactersWithSpaces>8692</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2020-08-11T09:49:00Z</dcterms:created>
  <dc:creator>曹颖</dc:creator>
  <cp:lastModifiedBy>user</cp:lastModifiedBy>
  <cp:lastPrinted>2026-09-07T16:47:32Z</cp:lastPrinted>
  <dcterms:modified xsi:type="dcterms:W3CDTF">2026-09-07T16:47:50Z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0A6C2F43EF659D2C7B799E6A229640F4</vt:lpwstr>
  </property>
</Properties>
</file>