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png" ContentType="image/png"/>
  <Default Extension="xlsx" ContentType="application/vnd.openxmlformats-officedocument.spreadsheetml.sheet"/>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18"/>
        <w:rPr>
          <w:rFonts w:ascii="Times New Roman" w:eastAsia="方正小标宋简体" w:cs="Times New Roman" w:hAnsi="Times New Roman" w:hint="eastAsia"/>
          <w:color w:val="auto"/>
          <w:kern w:val="2"/>
          <w:sz w:val="72"/>
          <w:szCs w:val="72"/>
          <w:lang w:val="en-US" w:eastAsia="zh-CN" w:bidi="ar-SA"/>
          <w:highlight w:val="auto"/>
        </w:rPr>
      </w:pPr>
      <w:bookmarkStart w:id="0" w:name="_Toc15306267"/>
      <w:bookmarkStart w:id="1" w:name="_Toc15377193"/>
      <w:bookmarkStart w:id="2" w:name="_Toc15377425"/>
      <w:bookmarkStart w:id="3" w:name="_Toc15378441"/>
      <w:bookmarkStart w:id="4" w:name="_Toc15396597"/>
      <w:bookmarkStart w:id="5" w:name="_Toc15396475"/>
    </w:p>
    <w:p>
      <w:pPr>
        <w:pStyle w:val="18"/>
        <w:rPr>
          <w:rFonts w:ascii="Times New Roman" w:eastAsia="方正小标宋简体" w:cs="Times New Roman" w:hAnsi="Times New Roman" w:hint="eastAsia"/>
          <w:color w:val="auto"/>
          <w:kern w:val="2"/>
          <w:sz w:val="72"/>
          <w:szCs w:val="72"/>
          <w:lang w:val="en-US" w:eastAsia="zh-CN" w:bidi="ar-SA"/>
          <w:highlight w:val="auto"/>
        </w:rPr>
      </w:pPr>
    </w:p>
    <w:p>
      <w:pPr>
        <w:pStyle w:val="18"/>
        <w:rPr>
          <w:rFonts w:ascii="Times New Roman" w:eastAsia="方正小标宋简体" w:cs="Times New Roman" w:hAnsi="Times New Roman" w:hint="eastAsia"/>
          <w:color w:val="auto"/>
          <w:kern w:val="2"/>
          <w:sz w:val="72"/>
          <w:szCs w:val="72"/>
          <w:lang w:val="en-US" w:eastAsia="zh-CN" w:bidi="ar-SA"/>
          <w:highlight w:val="auto"/>
        </w:rPr>
      </w:pPr>
    </w:p>
    <w:p>
      <w:pPr>
        <w:pStyle w:val="18"/>
        <w:jc w:val="center"/>
        <w:rPr>
          <w:rFonts w:ascii="方正黑体_GBK" w:eastAsia="方正黑体_GBK" w:cs="方正黑体_GBK" w:hint="eastAsia"/>
          <w:b/>
          <w:bCs/>
          <w:color w:val="auto"/>
          <w:kern w:val="2"/>
          <w:sz w:val="52"/>
          <w:szCs w:val="52"/>
          <w:lang w:val="en-US" w:eastAsia="zh-CN" w:bidi="ar-SA"/>
          <w:highlight w:val="auto"/>
        </w:rPr>
      </w:pPr>
      <w:r>
        <w:rPr>
          <w:rFonts w:ascii="方正黑体_GBK" w:eastAsia="方正黑体_GBK" w:cs="方正黑体_GBK" w:hint="eastAsia"/>
          <w:b/>
          <w:bCs/>
          <w:color w:val="auto"/>
          <w:kern w:val="2"/>
          <w:sz w:val="52"/>
          <w:szCs w:val="52"/>
          <w:lang w:val="en-US" w:eastAsia="zh-CN" w:bidi="ar-SA"/>
          <w:highlight w:val="auto"/>
        </w:rPr>
        <w:t>202</w:t>
      </w:r>
      <w:r>
        <w:rPr>
          <w:rFonts w:ascii="方正黑体_GBK" w:eastAsia="方正黑体_GBK" w:cs="方正黑体_GBK"/>
          <w:b/>
          <w:bCs/>
          <w:color w:val="auto"/>
          <w:kern w:val="2"/>
          <w:sz w:val="52"/>
          <w:szCs w:val="52"/>
          <w:lang w:val="en-US" w:eastAsia="zh-CN" w:bidi="ar-SA"/>
          <w:highlight w:val="auto"/>
        </w:rPr>
        <w:t>5</w:t>
      </w:r>
      <w:r>
        <w:rPr>
          <w:rFonts w:ascii="方正黑体_GBK" w:eastAsia="方正黑体_GBK" w:cs="方正黑体_GBK" w:hint="eastAsia"/>
          <w:b/>
          <w:bCs/>
          <w:color w:val="auto"/>
          <w:kern w:val="2"/>
          <w:sz w:val="52"/>
          <w:szCs w:val="52"/>
          <w:lang w:val="en-US" w:eastAsia="zh-CN" w:bidi="ar-SA"/>
          <w:highlight w:val="auto"/>
        </w:rPr>
        <w:t>年度阿坝州佛教协会部门决算</w:t>
      </w:r>
    </w:p>
    <w:p>
      <w:pPr>
        <w:pStyle w:val="18"/>
        <w:jc w:val="center"/>
        <w:rPr>
          <w:rFonts w:ascii="方正黑体_GBK" w:eastAsia="方正黑体_GBK" w:cs="方正黑体_GBK" w:hint="eastAsia"/>
          <w:b/>
          <w:bCs/>
          <w:color w:val="auto"/>
          <w:kern w:val="2"/>
          <w:sz w:val="52"/>
          <w:szCs w:val="52"/>
          <w:lang w:val="en-US" w:eastAsia="zh-CN" w:bidi="ar-SA"/>
          <w:highlight w:val="auto"/>
        </w:rPr>
      </w:pPr>
      <w:r>
        <w:rPr>
          <w:rFonts w:ascii="方正黑体_GBK" w:eastAsia="方正黑体_GBK" w:cs="方正黑体_GBK" w:hint="eastAsia"/>
          <w:b/>
          <w:bCs/>
          <w:color w:val="auto"/>
          <w:kern w:val="2"/>
          <w:sz w:val="52"/>
          <w:szCs w:val="52"/>
          <w:lang w:val="en-US" w:eastAsia="zh-CN" w:bidi="ar-SA"/>
          <w:highlight w:val="auto"/>
        </w:rPr>
        <w:t>公开</w:t>
      </w:r>
    </w:p>
    <w:p>
      <w:pPr>
        <w:pStyle w:val="27"/>
        <w:rPr>
          <w:rFonts w:ascii="仿宋_GB2312" w:eastAsia="仿宋_GB2312" w:cs="仿宋_GB2312" w:hint="eastAsia"/>
          <w:b/>
          <w:bCs/>
          <w:sz w:val="52"/>
          <w:szCs w:val="52"/>
        </w:rPr>
        <w:sectPr>
          <w:headerReference w:type="default" r:id="rId2"/>
          <w:footerReference w:type="default" r:id="rId3"/>
          <w:pgSz w:w="11906" w:h="16838"/>
          <w:pgMar w:top="1440" w:right="1800" w:bottom="1440" w:left="1800" w:header="851" w:footer="992" w:gutter="0"/>
          <w:pgNumType w:fmt="numberInDash" w:start="1"/>
          <w:titlePg/>
          <w:docGrid w:type="lines" w:linePitch="312" w:charSpace="0"/>
        </w:sectPr>
      </w:pPr>
    </w:p>
    <w:p>
      <w:pPr>
        <w:widowControl/>
        <w:jc w:val="both"/>
        <w:rPr>
          <w:rFonts w:ascii="Times New Roman" w:eastAsia="黑体" w:hAnsi="Times New Roman"/>
          <w:color w:val="auto"/>
          <w:sz w:val="48"/>
          <w:szCs w:val="48"/>
          <w:highlight w:val="auto"/>
        </w:rPr>
      </w:pPr>
      <w:bookmarkEnd w:id="0"/>
      <w:bookmarkEnd w:id="1"/>
      <w:bookmarkEnd w:id="2"/>
      <w:bookmarkEnd w:id="3"/>
      <w:bookmarkEnd w:id="4"/>
      <w:bookmarkEnd w:id="5"/>
      <w:r>
        <w:rPr>
          <w:rFonts w:ascii="Times New Roman" w:eastAsia="黑体" w:hAnsi="Times New Roman" w:hint="eastAsia"/>
          <w:color w:val="auto"/>
          <w:sz w:val="48"/>
          <w:szCs w:val="48"/>
          <w:highlight w:val="auto"/>
        </w:rPr>
        <w:t>目录</w:t>
      </w:r>
    </w:p>
    <w:p>
      <w:pPr>
        <w:widowControl/>
        <w:jc w:val="center"/>
        <w:rPr>
          <w:rFonts w:ascii="Times New Roman" w:eastAsia="黑体" w:cs="Arial" w:hAnsi="Times New Roman"/>
          <w:color w:val="auto"/>
          <w:sz w:val="28"/>
          <w:szCs w:val="28"/>
          <w:highlight w:val="auto"/>
        </w:rPr>
      </w:pPr>
    </w:p>
    <w:p>
      <w:pPr>
        <w:pStyle w:val="23"/>
        <w:tabs>
          <w:tab w:val="right" w:leader="dot" w:pos="8296"/>
        </w:tabs>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公开时间：20</w:t>
      </w:r>
      <w:r>
        <w:rPr>
          <w:rFonts w:ascii="Times New Roman" w:eastAsia="仿宋_GB2312" w:cs="仿宋_GB2312" w:hAnsi="Times New Roman" w:hint="eastAsia"/>
          <w:color w:val="auto"/>
          <w:sz w:val="32"/>
          <w:szCs w:val="32"/>
          <w:lang w:val="en-US" w:eastAsia="zh-CN"/>
          <w:highlight w:val="auto"/>
        </w:rPr>
        <w:t>2</w:t>
      </w:r>
      <w:r>
        <w:rPr>
          <w:rFonts w:ascii="Times New Roman" w:eastAsia="仿宋_GB2312" w:cs="仿宋_GB2312" w:hAnsi="Times New Roman"/>
          <w:color w:val="auto"/>
          <w:sz w:val="32"/>
          <w:szCs w:val="32"/>
          <w:lang w:val="en-US" w:eastAsia="zh-CN"/>
          <w:highlight w:val="auto"/>
        </w:rPr>
        <w:t>6</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hint="eastAsia"/>
          <w:color w:val="auto"/>
          <w:sz w:val="32"/>
          <w:szCs w:val="32"/>
          <w:lang w:val="en-US" w:eastAsia="zh-CN"/>
          <w:highlight w:val="auto"/>
        </w:rPr>
        <w:t xml:space="preserve"> 9 </w:t>
      </w:r>
      <w:r>
        <w:rPr>
          <w:rFonts w:ascii="Times New Roman" w:eastAsia="仿宋_GB2312" w:cs="仿宋_GB2312" w:hAnsi="Times New Roman" w:hint="eastAsia"/>
          <w:color w:val="auto"/>
          <w:sz w:val="32"/>
          <w:szCs w:val="32"/>
          <w:highlight w:val="auto"/>
        </w:rPr>
        <w:t>月</w:t>
      </w:r>
      <w:r>
        <w:rPr>
          <w:rFonts w:ascii="Times New Roman" w:eastAsia="仿宋_GB2312" w:cs="仿宋_GB2312" w:hAnsi="Times New Roman"/>
          <w:color w:val="auto"/>
          <w:sz w:val="32"/>
          <w:szCs w:val="32"/>
          <w:lang w:val="en-US" w:eastAsia="zh-CN"/>
          <w:highlight w:val="auto"/>
        </w:rPr>
        <w:t>4</w:t>
      </w:r>
      <w:r>
        <w:rPr>
          <w:rFonts w:ascii="Times New Roman" w:eastAsia="仿宋_GB2312" w:cs="仿宋_GB2312" w:hAnsi="Times New Roman" w:hint="eastAsia"/>
          <w:color w:val="auto"/>
          <w:sz w:val="32"/>
          <w:szCs w:val="32"/>
          <w:lang w:val="en-US" w:eastAsia="zh-CN"/>
          <w:highlight w:val="auto"/>
        </w:rPr>
        <w:t xml:space="preserve"> </w:t>
      </w:r>
      <w:r>
        <w:rPr>
          <w:rFonts w:ascii="Times New Roman" w:eastAsia="仿宋_GB2312" w:cs="仿宋_GB2312" w:hAnsi="Times New Roman" w:hint="eastAsia"/>
          <w:color w:val="auto"/>
          <w:sz w:val="32"/>
          <w:szCs w:val="32"/>
          <w:highlight w:val="auto"/>
        </w:rPr>
        <w:t>日</w:t>
      </w:r>
    </w:p>
    <w:p>
      <w:pPr>
        <w:rPr>
          <w:rFonts w:ascii="Times New Roman" w:hAnsi="Times New Roman"/>
          <w:color w:val="auto"/>
          <w:highlight w:val="auto"/>
        </w:rPr>
      </w:pPr>
    </w:p>
    <w:p>
      <w:pPr>
        <w:pStyle w:val="23"/>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color w:val="auto"/>
          <w:sz w:val="32"/>
          <w:szCs w:val="32"/>
          <w:lang w:val="en-US" w:eastAsia="zh-CN"/>
          <w:highlight w:val="auto"/>
        </w:rPr>
      </w:pPr>
      <w:r>
        <w:rPr>
          <w:rFonts w:ascii="Times New Roman" w:eastAsia="黑体" w:cs="黑体" w:hAnsi="Times New Roman" w:hint="eastAsia"/>
          <w:color w:val="auto"/>
          <w:sz w:val="32"/>
          <w:szCs w:val="32"/>
          <w:highlight w:val="auto"/>
        </w:rPr>
        <w:t>第一部分 部门概况</w:t>
      </w:r>
      <w:r>
        <w:rPr>
          <w:rFonts w:ascii="Times New Roman" w:eastAsia="黑体" w:cs="黑体" w:hAnsi="Times New Roman" w:hint="eastAsia"/>
          <w:color w:val="auto"/>
          <w:sz w:val="32"/>
          <w:szCs w:val="32"/>
          <w:lang w:val="en-US" w:eastAsia="zh-CN"/>
          <w:highlight w:val="auto"/>
        </w:rPr>
        <w:tab/>
        <w:t>5</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highlight w:val="auto"/>
        </w:rPr>
      </w:pPr>
      <w:r>
        <w:rPr>
          <w:rFonts w:ascii="Times New Roman" w:eastAsia="仿宋_GB2312" w:cs="仿宋_GB2312" w:hAnsi="Times New Roman" w:hint="eastAsia"/>
          <w:color w:val="auto"/>
          <w:sz w:val="32"/>
          <w:szCs w:val="32"/>
          <w:highlight w:val="auto"/>
        </w:rPr>
        <w:t>一、</w:t>
      </w:r>
      <w:r>
        <w:rPr>
          <w:rFonts w:ascii="Times New Roman" w:eastAsia="仿宋_GB2312" w:cs="仿宋_GB2312" w:hAnsi="Times New Roman" w:hint="eastAsia"/>
          <w:color w:val="auto"/>
          <w:sz w:val="32"/>
          <w:szCs w:val="32"/>
          <w:lang w:eastAsia="zh-CN"/>
          <w:highlight w:val="auto"/>
        </w:rPr>
        <w:t>部门职责</w:t>
      </w:r>
      <w:r>
        <w:rPr>
          <w:rFonts w:eastAsia="仿宋_GB2312" w:cs="仿宋_GB2312" w:hint="eastAsia"/>
          <w:color w:val="auto"/>
          <w:sz w:val="32"/>
          <w:szCs w:val="32"/>
          <w:lang w:val="en-US" w:eastAsia="zh-CN"/>
          <w:highlight w:val="auto"/>
        </w:rPr>
        <w:tab/>
        <w:t>5</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二、机构设置</w:t>
      </w:r>
      <w:r>
        <w:rPr>
          <w:rFonts w:eastAsia="仿宋_GB2312" w:cs="仿宋_GB2312" w:hint="eastAsia"/>
          <w:color w:val="auto"/>
          <w:sz w:val="32"/>
          <w:szCs w:val="32"/>
          <w:lang w:val="en-US" w:eastAsia="zh-CN"/>
          <w:highlight w:val="auto"/>
        </w:rPr>
        <w:tab/>
        <w:t>5</w:t>
      </w:r>
    </w:p>
    <w:p>
      <w:pPr>
        <w:pStyle w:val="23"/>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color w:val="auto"/>
          <w:sz w:val="32"/>
          <w:szCs w:val="32"/>
          <w:lang w:val="en-US" w:eastAsia="zh-CN"/>
          <w:highlight w:val="auto"/>
        </w:rPr>
      </w:pPr>
      <w:r>
        <w:rPr>
          <w:rFonts w:ascii="Times New Roman" w:eastAsia="黑体" w:cs="黑体" w:hAnsi="Times New Roman" w:hint="eastAsia"/>
          <w:color w:val="auto"/>
          <w:sz w:val="32"/>
          <w:szCs w:val="32"/>
          <w:highlight w:val="auto"/>
        </w:rPr>
        <w:t>第二部分</w:t>
      </w:r>
      <w:r>
        <w:rPr>
          <w:rFonts w:ascii="Times New Roman" w:eastAsia="黑体" w:cs="黑体" w:hAnsi="Times New Roman" w:hint="eastAsia"/>
          <w:color w:val="auto"/>
          <w:sz w:val="32"/>
          <w:szCs w:val="32"/>
          <w:lang w:val="en-US" w:eastAsia="zh-CN"/>
          <w:highlight w:val="auto"/>
        </w:rPr>
        <w:t xml:space="preserve"> 202</w:t>
      </w:r>
      <w:r>
        <w:rPr>
          <w:rFonts w:ascii="Times New Roman" w:eastAsia="黑体" w:cs="黑体" w:hAnsi="Times New Roman"/>
          <w:color w:val="auto"/>
          <w:sz w:val="32"/>
          <w:szCs w:val="32"/>
          <w:lang w:val="en-US" w:eastAsia="zh-CN"/>
          <w:highlight w:val="auto"/>
        </w:rPr>
        <w:t>5</w:t>
      </w:r>
      <w:r>
        <w:rPr>
          <w:rFonts w:ascii="Times New Roman" w:eastAsia="黑体" w:cs="黑体" w:hAnsi="Times New Roman" w:hint="eastAsia"/>
          <w:color w:val="auto"/>
          <w:sz w:val="32"/>
          <w:szCs w:val="32"/>
          <w:lang w:val="en-US" w:eastAsia="zh-CN"/>
          <w:highlight w:val="auto"/>
        </w:rPr>
        <w:t>年度</w:t>
      </w:r>
      <w:r>
        <w:rPr>
          <w:rFonts w:ascii="Times New Roman" w:eastAsia="黑体" w:cs="黑体" w:hAnsi="Times New Roman" w:hint="eastAsia"/>
          <w:color w:val="auto"/>
          <w:sz w:val="32"/>
          <w:szCs w:val="32"/>
          <w:highlight w:val="auto"/>
        </w:rPr>
        <w:t>部门决算情况说明</w:t>
      </w:r>
      <w:r>
        <w:rPr>
          <w:rFonts w:ascii="Times New Roman" w:eastAsia="黑体" w:cs="黑体" w:hAnsi="Times New Roman" w:hint="eastAsia"/>
          <w:color w:val="auto"/>
          <w:sz w:val="32"/>
          <w:szCs w:val="32"/>
          <w:lang w:val="en-US" w:eastAsia="zh-CN"/>
          <w:highlight w:val="auto"/>
        </w:rPr>
        <w:tab/>
        <w:t>6</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一、收入支出决算总体情况说明</w:t>
      </w:r>
      <w:r>
        <w:rPr>
          <w:rFonts w:eastAsia="仿宋_GB2312" w:cs="仿宋_GB2312" w:hint="eastAsia"/>
          <w:color w:val="auto"/>
          <w:sz w:val="32"/>
          <w:szCs w:val="32"/>
          <w:lang w:val="en-US" w:eastAsia="zh-CN"/>
          <w:highlight w:val="auto"/>
        </w:rPr>
        <w:tab/>
        <w:t>6</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二、收入决算情况说明</w:t>
      </w:r>
      <w:r>
        <w:rPr>
          <w:rFonts w:eastAsia="仿宋_GB2312" w:cs="仿宋_GB2312" w:hint="eastAsia"/>
          <w:color w:val="auto"/>
          <w:sz w:val="32"/>
          <w:szCs w:val="32"/>
          <w:lang w:val="en-US" w:eastAsia="zh-CN"/>
          <w:highlight w:val="auto"/>
        </w:rPr>
        <w:tab/>
        <w:t>6</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三、支出决算情况说明</w:t>
      </w:r>
      <w:r>
        <w:rPr>
          <w:rFonts w:eastAsia="仿宋_GB2312" w:cs="仿宋_GB2312" w:hint="eastAsia"/>
          <w:color w:val="auto"/>
          <w:sz w:val="32"/>
          <w:szCs w:val="32"/>
          <w:lang w:val="en-US" w:eastAsia="zh-CN"/>
          <w:highlight w:val="auto"/>
        </w:rPr>
        <w:tab/>
        <w:t>7</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四、财政拨款收入支出决算总体情况说明</w:t>
      </w:r>
      <w:r>
        <w:rPr>
          <w:rFonts w:eastAsia="仿宋_GB2312" w:cs="仿宋_GB2312" w:hint="eastAsia"/>
          <w:color w:val="auto"/>
          <w:sz w:val="32"/>
          <w:szCs w:val="32"/>
          <w:lang w:val="en-US" w:eastAsia="zh-CN"/>
          <w:highlight w:val="auto"/>
        </w:rPr>
        <w:tab/>
        <w:t>8</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五、一般公共预算财政拨款支出决算情况说明</w:t>
      </w:r>
      <w:r>
        <w:rPr>
          <w:rFonts w:eastAsia="仿宋_GB2312" w:cs="仿宋_GB2312" w:hint="eastAsia"/>
          <w:color w:val="auto"/>
          <w:sz w:val="32"/>
          <w:szCs w:val="32"/>
          <w:lang w:val="en-US" w:eastAsia="zh-CN"/>
          <w:highlight w:val="auto"/>
        </w:rPr>
        <w:tab/>
        <w:t>9</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六、一般公共预算财政拨款基本支出决算情况说明</w:t>
      </w:r>
      <w:r>
        <w:rPr>
          <w:rFonts w:eastAsia="仿宋_GB2312" w:cs="仿宋_GB2312" w:hint="eastAsia"/>
          <w:color w:val="auto"/>
          <w:sz w:val="32"/>
          <w:szCs w:val="32"/>
          <w:lang w:val="en-US" w:eastAsia="zh-CN"/>
          <w:highlight w:val="auto"/>
        </w:rPr>
        <w:tab/>
        <w:t>12</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七、财政拨款</w:t>
      </w:r>
      <w:r>
        <w:rPr>
          <w:rFonts w:ascii="Times New Roman" w:eastAsia="仿宋_GB2312" w:cs="仿宋_GB2312" w:hAnsi="Times New Roman" w:hint="eastAsia"/>
          <w:color w:val="auto"/>
          <w:sz w:val="32"/>
          <w:szCs w:val="32"/>
          <w:lang w:eastAsia="zh-CN"/>
          <w:highlight w:val="auto"/>
        </w:rPr>
        <w:t>“</w:t>
      </w:r>
      <w:r>
        <w:rPr>
          <w:rFonts w:ascii="Times New Roman" w:eastAsia="仿宋_GB2312" w:cs="仿宋_GB2312" w:hAnsi="Times New Roman" w:hint="eastAsia"/>
          <w:color w:val="auto"/>
          <w:sz w:val="32"/>
          <w:szCs w:val="32"/>
          <w:highlight w:val="auto"/>
        </w:rPr>
        <w:t>三公”经费支出决算情况说明</w:t>
      </w:r>
      <w:r>
        <w:rPr>
          <w:rFonts w:eastAsia="仿宋_GB2312" w:cs="仿宋_GB2312" w:hint="eastAsia"/>
          <w:color w:val="auto"/>
          <w:sz w:val="32"/>
          <w:szCs w:val="32"/>
          <w:lang w:val="en-US" w:eastAsia="zh-CN"/>
          <w:highlight w:val="auto"/>
        </w:rPr>
        <w:tab/>
        <w:t>13</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八、政府性基金预算支出决算情况说明</w:t>
      </w:r>
      <w:r>
        <w:rPr>
          <w:rFonts w:eastAsia="仿宋_GB2312" w:cs="仿宋_GB2312" w:hint="eastAsia"/>
          <w:color w:val="auto"/>
          <w:sz w:val="32"/>
          <w:szCs w:val="32"/>
          <w:lang w:val="en-US" w:eastAsia="zh-CN"/>
          <w:highlight w:val="auto"/>
        </w:rPr>
        <w:tab/>
        <w:t>15</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eastAsia="仿宋_GB2312" w:cs="仿宋_GB2312" w:hint="eastAsia"/>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九、</w:t>
      </w:r>
      <w:r>
        <w:rPr>
          <w:rFonts w:ascii="Times New Roman" w:eastAsia="仿宋_GB2312" w:cs="仿宋_GB2312" w:hAnsi="Times New Roman" w:hint="eastAsia"/>
          <w:color w:val="auto"/>
          <w:sz w:val="32"/>
          <w:szCs w:val="32"/>
          <w:lang w:eastAsia="zh-CN"/>
          <w:highlight w:val="auto"/>
        </w:rPr>
        <w:t>国</w:t>
      </w:r>
      <w:r>
        <w:rPr>
          <w:rFonts w:ascii="Times New Roman" w:eastAsia="仿宋_GB2312" w:cs="仿宋_GB2312" w:hAnsi="Times New Roman" w:hint="eastAsia"/>
          <w:color w:val="auto"/>
          <w:sz w:val="32"/>
          <w:szCs w:val="32"/>
          <w:highlight w:val="auto"/>
        </w:rPr>
        <w:t>有资本经营预算支出决算情况说明</w:t>
      </w:r>
      <w:r>
        <w:rPr>
          <w:rFonts w:eastAsia="仿宋_GB2312" w:cs="仿宋_GB2312" w:hint="eastAsia"/>
          <w:color w:val="auto"/>
          <w:sz w:val="32"/>
          <w:szCs w:val="32"/>
          <w:lang w:val="en-US" w:eastAsia="zh-CN"/>
          <w:highlight w:val="auto"/>
        </w:rPr>
        <w:tab/>
        <w:t>15</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lang w:eastAsia="zh-CN"/>
          <w:highlight w:val="auto"/>
        </w:rPr>
        <w:t>十</w:t>
      </w:r>
      <w:r>
        <w:rPr>
          <w:rFonts w:ascii="Times New Roman" w:eastAsia="仿宋_GB2312" w:cs="仿宋_GB2312" w:hAnsi="Times New Roman" w:hint="eastAsia"/>
          <w:color w:val="auto"/>
          <w:sz w:val="32"/>
          <w:szCs w:val="32"/>
          <w:highlight w:val="auto"/>
        </w:rPr>
        <w:t>、其他重要事项的情况说明</w:t>
      </w:r>
      <w:r>
        <w:rPr>
          <w:rFonts w:eastAsia="仿宋_GB2312" w:cs="仿宋_GB2312" w:hint="eastAsia"/>
          <w:color w:val="auto"/>
          <w:sz w:val="32"/>
          <w:szCs w:val="32"/>
          <w:lang w:val="en-US" w:eastAsia="zh-CN"/>
          <w:highlight w:val="auto"/>
        </w:rPr>
        <w:tab/>
        <w:t>17</w:t>
      </w:r>
    </w:p>
    <w:p>
      <w:pPr>
        <w:pStyle w:val="23"/>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color w:val="auto"/>
          <w:sz w:val="32"/>
          <w:szCs w:val="32"/>
          <w:lang w:val="en-US" w:eastAsia="zh-CN"/>
          <w:highlight w:val="auto"/>
        </w:rPr>
      </w:pPr>
      <w:r>
        <w:rPr>
          <w:rFonts w:ascii="Times New Roman" w:eastAsia="黑体" w:cs="黑体" w:hAnsi="Times New Roman" w:hint="eastAsia"/>
          <w:color w:val="auto"/>
          <w:sz w:val="32"/>
          <w:szCs w:val="32"/>
          <w:highlight w:val="auto"/>
        </w:rPr>
        <w:t>第三部分 名词解释</w:t>
      </w:r>
      <w:r>
        <w:rPr>
          <w:rFonts w:ascii="Times New Roman" w:eastAsia="黑体" w:cs="黑体" w:hAnsi="Times New Roman" w:hint="eastAsia"/>
          <w:color w:val="auto"/>
          <w:sz w:val="32"/>
          <w:szCs w:val="32"/>
          <w:lang w:val="en-US" w:eastAsia="zh-CN"/>
          <w:highlight w:val="auto"/>
        </w:rPr>
        <w:tab/>
        <w:t>18</w:t>
      </w:r>
    </w:p>
    <w:p>
      <w:pPr>
        <w:pStyle w:val="23"/>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color w:val="auto"/>
          <w:sz w:val="32"/>
          <w:szCs w:val="32"/>
          <w:lang w:val="en-US" w:eastAsia="zh-CN"/>
          <w:highlight w:val="auto"/>
        </w:rPr>
      </w:pPr>
      <w:r>
        <w:rPr>
          <w:rFonts w:ascii="Times New Roman" w:eastAsia="黑体" w:cs="黑体" w:hAnsi="Times New Roman" w:hint="eastAsia"/>
          <w:color w:val="auto"/>
          <w:sz w:val="32"/>
          <w:szCs w:val="32"/>
          <w:highlight w:val="auto"/>
        </w:rPr>
        <w:t>第四部分 附件</w:t>
      </w:r>
      <w:r>
        <w:rPr>
          <w:rFonts w:ascii="Times New Roman" w:eastAsia="黑体" w:cs="黑体" w:hAnsi="Times New Roman" w:hint="eastAsia"/>
          <w:color w:val="auto"/>
          <w:sz w:val="32"/>
          <w:szCs w:val="32"/>
          <w:lang w:val="en-US" w:eastAsia="zh-CN"/>
          <w:highlight w:val="auto"/>
        </w:rPr>
        <w:tab/>
        <w:t>22</w:t>
      </w:r>
    </w:p>
    <w:p>
      <w:pPr>
        <w:pStyle w:val="23"/>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color w:val="auto"/>
          <w:sz w:val="32"/>
          <w:szCs w:val="32"/>
          <w:lang w:val="en-US" w:eastAsia="zh-CN"/>
          <w:highlight w:val="auto"/>
        </w:rPr>
      </w:pPr>
      <w:r>
        <w:rPr>
          <w:rFonts w:ascii="Times New Roman" w:eastAsia="黑体" w:cs="黑体" w:hAnsi="Times New Roman" w:hint="eastAsia"/>
          <w:color w:val="auto"/>
          <w:sz w:val="32"/>
          <w:szCs w:val="32"/>
          <w:highlight w:val="auto"/>
        </w:rPr>
        <w:t>第五部分 附表</w:t>
      </w:r>
      <w:r>
        <w:rPr>
          <w:rFonts w:ascii="Times New Roman" w:eastAsia="黑体" w:cs="黑体" w:hAnsi="Times New Roman" w:hint="eastAsia"/>
          <w:color w:val="auto"/>
          <w:sz w:val="32"/>
          <w:szCs w:val="32"/>
          <w:lang w:val="en-US" w:eastAsia="zh-CN"/>
          <w:highlight w:val="auto"/>
        </w:rPr>
        <w:tab/>
        <w:t>56</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一、收入支出决算总表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二、收入决算表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三、支出决算表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四、财政拨款收入支出决算总表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五、财政拨款支出决算明细表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六、一般公共预算财政拨款支出决算表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七、一般公共预算财政拨款支出决算明细表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八、一般公共预算财政拨款基本支出决算</w:t>
      </w:r>
      <w:r>
        <w:rPr>
          <w:rFonts w:ascii="Times New Roman" w:eastAsia="仿宋_GB2312" w:cs="仿宋_GB2312" w:hAnsi="Times New Roman" w:hint="eastAsia"/>
          <w:color w:val="auto"/>
          <w:sz w:val="32"/>
          <w:szCs w:val="32"/>
          <w:lang w:eastAsia="zh-CN"/>
          <w:highlight w:val="auto"/>
        </w:rPr>
        <w:t>明细</w:t>
      </w:r>
      <w:r>
        <w:rPr>
          <w:rFonts w:ascii="Times New Roman" w:eastAsia="仿宋_GB2312" w:cs="仿宋_GB2312" w:hAnsi="Times New Roman" w:hint="eastAsia"/>
          <w:color w:val="auto"/>
          <w:sz w:val="32"/>
          <w:szCs w:val="32"/>
          <w:highlight w:val="auto"/>
        </w:rPr>
        <w:t>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九、一般公共预算财政拨款项目支出决算表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十、政府性基金预算财政拨款收入支出决算表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十一、国有资本经营预算财政拨款收入支出决算表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十二、</w:t>
      </w:r>
      <w:r>
        <w:rPr>
          <w:rFonts w:ascii="Times New Roman" w:eastAsia="仿宋_GB2312" w:cs="仿宋_GB2312" w:hAnsi="Times New Roman" w:hint="eastAsia"/>
          <w:color w:val="auto"/>
          <w:sz w:val="32"/>
          <w:szCs w:val="32"/>
          <w:lang w:val="en-US" w:eastAsia="zh-CN"/>
          <w:highlight w:val="auto"/>
        </w:rPr>
        <w:t>国有资本经营预算财政拨款支出决算表</w:t>
      </w:r>
    </w:p>
    <w:p>
      <w:pPr>
        <w:pStyle w:val="24"/>
        <w:keepNext w:val="0"/>
        <w:keepLines w:val="0"/>
        <w:pageBreakBefore w:val="0"/>
        <w:widowControl w:val="0"/>
        <w:tabs>
          <w:tab w:val="right" w:leader="dot" w:pos="8296"/>
        </w:tabs>
        <w:kinsoku/>
        <w:wordWrap/>
        <w:overflowPunct/>
        <w:topLinePunct w:val="0"/>
        <w:autoSpaceDE/>
        <w:autoSpaceDN/>
        <w:adjustRightInd w:val="0"/>
        <w:snapToGrid w:val="0"/>
        <w:spacing w:line="560" w:lineRule="exact"/>
        <w:ind w:leftChars="0" w:left="0" w:firstLineChars="200" w:firstLine="640"/>
        <w:jc w:val="left"/>
        <w:rPr>
          <w:rFonts w:eastAsia="仿宋_GB2312" w:cs="仿宋_GB2312" w:hint="eastAsia"/>
          <w:sz w:val="32"/>
          <w:szCs w:val="32"/>
        </w:rPr>
      </w:pPr>
      <w:r>
        <w:rPr>
          <w:rFonts w:ascii="Times New Roman" w:eastAsia="仿宋_GB2312" w:cs="仿宋_GB2312" w:hAnsi="Times New Roman" w:hint="eastAsia"/>
          <w:color w:val="auto"/>
          <w:sz w:val="32"/>
          <w:szCs w:val="32"/>
          <w:highlight w:val="auto"/>
        </w:rPr>
        <w:t>十三、财政拨款“三公”经费支出决算表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b/>
          <w:bCs/>
          <w:color w:val="auto"/>
          <w:sz w:val="32"/>
          <w:szCs w:val="32"/>
          <w:lang w:eastAsia="zh-CN"/>
          <w:highlight w:val="auto"/>
        </w:rPr>
      </w:pPr>
      <w:r>
        <w:rPr>
          <w:rFonts w:ascii="Times New Roman" w:eastAsia="仿宋_GB2312" w:cs="仿宋_GB2312" w:hAnsi="Times New Roman" w:hint="eastAsia"/>
          <w:b/>
          <w:bCs/>
          <w:color w:val="auto"/>
          <w:sz w:val="32"/>
          <w:szCs w:val="32"/>
          <w:lang w:eastAsia="zh-CN"/>
          <w:highlight w:val="auto"/>
        </w:rPr>
        <w:t>（</w:t>
      </w:r>
      <w:r>
        <w:rPr>
          <w:rFonts w:ascii="Times New Roman" w:eastAsia="仿宋_GB2312" w:cs="仿宋_GB2312" w:hAnsi="Times New Roman" w:hint="eastAsia"/>
          <w:b/>
          <w:bCs/>
          <w:color w:val="auto"/>
          <w:sz w:val="32"/>
          <w:szCs w:val="32"/>
          <w:highlight w:val="auto"/>
        </w:rPr>
        <w:t>注：请部门根据实际注明页码</w:t>
      </w:r>
      <w:r>
        <w:rPr>
          <w:rFonts w:ascii="Times New Roman" w:eastAsia="仿宋_GB2312" w:cs="仿宋_GB2312" w:hAnsi="Times New Roman" w:hint="eastAsia"/>
          <w:b/>
          <w:bCs/>
          <w:color w:val="auto"/>
          <w:sz w:val="32"/>
          <w:szCs w:val="32"/>
          <w:lang w:eastAsia="zh-CN"/>
          <w:highlight w:val="auto"/>
        </w:rPr>
        <w:t>）</w:t>
      </w:r>
    </w:p>
    <w:p>
      <w:pPr>
        <w:keepNext w:val="0"/>
        <w:keepLines w:val="0"/>
        <w:pageBreakBefore w:val="0"/>
        <w:widowControl/>
        <w:kinsoku/>
        <w:wordWrap/>
        <w:overflowPunct/>
        <w:topLinePunct w:val="0"/>
        <w:autoSpaceDE/>
        <w:autoSpaceDN/>
        <w:bidi w:val="0"/>
        <w:spacing w:line="560" w:lineRule="exact"/>
        <w:jc w:val="left"/>
        <w:textAlignment w:val="auto"/>
        <w:rPr>
          <w:rFonts w:ascii="Times New Roman" w:eastAsia="仿宋_GB2312" w:cs="仿宋_GB2312" w:hAnsi="Times New Roman" w:hint="eastAsia"/>
          <w:bCs/>
          <w:color w:val="auto"/>
          <w:kern w:val="44"/>
          <w:sz w:val="32"/>
          <w:szCs w:val="32"/>
          <w:highlight w:val="auto"/>
        </w:rPr>
      </w:pPr>
      <w:bookmarkStart w:id="6" w:name="_Toc15377196"/>
      <w:bookmarkStart w:id="7" w:name="_Toc15396599"/>
      <w:r>
        <w:rPr>
          <w:rFonts w:ascii="Times New Roman" w:eastAsia="仿宋_GB2312" w:cs="仿宋_GB2312" w:hAnsi="Times New Roman" w:hint="eastAsia"/>
          <w:b/>
          <w:color w:val="auto"/>
          <w:sz w:val="32"/>
          <w:szCs w:val="32"/>
          <w:highlight w:val="auto"/>
        </w:rPr>
        <w:br w:type="page"/>
      </w:r>
    </w:p>
    <w:p>
      <w:pPr>
        <w:pStyle w:val="1"/>
        <w:jc w:val="center"/>
        <w:rPr>
          <w:rStyle w:val="1Char"/>
          <w:rFonts w:ascii="Times New Roman" w:eastAsia="方正小标宋简体" w:cs="方正小标宋简体" w:hAnsi="Times New Roman" w:hint="eastAsia"/>
          <w:b/>
          <w:bCs w:val="0"/>
          <w:color w:val="auto"/>
          <w:highlight w:val="auto"/>
        </w:rPr>
      </w:pPr>
      <w:r>
        <w:rPr>
          <w:rFonts w:ascii="Times New Roman" w:eastAsia="方正小标宋简体" w:cs="方正小标宋简体" w:hAnsi="Times New Roman" w:hint="eastAsia"/>
          <w:b w:val="0"/>
          <w:color w:val="auto"/>
          <w:highlight w:val="auto"/>
        </w:rPr>
        <w:t>第一部分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Style w:val="1Char"/>
          <w:rFonts w:ascii="Times New Roman" w:eastAsia="方正小标宋简体" w:cs="方正小标宋简体" w:hAnsi="Times New Roman" w:hint="eastAsia"/>
          <w:b w:val="0"/>
          <w:bCs w:val="0"/>
          <w:color w:val="auto"/>
          <w:highlight w:val="auto"/>
        </w:rPr>
        <w:t>部门概况</w:t>
      </w:r>
      <w:bookmarkEnd w:id="6"/>
      <w:bookmarkEnd w:id="7"/>
    </w:p>
    <w:p>
      <w:pPr>
        <w:widowControl/>
        <w:jc w:val="left"/>
        <w:rPr>
          <w:rFonts w:ascii="Times New Roman" w:eastAsia="黑体" w:hAnsi="Times New Roman"/>
          <w:color w:val="auto"/>
          <w:sz w:val="32"/>
          <w:szCs w:val="32"/>
          <w:highlight w:val="auto"/>
        </w:rPr>
      </w:pPr>
    </w:p>
    <w:p>
      <w:pPr>
        <w:pStyle w:val="2"/>
        <w:numPr>
          <w:ilvl w:val="0"/>
          <w:numId w:val="1"/>
        </w:numPr>
        <w:rPr>
          <w:rFonts w:ascii="Times New Roman" w:eastAsia="黑体" w:hAnsi="Times New Roman" w:hint="eastAsia"/>
          <w:b w:val="0"/>
          <w:color w:val="auto"/>
          <w:lang w:eastAsia="zh-CN"/>
          <w:highlight w:val="auto"/>
        </w:rPr>
      </w:pPr>
      <w:r>
        <w:rPr>
          <w:rFonts w:ascii="Times New Roman" w:eastAsia="黑体" w:hAnsi="Times New Roman" w:hint="eastAsia"/>
          <w:b w:val="0"/>
          <w:color w:val="auto"/>
          <w:lang w:eastAsia="zh-CN"/>
          <w:highlight w:val="auto"/>
        </w:rPr>
        <w:t>部门职责</w:t>
      </w:r>
    </w:p>
    <w:p>
      <w:pPr>
        <w:ind w:left="0" w:firstLineChars="200" w:firstLine="640"/>
        <w:rPr>
          <w:rFonts w:hint="eastAsia"/>
          <w:lang w:eastAsia="zh-CN"/>
        </w:rPr>
      </w:pPr>
      <w:r>
        <w:rPr>
          <w:rFonts w:ascii="仿宋_GB2312" w:eastAsia="仿宋_GB2312" w:hint="eastAsia"/>
          <w:sz w:val="32"/>
        </w:rPr>
        <w:t>根据阿委办〔1997〕96号文件规定，州佛协职能职责为</w:t>
      </w:r>
      <w:r>
        <w:rPr>
          <w:rFonts w:ascii="仿宋_GB2312" w:eastAsia="仿宋_GB2312" w:hint="eastAsia"/>
          <w:sz w:val="32"/>
          <w:lang w:eastAsia="zh-CN"/>
        </w:rPr>
        <w:t>：</w:t>
      </w:r>
      <w:r>
        <w:rPr>
          <w:rFonts w:ascii="仿宋_GB2312" w:eastAsia="仿宋_GB2312" w:hint="eastAsia"/>
          <w:sz w:val="32"/>
        </w:rPr>
        <w:t>1.协同党和政府宣传贯彻党的宗教政策和国家有关宗教方面的法律、法规。2.组织和推动佛教徒学习国家的宗教政策和国家有关法律、法规，协助寺庙制定各项规章制度，管好宗教活动场所，开展正常的宗教活动。3.维护佛教徒信仰自由的合法权益，反映佛教界的愿望和要求。4.举办佛教教育培训，积极开展藏传佛教历史和学术研究，收集整理各教派寺庙的历史资料，保护佛教文物古迹。5.抵制境外敌对宗教势力的渗透，教育佛教徒爱国爱教。6.团结和引导全州各族佛教徒积极为国家经济建设服务，帮助和指导各教派寺庙举办以“自养”为中心的生产、服务和社会公益事业。7.承办党和政府及上级主管部门交办的其他工作。</w:t>
      </w:r>
    </w:p>
    <w:p>
      <w:pPr>
        <w:pStyle w:val="2"/>
        <w:rPr>
          <w:rStyle w:val="2Char"/>
          <w:rFonts w:ascii="Times New Roman" w:hAnsi="Times New Roman"/>
          <w:b w:val="0"/>
          <w:bCs w:val="0"/>
          <w:color w:val="auto"/>
          <w:highlight w:val="auto"/>
        </w:rPr>
      </w:pPr>
      <w:bookmarkStart w:id="8" w:name="_Toc15396601"/>
      <w:bookmarkStart w:id="9" w:name="_Toc15377200"/>
      <w:r>
        <w:rPr>
          <w:rFonts w:ascii="Times New Roman" w:eastAsia="黑体" w:hAnsi="Times New Roman" w:hint="eastAsia"/>
          <w:b w:val="0"/>
          <w:color w:val="auto"/>
          <w:highlight w:val="auto"/>
        </w:rPr>
        <w:t>二、机</w:t>
      </w:r>
      <w:r>
        <w:rPr>
          <w:rStyle w:val="2Char"/>
          <w:rFonts w:ascii="Times New Roman" w:eastAsia="黑体" w:hAnsi="Times New Roman" w:hint="eastAsia"/>
          <w:b w:val="0"/>
          <w:bCs w:val="0"/>
          <w:color w:val="auto"/>
          <w:highlight w:val="auto"/>
        </w:rPr>
        <w:t>构设置</w:t>
      </w:r>
      <w:bookmarkEnd w:id="8"/>
      <w:bookmarkEnd w:id="9"/>
    </w:p>
    <w:p>
      <w:pPr>
        <w:ind w:firstLineChars="250" w:firstLine="800"/>
        <w:rPr>
          <w:rFonts w:ascii="仿宋" w:eastAsia="仿宋" w:hint="eastAsia"/>
          <w:color w:val="auto"/>
          <w:sz w:val="32"/>
          <w:szCs w:val="32"/>
          <w:highlight w:val="auto"/>
        </w:rPr>
      </w:pPr>
      <w:r>
        <w:rPr>
          <w:rFonts w:ascii="仿宋_GB2312" w:eastAsia="仿宋_GB2312" w:cs="仿宋_GB2312" w:hint="eastAsia"/>
          <w:sz w:val="32"/>
          <w:szCs w:val="32"/>
          <w:lang w:bidi="ar-SA"/>
        </w:rPr>
        <w:t>阿坝州佛教协会下属二级单位2个</w:t>
      </w:r>
      <w:r>
        <w:rPr>
          <w:rFonts w:ascii="仿宋" w:eastAsia="仿宋" w:hint="eastAsia"/>
          <w:color w:val="auto"/>
          <w:sz w:val="32"/>
          <w:szCs w:val="32"/>
          <w:highlight w:val="auto"/>
        </w:rPr>
        <w:t>，其中行政单位0个，参照公务员法管理的事业单位</w:t>
      </w:r>
      <w:r>
        <w:rPr>
          <w:rFonts w:ascii="仿宋" w:eastAsia="仿宋" w:hint="eastAsia"/>
          <w:bCs/>
          <w:color w:val="auto"/>
          <w:sz w:val="32"/>
          <w:szCs w:val="32"/>
          <w:highlight w:val="auto"/>
        </w:rPr>
        <w:t>1</w:t>
      </w:r>
      <w:r>
        <w:rPr>
          <w:rFonts w:ascii="仿宋" w:eastAsia="仿宋" w:hint="eastAsia"/>
          <w:color w:val="auto"/>
          <w:sz w:val="32"/>
          <w:szCs w:val="32"/>
          <w:highlight w:val="auto"/>
        </w:rPr>
        <w:t>个，其他事业单位1个。</w:t>
      </w:r>
    </w:p>
    <w:p>
      <w:pPr>
        <w:pStyle w:val="18"/>
        <w:adjustRightInd w:val="0"/>
        <w:snapToGrid w:val="0"/>
        <w:spacing w:beforeLines="0" w:before="93" w:line="600" w:lineRule="exact"/>
        <w:ind w:firstLineChars="208" w:firstLine="666"/>
        <w:rPr>
          <w:rFonts w:ascii="仿宋" w:eastAsia="仿宋" w:hint="eastAsia"/>
          <w:color w:val="auto"/>
          <w:sz w:val="32"/>
          <w:szCs w:val="32"/>
          <w:highlight w:val="auto"/>
        </w:rPr>
      </w:pPr>
      <w:r>
        <w:rPr>
          <w:rFonts w:ascii="仿宋" w:eastAsia="仿宋" w:hint="eastAsia"/>
          <w:color w:val="auto"/>
          <w:sz w:val="32"/>
          <w:szCs w:val="32"/>
          <w:highlight w:val="auto"/>
        </w:rPr>
        <w:t>纳入州佛协</w:t>
      </w:r>
      <w:r>
        <w:rPr>
          <w:rFonts w:ascii="仿宋" w:eastAsia="仿宋" w:hint="eastAsia"/>
          <w:color w:val="auto"/>
          <w:sz w:val="32"/>
          <w:szCs w:val="32"/>
          <w:lang w:eastAsia="zh-CN"/>
          <w:highlight w:val="auto"/>
        </w:rPr>
        <w:t>202</w:t>
      </w:r>
      <w:r>
        <w:rPr>
          <w:rFonts w:ascii="仿宋" w:eastAsia="仿宋"/>
          <w:color w:val="auto"/>
          <w:sz w:val="32"/>
          <w:szCs w:val="32"/>
          <w:lang w:eastAsia="zh-CN"/>
          <w:highlight w:val="auto"/>
        </w:rPr>
        <w:t>5</w:t>
      </w:r>
      <w:r>
        <w:rPr>
          <w:rFonts w:ascii="仿宋" w:eastAsia="仿宋" w:hint="eastAsia"/>
          <w:color w:val="auto"/>
          <w:sz w:val="32"/>
          <w:szCs w:val="32"/>
          <w:highlight w:val="auto"/>
        </w:rPr>
        <w:t>年度部门决算编制范围的二级预算单位包括：</w:t>
      </w:r>
    </w:p>
    <w:p>
      <w:pPr>
        <w:pStyle w:val="18"/>
        <w:numPr>
          <w:ilvl w:val="0"/>
          <w:numId w:val="2"/>
        </w:numPr>
        <w:adjustRightInd w:val="0"/>
        <w:snapToGrid w:val="0"/>
        <w:spacing w:beforeLines="0" w:before="30" w:line="600" w:lineRule="exact"/>
        <w:outlineLvl w:val="2"/>
        <w:rPr>
          <w:rFonts w:cs="仿宋_GB2312"/>
          <w:sz w:val="32"/>
          <w:szCs w:val="32"/>
          <w:lang w:bidi="ar-SA"/>
        </w:rPr>
      </w:pPr>
      <w:bookmarkStart w:id="10" w:name="_Toc15377202"/>
      <w:bookmarkStart w:id="11" w:name="_Toc15378449"/>
      <w:bookmarkStart w:id="12" w:name="_Toc15306276"/>
      <w:bookmarkStart w:id="13" w:name="_Toc15377433"/>
      <w:bookmarkStart w:id="14" w:name="_Toc15378450"/>
      <w:bookmarkStart w:id="15" w:name="_Toc15377434"/>
      <w:bookmarkStart w:id="16" w:name="_Toc15306277"/>
      <w:bookmarkStart w:id="17" w:name="_Toc15377203"/>
      <w:r>
        <w:rPr>
          <w:rFonts w:cs="仿宋_GB2312" w:hint="eastAsia"/>
          <w:sz w:val="32"/>
          <w:szCs w:val="32"/>
          <w:lang w:bidi="ar-SA"/>
        </w:rPr>
        <w:t>阿坝州佛教协会</w:t>
      </w:r>
      <w:bookmarkEnd w:id="10"/>
      <w:bookmarkEnd w:id="11"/>
      <w:bookmarkEnd w:id="12"/>
      <w:bookmarkEnd w:id="13"/>
    </w:p>
    <w:p>
      <w:pPr>
        <w:pStyle w:val="18"/>
        <w:numPr>
          <w:ilvl w:val="0"/>
          <w:numId w:val="2"/>
        </w:numPr>
        <w:adjustRightInd w:val="0"/>
        <w:snapToGrid w:val="0"/>
        <w:spacing w:beforeLines="0" w:before="30" w:line="600" w:lineRule="exact"/>
        <w:outlineLvl w:val="2"/>
        <w:rPr>
          <w:rFonts w:cs="仿宋_GB2312"/>
          <w:sz w:val="32"/>
          <w:szCs w:val="32"/>
          <w:lang w:bidi="ar-SA"/>
        </w:rPr>
      </w:pPr>
      <w:r>
        <w:rPr>
          <w:rFonts w:cs="仿宋_GB2312" w:hint="eastAsia"/>
          <w:sz w:val="32"/>
          <w:szCs w:val="32"/>
          <w:lang w:bidi="ar-SA"/>
        </w:rPr>
        <w:t>阿坝州藏传佛教文化研究中心</w:t>
      </w:r>
    </w:p>
    <w:p>
      <w:pPr>
        <w:widowControl/>
        <w:jc w:val="left"/>
        <w:rPr>
          <w:rFonts w:ascii="Times New Roman" w:eastAsia="仿宋" w:hAnsi="Times New Roman"/>
          <w:color w:val="auto"/>
          <w:kern w:val="0"/>
          <w:sz w:val="32"/>
          <w:szCs w:val="32"/>
          <w:highlight w:val="auto"/>
        </w:rPr>
      </w:pPr>
      <w:bookmarkEnd w:id="14"/>
      <w:bookmarkEnd w:id="15"/>
      <w:bookmarkEnd w:id="16"/>
      <w:bookmarkEnd w:id="17"/>
      <w:r>
        <w:rPr>
          <w:rFonts w:ascii="Times New Roman" w:eastAsia="仿宋" w:hAnsi="Times New Roman"/>
          <w:color w:val="auto"/>
          <w:sz w:val="32"/>
          <w:szCs w:val="32"/>
          <w:highlight w:val="auto"/>
        </w:rPr>
        <w:br w:type="page"/>
      </w:r>
    </w:p>
    <w:p>
      <w:pPr>
        <w:pStyle w:val="1"/>
        <w:jc w:val="center"/>
        <w:rPr>
          <w:rFonts w:ascii="Times New Roman" w:eastAsia="方正小标宋简体" w:cs="方正小标宋简体" w:hAnsi="Times New Roman" w:hint="eastAsia"/>
          <w:b w:val="0"/>
          <w:color w:val="auto"/>
          <w:highlight w:val="auto"/>
        </w:rPr>
      </w:pPr>
      <w:bookmarkStart w:id="18" w:name="_Toc15396602"/>
      <w:bookmarkStart w:id="19" w:name="_Toc15377204"/>
      <w:r>
        <w:rPr>
          <w:rFonts w:ascii="Times New Roman" w:eastAsia="方正小标宋简体" w:cs="方正小标宋简体" w:hAnsi="Times New Roman" w:hint="eastAsia"/>
          <w:b w:val="0"/>
          <w:color w:val="auto"/>
          <w:highlight w:val="auto"/>
        </w:rPr>
        <w:t>第二部分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Fonts w:ascii="Times New Roman" w:eastAsia="方正小标宋简体" w:cs="方正小标宋简体" w:hAnsi="Times New Roman" w:hint="eastAsia"/>
          <w:b w:val="0"/>
          <w:color w:val="auto"/>
          <w:lang w:val="en-US" w:eastAsia="zh-CN"/>
          <w:highlight w:val="auto"/>
        </w:rPr>
        <w:t>202</w:t>
      </w:r>
      <w:r>
        <w:rPr>
          <w:rFonts w:ascii="Times New Roman" w:eastAsia="方正小标宋简体" w:cs="方正小标宋简体" w:hAnsi="Times New Roman"/>
          <w:b w:val="0"/>
          <w:color w:val="auto"/>
          <w:lang w:val="en-US" w:eastAsia="zh-CN"/>
          <w:highlight w:val="auto"/>
        </w:rPr>
        <w:t>5</w:t>
      </w:r>
      <w:r>
        <w:rPr>
          <w:rFonts w:ascii="Times New Roman" w:eastAsia="方正小标宋简体" w:cs="方正小标宋简体" w:hAnsi="Times New Roman" w:hint="eastAsia"/>
          <w:b w:val="0"/>
          <w:color w:val="auto"/>
          <w:lang w:val="en-US" w:eastAsia="zh-CN"/>
          <w:highlight w:val="auto"/>
        </w:rPr>
        <w:t>年度</w:t>
      </w:r>
      <w:r>
        <w:rPr>
          <w:rFonts w:ascii="Times New Roman" w:eastAsia="方正小标宋简体" w:cs="方正小标宋简体" w:hAnsi="Times New Roman" w:hint="eastAsia"/>
          <w:b w:val="0"/>
          <w:color w:val="auto"/>
          <w:highlight w:val="auto"/>
        </w:rPr>
        <w:t>部门决算情况说明</w:t>
      </w:r>
      <w:bookmarkEnd w:id="18"/>
      <w:bookmarkEnd w:id="19"/>
    </w:p>
    <w:p>
      <w:pPr>
        <w:rPr>
          <w:rFonts w:ascii="Times New Roman" w:hAnsi="Times New Roman"/>
          <w:color w:val="auto"/>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20" w:name="_Toc15396603"/>
      <w:bookmarkStart w:id="21" w:name="_Toc15377205"/>
      <w:r>
        <w:rPr>
          <w:rFonts w:ascii="Times New Roman" w:eastAsia="黑体" w:hAnsi="Times New Roman" w:hint="eastAsia"/>
          <w:color w:val="auto"/>
          <w:sz w:val="32"/>
          <w:szCs w:val="32"/>
          <w:lang w:eastAsia="zh-CN"/>
          <w:highlight w:val="auto"/>
        </w:rPr>
        <w:t>一、</w:t>
      </w:r>
      <w:r>
        <w:rPr>
          <w:rFonts w:ascii="Times New Roman" w:eastAsia="黑体" w:hAnsi="Times New Roman" w:hint="eastAsia"/>
          <w:color w:val="auto"/>
          <w:sz w:val="32"/>
          <w:szCs w:val="32"/>
          <w:highlight w:val="auto"/>
        </w:rPr>
        <w:t>收</w:t>
      </w:r>
      <w:r>
        <w:rPr>
          <w:rStyle w:val="2Char"/>
          <w:rFonts w:ascii="Times New Roman" w:eastAsia="黑体" w:hAnsi="Times New Roman" w:hint="eastAsia"/>
          <w:b w:val="0"/>
          <w:color w:val="auto"/>
          <w:highlight w:val="auto"/>
        </w:rPr>
        <w:t>入支出决算总体情况说明</w:t>
      </w:r>
      <w:bookmarkEnd w:id="20"/>
      <w:bookmarkEnd w:id="21"/>
    </w:p>
    <w:p>
      <w:pPr>
        <w:pStyle w:val="32"/>
        <w:keepNext w:val="0"/>
        <w:keepLines w:val="0"/>
        <w:pageBreakBefore w:val="0"/>
        <w:widowControl w:val="0"/>
        <w:kinsoku/>
        <w:wordWrap/>
        <w:overflowPunct/>
        <w:topLinePunct w:val="0"/>
        <w:autoSpaceDE/>
        <w:autoSpaceDN/>
        <w:adjustRightInd/>
        <w:snapToGrid/>
        <w:spacing w:line="600" w:lineRule="exact"/>
        <w:ind w:left="0" w:firstLineChars="200" w:firstLine="640"/>
        <w:outlineLvl w:val="1"/>
        <w:rPr>
          <w:rFonts w:eastAsia="仿宋_GB2312" w:cs="仿宋_GB2312"/>
          <w:b w:val="0"/>
          <w:bCs w:val="0"/>
          <w:color w:val="auto"/>
          <w:sz w:val="32"/>
          <w:szCs w:val="32"/>
          <w:lang w:val="en-US" w:eastAsia="zh-CN"/>
          <w:highlight w:val="auto"/>
        </w:rPr>
      </w:pPr>
      <w:r>
        <w:rPr>
          <w:rFonts w:ascii="Times New Roman" w:eastAsia="仿宋_GB2312" w:cs="仿宋_GB2312" w:hAnsi="Times New Roman" w:hint="eastAsia"/>
          <w:color w:val="auto"/>
          <w:sz w:val="32"/>
          <w:szCs w:val="32"/>
          <w:lang w:eastAsia="zh-CN"/>
          <w:highlight w:val="auto"/>
        </w:rPr>
        <w:t>202</w:t>
      </w:r>
      <w:r>
        <w:rPr>
          <w:rFonts w:ascii="Times New Roman" w:eastAsia="仿宋_GB2312" w:cs="仿宋_GB2312" w:hAnsi="Times New Roman"/>
          <w:color w:val="auto"/>
          <w:sz w:val="32"/>
          <w:szCs w:val="32"/>
          <w:lang w:eastAsia="zh-CN"/>
          <w:highlight w:val="auto"/>
        </w:rPr>
        <w:t>5</w:t>
      </w:r>
      <w:r>
        <w:rPr>
          <w:rFonts w:ascii="Times New Roman" w:eastAsia="仿宋_GB2312" w:cs="仿宋_GB2312" w:hAnsi="Times New Roman" w:hint="eastAsia"/>
          <w:color w:val="auto"/>
          <w:sz w:val="32"/>
          <w:szCs w:val="32"/>
          <w:lang w:eastAsia="zh-CN"/>
          <w:highlight w:val="auto"/>
        </w:rPr>
        <w:t>年度收入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w:t>
      </w:r>
      <w:r>
        <w:rPr>
          <w:rFonts w:ascii="Times New Roman" w:eastAsia="仿宋_GB2312" w:cs="仿宋_GB2312" w:hAnsi="Times New Roman" w:hint="eastAsia"/>
          <w:color w:val="auto"/>
          <w:sz w:val="32"/>
          <w:szCs w:val="32"/>
          <w:lang w:eastAsia="zh-CN"/>
          <w:highlight w:val="auto"/>
        </w:rPr>
        <w:t>均为</w:t>
      </w:r>
      <w:r>
        <w:rPr>
          <w:rFonts w:ascii="仿宋_GB2312" w:eastAsia="仿宋_GB2312" w:cs="仿宋_GB2312"/>
          <w:sz w:val="32"/>
          <w:szCs w:val="32"/>
        </w:rPr>
        <w:t>467.37</w:t>
      </w:r>
      <w:r>
        <w:rPr>
          <w:rFonts w:ascii="Times New Roman" w:eastAsia="仿宋_GB2312" w:cs="仿宋_GB2312" w:hAnsi="Times New Roman" w:hint="eastAsia"/>
          <w:color w:val="auto"/>
          <w:sz w:val="32"/>
          <w:szCs w:val="32"/>
          <w:highlight w:val="auto"/>
        </w:rPr>
        <w:t>万元。与</w:t>
      </w:r>
      <w:r>
        <w:rPr>
          <w:rFonts w:ascii="Times New Roman" w:eastAsia="仿宋_GB2312" w:cs="仿宋_GB2312" w:hAnsi="Times New Roman" w:hint="eastAsia"/>
          <w:color w:val="auto"/>
          <w:sz w:val="32"/>
          <w:szCs w:val="32"/>
          <w:lang w:eastAsia="zh-CN"/>
          <w:highlight w:val="auto"/>
        </w:rPr>
        <w:t>202</w:t>
      </w:r>
      <w:r>
        <w:rPr>
          <w:rFonts w:ascii="Times New Roman" w:eastAsia="仿宋_GB2312" w:cs="仿宋_GB2312" w:hAnsi="Times New Roman"/>
          <w:color w:val="auto"/>
          <w:sz w:val="32"/>
          <w:szCs w:val="32"/>
          <w:lang w:val="en-US" w:eastAsia="zh-CN"/>
          <w:highlight w:val="auto"/>
        </w:rPr>
        <w:t>4</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hint="eastAsia"/>
          <w:color w:val="auto"/>
          <w:sz w:val="32"/>
          <w:szCs w:val="32"/>
          <w:lang w:eastAsia="zh-CN"/>
          <w:highlight w:val="auto"/>
        </w:rPr>
        <w:t>度</w:t>
      </w:r>
      <w:r>
        <w:rPr>
          <w:rFonts w:ascii="Times New Roman" w:eastAsia="仿宋_GB2312" w:cs="仿宋_GB2312" w:hAnsi="Times New Roman" w:hint="eastAsia"/>
          <w:color w:val="auto"/>
          <w:sz w:val="32"/>
          <w:szCs w:val="32"/>
          <w:highlight w:val="auto"/>
        </w:rPr>
        <w:t>相比，</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总计各</w:t>
      </w:r>
      <w:r>
        <w:rPr>
          <w:rFonts w:ascii="Times New Roman" w:eastAsia="仿宋_GB2312" w:cs="仿宋_GB2312" w:hAnsi="Times New Roman"/>
          <w:color w:val="auto"/>
          <w:sz w:val="32"/>
          <w:szCs w:val="32"/>
          <w:highlight w:val="auto"/>
        </w:rPr>
        <w:t>减少</w:t>
      </w:r>
      <w:r>
        <w:rPr>
          <w:rFonts w:eastAsia="仿宋_GB2312" w:cs="仿宋_GB2312"/>
          <w:color w:val="auto"/>
          <w:sz w:val="32"/>
          <w:szCs w:val="32"/>
          <w:lang w:val="en-US" w:eastAsia="zh-CN"/>
          <w:highlight w:val="auto"/>
        </w:rPr>
        <w:t>30.38</w:t>
      </w:r>
      <w:r>
        <w:rPr>
          <w:rFonts w:ascii="Times New Roman" w:eastAsia="仿宋_GB2312" w:cs="仿宋_GB2312" w:hAnsi="Times New Roman" w:hint="eastAsia"/>
          <w:color w:val="auto"/>
          <w:sz w:val="32"/>
          <w:szCs w:val="32"/>
          <w:highlight w:val="auto"/>
        </w:rPr>
        <w:t>万元，增</w:t>
      </w:r>
      <w:r>
        <w:rPr>
          <w:rFonts w:ascii="Times New Roman" w:eastAsia="仿宋_GB2312" w:cs="仿宋_GB2312" w:hAnsi="Times New Roman"/>
          <w:color w:val="auto"/>
          <w:sz w:val="32"/>
          <w:szCs w:val="32"/>
          <w:highlight w:val="auto"/>
        </w:rPr>
        <w:t>减</w:t>
      </w:r>
      <w:r>
        <w:rPr>
          <w:rFonts w:eastAsia="仿宋_GB2312" w:cs="仿宋_GB2312"/>
          <w:color w:val="auto"/>
          <w:sz w:val="32"/>
          <w:szCs w:val="32"/>
          <w:lang w:val="en-US" w:eastAsia="zh-CN"/>
          <w:highlight w:val="auto"/>
        </w:rPr>
        <w:t>6.1</w:t>
      </w:r>
      <w:r>
        <w:rPr>
          <w:rFonts w:ascii="Times New Roman" w:eastAsia="仿宋_GB2312" w:cs="仿宋_GB2312" w:hAnsi="Times New Roman" w:hint="eastAsia"/>
          <w:color w:val="auto"/>
          <w:sz w:val="32"/>
          <w:szCs w:val="32"/>
          <w:highlight w:val="auto"/>
        </w:rPr>
        <w:t>%。主要变动原因是</w:t>
      </w:r>
      <w:r>
        <w:rPr>
          <w:rFonts w:eastAsia="仿宋_GB2312" w:cs="仿宋_GB2312" w:hint="eastAsia"/>
          <w:color w:val="auto"/>
          <w:sz w:val="32"/>
          <w:szCs w:val="32"/>
          <w:lang w:eastAsia="zh-CN"/>
          <w:highlight w:val="auto"/>
        </w:rPr>
        <w:t>：</w:t>
      </w:r>
      <w:r>
        <w:rPr>
          <w:rFonts w:eastAsia="仿宋_GB2312" w:cs="仿宋_GB2312" w:hint="eastAsia"/>
          <w:b w:val="0"/>
          <w:bCs w:val="0"/>
          <w:color w:val="auto"/>
          <w:sz w:val="32"/>
          <w:szCs w:val="32"/>
          <w:lang w:val="en-US" w:eastAsia="zh-CN"/>
          <w:highlight w:val="auto"/>
        </w:rPr>
        <w:t>一是</w:t>
      </w:r>
      <w:r>
        <w:rPr>
          <w:rFonts w:eastAsia="仿宋_GB2312" w:cs="仿宋_GB2312"/>
          <w:b w:val="0"/>
          <w:bCs w:val="0"/>
          <w:color w:val="auto"/>
          <w:sz w:val="32"/>
          <w:szCs w:val="32"/>
          <w:lang w:val="en-US" w:eastAsia="zh-CN"/>
        </w:rPr>
        <w:t>2024年其他收入(代管资金)中包含2023年省佛协下拨资金；二是2025年项目减少,厉行节俭节约</w:t>
      </w:r>
      <w:r>
        <w:rPr>
          <w:rFonts w:eastAsia="仿宋_GB2312" w:cs="仿宋_GB2312"/>
          <w:b w:val="0"/>
          <w:bCs w:val="0"/>
          <w:color w:val="auto"/>
          <w:sz w:val="32"/>
          <w:szCs w:val="32"/>
          <w:lang w:val="en-US" w:eastAsia="zh-CN"/>
          <w:highlight w:val="auto"/>
        </w:rPr>
        <w:t>。</w:t>
      </w:r>
    </w:p>
    <w:p>
      <w:pPr>
        <w:pStyle w:val="32"/>
        <w:keepNext w:val="0"/>
        <w:keepLines w:val="0"/>
        <w:pageBreakBefore w:val="0"/>
        <w:widowControl w:val="0"/>
        <w:kinsoku/>
        <w:wordWrap/>
        <w:overflowPunct/>
        <w:topLinePunct w:val="0"/>
        <w:autoSpaceDE/>
        <w:autoSpaceDN/>
        <w:bidi w:val="0"/>
        <w:adjustRightInd/>
        <w:snapToGrid/>
        <w:spacing w:line="600" w:lineRule="exact"/>
        <w:textAlignment w:val="auto"/>
        <w:outlineLvl w:val="1"/>
      </w:pPr>
      <w:r>
        <w:drawing>
          <wp:anchor distT="0" distB="0" distL="85723" distR="85723" simplePos="0" relativeHeight="30" behindDoc="0" locked="0" layoutInCell="1" hidden="0" allowOverlap="1">
            <wp:simplePos x="0" y="0"/>
            <wp:positionH relativeFrom="column">
              <wp:posOffset>209550</wp:posOffset>
            </wp:positionH>
            <wp:positionV relativeFrom="paragraph">
              <wp:posOffset>210750</wp:posOffset>
            </wp:positionV>
            <wp:extent cx="4571929" cy="2743157"/>
            <wp:effectExtent l="0" t="0" r="0" b="0"/>
            <wp:wrapNone/>
            <wp:docPr id="1" name="图片"/>
            <wp:cNvGraphicFramePr>
              <a:graphicFrameLocks noChangeAspect="1"/>
            </wp:cNvGraphicFramePr>
            <a:graphic>
              <a:graphicData uri="http://schemas.openxmlformats.org/drawingml/2006/picture">
                <pic:pic>
                  <pic:nvPicPr>
                    <pic:cNvPr id="3" name="图片 3"/>
                    <pic:cNvPicPr/>
                  </pic:nvPicPr>
                  <pic:blipFill>
                    <a:blip r:embed="rId6"/>
                    <a:stretch>
                      <a:fillRect/>
                    </a:stretch>
                  </pic:blipFill>
                  <pic:spPr>
                    <a:xfrm rot="0">
                      <a:off x="0" y="0"/>
                      <a:ext cx="4571929" cy="2743157"/>
                    </a:xfrm>
                    <a:prstGeom prst="rect"/>
                    <a:noFill/>
                    <a:ln w="9525" cmpd="sng" cap="flat">
                      <a:noFill/>
                      <a:prstDash val="solid"/>
                      <a:miter/>
                    </a:ln>
                  </pic:spPr>
                </pic:pic>
              </a:graphicData>
            </a:graphic>
          </wp:anchor>
        </w:drawing>
      </w:r>
    </w:p>
    <w:p>
      <w:pPr>
        <w:pStyle w:val="32"/>
        <w:keepNext w:val="0"/>
        <w:keepLines w:val="0"/>
        <w:pageBreakBefore w:val="0"/>
        <w:widowControl w:val="0"/>
        <w:kinsoku/>
        <w:wordWrap/>
        <w:overflowPunct/>
        <w:topLinePunct w:val="0"/>
        <w:autoSpaceDE/>
        <w:autoSpaceDN/>
        <w:bidi w:val="0"/>
        <w:adjustRightInd/>
        <w:snapToGrid/>
        <w:spacing w:line="600" w:lineRule="exact"/>
        <w:textAlignment w:val="auto"/>
        <w:outlineLvl w:val="1"/>
      </w:pPr>
    </w:p>
    <w:p>
      <w:pPr>
        <w:pStyle w:val="32"/>
        <w:keepNext w:val="0"/>
        <w:keepLines w:val="0"/>
        <w:pageBreakBefore w:val="0"/>
        <w:widowControl w:val="0"/>
        <w:kinsoku/>
        <w:wordWrap/>
        <w:overflowPunct/>
        <w:topLinePunct w:val="0"/>
        <w:autoSpaceDE/>
        <w:autoSpaceDN/>
        <w:bidi w:val="0"/>
        <w:adjustRightInd/>
        <w:snapToGrid/>
        <w:spacing w:line="600" w:lineRule="exact"/>
        <w:textAlignment w:val="auto"/>
        <w:outlineLvl w:val="1"/>
      </w:pPr>
    </w:p>
    <w:p>
      <w:pPr>
        <w:pStyle w:val="32"/>
        <w:keepNext w:val="0"/>
        <w:keepLines w:val="0"/>
        <w:pageBreakBefore w:val="0"/>
        <w:widowControl w:val="0"/>
        <w:kinsoku/>
        <w:wordWrap/>
        <w:overflowPunct/>
        <w:topLinePunct w:val="0"/>
        <w:autoSpaceDE/>
        <w:autoSpaceDN/>
        <w:bidi w:val="0"/>
        <w:adjustRightInd/>
        <w:snapToGrid/>
        <w:spacing w:line="600" w:lineRule="exact"/>
        <w:textAlignment w:val="auto"/>
        <w:outlineLvl w:val="1"/>
      </w:pPr>
    </w:p>
    <w:p>
      <w:pPr>
        <w:pStyle w:val="32"/>
        <w:keepNext w:val="0"/>
        <w:keepLines w:val="0"/>
        <w:pageBreakBefore w:val="0"/>
        <w:widowControl w:val="0"/>
        <w:kinsoku/>
        <w:wordWrap/>
        <w:overflowPunct/>
        <w:topLinePunct w:val="0"/>
        <w:autoSpaceDE/>
        <w:autoSpaceDN/>
        <w:bidi w:val="0"/>
        <w:adjustRightInd/>
        <w:snapToGrid/>
        <w:spacing w:line="600" w:lineRule="exact"/>
        <w:textAlignment w:val="auto"/>
        <w:outlineLvl w:val="1"/>
      </w:pPr>
    </w:p>
    <w:p>
      <w:pPr>
        <w:pStyle w:val="32"/>
        <w:keepNext w:val="0"/>
        <w:keepLines w:val="0"/>
        <w:pageBreakBefore w:val="0"/>
        <w:widowControl w:val="0"/>
        <w:kinsoku/>
        <w:wordWrap/>
        <w:overflowPunct/>
        <w:topLinePunct w:val="0"/>
        <w:autoSpaceDE/>
        <w:autoSpaceDN/>
        <w:bidi w:val="0"/>
        <w:adjustRightInd/>
        <w:snapToGrid/>
        <w:spacing w:line="600" w:lineRule="exact"/>
        <w:textAlignment w:val="auto"/>
        <w:outlineLvl w:val="1"/>
      </w:pPr>
    </w:p>
    <w:p>
      <w:pPr>
        <w:pStyle w:val="32"/>
        <w:keepNext w:val="0"/>
        <w:keepLines w:val="0"/>
        <w:pageBreakBefore w:val="0"/>
        <w:widowControl w:val="0"/>
        <w:kinsoku/>
        <w:wordWrap/>
        <w:overflowPunct/>
        <w:topLinePunct w:val="0"/>
        <w:autoSpaceDE/>
        <w:autoSpaceDN/>
        <w:bidi w:val="0"/>
        <w:adjustRightInd/>
        <w:snapToGrid/>
        <w:spacing w:line="600" w:lineRule="exact"/>
        <w:textAlignment w:val="auto"/>
        <w:outlineLvl w:val="1"/>
      </w:pPr>
    </w:p>
    <w:p>
      <w:pPr>
        <w:pStyle w:val="32"/>
        <w:keepNext w:val="0"/>
        <w:keepLines w:val="0"/>
        <w:pageBreakBefore w:val="0"/>
        <w:widowControl w:val="0"/>
        <w:kinsoku/>
        <w:wordWrap/>
        <w:overflowPunct/>
        <w:topLinePunct w:val="0"/>
        <w:autoSpaceDE/>
        <w:autoSpaceDN/>
        <w:bidi w:val="0"/>
        <w:adjustRightInd/>
        <w:snapToGrid/>
        <w:spacing w:line="600" w:lineRule="exact"/>
        <w:textAlignment w:val="auto"/>
        <w:outlineLvl w:val="1"/>
      </w:pPr>
    </w:p>
    <w:p>
      <w:pPr>
        <w:keepNext w:val="0"/>
        <w:keepLines w:val="0"/>
        <w:pageBreakBefore w:val="0"/>
        <w:widowControl w:val="0"/>
        <w:kinsoku/>
        <w:wordWrap/>
        <w:overflowPunct/>
        <w:topLinePunct w:val="0"/>
        <w:autoSpaceDE/>
        <w:autoSpaceDN/>
        <w:adjustRightInd/>
        <w:snapToGrid/>
        <w:ind w:firstLineChars="200" w:firstLine="640"/>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（图1：</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决算总计变动情况图）（柱状图）</w:t>
      </w: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黑体" w:hAnsi="Times New Roman" w:hint="eastAsia"/>
          <w:color w:val="auto"/>
          <w:sz w:val="32"/>
          <w:szCs w:val="32"/>
          <w:lang w:eastAsia="zh-CN"/>
          <w:highlight w:val="auto"/>
        </w:rPr>
      </w:pPr>
      <w:bookmarkStart w:id="22" w:name="_Toc15396604"/>
      <w:bookmarkStart w:id="23" w:name="_Toc15377206"/>
      <w:r>
        <w:rPr>
          <w:rFonts w:ascii="Times New Roman" w:eastAsia="黑体" w:hAnsi="Times New Roman" w:hint="eastAsia"/>
          <w:color w:val="auto"/>
          <w:sz w:val="32"/>
          <w:szCs w:val="32"/>
          <w:lang w:eastAsia="zh-CN"/>
          <w:highlight w:val="auto"/>
        </w:rPr>
        <w:t>二、收入决算情况说明</w:t>
      </w:r>
      <w:bookmarkEnd w:id="22"/>
      <w:bookmarkEnd w:id="23"/>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r>
        <w:rPr>
          <w:rFonts w:ascii="仿宋_GB2312" w:eastAsia="仿宋_GB2312" w:cs="仿宋_GB2312" w:hint="eastAsia"/>
          <w:color w:val="auto"/>
          <w:sz w:val="32"/>
          <w:szCs w:val="32"/>
          <w:lang w:eastAsia="zh-CN"/>
          <w:highlight w:val="auto"/>
        </w:rPr>
        <w:t>202</w:t>
      </w:r>
      <w:r>
        <w:rPr>
          <w:rFonts w:ascii="仿宋_GB2312" w:eastAsia="仿宋_GB2312" w:cs="仿宋_GB2312"/>
          <w:color w:val="auto"/>
          <w:sz w:val="32"/>
          <w:szCs w:val="32"/>
          <w:lang w:eastAsia="zh-CN"/>
          <w:highlight w:val="auto"/>
        </w:rPr>
        <w:t>5</w:t>
      </w:r>
      <w:r>
        <w:rPr>
          <w:rFonts w:ascii="仿宋_GB2312" w:eastAsia="仿宋_GB2312" w:cs="仿宋_GB2312" w:hint="eastAsia"/>
          <w:color w:val="auto"/>
          <w:sz w:val="32"/>
          <w:szCs w:val="32"/>
          <w:lang w:eastAsia="zh-CN"/>
          <w:highlight w:val="auto"/>
        </w:rPr>
        <w:t>年度本年收入合计</w:t>
      </w:r>
      <w:r>
        <w:rPr>
          <w:rFonts w:ascii="仿宋_GB2312" w:eastAsia="仿宋_GB2312" w:cs="仿宋_GB2312"/>
          <w:sz w:val="32"/>
          <w:szCs w:val="32"/>
        </w:rPr>
        <w:t>446.75</w:t>
      </w:r>
      <w:r>
        <w:rPr>
          <w:rFonts w:ascii="仿宋_GB2312" w:eastAsia="仿宋_GB2312" w:cs="仿宋_GB2312" w:hint="eastAsia"/>
          <w:sz w:val="32"/>
          <w:szCs w:val="32"/>
        </w:rPr>
        <w:t>万元，其中：一般公共预算财政拨款收入</w:t>
      </w:r>
      <w:r>
        <w:rPr>
          <w:rFonts w:ascii="仿宋_GB2312" w:eastAsia="仿宋_GB2312" w:cs="仿宋_GB2312"/>
          <w:sz w:val="32"/>
          <w:szCs w:val="32"/>
        </w:rPr>
        <w:t>429.75</w:t>
      </w:r>
      <w:r>
        <w:rPr>
          <w:rFonts w:ascii="仿宋_GB2312" w:eastAsia="仿宋_GB2312" w:cs="仿宋_GB2312" w:hint="eastAsia"/>
          <w:color w:val="auto"/>
          <w:sz w:val="32"/>
          <w:szCs w:val="32"/>
          <w:lang w:eastAsia="zh-CN"/>
          <w:highlight w:val="auto"/>
        </w:rPr>
        <w:t>万元，占</w:t>
      </w:r>
      <w:r>
        <w:rPr>
          <w:rFonts w:ascii="仿宋_GB2312" w:eastAsia="仿宋_GB2312" w:cs="仿宋_GB2312"/>
          <w:sz w:val="32"/>
          <w:szCs w:val="32"/>
        </w:rPr>
        <w:t>96.2</w:t>
      </w:r>
      <w:r>
        <w:rPr>
          <w:rFonts w:ascii="仿宋_GB2312" w:eastAsia="仿宋_GB2312" w:cs="仿宋_GB2312" w:hint="eastAsia"/>
          <w:color w:val="auto"/>
          <w:sz w:val="32"/>
          <w:szCs w:val="32"/>
          <w:lang w:eastAsia="zh-CN"/>
          <w:highlight w:val="auto"/>
        </w:rPr>
        <w:t>%；政府性基金预算财政拨款收入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万元，占0%；国有资本经营预算财政拨款收入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%；上级补助收入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%；事业收入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%；经营收入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%；附属单位上缴收入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%；其他收入</w:t>
      </w:r>
      <w:r>
        <w:rPr>
          <w:rFonts w:ascii="仿宋_GB2312" w:eastAsia="仿宋_GB2312" w:cs="仿宋_GB2312"/>
          <w:sz w:val="32"/>
          <w:szCs w:val="32"/>
        </w:rPr>
        <w:t>17</w:t>
      </w:r>
      <w:r>
        <w:rPr>
          <w:rFonts w:ascii="仿宋_GB2312" w:eastAsia="仿宋_GB2312" w:cs="仿宋_GB2312" w:hint="eastAsia"/>
          <w:color w:val="auto"/>
          <w:sz w:val="32"/>
          <w:szCs w:val="32"/>
          <w:lang w:eastAsia="zh-CN"/>
          <w:highlight w:val="auto"/>
        </w:rPr>
        <w:t>万元，占</w:t>
      </w:r>
      <w:r>
        <w:rPr>
          <w:rFonts w:ascii="仿宋_GB2312" w:eastAsia="仿宋_GB2312" w:cs="仿宋_GB2312"/>
          <w:sz w:val="32"/>
          <w:szCs w:val="32"/>
        </w:rPr>
        <w:t>3.8</w:t>
      </w:r>
      <w:r>
        <w:rPr>
          <w:rFonts w:ascii="仿宋_GB2312" w:eastAsia="仿宋_GB2312" w:cs="仿宋_GB2312" w:hint="eastAsia"/>
          <w:color w:val="auto"/>
          <w:sz w:val="32"/>
          <w:szCs w:val="32"/>
          <w:lang w:eastAsia="zh-CN"/>
          <w:highlight w:val="auto"/>
        </w:rPr>
        <w:t>%。</w:t>
      </w:r>
      <w:r>
        <w:rPr>
          <w:rFonts w:ascii="Times New Roman" w:eastAsia="仿宋_GB2312" w:cs="仿宋_GB2312" w:hAnsi="Times New Roman" w:hint="eastAsia"/>
          <w:b/>
          <w:bCs/>
          <w:color w:val="auto"/>
          <w:sz w:val="32"/>
          <w:szCs w:val="32"/>
          <w:lang w:eastAsia="zh-CN"/>
          <w:highlight w:val="auto"/>
        </w:rPr>
        <w:t>（注：仅罗列本部门涉及的收入）</w:t>
      </w: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1"/>
      </w:pPr>
    </w:p>
    <w:p>
      <w:pPr>
        <w:pStyle w:val="32"/>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1"/>
      </w:pPr>
    </w:p>
    <w:p>
      <w:pPr>
        <w:pStyle w:val="32"/>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1"/>
      </w:pPr>
    </w:p>
    <w:p>
      <w:pPr>
        <w:pStyle w:val="32"/>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1"/>
        <w:rPr>
          <w:rFonts w:hint="eastAsia"/>
          <w:lang w:eastAsia="zh-CN"/>
        </w:rPr>
      </w:pPr>
      <w:r>
        <w:drawing>
          <wp:anchor distT="0" distB="0" distL="114300" distR="114300" simplePos="0" relativeHeight="28" behindDoc="0" locked="0" layoutInCell="1" hidden="0" allowOverlap="1">
            <wp:simplePos x="0" y="0"/>
            <wp:positionH relativeFrom="column">
              <wp:posOffset>0</wp:posOffset>
            </wp:positionH>
            <wp:positionV relativeFrom="paragraph">
              <wp:posOffset>-1562100</wp:posOffset>
            </wp:positionV>
            <wp:extent cx="3094355" cy="1855470"/>
            <wp:effectExtent l="0" t="0" r="16" b="29"/>
            <wp:wrapSquare wrapText="bothSides"/>
            <wp:docPr id="4" name="图片 1" descr="3.png"/>
            <wp:cNvGraphicFramePr>
              <a:graphicFrameLocks noChangeAspect="1"/>
            </wp:cNvGraphicFramePr>
            <a:graphic>
              <a:graphicData uri="http://schemas.openxmlformats.org/drawingml/2006/picture">
                <pic:pic>
                  <pic:nvPicPr>
                    <pic:cNvPr id="6" name="图片 1 6"/>
                    <pic:cNvPicPr/>
                  </pic:nvPicPr>
                  <pic:blipFill>
                    <a:blip r:embed="rId7"/>
                    <a:stretch>
                      <a:fillRect/>
                    </a:stretch>
                  </pic:blipFill>
                  <pic:spPr>
                    <a:xfrm rot="0">
                      <a:off x="0" y="0"/>
                      <a:ext cx="3094355" cy="1855470"/>
                    </a:xfrm>
                    <a:prstGeom prst="rect"/>
                    <a:noFill/>
                    <a:ln w="9525" cmpd="sng" cap="flat">
                      <a:noFill/>
                      <a:prstDash val="solid"/>
                      <a:round/>
                    </a:ln>
                  </pic:spPr>
                </pic:pic>
              </a:graphicData>
            </a:graphic>
          </wp:anchor>
        </w:drawing>
      </w:r>
    </w:p>
    <w:p>
      <w:pPr>
        <w:ind w:firstLineChars="250" w:firstLine="800"/>
        <w:rPr>
          <w:rFonts w:ascii="Times New Roman" w:eastAsia="仿宋_GB2312" w:cs="仿宋_GB2312" w:hAnsi="Times New Roman" w:hint="eastAsia"/>
          <w:color w:val="auto"/>
          <w:sz w:val="32"/>
          <w:szCs w:val="32"/>
          <w:lang w:eastAsia="zh-CN"/>
          <w:highlight w:val="auto"/>
        </w:rPr>
      </w:pPr>
      <w:r>
        <w:rPr>
          <w:rFonts w:ascii="Times New Roman" w:eastAsia="仿宋_GB2312" w:cs="仿宋_GB2312" w:hAnsi="Times New Roman" w:hint="eastAsia"/>
          <w:color w:val="auto"/>
          <w:sz w:val="32"/>
          <w:szCs w:val="32"/>
          <w:lang w:eastAsia="zh-CN"/>
          <w:highlight w:val="auto"/>
        </w:rPr>
        <w:t>（图2：收入决算结构图）（饼状图）</w:t>
      </w:r>
    </w:p>
    <w:p>
      <w:pPr>
        <w:ind w:firstLineChars="250" w:firstLine="800"/>
        <w:rPr>
          <w:rFonts w:ascii="Times New Roman" w:eastAsia="仿宋_GB2312" w:cs="仿宋_GB2312" w:hAnsi="Times New Roman" w:hint="eastAsia"/>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24" w:name="_Toc15377207"/>
      <w:bookmarkStart w:id="25" w:name="_Toc15396605"/>
      <w:r>
        <w:rPr>
          <w:rFonts w:ascii="Times New Roman" w:eastAsia="黑体" w:hAnsi="Times New Roman" w:hint="eastAsia"/>
          <w:color w:val="auto"/>
          <w:sz w:val="32"/>
          <w:szCs w:val="32"/>
          <w:lang w:eastAsia="zh-CN"/>
          <w:highlight w:val="auto"/>
        </w:rPr>
        <w:t>三、</w:t>
      </w:r>
      <w:r>
        <w:rPr>
          <w:rFonts w:ascii="Times New Roman" w:eastAsia="黑体" w:hAnsi="Times New Roman" w:hint="eastAsia"/>
          <w:color w:val="auto"/>
          <w:sz w:val="32"/>
          <w:szCs w:val="32"/>
          <w:highlight w:val="auto"/>
        </w:rPr>
        <w:t>支</w:t>
      </w:r>
      <w:r>
        <w:rPr>
          <w:rStyle w:val="2Char"/>
          <w:rFonts w:ascii="Times New Roman" w:eastAsia="黑体" w:hAnsi="Times New Roman" w:hint="eastAsia"/>
          <w:b w:val="0"/>
          <w:color w:val="auto"/>
          <w:highlight w:val="auto"/>
        </w:rPr>
        <w:t>出决算情况说明</w:t>
      </w:r>
      <w:bookmarkEnd w:id="24"/>
      <w:bookmarkEnd w:id="25"/>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r>
        <w:rPr>
          <w:rFonts w:ascii="仿宋_GB2312" w:eastAsia="仿宋_GB2312" w:cs="仿宋_GB2312" w:hint="eastAsia"/>
          <w:color w:val="auto"/>
          <w:sz w:val="32"/>
          <w:szCs w:val="32"/>
          <w:lang w:eastAsia="zh-CN"/>
          <w:highlight w:val="auto"/>
        </w:rPr>
        <w:t>202</w:t>
      </w:r>
      <w:r>
        <w:rPr>
          <w:rFonts w:ascii="仿宋_GB2312" w:eastAsia="仿宋_GB2312" w:cs="仿宋_GB2312"/>
          <w:color w:val="auto"/>
          <w:sz w:val="32"/>
          <w:szCs w:val="32"/>
          <w:lang w:eastAsia="zh-CN"/>
          <w:highlight w:val="auto"/>
        </w:rPr>
        <w:t>5</w:t>
      </w:r>
      <w:r>
        <w:rPr>
          <w:rFonts w:ascii="仿宋_GB2312" w:eastAsia="仿宋_GB2312" w:cs="仿宋_GB2312" w:hint="eastAsia"/>
          <w:color w:val="auto"/>
          <w:sz w:val="32"/>
          <w:szCs w:val="32"/>
          <w:lang w:eastAsia="zh-CN"/>
          <w:highlight w:val="auto"/>
        </w:rPr>
        <w:t>年度本年支出合计</w:t>
      </w:r>
      <w:r>
        <w:rPr>
          <w:rFonts w:ascii="仿宋_GB2312" w:eastAsia="仿宋_GB2312" w:cs="仿宋_GB2312"/>
          <w:sz w:val="32"/>
          <w:szCs w:val="32"/>
        </w:rPr>
        <w:t>445.08</w:t>
      </w:r>
      <w:r>
        <w:rPr>
          <w:rFonts w:ascii="仿宋_GB2312" w:eastAsia="仿宋_GB2312" w:cs="仿宋_GB2312" w:hint="eastAsia"/>
          <w:color w:val="auto"/>
          <w:sz w:val="32"/>
          <w:szCs w:val="32"/>
          <w:lang w:eastAsia="zh-CN"/>
          <w:highlight w:val="auto"/>
        </w:rPr>
        <w:t>万元，其中：基本支出</w:t>
      </w:r>
      <w:r>
        <w:rPr>
          <w:rFonts w:ascii="仿宋_GB2312" w:eastAsia="仿宋_GB2312" w:cs="仿宋_GB2312"/>
          <w:sz w:val="32"/>
          <w:szCs w:val="32"/>
        </w:rPr>
        <w:t>260.81</w:t>
      </w:r>
      <w:r>
        <w:rPr>
          <w:rFonts w:ascii="仿宋_GB2312" w:eastAsia="仿宋_GB2312" w:cs="仿宋_GB2312" w:hint="eastAsia"/>
          <w:color w:val="auto"/>
          <w:sz w:val="32"/>
          <w:szCs w:val="32"/>
          <w:lang w:eastAsia="zh-CN"/>
          <w:highlight w:val="auto"/>
        </w:rPr>
        <w:t>万元，占</w:t>
      </w:r>
      <w:r>
        <w:rPr>
          <w:rFonts w:ascii="仿宋_GB2312" w:eastAsia="仿宋_GB2312" w:cs="仿宋_GB2312"/>
          <w:sz w:val="32"/>
          <w:szCs w:val="32"/>
        </w:rPr>
        <w:t>58.6</w:t>
      </w:r>
      <w:r>
        <w:rPr>
          <w:rFonts w:ascii="仿宋_GB2312" w:eastAsia="仿宋_GB2312" w:cs="仿宋_GB2312" w:hint="eastAsia"/>
          <w:color w:val="auto"/>
          <w:sz w:val="32"/>
          <w:szCs w:val="32"/>
          <w:lang w:eastAsia="zh-CN"/>
          <w:highlight w:val="auto"/>
        </w:rPr>
        <w:t>%；项目支出</w:t>
      </w:r>
      <w:r>
        <w:rPr>
          <w:rFonts w:ascii="仿宋_GB2312" w:eastAsia="仿宋_GB2312" w:cs="仿宋_GB2312"/>
          <w:sz w:val="32"/>
          <w:szCs w:val="32"/>
        </w:rPr>
        <w:t>184.27</w:t>
      </w:r>
      <w:r>
        <w:rPr>
          <w:rFonts w:ascii="仿宋_GB2312" w:eastAsia="仿宋_GB2312" w:cs="仿宋_GB2312" w:hint="eastAsia"/>
          <w:color w:val="auto"/>
          <w:sz w:val="32"/>
          <w:szCs w:val="32"/>
          <w:lang w:eastAsia="zh-CN"/>
          <w:highlight w:val="auto"/>
        </w:rPr>
        <w:t>万元，占</w:t>
      </w:r>
      <w:r>
        <w:rPr>
          <w:rFonts w:ascii="仿宋_GB2312" w:eastAsia="仿宋_GB2312" w:cs="仿宋_GB2312"/>
          <w:sz w:val="32"/>
          <w:szCs w:val="32"/>
        </w:rPr>
        <w:t>41.4</w:t>
      </w:r>
      <w:r>
        <w:rPr>
          <w:rFonts w:ascii="仿宋_GB2312" w:eastAsia="仿宋_GB2312" w:cs="仿宋_GB2312" w:hint="eastAsia"/>
          <w:color w:val="auto"/>
          <w:sz w:val="32"/>
          <w:szCs w:val="32"/>
          <w:lang w:eastAsia="zh-CN"/>
          <w:highlight w:val="auto"/>
        </w:rPr>
        <w:t>%；上缴上级支出</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%；经营支出</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%；对附属单位补助支出</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万元，占0%。</w:t>
      </w:r>
      <w:r>
        <w:rPr>
          <w:rFonts w:ascii="Times New Roman" w:eastAsia="仿宋_GB2312" w:cs="仿宋_GB2312" w:hAnsi="Times New Roman" w:hint="eastAsia"/>
          <w:b/>
          <w:bCs/>
          <w:color w:val="auto"/>
          <w:sz w:val="32"/>
          <w:szCs w:val="32"/>
          <w:lang w:eastAsia="zh-CN"/>
          <w:highlight w:val="auto"/>
        </w:rPr>
        <w:t>（注：仅罗列本部门涉及的支出）</w:t>
      </w: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p>
    <w:p>
      <w:pPr>
        <w:ind w:firstLineChars="250" w:firstLine="525"/>
      </w:pPr>
      <w:r>
        <w:drawing>
          <wp:inline distT="0" distB="0" distL="114300" distR="114300">
            <wp:extent cx="3742690" cy="2245360"/>
            <wp:effectExtent l="0" t="0" r="6" b="29"/>
            <wp:docPr id="7" name="图片 2" descr="4.png"/>
            <wp:cNvGraphicFramePr>
              <a:graphicFrameLocks noChangeAspect="1"/>
            </wp:cNvGraphicFramePr>
            <a:graphic>
              <a:graphicData uri="http://schemas.openxmlformats.org/drawingml/2006/picture">
                <pic:pic>
                  <pic:nvPicPr>
                    <pic:cNvPr id="9" name="图片 2 9"/>
                    <pic:cNvPicPr/>
                  </pic:nvPicPr>
                  <pic:blipFill>
                    <a:blip r:embed="rId8"/>
                    <a:stretch>
                      <a:fillRect/>
                    </a:stretch>
                  </pic:blipFill>
                  <pic:spPr>
                    <a:xfrm rot="0">
                      <a:off x="0" y="0"/>
                      <a:ext cx="3742690" cy="2245360"/>
                    </a:xfrm>
                    <a:prstGeom prst="rect"/>
                    <a:noFill/>
                    <a:ln w="9525" cmpd="sng" cap="flat">
                      <a:noFill/>
                      <a:prstDash val="solid"/>
                      <a:round/>
                    </a:ln>
                  </pic:spPr>
                </pic:pic>
              </a:graphicData>
            </a:graphic>
          </wp:inline>
        </w:drawing>
      </w:r>
    </w:p>
    <w:p>
      <w:pPr>
        <w:ind w:firstLineChars="250" w:firstLine="800"/>
        <w:rPr>
          <w:rFonts w:ascii="Times New Roman" w:eastAsia="仿宋_GB2312" w:cs="仿宋_GB2312" w:hAnsi="Times New Roman" w:hint="eastAsia"/>
          <w:color w:val="auto"/>
          <w:sz w:val="32"/>
          <w:szCs w:val="32"/>
          <w:lang w:eastAsia="zh-CN"/>
          <w:highlight w:val="auto"/>
        </w:rPr>
      </w:pPr>
      <w:r>
        <w:rPr>
          <w:rFonts w:ascii="Times New Roman" w:eastAsia="仿宋_GB2312" w:cs="仿宋_GB2312" w:hAnsi="Times New Roman" w:hint="eastAsia"/>
          <w:color w:val="auto"/>
          <w:sz w:val="32"/>
          <w:szCs w:val="32"/>
          <w:lang w:eastAsia="zh-CN"/>
          <w:highlight w:val="auto"/>
        </w:rPr>
        <w:t>（图3：支出决算结构图）（饼状图）</w:t>
      </w:r>
    </w:p>
    <w:p>
      <w:pPr>
        <w:ind w:firstLineChars="250" w:firstLine="800"/>
        <w:rPr>
          <w:rFonts w:ascii="Times New Roman" w:eastAsia="仿宋_GB2312" w:cs="仿宋_GB2312" w:hAnsi="Times New Roman" w:hint="eastAsia"/>
          <w:color w:val="auto"/>
          <w:sz w:val="32"/>
          <w:szCs w:val="32"/>
          <w:lang w:eastAsia="zh-CN"/>
          <w:highlight w:val="auto"/>
        </w:rPr>
      </w:pPr>
    </w:p>
    <w:p>
      <w:pPr>
        <w:spacing w:line="600" w:lineRule="exact"/>
        <w:ind w:firstLineChars="200" w:firstLine="640"/>
        <w:outlineLvl w:val="1"/>
        <w:rPr>
          <w:rStyle w:val="2Char"/>
          <w:rFonts w:ascii="Times New Roman" w:eastAsia="黑体" w:hAnsi="Times New Roman"/>
          <w:b w:val="0"/>
          <w:color w:val="auto"/>
          <w:highlight w:val="auto"/>
        </w:rPr>
      </w:pPr>
      <w:bookmarkStart w:id="26" w:name="_Toc15396606"/>
      <w:bookmarkStart w:id="27" w:name="_Toc15377208"/>
      <w:r>
        <w:rPr>
          <w:rFonts w:ascii="Times New Roman" w:eastAsia="黑体" w:hAnsi="Times New Roman" w:hint="eastAsia"/>
          <w:color w:val="auto"/>
          <w:sz w:val="32"/>
          <w:szCs w:val="32"/>
          <w:highlight w:val="auto"/>
        </w:rPr>
        <w:t>四、财</w:t>
      </w:r>
      <w:r>
        <w:rPr>
          <w:rStyle w:val="2Char"/>
          <w:rFonts w:ascii="Times New Roman" w:eastAsia="黑体" w:hAnsi="Times New Roman" w:hint="eastAsia"/>
          <w:b w:val="0"/>
          <w:color w:val="auto"/>
          <w:highlight w:val="auto"/>
        </w:rPr>
        <w:t>政拨款收入支出决算总体情况说明</w:t>
      </w:r>
      <w:bookmarkEnd w:id="26"/>
      <w:bookmarkEnd w:id="27"/>
    </w:p>
    <w:p>
      <w:pPr>
        <w:pStyle w:val="32"/>
        <w:keepNext w:val="0"/>
        <w:keepLines w:val="0"/>
        <w:pageBreakBefore w:val="0"/>
        <w:widowControl w:val="0"/>
        <w:kinsoku/>
        <w:wordWrap/>
        <w:overflowPunct/>
        <w:topLinePunct w:val="0"/>
        <w:autoSpaceDE/>
        <w:autoSpaceDN/>
        <w:adjustRightInd/>
        <w:snapToGrid/>
        <w:spacing w:line="600" w:lineRule="exact"/>
        <w:ind w:left="0" w:firstLineChars="200" w:firstLine="640"/>
        <w:outlineLvl w:val="1"/>
        <w:rPr>
          <w:rFonts w:eastAsia="仿宋_GB2312" w:cs="仿宋_GB2312" w:hint="eastAsia"/>
          <w:sz w:val="32"/>
          <w:szCs w:val="32"/>
        </w:rPr>
      </w:pPr>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年度财政拨款收入、支出总计均为</w:t>
      </w:r>
      <w:r>
        <w:rPr>
          <w:rFonts w:ascii="仿宋_GB2312" w:eastAsia="仿宋_GB2312" w:cs="仿宋_GB2312"/>
          <w:sz w:val="32"/>
          <w:szCs w:val="32"/>
        </w:rPr>
        <w:t>429.75</w:t>
      </w:r>
      <w:r>
        <w:rPr>
          <w:rFonts w:ascii="Times New Roman" w:eastAsia="仿宋_GB2312" w:cs="仿宋_GB2312" w:hAnsi="Times New Roman" w:hint="eastAsia"/>
          <w:color w:val="auto"/>
          <w:kern w:val="2"/>
          <w:sz w:val="32"/>
          <w:szCs w:val="32"/>
          <w:lang w:val="en-US" w:eastAsia="zh-CN" w:bidi="ar-SA"/>
          <w:highlight w:val="auto"/>
        </w:rPr>
        <w:t>万元。与2023年度相比，财政拨款收入总计、支出总计各</w:t>
      </w:r>
      <w:r>
        <w:rPr>
          <w:rFonts w:ascii="Times New Roman" w:eastAsia="仿宋_GB2312" w:cs="仿宋_GB2312" w:hAnsi="Times New Roman"/>
          <w:color w:val="auto"/>
          <w:kern w:val="2"/>
          <w:sz w:val="32"/>
          <w:szCs w:val="32"/>
          <w:lang w:val="en-US" w:eastAsia="zh-CN" w:bidi="ar-SA"/>
          <w:highlight w:val="auto"/>
        </w:rPr>
        <w:t>减少</w:t>
      </w:r>
      <w:r>
        <w:rPr>
          <w:rFonts w:eastAsia="仿宋_GB2312" w:cs="仿宋_GB2312"/>
          <w:color w:val="auto"/>
          <w:sz w:val="32"/>
          <w:szCs w:val="32"/>
          <w:lang w:val="en-US" w:eastAsia="zh-CN"/>
          <w:highlight w:val="auto"/>
        </w:rPr>
        <w:t>33.97</w:t>
      </w:r>
      <w:r>
        <w:rPr>
          <w:rFonts w:ascii="Times New Roman" w:eastAsia="仿宋_GB2312" w:cs="仿宋_GB2312" w:hAnsi="Times New Roman" w:hint="eastAsia"/>
          <w:color w:val="auto"/>
          <w:sz w:val="32"/>
          <w:szCs w:val="32"/>
          <w:highlight w:val="auto"/>
        </w:rPr>
        <w:t>万元，增</w:t>
      </w:r>
      <w:r>
        <w:rPr>
          <w:rFonts w:ascii="Times New Roman" w:eastAsia="仿宋_GB2312" w:cs="仿宋_GB2312" w:hAnsi="Times New Roman"/>
          <w:color w:val="auto"/>
          <w:sz w:val="32"/>
          <w:szCs w:val="32"/>
          <w:highlight w:val="auto"/>
        </w:rPr>
        <w:t>减</w:t>
      </w:r>
      <w:r>
        <w:rPr>
          <w:rFonts w:eastAsia="仿宋_GB2312" w:cs="仿宋_GB2312"/>
          <w:color w:val="auto"/>
          <w:sz w:val="32"/>
          <w:szCs w:val="32"/>
          <w:lang w:val="en-US" w:eastAsia="zh-CN"/>
          <w:highlight w:val="auto"/>
        </w:rPr>
        <w:t>7.32</w:t>
      </w:r>
      <w:r>
        <w:rPr>
          <w:rFonts w:ascii="Times New Roman" w:eastAsia="仿宋_GB2312" w:cs="仿宋_GB2312" w:hAnsi="Times New Roman" w:hint="eastAsia"/>
          <w:color w:val="auto"/>
          <w:sz w:val="32"/>
          <w:szCs w:val="32"/>
          <w:highlight w:val="auto"/>
        </w:rPr>
        <w:t>%。主要变动原因是</w:t>
      </w:r>
      <w:r>
        <w:rPr>
          <w:rFonts w:eastAsia="仿宋_GB2312" w:cs="仿宋_GB2312" w:hint="eastAsia"/>
          <w:b w:val="0"/>
          <w:bCs w:val="0"/>
          <w:color w:val="auto"/>
          <w:sz w:val="32"/>
          <w:szCs w:val="32"/>
          <w:lang w:val="en-US" w:eastAsia="zh-CN"/>
          <w:highlight w:val="auto"/>
        </w:rPr>
        <w:t>一是</w:t>
      </w:r>
      <w:r>
        <w:rPr>
          <w:rFonts w:eastAsia="仿宋_GB2312" w:cs="仿宋_GB2312"/>
          <w:b w:val="0"/>
          <w:bCs w:val="0"/>
          <w:color w:val="auto"/>
          <w:sz w:val="32"/>
          <w:szCs w:val="32"/>
          <w:lang w:val="en-US" w:eastAsia="zh-CN"/>
        </w:rPr>
        <w:t>2024年其他收入(代管资金)中包含2023年省佛协下拨资金；二是2025年项目减少,厉行节俭节约</w:t>
      </w:r>
      <w:r>
        <w:rPr>
          <w:rFonts w:eastAsia="仿宋_GB2312" w:cs="仿宋_GB2312"/>
          <w:b w:val="0"/>
          <w:bCs w:val="0"/>
          <w:color w:val="auto"/>
          <w:sz w:val="32"/>
          <w:szCs w:val="32"/>
          <w:lang w:val="en-US" w:eastAsia="zh-CN"/>
          <w:highlight w:val="auto"/>
        </w:rPr>
        <w:t>。</w:t>
      </w:r>
    </w:p>
    <w:p>
      <w:pPr>
        <w:pStyle w:val="17"/>
        <w:ind w:leftChars="0" w:left="0" w:firstLineChars="0" w:firstLine="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en-US" w:eastAsia="zh-CN" w:bidi="ar-SA"/>
          <w:highlight w:val="auto"/>
        </w:rPr>
        <w:drawing>
          <wp:inline distT="0" distB="0" distL="85723" distR="85723">
            <wp:extent cx="4571929" cy="2743157"/>
            <wp:effectExtent l="0" t="0" r="1" b="1"/>
            <wp:docPr id="10" name="图片"/>
            <wp:cNvGraphicFramePr>
              <a:graphicFrameLocks noChangeAspect="1"/>
            </wp:cNvGraphicFramePr>
            <a:graphic>
              <a:graphicData uri="http://schemas.openxmlformats.org/drawingml/2006/picture">
                <pic:pic>
                  <pic:nvPicPr>
                    <pic:cNvPr id="12" name="图片 12"/>
                    <pic:cNvPicPr/>
                  </pic:nvPicPr>
                  <pic:blipFill>
                    <a:blip r:embed="rId9"/>
                    <a:stretch>
                      <a:fillRect/>
                    </a:stretch>
                  </pic:blipFill>
                  <pic:spPr>
                    <a:xfrm rot="0">
                      <a:off x="0" y="0"/>
                      <a:ext cx="4571929" cy="2743157"/>
                    </a:xfrm>
                    <a:prstGeom prst="rect"/>
                    <a:noFill/>
                    <a:ln w="9525" cmpd="sng" cap="flat">
                      <a:noFill/>
                      <a:prstDash val="solid"/>
                      <a:miter/>
                    </a:ln>
                  </pic:spPr>
                </pic:pic>
              </a:graphicData>
            </a:graphic>
          </wp:inline>
        </w:drawing>
      </w:r>
    </w:p>
    <w:p>
      <w:pPr>
        <w:spacing w:line="600" w:lineRule="exact"/>
        <w:ind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（图4：财政拨款收、支决算总计变动情况）（柱状图）</w:t>
      </w:r>
    </w:p>
    <w:p>
      <w:pPr>
        <w:spacing w:line="600" w:lineRule="exact"/>
        <w:ind w:firstLineChars="200" w:firstLine="640"/>
        <w:outlineLvl w:val="1"/>
        <w:rPr>
          <w:rStyle w:val="2Char"/>
          <w:rFonts w:ascii="Times New Roman" w:eastAsia="黑体" w:hAnsi="Times New Roman"/>
          <w:b w:val="0"/>
          <w:color w:val="auto"/>
          <w:highlight w:val="auto"/>
        </w:rPr>
      </w:pPr>
      <w:bookmarkStart w:id="28" w:name="_Toc15396607"/>
      <w:bookmarkStart w:id="29" w:name="_Toc15377209"/>
      <w:r>
        <w:rPr>
          <w:rFonts w:ascii="Times New Roman" w:eastAsia="黑体" w:hAnsi="Times New Roman" w:hint="eastAsia"/>
          <w:color w:val="auto"/>
          <w:sz w:val="32"/>
          <w:szCs w:val="32"/>
          <w:highlight w:val="auto"/>
        </w:rPr>
        <w:t>五、</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般公共预算财政拨款支出决算情况说明</w:t>
      </w:r>
      <w:bookmarkEnd w:id="28"/>
      <w:bookmarkEnd w:id="29"/>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0" w:name="_Toc15377210"/>
      <w:r>
        <w:rPr>
          <w:rFonts w:ascii="Times New Roman" w:eastAsia="楷体_GB2312" w:cs="楷体_GB2312" w:hAnsi="Times New Roman" w:hint="eastAsia"/>
          <w:b/>
          <w:color w:val="auto"/>
          <w:sz w:val="32"/>
          <w:szCs w:val="32"/>
          <w:highlight w:val="auto"/>
        </w:rPr>
        <w:t>（一）一般公共预算财政拨款支出决算总体情况</w:t>
      </w:r>
      <w:bookmarkEnd w:id="30"/>
    </w:p>
    <w:p>
      <w:pPr>
        <w:pStyle w:val="32"/>
        <w:keepNext w:val="0"/>
        <w:keepLines w:val="0"/>
        <w:pageBreakBefore w:val="0"/>
        <w:widowControl w:val="0"/>
        <w:kinsoku/>
        <w:wordWrap/>
        <w:overflowPunct/>
        <w:topLinePunct w:val="0"/>
        <w:autoSpaceDE/>
        <w:autoSpaceDN/>
        <w:adjustRightInd/>
        <w:snapToGrid/>
        <w:spacing w:line="600" w:lineRule="exact"/>
        <w:ind w:left="0" w:firstLineChars="200" w:firstLine="640"/>
        <w:outlineLvl w:val="1"/>
        <w:rPr>
          <w:rFonts w:eastAsia="仿宋_GB2312" w:cs="仿宋_GB2312" w:hint="eastAsia"/>
          <w:sz w:val="32"/>
          <w:szCs w:val="32"/>
        </w:rPr>
      </w:pPr>
      <w:r>
        <w:rPr>
          <w:rFonts w:ascii="仿宋_GB2312" w:eastAsia="仿宋_GB2312" w:cs="仿宋_GB2312" w:hint="eastAsia"/>
          <w:color w:val="auto"/>
          <w:kern w:val="2"/>
          <w:sz w:val="32"/>
          <w:szCs w:val="32"/>
          <w:lang w:val="en-US" w:eastAsia="zh-CN" w:bidi="ar-SA"/>
          <w:highlight w:val="auto"/>
        </w:rPr>
        <w:t>202</w:t>
      </w:r>
      <w:r>
        <w:rPr>
          <w:rFonts w:ascii="仿宋_GB2312" w:eastAsia="仿宋_GB2312" w:cs="仿宋_GB2312"/>
          <w:color w:val="auto"/>
          <w:kern w:val="2"/>
          <w:sz w:val="32"/>
          <w:szCs w:val="32"/>
          <w:lang w:val="en-US" w:eastAsia="zh-CN" w:bidi="ar-SA"/>
          <w:highlight w:val="auto"/>
        </w:rPr>
        <w:t>5</w:t>
      </w:r>
      <w:r>
        <w:rPr>
          <w:rFonts w:ascii="仿宋_GB2312" w:eastAsia="仿宋_GB2312" w:cs="仿宋_GB2312" w:hint="eastAsia"/>
          <w:color w:val="auto"/>
          <w:kern w:val="2"/>
          <w:sz w:val="32"/>
          <w:szCs w:val="32"/>
          <w:lang w:val="en-US" w:eastAsia="zh-CN" w:bidi="ar-SA"/>
          <w:highlight w:val="auto"/>
        </w:rPr>
        <w:t>年度一般公共预算财政拨款支出</w:t>
      </w:r>
      <w:r>
        <w:rPr>
          <w:rFonts w:ascii="仿宋_GB2312" w:eastAsia="仿宋_GB2312" w:cs="仿宋_GB2312"/>
          <w:sz w:val="32"/>
          <w:szCs w:val="32"/>
        </w:rPr>
        <w:t>429.75</w:t>
      </w:r>
      <w:r>
        <w:rPr>
          <w:rFonts w:ascii="仿宋_GB2312" w:eastAsia="仿宋_GB2312" w:cs="仿宋_GB2312"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97.18</w:t>
      </w:r>
      <w:r>
        <w:rPr>
          <w:rFonts w:ascii="仿宋_GB2312" w:eastAsia="仿宋_GB2312" w:cs="仿宋_GB2312" w:hint="eastAsia"/>
          <w:color w:val="auto"/>
          <w:kern w:val="2"/>
          <w:sz w:val="32"/>
          <w:szCs w:val="32"/>
          <w:lang w:val="en-US" w:eastAsia="zh-CN" w:bidi="ar-SA"/>
          <w:highlight w:val="auto"/>
        </w:rPr>
        <w:t>%。与202</w:t>
      </w:r>
      <w:r>
        <w:rPr>
          <w:rFonts w:ascii="仿宋_GB2312" w:eastAsia="仿宋_GB2312" w:cs="仿宋_GB2312"/>
          <w:color w:val="auto"/>
          <w:kern w:val="2"/>
          <w:sz w:val="32"/>
          <w:szCs w:val="32"/>
          <w:lang w:val="en-US" w:eastAsia="zh-CN" w:bidi="ar-SA"/>
          <w:highlight w:val="auto"/>
        </w:rPr>
        <w:t>4</w:t>
      </w:r>
      <w:r>
        <w:rPr>
          <w:rFonts w:ascii="仿宋_GB2312" w:eastAsia="仿宋_GB2312" w:cs="仿宋_GB2312" w:hint="eastAsia"/>
          <w:color w:val="auto"/>
          <w:kern w:val="2"/>
          <w:sz w:val="32"/>
          <w:szCs w:val="32"/>
          <w:lang w:val="en-US" w:eastAsia="zh-CN" w:bidi="ar-SA"/>
          <w:highlight w:val="auto"/>
        </w:rPr>
        <w:t>年度相比，一般公共预算财政拨款支出</w:t>
      </w:r>
      <w:r>
        <w:rPr>
          <w:rFonts w:ascii="Times New Roman" w:eastAsia="仿宋_GB2312" w:cs="仿宋_GB2312" w:hAnsi="Times New Roman"/>
          <w:color w:val="auto"/>
          <w:kern w:val="2"/>
          <w:sz w:val="32"/>
          <w:szCs w:val="32"/>
          <w:lang w:val="en-US" w:eastAsia="zh-CN" w:bidi="ar-SA"/>
          <w:highlight w:val="auto"/>
        </w:rPr>
        <w:t>减少</w:t>
      </w:r>
      <w:r>
        <w:rPr>
          <w:rFonts w:eastAsia="仿宋_GB2312" w:cs="仿宋_GB2312"/>
          <w:color w:val="auto"/>
          <w:sz w:val="32"/>
          <w:szCs w:val="32"/>
          <w:lang w:val="en-US" w:eastAsia="zh-CN"/>
          <w:highlight w:val="auto"/>
        </w:rPr>
        <w:t>33.97</w:t>
      </w:r>
      <w:r>
        <w:rPr>
          <w:rFonts w:ascii="Times New Roman" w:eastAsia="仿宋_GB2312" w:cs="仿宋_GB2312" w:hAnsi="Times New Roman" w:hint="eastAsia"/>
          <w:color w:val="auto"/>
          <w:sz w:val="32"/>
          <w:szCs w:val="32"/>
          <w:highlight w:val="auto"/>
        </w:rPr>
        <w:t>万元，增</w:t>
      </w:r>
      <w:r>
        <w:rPr>
          <w:rFonts w:ascii="Times New Roman" w:eastAsia="仿宋_GB2312" w:cs="仿宋_GB2312" w:hAnsi="Times New Roman"/>
          <w:color w:val="auto"/>
          <w:sz w:val="32"/>
          <w:szCs w:val="32"/>
          <w:highlight w:val="auto"/>
        </w:rPr>
        <w:t>减</w:t>
      </w:r>
      <w:r>
        <w:rPr>
          <w:rFonts w:eastAsia="仿宋_GB2312" w:cs="仿宋_GB2312"/>
          <w:color w:val="auto"/>
          <w:sz w:val="32"/>
          <w:szCs w:val="32"/>
          <w:lang w:val="en-US" w:eastAsia="zh-CN"/>
          <w:highlight w:val="auto"/>
        </w:rPr>
        <w:t>7.32</w:t>
      </w:r>
      <w:r>
        <w:rPr>
          <w:rFonts w:ascii="Times New Roman" w:eastAsia="仿宋_GB2312" w:cs="仿宋_GB2312" w:hAnsi="Times New Roman" w:hint="eastAsia"/>
          <w:color w:val="auto"/>
          <w:sz w:val="32"/>
          <w:szCs w:val="32"/>
          <w:highlight w:val="auto"/>
        </w:rPr>
        <w:t>%。主要变动原因是</w:t>
      </w:r>
      <w:r>
        <w:rPr>
          <w:rFonts w:eastAsia="仿宋_GB2312" w:cs="仿宋_GB2312" w:hint="eastAsia"/>
          <w:b w:val="0"/>
          <w:bCs w:val="0"/>
          <w:color w:val="auto"/>
          <w:sz w:val="32"/>
          <w:szCs w:val="32"/>
          <w:lang w:val="en-US" w:eastAsia="zh-CN"/>
          <w:highlight w:val="auto"/>
        </w:rPr>
        <w:t>一是</w:t>
      </w:r>
      <w:r>
        <w:rPr>
          <w:rFonts w:eastAsia="仿宋_GB2312" w:cs="仿宋_GB2312"/>
          <w:b w:val="0"/>
          <w:bCs w:val="0"/>
          <w:color w:val="auto"/>
          <w:sz w:val="32"/>
          <w:szCs w:val="32"/>
          <w:lang w:val="en-US" w:eastAsia="zh-CN"/>
        </w:rPr>
        <w:t>2024年其他收入(代管资金)中包含2023年省佛协下拨资金；二是2025年项目减少,厉行节俭节约</w:t>
      </w:r>
      <w:r>
        <w:rPr>
          <w:rFonts w:eastAsia="仿宋_GB2312" w:cs="仿宋_GB2312"/>
          <w:b w:val="0"/>
          <w:bCs w:val="0"/>
          <w:color w:val="auto"/>
          <w:sz w:val="32"/>
          <w:szCs w:val="32"/>
          <w:lang w:val="en-US" w:eastAsia="zh-CN"/>
          <w:highlight w:val="auto"/>
        </w:rPr>
        <w:t>。</w:t>
      </w:r>
    </w:p>
    <w:p>
      <w:pPr>
        <w:pStyle w:val="17"/>
        <w:rPr>
          <w:lang w:val="en-US" w:eastAsia="zh-CN"/>
        </w:rPr>
      </w:pPr>
    </w:p>
    <w:p>
      <w:pPr>
        <w:pStyle w:val="17"/>
        <w:rPr>
          <w:rFonts w:hint="eastAsia"/>
          <w:lang w:val="en-US" w:eastAsia="zh-CN"/>
        </w:rPr>
      </w:pPr>
      <w:r>
        <w:rPr>
          <w:lang w:val="en-US" w:eastAsia="zh-CN"/>
        </w:rPr>
        <w:drawing>
          <wp:inline distT="0" distB="0" distL="85723" distR="85723">
            <wp:extent cx="4571929" cy="2743157"/>
            <wp:effectExtent l="0" t="0" r="1" b="1"/>
            <wp:docPr id="13" name="图片"/>
            <wp:cNvGraphicFramePr>
              <a:graphicFrameLocks noChangeAspect="1"/>
            </wp:cNvGraphicFramePr>
            <a:graphic>
              <a:graphicData uri="http://schemas.openxmlformats.org/drawingml/2006/picture">
                <pic:pic>
                  <pic:nvPicPr>
                    <pic:cNvPr id="15" name="图片 15"/>
                    <pic:cNvPicPr/>
                  </pic:nvPicPr>
                  <pic:blipFill>
                    <a:blip r:embed="rId10"/>
                    <a:stretch>
                      <a:fillRect/>
                    </a:stretch>
                  </pic:blipFill>
                  <pic:spPr>
                    <a:xfrm rot="0">
                      <a:off x="0" y="0"/>
                      <a:ext cx="4571929" cy="2743157"/>
                    </a:xfrm>
                    <a:prstGeom prst="rect"/>
                    <a:noFill/>
                    <a:ln w="9525" cmpd="sng" cap="flat">
                      <a:noFill/>
                      <a:prstDash val="solid"/>
                      <a:miter/>
                    </a:ln>
                  </pic:spPr>
                </pic:pic>
              </a:graphicData>
            </a:graphic>
          </wp:inline>
        </w:drawing>
      </w:r>
    </w:p>
    <w:p>
      <w:pPr>
        <w:spacing w:line="600" w:lineRule="exact"/>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（图5：一般公共预算财政拨款支出决算变动情况）（柱</w:t>
      </w:r>
    </w:p>
    <w:p>
      <w:pPr>
        <w:spacing w:line="600" w:lineRule="exact"/>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状图）</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1" w:name="_Toc15377211"/>
      <w:r>
        <w:rPr>
          <w:rFonts w:ascii="Times New Roman" w:eastAsia="楷体_GB2312" w:cs="楷体_GB2312" w:hAnsi="Times New Roman" w:hint="eastAsia"/>
          <w:b/>
          <w:color w:val="auto"/>
          <w:sz w:val="32"/>
          <w:szCs w:val="32"/>
          <w:highlight w:val="auto"/>
        </w:rPr>
        <w:t>（二）一般公共预算财政拨款支出决算结构情况</w:t>
      </w:r>
      <w:bookmarkEnd w:id="31"/>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年度一般公共预算财政拨款支出</w:t>
      </w:r>
      <w:r>
        <w:rPr>
          <w:rFonts w:ascii="仿宋_GB2312" w:eastAsia="仿宋_GB2312" w:cs="仿宋_GB2312"/>
          <w:sz w:val="32"/>
          <w:szCs w:val="32"/>
        </w:rPr>
        <w:t>429.75</w:t>
      </w:r>
      <w:r>
        <w:rPr>
          <w:rFonts w:ascii="仿宋_GB2312" w:eastAsia="仿宋_GB2312" w:cs="仿宋_GB2312" w:hint="eastAsia"/>
          <w:color w:val="auto"/>
          <w:kern w:val="2"/>
          <w:sz w:val="32"/>
          <w:szCs w:val="32"/>
          <w:lang w:val="en-US" w:eastAsia="zh-CN" w:bidi="ar-SA"/>
          <w:highlight w:val="auto"/>
        </w:rPr>
        <w:t>万元</w:t>
      </w:r>
      <w:r>
        <w:rPr>
          <w:rFonts w:ascii="Times New Roman" w:eastAsia="仿宋_GB2312" w:cs="仿宋_GB2312" w:hAnsi="Times New Roman" w:hint="eastAsia"/>
          <w:color w:val="auto"/>
          <w:kern w:val="2"/>
          <w:sz w:val="32"/>
          <w:szCs w:val="32"/>
          <w:lang w:val="en-US" w:eastAsia="zh-CN" w:bidi="ar-SA"/>
          <w:highlight w:val="auto"/>
        </w:rPr>
        <w:t>，主要用于以下方面</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一般公共服务支出</w:t>
      </w:r>
      <w:r>
        <w:rPr>
          <w:rFonts w:eastAsia="仿宋_GB2312" w:cs="仿宋_GB2312"/>
          <w:color w:val="auto"/>
          <w:kern w:val="2"/>
          <w:sz w:val="32"/>
          <w:szCs w:val="32"/>
          <w:lang w:val="en-US" w:eastAsia="zh-CN" w:bidi="ar-SA"/>
          <w:highlight w:val="auto"/>
        </w:rPr>
        <w:t>386.42</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87.6</w:t>
      </w:r>
      <w:r>
        <w:rPr>
          <w:rFonts w:ascii="Times New Roman" w:eastAsia="仿宋_GB2312" w:cs="仿宋_GB2312" w:hAnsi="Times New Roman" w:hint="eastAsia"/>
          <w:color w:val="auto"/>
          <w:kern w:val="2"/>
          <w:sz w:val="32"/>
          <w:szCs w:val="32"/>
          <w:lang w:val="en-US" w:eastAsia="zh-CN" w:bidi="ar-SA"/>
          <w:highlight w:val="auto"/>
        </w:rPr>
        <w:t>%；教育支出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%；科学技术支出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%；文化旅游体育与传媒支出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%；社会保障和就业支出</w:t>
      </w:r>
      <w:r>
        <w:rPr>
          <w:rFonts w:eastAsia="仿宋_GB2312" w:cs="仿宋_GB2312"/>
          <w:color w:val="auto"/>
          <w:kern w:val="2"/>
          <w:sz w:val="32"/>
          <w:szCs w:val="32"/>
          <w:lang w:val="en-US" w:eastAsia="zh-CN" w:bidi="ar-SA"/>
          <w:highlight w:val="auto"/>
        </w:rPr>
        <w:t>29.93</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6.1</w:t>
      </w:r>
      <w:r>
        <w:rPr>
          <w:rFonts w:ascii="Times New Roman" w:eastAsia="仿宋_GB2312" w:cs="仿宋_GB2312" w:hAnsi="Times New Roman" w:hint="eastAsia"/>
          <w:color w:val="auto"/>
          <w:kern w:val="2"/>
          <w:sz w:val="32"/>
          <w:szCs w:val="32"/>
          <w:lang w:val="en-US" w:eastAsia="zh-CN" w:bidi="ar-SA"/>
          <w:highlight w:val="auto"/>
        </w:rPr>
        <w:t>%；卫生健康支出</w:t>
      </w:r>
      <w:r>
        <w:rPr>
          <w:rFonts w:eastAsia="仿宋_GB2312" w:cs="仿宋_GB2312"/>
          <w:color w:val="auto"/>
          <w:kern w:val="2"/>
          <w:sz w:val="32"/>
          <w:szCs w:val="32"/>
          <w:lang w:val="en-US" w:eastAsia="zh-CN" w:bidi="ar-SA"/>
          <w:highlight w:val="auto"/>
        </w:rPr>
        <w:t>11.86</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2.6</w:t>
      </w:r>
      <w:r>
        <w:rPr>
          <w:rFonts w:ascii="Times New Roman" w:eastAsia="仿宋_GB2312" w:cs="仿宋_GB2312" w:hAnsi="Times New Roman" w:hint="eastAsia"/>
          <w:color w:val="auto"/>
          <w:kern w:val="2"/>
          <w:sz w:val="32"/>
          <w:szCs w:val="32"/>
          <w:lang w:val="en-US" w:eastAsia="zh-CN" w:bidi="ar-SA"/>
          <w:highlight w:val="auto"/>
        </w:rPr>
        <w:t>%；住房保障支出</w:t>
      </w:r>
      <w:r>
        <w:rPr>
          <w:rFonts w:eastAsia="仿宋_GB2312" w:cs="仿宋_GB2312"/>
          <w:color w:val="auto"/>
          <w:kern w:val="2"/>
          <w:sz w:val="32"/>
          <w:szCs w:val="32"/>
          <w:lang w:val="en-US" w:eastAsia="zh-CN" w:bidi="ar-SA"/>
          <w:highlight w:val="auto"/>
        </w:rPr>
        <w:t>16.87</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3.7</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（注：仅罗列本部门涉及的全部功能分类科目，至类级）</w:t>
      </w:r>
    </w:p>
    <w:p>
      <w:pPr>
        <w:pStyle w:val="17"/>
        <w:rPr>
          <w:rFonts w:ascii="Times New Roman" w:eastAsia="仿宋_GB2312" w:cs="仿宋_GB2312" w:hAnsi="Times New Roman" w:hint="eastAsia"/>
          <w:b/>
          <w:bCs/>
          <w:color w:val="auto"/>
          <w:kern w:val="2"/>
          <w:sz w:val="32"/>
          <w:szCs w:val="32"/>
          <w:lang w:val="en-US" w:eastAsia="zh-CN" w:bidi="ar-SA"/>
          <w:highlight w:val="auto"/>
        </w:rPr>
      </w:pPr>
      <w:r>
        <w:drawing>
          <wp:inline distT="0" distB="0" distL="114300" distR="114300">
            <wp:extent cx="4572000" cy="2743200"/>
            <wp:effectExtent l="0" t="0" r="0" b="0"/>
            <wp:docPr id="16" name="图表 4"/>
            <wp:cNvGraphicFramePr>
              <a:graphicFrameLocks noChangeAspect="0"/>
            </wp:cNvGraphicFramePr>
            <a:graphic>
              <a:graphicData uri="http://schemas.openxmlformats.org/drawingml/2006/chart">
                <c:chart xmlns:c="http://schemas.openxmlformats.org/drawingml/2006/chart" r:id="rId11"/>
              </a:graphicData>
            </a:graphic>
          </wp:inline>
        </w:drawing>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（图6：一般公共预算财政拨款支出决算结构）（饼状图）</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2" w:name="_Toc15377212"/>
      <w:r>
        <w:rPr>
          <w:rFonts w:ascii="Times New Roman" w:eastAsia="楷体_GB2312" w:cs="楷体_GB2312" w:hAnsi="Times New Roman" w:hint="eastAsia"/>
          <w:b/>
          <w:color w:val="auto"/>
          <w:sz w:val="32"/>
          <w:szCs w:val="32"/>
          <w:highlight w:val="auto"/>
        </w:rPr>
        <w:t>（三）一般公共预算财政拨款支出决算具体情况</w:t>
      </w:r>
      <w:bookmarkEnd w:id="32"/>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bookmarkStart w:id="33" w:name="_Toc15377213"/>
      <w:bookmarkStart w:id="34" w:name="_Toc15378460"/>
      <w:bookmarkStart w:id="35" w:name="_Toc15377444"/>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年度一般公共预算财政拨款支出决算数为</w:t>
      </w:r>
      <w:r>
        <w:rPr>
          <w:rFonts w:ascii="仿宋_GB2312" w:eastAsia="仿宋_GB2312" w:cs="仿宋_GB2312"/>
          <w:sz w:val="32"/>
          <w:szCs w:val="32"/>
        </w:rPr>
        <w:t>429.75</w:t>
      </w:r>
      <w:r>
        <w:rPr>
          <w:rFonts w:ascii="仿宋_GB2312"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%。其中：</w:t>
      </w:r>
      <w:bookmarkEnd w:id="33"/>
      <w:bookmarkEnd w:id="34"/>
      <w:bookmarkEnd w:id="35"/>
    </w:p>
    <w:p>
      <w:pPr>
        <w:spacing w:line="600" w:lineRule="exact"/>
        <w:ind w:firstLineChars="200" w:firstLine="640"/>
        <w:rPr>
          <w:rFonts w:ascii="仿宋" w:eastAsia="仿宋" w:hint="eastAsia"/>
          <w:b/>
          <w:color w:val="auto"/>
          <w:sz w:val="32"/>
          <w:szCs w:val="32"/>
          <w:highlight w:val="auto"/>
        </w:rPr>
      </w:pPr>
      <w:r>
        <w:rPr>
          <w:rStyle w:val="25"/>
          <w:rFonts w:ascii="仿宋" w:eastAsia="仿宋" w:hint="eastAsia"/>
          <w:bCs/>
          <w:color w:val="auto"/>
          <w:sz w:val="32"/>
          <w:szCs w:val="32"/>
          <w:highlight w:val="auto"/>
        </w:rPr>
        <w:t>1.一般公共服务（类</w:t>
      </w:r>
      <w:r>
        <w:rPr>
          <w:rStyle w:val="25"/>
          <w:rFonts w:ascii="仿宋" w:eastAsia="仿宋" w:cs="仿宋_GB2312" w:hint="eastAsia"/>
          <w:bCs/>
          <w:sz w:val="32"/>
          <w:szCs w:val="32"/>
          <w:lang w:bidi="ar-SA"/>
        </w:rPr>
        <w:t>）群众团体事务（款）行政运行（项）</w:t>
      </w:r>
      <w:r>
        <w:rPr>
          <w:rStyle w:val="25"/>
          <w:rFonts w:ascii="仿宋" w:eastAsia="仿宋" w:hint="eastAsia"/>
          <w:bCs/>
          <w:color w:val="auto"/>
          <w:sz w:val="32"/>
          <w:szCs w:val="32"/>
          <w:highlight w:val="auto"/>
        </w:rPr>
        <w:t>:</w:t>
      </w:r>
      <w:r>
        <w:rPr>
          <w:rStyle w:val="25"/>
          <w:rFonts w:ascii="仿宋" w:eastAsia="仿宋" w:hint="eastAsia"/>
          <w:b w:val="0"/>
          <w:bCs/>
          <w:color w:val="auto"/>
          <w:sz w:val="32"/>
          <w:szCs w:val="32"/>
          <w:highlight w:val="auto"/>
        </w:rPr>
        <w:t xml:space="preserve"> 支出决算为</w:t>
      </w:r>
      <w:r>
        <w:rPr>
          <w:rStyle w:val="25"/>
          <w:rFonts w:ascii="仿宋" w:eastAsia="仿宋"/>
          <w:b w:val="0"/>
          <w:bCs/>
          <w:color w:val="auto"/>
          <w:sz w:val="32"/>
          <w:szCs w:val="32"/>
          <w:lang w:val="en-US" w:eastAsia="zh-CN"/>
          <w:highlight w:val="auto"/>
        </w:rPr>
        <w:t>371.09</w:t>
      </w:r>
      <w:r>
        <w:rPr>
          <w:rStyle w:val="25"/>
          <w:rFonts w:ascii="仿宋" w:eastAsia="仿宋" w:hint="eastAsia"/>
          <w:b w:val="0"/>
          <w:bCs/>
          <w:color w:val="auto"/>
          <w:sz w:val="32"/>
          <w:szCs w:val="32"/>
          <w:highlight w:val="auto"/>
        </w:rPr>
        <w:t>万元，完成预算100%，决算数等于预算数。</w:t>
      </w:r>
    </w:p>
    <w:p>
      <w:pPr>
        <w:spacing w:line="600" w:lineRule="exact"/>
        <w:ind w:firstLineChars="200" w:firstLine="640"/>
        <w:rPr>
          <w:rFonts w:ascii="仿宋" w:eastAsia="仿宋" w:hint="eastAsia"/>
          <w:b/>
          <w:color w:val="auto"/>
          <w:sz w:val="32"/>
          <w:szCs w:val="32"/>
          <w:highlight w:val="auto"/>
        </w:rPr>
      </w:pPr>
      <w:r>
        <w:rPr>
          <w:rStyle w:val="25"/>
          <w:rFonts w:ascii="仿宋" w:eastAsia="仿宋" w:hint="eastAsia"/>
          <w:bCs/>
          <w:color w:val="auto"/>
          <w:sz w:val="32"/>
          <w:szCs w:val="32"/>
          <w:highlight w:val="auto"/>
        </w:rPr>
        <w:t>2.教育（类）***（款）***（项）:</w:t>
      </w:r>
      <w:r>
        <w:rPr>
          <w:rStyle w:val="25"/>
          <w:rFonts w:ascii="仿宋" w:eastAsia="仿宋" w:hint="eastAsia"/>
          <w:b w:val="0"/>
          <w:bCs/>
          <w:color w:val="auto"/>
          <w:sz w:val="32"/>
          <w:szCs w:val="32"/>
          <w:highlight w:val="auto"/>
        </w:rPr>
        <w:t xml:space="preserve"> 支出决算为0万元，完成预算0%，决算数小于/等于预算数的主要原因是我会不涉及此科目，202</w:t>
      </w:r>
      <w:r>
        <w:rPr>
          <w:rStyle w:val="25"/>
          <w:rFonts w:ascii="仿宋" w:eastAsia="仿宋"/>
          <w:b w:val="0"/>
          <w:bCs/>
          <w:color w:val="auto"/>
          <w:sz w:val="32"/>
          <w:szCs w:val="32"/>
          <w:highlight w:val="auto"/>
        </w:rPr>
        <w:t>5</w:t>
      </w:r>
      <w:r>
        <w:rPr>
          <w:rStyle w:val="25"/>
          <w:rFonts w:ascii="仿宋" w:eastAsia="仿宋" w:hint="eastAsia"/>
          <w:b w:val="0"/>
          <w:bCs/>
          <w:color w:val="auto"/>
          <w:sz w:val="32"/>
          <w:szCs w:val="32"/>
          <w:highlight w:val="auto"/>
        </w:rPr>
        <w:t>年度教育类支出为0万元。</w:t>
      </w:r>
    </w:p>
    <w:p>
      <w:pPr>
        <w:spacing w:line="600" w:lineRule="exact"/>
        <w:ind w:firstLineChars="200" w:firstLine="640"/>
        <w:rPr>
          <w:rFonts w:ascii="仿宋" w:eastAsia="仿宋" w:hint="eastAsia"/>
          <w:b/>
          <w:color w:val="auto"/>
          <w:sz w:val="32"/>
          <w:szCs w:val="32"/>
          <w:highlight w:val="auto"/>
        </w:rPr>
      </w:pPr>
      <w:r>
        <w:rPr>
          <w:rStyle w:val="25"/>
          <w:rFonts w:ascii="仿宋" w:eastAsia="仿宋" w:hint="eastAsia"/>
          <w:bCs/>
          <w:color w:val="auto"/>
          <w:sz w:val="32"/>
          <w:szCs w:val="32"/>
          <w:highlight w:val="auto"/>
        </w:rPr>
        <w:t>3.科学技术（类）***（款）***（项）:</w:t>
      </w:r>
      <w:r>
        <w:rPr>
          <w:rStyle w:val="25"/>
          <w:rFonts w:ascii="仿宋" w:eastAsia="仿宋" w:hint="eastAsia"/>
          <w:b w:val="0"/>
          <w:bCs/>
          <w:color w:val="auto"/>
          <w:sz w:val="32"/>
          <w:szCs w:val="32"/>
          <w:highlight w:val="auto"/>
        </w:rPr>
        <w:t xml:space="preserve"> 支出决算为0万元，完成预算0%，决算数小于/等于预算数的主要原因是我会不涉及此科目，202</w:t>
      </w:r>
      <w:r>
        <w:rPr>
          <w:rStyle w:val="25"/>
          <w:rFonts w:ascii="仿宋" w:eastAsia="仿宋"/>
          <w:b w:val="0"/>
          <w:bCs/>
          <w:color w:val="auto"/>
          <w:sz w:val="32"/>
          <w:szCs w:val="32"/>
          <w:highlight w:val="auto"/>
        </w:rPr>
        <w:t>5</w:t>
      </w:r>
      <w:r>
        <w:rPr>
          <w:rStyle w:val="25"/>
          <w:rFonts w:ascii="仿宋" w:eastAsia="仿宋" w:hint="eastAsia"/>
          <w:b w:val="0"/>
          <w:bCs/>
          <w:color w:val="auto"/>
          <w:sz w:val="32"/>
          <w:szCs w:val="32"/>
          <w:highlight w:val="auto"/>
        </w:rPr>
        <w:t>年度科学技术类支出为0万元。</w:t>
      </w:r>
    </w:p>
    <w:p>
      <w:pPr>
        <w:spacing w:line="600" w:lineRule="exact"/>
        <w:ind w:firstLineChars="200" w:firstLine="640"/>
        <w:rPr>
          <w:rFonts w:ascii="仿宋" w:eastAsia="仿宋" w:hint="eastAsia"/>
          <w:b/>
          <w:color w:val="auto"/>
          <w:sz w:val="32"/>
          <w:szCs w:val="32"/>
          <w:highlight w:val="auto"/>
        </w:rPr>
      </w:pPr>
      <w:r>
        <w:rPr>
          <w:rStyle w:val="25"/>
          <w:rFonts w:ascii="仿宋" w:eastAsia="仿宋" w:hint="eastAsia"/>
          <w:bCs/>
          <w:color w:val="auto"/>
          <w:sz w:val="32"/>
          <w:szCs w:val="32"/>
          <w:highlight w:val="auto"/>
        </w:rPr>
        <w:t>4.文化旅游体育与传媒（类）***（款）***（项）:</w:t>
      </w:r>
      <w:r>
        <w:rPr>
          <w:rStyle w:val="25"/>
          <w:rFonts w:ascii="仿宋" w:eastAsia="仿宋" w:hint="eastAsia"/>
          <w:b w:val="0"/>
          <w:bCs/>
          <w:color w:val="auto"/>
          <w:sz w:val="32"/>
          <w:szCs w:val="32"/>
          <w:highlight w:val="auto"/>
        </w:rPr>
        <w:t xml:space="preserve"> 支出决算为0万元，完成预算0%，决算数小于/等于预算数的主要原因是我会不涉及此科目，202</w:t>
      </w:r>
      <w:r>
        <w:rPr>
          <w:rStyle w:val="25"/>
          <w:rFonts w:ascii="仿宋" w:eastAsia="仿宋"/>
          <w:b w:val="0"/>
          <w:bCs/>
          <w:color w:val="auto"/>
          <w:sz w:val="32"/>
          <w:szCs w:val="32"/>
          <w:highlight w:val="auto"/>
        </w:rPr>
        <w:t>5</w:t>
      </w:r>
      <w:r>
        <w:rPr>
          <w:rStyle w:val="25"/>
          <w:rFonts w:ascii="仿宋" w:eastAsia="仿宋" w:hint="eastAsia"/>
          <w:b w:val="0"/>
          <w:bCs/>
          <w:color w:val="auto"/>
          <w:sz w:val="32"/>
          <w:szCs w:val="32"/>
          <w:highlight w:val="auto"/>
        </w:rPr>
        <w:t>年度文化旅游体育与传媒支出为0万元。</w:t>
      </w:r>
    </w:p>
    <w:p>
      <w:pPr>
        <w:spacing w:line="600" w:lineRule="exact"/>
        <w:ind w:firstLineChars="200" w:firstLine="640"/>
        <w:rPr>
          <w:rStyle w:val="25"/>
          <w:rFonts w:ascii="仿宋" w:eastAsia="仿宋" w:hint="eastAsia"/>
          <w:b w:val="0"/>
          <w:bCs/>
          <w:color w:val="auto"/>
          <w:sz w:val="32"/>
          <w:szCs w:val="32"/>
          <w:highlight w:val="auto"/>
        </w:rPr>
      </w:pPr>
      <w:r>
        <w:rPr>
          <w:rStyle w:val="25"/>
          <w:rFonts w:ascii="仿宋" w:eastAsia="仿宋" w:hint="eastAsia"/>
          <w:bCs/>
          <w:color w:val="auto"/>
          <w:sz w:val="32"/>
          <w:szCs w:val="32"/>
          <w:highlight w:val="auto"/>
        </w:rPr>
        <w:t>5.社会保障和就业（类）</w:t>
      </w:r>
      <w:r>
        <w:rPr>
          <w:rStyle w:val="25"/>
          <w:rFonts w:ascii="仿宋" w:eastAsia="仿宋" w:cs="仿宋_GB2312" w:hint="eastAsia"/>
          <w:bCs/>
          <w:sz w:val="32"/>
          <w:szCs w:val="32"/>
          <w:lang w:bidi="ar-SA"/>
        </w:rPr>
        <w:t>行政事业单位离退休（款）机关事业单位基本养老保险缴费支出（项）</w:t>
      </w:r>
      <w:r>
        <w:rPr>
          <w:rStyle w:val="25"/>
          <w:rFonts w:ascii="仿宋" w:eastAsia="仿宋" w:hint="eastAsia"/>
          <w:bCs/>
          <w:color w:val="auto"/>
          <w:sz w:val="32"/>
          <w:szCs w:val="32"/>
          <w:highlight w:val="auto"/>
        </w:rPr>
        <w:t>:</w:t>
      </w:r>
      <w:r>
        <w:rPr>
          <w:rStyle w:val="25"/>
          <w:rFonts w:ascii="仿宋" w:eastAsia="仿宋" w:hint="eastAsia"/>
          <w:b w:val="0"/>
          <w:bCs/>
          <w:color w:val="auto"/>
          <w:sz w:val="32"/>
          <w:szCs w:val="32"/>
          <w:highlight w:val="auto"/>
        </w:rPr>
        <w:t xml:space="preserve"> 支出决算为</w:t>
      </w:r>
      <w:r>
        <w:rPr>
          <w:rStyle w:val="25"/>
          <w:rFonts w:ascii="仿宋" w:eastAsia="仿宋"/>
          <w:b w:val="0"/>
          <w:bCs/>
          <w:color w:val="auto"/>
          <w:sz w:val="32"/>
          <w:szCs w:val="32"/>
          <w:lang w:val="en-US" w:eastAsia="zh-CN"/>
          <w:highlight w:val="auto"/>
        </w:rPr>
        <w:t>29.93</w:t>
      </w:r>
      <w:r>
        <w:rPr>
          <w:rStyle w:val="25"/>
          <w:rFonts w:ascii="仿宋" w:eastAsia="仿宋" w:hint="eastAsia"/>
          <w:b w:val="0"/>
          <w:bCs/>
          <w:color w:val="auto"/>
          <w:sz w:val="32"/>
          <w:szCs w:val="32"/>
          <w:highlight w:val="auto"/>
        </w:rPr>
        <w:t>万元，完成预算100%，决算数等于预算数。</w:t>
      </w:r>
    </w:p>
    <w:p>
      <w:pPr>
        <w:spacing w:line="600" w:lineRule="exact"/>
        <w:ind w:firstLineChars="200" w:firstLine="640"/>
        <w:rPr>
          <w:rStyle w:val="25"/>
          <w:rFonts w:ascii="仿宋" w:eastAsia="仿宋" w:hint="eastAsia"/>
          <w:b w:val="0"/>
          <w:bCs/>
          <w:sz w:val="32"/>
          <w:szCs w:val="32"/>
        </w:rPr>
      </w:pPr>
      <w:r>
        <w:rPr>
          <w:rStyle w:val="25"/>
          <w:rFonts w:ascii="仿宋" w:eastAsia="仿宋" w:hint="eastAsia"/>
          <w:bCs/>
          <w:sz w:val="32"/>
          <w:szCs w:val="32"/>
        </w:rPr>
        <w:t>6.</w:t>
      </w:r>
      <w:r>
        <w:rPr>
          <w:rStyle w:val="25"/>
          <w:rFonts w:ascii="仿宋" w:eastAsia="仿宋" w:cs="仿宋_GB2312" w:hint="eastAsia"/>
          <w:bCs/>
          <w:sz w:val="32"/>
          <w:szCs w:val="32"/>
          <w:lang w:bidi="ar-SA"/>
        </w:rPr>
        <w:t>社会保障和就业（类）行政事业单位离退休（款）机关事业单位职业年金缴费支出（项）</w:t>
      </w:r>
      <w:r>
        <w:rPr>
          <w:rFonts w:ascii="仿宋_GB2312" w:eastAsia="仿宋_GB2312" w:cs="仿宋_GB2312" w:hint="eastAsia"/>
          <w:kern w:val="0"/>
          <w:sz w:val="32"/>
          <w:szCs w:val="32"/>
          <w:lang w:bidi="ar-SA"/>
        </w:rPr>
        <w:t>：支出决算为</w:t>
      </w:r>
      <w:r>
        <w:rPr>
          <w:rFonts w:ascii="仿宋_GB2312" w:eastAsia="仿宋_GB2312" w:cs="仿宋_GB2312"/>
          <w:kern w:val="0"/>
          <w:sz w:val="32"/>
          <w:szCs w:val="32"/>
          <w:lang w:val="en-US" w:eastAsia="zh-CN" w:bidi="ar-SA"/>
        </w:rPr>
        <w:t>9.98</w:t>
      </w:r>
      <w:r>
        <w:rPr>
          <w:rFonts w:ascii="仿宋_GB2312" w:eastAsia="仿宋_GB2312" w:cs="仿宋_GB2312" w:hint="eastAsia"/>
          <w:kern w:val="0"/>
          <w:sz w:val="32"/>
          <w:szCs w:val="32"/>
          <w:lang w:bidi="ar-SA"/>
        </w:rPr>
        <w:t>万元，完成预算100%。</w:t>
      </w:r>
      <w:r>
        <w:rPr>
          <w:rStyle w:val="25"/>
          <w:rFonts w:ascii="仿宋" w:eastAsia="仿宋" w:hint="eastAsia"/>
          <w:b w:val="0"/>
          <w:bCs/>
          <w:color w:val="auto"/>
          <w:sz w:val="32"/>
          <w:szCs w:val="32"/>
          <w:highlight w:val="auto"/>
        </w:rPr>
        <w:t>决算数等于预算数。</w:t>
      </w:r>
    </w:p>
    <w:p>
      <w:pPr>
        <w:spacing w:line="600" w:lineRule="exact"/>
        <w:ind w:firstLineChars="200" w:firstLine="640"/>
        <w:rPr>
          <w:rStyle w:val="25"/>
          <w:rFonts w:ascii="仿宋" w:eastAsia="仿宋" w:hint="eastAsia"/>
          <w:b w:val="0"/>
          <w:bCs/>
          <w:color w:val="auto"/>
          <w:sz w:val="32"/>
          <w:szCs w:val="32"/>
          <w:highlight w:val="auto"/>
        </w:rPr>
      </w:pPr>
      <w:r>
        <w:rPr>
          <w:rStyle w:val="25"/>
          <w:rFonts w:ascii="仿宋" w:eastAsia="仿宋" w:hint="eastAsia"/>
          <w:bCs/>
          <w:color w:val="auto"/>
          <w:sz w:val="32"/>
          <w:szCs w:val="32"/>
          <w:highlight w:val="auto"/>
        </w:rPr>
        <w:t>7.</w:t>
      </w:r>
      <w:r>
        <w:rPr>
          <w:rFonts w:ascii="仿宋" w:eastAsia="仿宋" w:hint="eastAsia"/>
          <w:b/>
          <w:bCs/>
          <w:color w:val="auto"/>
          <w:sz w:val="32"/>
          <w:szCs w:val="32"/>
          <w:highlight w:val="auto"/>
        </w:rPr>
        <w:t>卫生健康</w:t>
      </w:r>
      <w:r>
        <w:rPr>
          <w:rStyle w:val="25"/>
          <w:rFonts w:ascii="仿宋" w:eastAsia="仿宋" w:hint="eastAsia"/>
          <w:bCs/>
          <w:color w:val="auto"/>
          <w:sz w:val="32"/>
          <w:szCs w:val="32"/>
          <w:highlight w:val="auto"/>
        </w:rPr>
        <w:t>（类）</w:t>
      </w:r>
      <w:r>
        <w:rPr>
          <w:rFonts w:ascii="仿宋" w:eastAsia="仿宋" w:cs="仿宋_GB2312" w:hint="eastAsia"/>
          <w:b/>
          <w:bCs/>
          <w:sz w:val="32"/>
          <w:szCs w:val="32"/>
          <w:lang w:bidi="ar-SA"/>
        </w:rPr>
        <w:t>行政事业单位医疗（款）行政单位医疗（项）</w:t>
      </w:r>
      <w:r>
        <w:rPr>
          <w:rStyle w:val="25"/>
          <w:rFonts w:ascii="仿宋" w:eastAsia="仿宋" w:hint="eastAsia"/>
          <w:bCs/>
          <w:color w:val="auto"/>
          <w:sz w:val="32"/>
          <w:szCs w:val="32"/>
          <w:highlight w:val="auto"/>
        </w:rPr>
        <w:t>:</w:t>
      </w:r>
      <w:r>
        <w:rPr>
          <w:rStyle w:val="25"/>
          <w:rFonts w:ascii="仿宋" w:eastAsia="仿宋" w:hint="eastAsia"/>
          <w:b w:val="0"/>
          <w:bCs/>
          <w:color w:val="auto"/>
          <w:sz w:val="32"/>
          <w:szCs w:val="32"/>
          <w:highlight w:val="auto"/>
        </w:rPr>
        <w:t>支出决算为</w:t>
      </w:r>
      <w:r>
        <w:rPr>
          <w:rStyle w:val="25"/>
          <w:rFonts w:ascii="仿宋" w:eastAsia="仿宋"/>
          <w:b w:val="0"/>
          <w:bCs/>
          <w:color w:val="auto"/>
          <w:sz w:val="32"/>
          <w:szCs w:val="32"/>
          <w:lang w:val="en-US" w:eastAsia="zh-CN"/>
          <w:highlight w:val="auto"/>
        </w:rPr>
        <w:t>5.55</w:t>
      </w:r>
      <w:r>
        <w:rPr>
          <w:rStyle w:val="25"/>
          <w:rFonts w:ascii="仿宋" w:eastAsia="仿宋" w:hint="eastAsia"/>
          <w:b w:val="0"/>
          <w:bCs/>
          <w:color w:val="auto"/>
          <w:sz w:val="32"/>
          <w:szCs w:val="32"/>
          <w:highlight w:val="auto"/>
        </w:rPr>
        <w:t>万元，完成预算100%，决算数等于预算数。</w:t>
      </w:r>
    </w:p>
    <w:p>
      <w:pPr>
        <w:spacing w:line="600" w:lineRule="exact"/>
        <w:ind w:firstLineChars="200" w:firstLine="640"/>
        <w:rPr>
          <w:rStyle w:val="25"/>
          <w:rFonts w:ascii="仿宋" w:eastAsia="仿宋" w:hint="eastAsia"/>
          <w:b w:val="0"/>
          <w:bCs/>
          <w:color w:val="auto"/>
          <w:sz w:val="32"/>
          <w:szCs w:val="32"/>
          <w:highlight w:val="auto"/>
        </w:rPr>
      </w:pPr>
      <w:r>
        <w:rPr>
          <w:rStyle w:val="25"/>
          <w:rFonts w:ascii="仿宋" w:eastAsia="仿宋" w:hint="eastAsia"/>
          <w:bCs/>
          <w:color w:val="auto"/>
          <w:sz w:val="32"/>
          <w:szCs w:val="32"/>
          <w:highlight w:val="auto"/>
        </w:rPr>
        <w:t>8.</w:t>
      </w:r>
      <w:r>
        <w:rPr>
          <w:rFonts w:ascii="仿宋" w:eastAsia="仿宋" w:hint="eastAsia"/>
          <w:b/>
          <w:bCs/>
          <w:color w:val="auto"/>
          <w:sz w:val="32"/>
          <w:szCs w:val="32"/>
          <w:highlight w:val="auto"/>
        </w:rPr>
        <w:t>卫生健康</w:t>
      </w:r>
      <w:r>
        <w:rPr>
          <w:rStyle w:val="25"/>
          <w:rFonts w:ascii="仿宋" w:eastAsia="仿宋" w:hint="eastAsia"/>
          <w:bCs/>
          <w:color w:val="auto"/>
          <w:sz w:val="32"/>
          <w:szCs w:val="32"/>
          <w:highlight w:val="auto"/>
        </w:rPr>
        <w:t>（类）</w:t>
      </w:r>
      <w:r>
        <w:rPr>
          <w:rFonts w:ascii="仿宋" w:eastAsia="仿宋" w:cs="仿宋_GB2312" w:hint="eastAsia"/>
          <w:b/>
          <w:bCs/>
          <w:sz w:val="32"/>
          <w:szCs w:val="32"/>
          <w:lang w:bidi="ar-SA"/>
        </w:rPr>
        <w:t>行政事业单位医疗（款）公务员医疗补助（项）</w:t>
      </w:r>
      <w:r>
        <w:rPr>
          <w:rStyle w:val="25"/>
          <w:rFonts w:ascii="仿宋" w:eastAsia="仿宋" w:hint="eastAsia"/>
          <w:bCs/>
          <w:color w:val="auto"/>
          <w:sz w:val="32"/>
          <w:szCs w:val="32"/>
          <w:highlight w:val="auto"/>
        </w:rPr>
        <w:t>:</w:t>
      </w:r>
      <w:r>
        <w:rPr>
          <w:rStyle w:val="25"/>
          <w:rFonts w:ascii="仿宋" w:eastAsia="仿宋" w:hint="eastAsia"/>
          <w:b w:val="0"/>
          <w:bCs/>
          <w:color w:val="auto"/>
          <w:sz w:val="32"/>
          <w:szCs w:val="32"/>
          <w:highlight w:val="auto"/>
        </w:rPr>
        <w:t>支出决算为</w:t>
      </w:r>
      <w:r>
        <w:rPr>
          <w:rStyle w:val="25"/>
          <w:rFonts w:ascii="仿宋" w:eastAsia="仿宋"/>
          <w:b w:val="0"/>
          <w:bCs/>
          <w:color w:val="auto"/>
          <w:sz w:val="32"/>
          <w:szCs w:val="32"/>
          <w:highlight w:val="auto"/>
        </w:rPr>
        <w:t>1.43</w:t>
      </w:r>
      <w:r>
        <w:rPr>
          <w:rStyle w:val="25"/>
          <w:rFonts w:ascii="仿宋" w:eastAsia="仿宋" w:hint="eastAsia"/>
          <w:b w:val="0"/>
          <w:bCs/>
          <w:color w:val="auto"/>
          <w:sz w:val="32"/>
          <w:szCs w:val="32"/>
          <w:highlight w:val="auto"/>
        </w:rPr>
        <w:t>万元，完成预算100%，决算数等于预算数。</w:t>
      </w:r>
    </w:p>
    <w:p>
      <w:pPr>
        <w:pStyle w:val="15"/>
        <w:ind w:firstLineChars="200" w:firstLine="640"/>
        <w:rPr>
          <w:rStyle w:val="25"/>
          <w:rFonts w:ascii="仿宋" w:eastAsia="仿宋" w:hint="eastAsia"/>
          <w:b w:val="0"/>
          <w:bCs/>
          <w:color w:val="auto"/>
          <w:sz w:val="32"/>
          <w:szCs w:val="32"/>
          <w:highlight w:val="auto"/>
        </w:rPr>
      </w:pPr>
      <w:r>
        <w:rPr>
          <w:rStyle w:val="25"/>
          <w:rFonts w:ascii="仿宋" w:eastAsia="仿宋" w:hint="eastAsia"/>
          <w:bCs/>
          <w:color w:val="auto"/>
          <w:sz w:val="32"/>
          <w:szCs w:val="32"/>
          <w:highlight w:val="auto"/>
        </w:rPr>
        <w:t>9.</w:t>
      </w:r>
      <w:r>
        <w:rPr>
          <w:rFonts w:ascii="仿宋" w:eastAsia="仿宋" w:hint="eastAsia"/>
          <w:b/>
          <w:bCs/>
          <w:color w:val="auto"/>
          <w:sz w:val="32"/>
          <w:szCs w:val="32"/>
          <w:highlight w:val="auto"/>
        </w:rPr>
        <w:t>卫生健康</w:t>
      </w:r>
      <w:r>
        <w:rPr>
          <w:rStyle w:val="25"/>
          <w:rFonts w:ascii="仿宋" w:eastAsia="仿宋" w:hint="eastAsia"/>
          <w:bCs/>
          <w:color w:val="auto"/>
          <w:sz w:val="32"/>
          <w:szCs w:val="32"/>
          <w:highlight w:val="auto"/>
        </w:rPr>
        <w:t>（类）</w:t>
      </w:r>
      <w:r>
        <w:rPr>
          <w:rFonts w:ascii="仿宋" w:eastAsia="仿宋" w:cs="仿宋_GB2312" w:hint="eastAsia"/>
          <w:b/>
          <w:bCs/>
          <w:sz w:val="32"/>
          <w:szCs w:val="32"/>
          <w:lang w:bidi="ar-SA"/>
        </w:rPr>
        <w:t>行政事业单位医疗（款）事业单位医疗（项）</w:t>
      </w:r>
      <w:r>
        <w:rPr>
          <w:rStyle w:val="25"/>
          <w:rFonts w:ascii="仿宋" w:eastAsia="仿宋" w:hint="eastAsia"/>
          <w:bCs/>
          <w:color w:val="auto"/>
          <w:sz w:val="32"/>
          <w:szCs w:val="32"/>
          <w:highlight w:val="auto"/>
        </w:rPr>
        <w:t>:</w:t>
      </w:r>
      <w:r>
        <w:rPr>
          <w:rStyle w:val="25"/>
          <w:rFonts w:ascii="仿宋" w:eastAsia="仿宋" w:hint="eastAsia"/>
          <w:b w:val="0"/>
          <w:bCs/>
          <w:color w:val="auto"/>
          <w:sz w:val="32"/>
          <w:szCs w:val="32"/>
          <w:highlight w:val="auto"/>
        </w:rPr>
        <w:t>支出决算为</w:t>
      </w:r>
      <w:r>
        <w:rPr>
          <w:rStyle w:val="25"/>
          <w:rFonts w:ascii="仿宋" w:eastAsia="仿宋"/>
          <w:b w:val="0"/>
          <w:bCs/>
          <w:color w:val="auto"/>
          <w:sz w:val="32"/>
          <w:szCs w:val="32"/>
          <w:lang w:val="en-US" w:eastAsia="zh-CN"/>
          <w:highlight w:val="auto"/>
        </w:rPr>
        <w:t>4.15</w:t>
      </w:r>
      <w:r>
        <w:rPr>
          <w:rStyle w:val="25"/>
          <w:rFonts w:ascii="仿宋" w:eastAsia="仿宋" w:hint="eastAsia"/>
          <w:b w:val="0"/>
          <w:bCs/>
          <w:color w:val="auto"/>
          <w:sz w:val="32"/>
          <w:szCs w:val="32"/>
          <w:highlight w:val="auto"/>
        </w:rPr>
        <w:t>万元，完成预算100%，决算数等于预算数。</w:t>
      </w:r>
    </w:p>
    <w:p>
      <w:pPr>
        <w:pStyle w:val="15"/>
        <w:ind w:firstLineChars="200" w:firstLine="640"/>
        <w:rPr>
          <w:rStyle w:val="25"/>
          <w:rFonts w:ascii="仿宋" w:eastAsia="仿宋" w:hint="eastAsia"/>
          <w:b w:val="0"/>
          <w:bCs/>
          <w:color w:val="auto"/>
          <w:sz w:val="32"/>
          <w:szCs w:val="32"/>
          <w:highlight w:val="auto"/>
        </w:rPr>
      </w:pPr>
      <w:r>
        <w:rPr>
          <w:rStyle w:val="25"/>
          <w:rFonts w:ascii="仿宋" w:eastAsia="仿宋" w:hint="eastAsia"/>
          <w:bCs/>
          <w:color w:val="auto"/>
          <w:sz w:val="32"/>
          <w:szCs w:val="32"/>
          <w:highlight w:val="auto"/>
        </w:rPr>
        <w:t>10.</w:t>
      </w:r>
      <w:r>
        <w:rPr>
          <w:rFonts w:ascii="仿宋" w:eastAsia="仿宋" w:hint="eastAsia"/>
          <w:b/>
          <w:bCs/>
          <w:color w:val="auto"/>
          <w:sz w:val="32"/>
          <w:szCs w:val="32"/>
          <w:highlight w:val="auto"/>
        </w:rPr>
        <w:t>卫生健康</w:t>
      </w:r>
      <w:r>
        <w:rPr>
          <w:rStyle w:val="25"/>
          <w:rFonts w:ascii="仿宋" w:eastAsia="仿宋" w:hint="eastAsia"/>
          <w:bCs/>
          <w:color w:val="auto"/>
          <w:sz w:val="32"/>
          <w:szCs w:val="32"/>
          <w:highlight w:val="auto"/>
        </w:rPr>
        <w:t>（类）</w:t>
      </w:r>
      <w:r>
        <w:rPr>
          <w:rFonts w:ascii="仿宋" w:eastAsia="仿宋" w:cs="仿宋_GB2312" w:hint="eastAsia"/>
          <w:b/>
          <w:bCs/>
          <w:sz w:val="32"/>
          <w:szCs w:val="32"/>
          <w:lang w:bidi="ar-SA"/>
        </w:rPr>
        <w:t>行政事业单位医疗（款）其他行政事业单位医疗支出（项）</w:t>
      </w:r>
      <w:r>
        <w:rPr>
          <w:rStyle w:val="25"/>
          <w:rFonts w:ascii="仿宋" w:eastAsia="仿宋" w:hint="eastAsia"/>
          <w:b w:val="0"/>
          <w:bCs/>
          <w:color w:val="auto"/>
          <w:sz w:val="32"/>
          <w:szCs w:val="32"/>
          <w:highlight w:val="auto"/>
        </w:rPr>
        <w:t>支出决算为</w:t>
      </w:r>
      <w:r>
        <w:rPr>
          <w:rStyle w:val="25"/>
          <w:rFonts w:ascii="仿宋" w:eastAsia="仿宋"/>
          <w:b w:val="0"/>
          <w:bCs/>
          <w:color w:val="auto"/>
          <w:sz w:val="32"/>
          <w:szCs w:val="32"/>
          <w:highlight w:val="auto"/>
        </w:rPr>
        <w:t>0.72</w:t>
      </w:r>
      <w:r>
        <w:rPr>
          <w:rStyle w:val="25"/>
          <w:rFonts w:ascii="仿宋" w:eastAsia="仿宋" w:hint="eastAsia"/>
          <w:b w:val="0"/>
          <w:bCs/>
          <w:color w:val="auto"/>
          <w:sz w:val="32"/>
          <w:szCs w:val="32"/>
          <w:highlight w:val="auto"/>
        </w:rPr>
        <w:t>万元，完成预算100%，决算数等于预算数。</w:t>
      </w:r>
    </w:p>
    <w:p>
      <w:pPr>
        <w:pStyle w:val="15"/>
        <w:ind w:firstLineChars="200" w:firstLine="360"/>
      </w:pPr>
    </w:p>
    <w:p>
      <w:pPr>
        <w:pStyle w:val="15"/>
        <w:ind w:firstLineChars="200" w:firstLine="640"/>
        <w:rPr>
          <w:rStyle w:val="25"/>
          <w:rFonts w:ascii="仿宋" w:eastAsia="仿宋" w:hint="eastAsia"/>
          <w:b w:val="0"/>
          <w:bCs/>
          <w:sz w:val="32"/>
          <w:szCs w:val="32"/>
        </w:rPr>
      </w:pPr>
      <w:r>
        <w:rPr>
          <w:rFonts w:ascii="仿宋" w:eastAsia="仿宋" w:cs="仿宋_GB2312" w:hint="eastAsia"/>
          <w:b/>
          <w:bCs/>
          <w:sz w:val="32"/>
          <w:szCs w:val="32"/>
          <w:lang w:val="en-US" w:eastAsia="zh-CN" w:bidi="ar-SA"/>
        </w:rPr>
        <w:t>11</w:t>
      </w:r>
      <w:r>
        <w:rPr>
          <w:rFonts w:ascii="仿宋" w:eastAsia="仿宋" w:cs="仿宋_GB2312" w:hint="eastAsia"/>
          <w:b/>
          <w:bCs/>
          <w:sz w:val="32"/>
          <w:szCs w:val="32"/>
          <w:lang w:bidi="ar-SA"/>
        </w:rPr>
        <w:t>.住房保障(类)</w:t>
      </w:r>
      <w:r>
        <w:rPr>
          <w:rFonts w:ascii="仿宋" w:eastAsia="仿宋" w:cs="仿宋_GB2312" w:hint="eastAsia"/>
          <w:b/>
          <w:bCs/>
          <w:sz w:val="32"/>
          <w:szCs w:val="32"/>
          <w:lang w:eastAsia="zh-CN" w:bidi="ar-SA"/>
        </w:rPr>
        <w:t>住房</w:t>
      </w:r>
      <w:r>
        <w:rPr>
          <w:rFonts w:ascii="仿宋" w:eastAsia="仿宋" w:cs="仿宋_GB2312" w:hint="eastAsia"/>
          <w:b/>
          <w:bCs/>
          <w:sz w:val="32"/>
          <w:szCs w:val="32"/>
          <w:lang w:bidi="ar-SA"/>
        </w:rPr>
        <w:t>改革支出(款)住房公积金(项)</w:t>
      </w:r>
      <w:r>
        <w:rPr>
          <w:rFonts w:cs="仿宋_GB2312" w:hint="eastAsia"/>
          <w:sz w:val="32"/>
          <w:szCs w:val="32"/>
          <w:lang w:bidi="ar-SA"/>
        </w:rPr>
        <w:t>:支出决算为</w:t>
      </w:r>
      <w:r>
        <w:rPr>
          <w:rFonts w:cs="仿宋_GB2312" w:hint="eastAsia"/>
          <w:sz w:val="32"/>
          <w:szCs w:val="32"/>
          <w:lang w:val="en-US" w:eastAsia="zh-CN" w:bidi="ar-SA"/>
        </w:rPr>
        <w:t>16.</w:t>
      </w:r>
      <w:r>
        <w:rPr>
          <w:rFonts w:cs="仿宋_GB2312"/>
          <w:sz w:val="32"/>
          <w:szCs w:val="32"/>
          <w:lang w:val="en-US" w:eastAsia="zh-CN" w:bidi="ar-SA"/>
        </w:rPr>
        <w:t>87</w:t>
      </w:r>
      <w:r>
        <w:rPr>
          <w:rFonts w:cs="仿宋_GB2312" w:hint="eastAsia"/>
          <w:sz w:val="32"/>
          <w:szCs w:val="32"/>
          <w:lang w:bidi="ar-SA"/>
        </w:rPr>
        <w:t>万元，完成预算100%</w:t>
      </w:r>
      <w:r>
        <w:rPr>
          <w:rFonts w:cs="仿宋_GB2312"/>
          <w:sz w:val="32"/>
          <w:szCs w:val="32"/>
          <w:lang w:bidi="ar-SA"/>
        </w:rPr>
        <w:t>，</w:t>
      </w:r>
      <w:r>
        <w:rPr>
          <w:rStyle w:val="25"/>
          <w:rFonts w:ascii="仿宋" w:eastAsia="仿宋" w:hint="eastAsia"/>
          <w:b w:val="0"/>
          <w:bCs/>
          <w:color w:val="auto"/>
          <w:sz w:val="32"/>
          <w:szCs w:val="32"/>
          <w:highlight w:val="auto"/>
        </w:rPr>
        <w:t>决算数等于预算数。</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（注：仅罗列本部门涉及的全部功能分类科目，至项级。上述“预算”口径为全年预算数。增减变动原因为决算数&lt;项级&gt;和全年预算数&lt;项级&gt;比较，与预算数持平可以不写原因）</w:t>
      </w:r>
    </w:p>
    <w:p>
      <w:pPr>
        <w:tabs>
          <w:tab w:val="right" w:pos="8306"/>
        </w:tabs>
        <w:spacing w:line="600" w:lineRule="exact"/>
        <w:ind w:firstLine="640"/>
        <w:outlineLvl w:val="1"/>
        <w:rPr>
          <w:rStyle w:val="2Char"/>
          <w:rFonts w:ascii="Times New Roman" w:hAnsi="Times New Roman"/>
          <w:color w:val="auto"/>
          <w:highlight w:val="auto"/>
        </w:rPr>
      </w:pPr>
      <w:bookmarkStart w:id="36" w:name="_Toc15377214"/>
      <w:bookmarkStart w:id="37" w:name="_Toc15396608"/>
      <w:r>
        <w:rPr>
          <w:rFonts w:ascii="Times New Roman" w:eastAsia="黑体" w:hAnsi="Times New Roman" w:hint="eastAsia"/>
          <w:color w:val="auto"/>
          <w:sz w:val="32"/>
          <w:szCs w:val="32"/>
          <w:highlight w:val="auto"/>
        </w:rPr>
        <w:t>六</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般公共预算财政拨款基本支出决算情况说明</w:t>
      </w:r>
      <w:bookmarkEnd w:id="36"/>
      <w:bookmarkEnd w:id="37"/>
      <w:r>
        <w:rPr>
          <w:rStyle w:val="2Char"/>
          <w:rFonts w:ascii="Times New Roman" w:eastAsia="黑体" w:hAnsi="Times New Roman"/>
          <w:b w:val="0"/>
          <w:color w:val="auto"/>
          <w:highlight w:val="auto"/>
        </w:rPr>
        <w:tab/>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年度一般公共预算财政拨款基本支出</w:t>
      </w:r>
      <w:r>
        <w:rPr>
          <w:rFonts w:ascii="仿宋_GB2312" w:eastAsia="仿宋_GB2312" w:cs="仿宋_GB2312"/>
          <w:sz w:val="32"/>
          <w:szCs w:val="32"/>
        </w:rPr>
        <w:t>260.81</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元，其中：</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人员经费</w:t>
      </w:r>
      <w:r>
        <w:rPr>
          <w:rFonts w:ascii="仿宋_GB2312" w:eastAsia="仿宋_GB2312" w:cs="仿宋_GB2312"/>
          <w:sz w:val="32"/>
          <w:szCs w:val="32"/>
        </w:rPr>
        <w:t>234.3</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br/>
        <w:t>　　公用经费</w:t>
      </w:r>
      <w:r>
        <w:rPr>
          <w:rFonts w:ascii="仿宋_GB2312" w:eastAsia="仿宋_GB2312" w:cs="仿宋_GB2312"/>
          <w:sz w:val="32"/>
          <w:szCs w:val="32"/>
        </w:rPr>
        <w:t>26.51</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（注：仅罗列本部门实际支出涉及的经济分类科目）</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outlineLvl w:val="1"/>
        <w:rPr>
          <w:rStyle w:val="2Char"/>
          <w:rFonts w:ascii="Times New Roman" w:eastAsia="黑体" w:hAnsi="Times New Roman"/>
          <w:b w:val="0"/>
          <w:color w:val="auto"/>
          <w:highlight w:val="auto"/>
        </w:rPr>
      </w:pPr>
      <w:bookmarkStart w:id="38" w:name="_Toc15396609"/>
      <w:bookmarkStart w:id="39" w:name="_Toc15377215"/>
      <w:r>
        <w:rPr>
          <w:rFonts w:ascii="Times New Roman" w:eastAsia="黑体" w:hAnsi="Times New Roman" w:hint="eastAsia"/>
          <w:color w:val="auto"/>
          <w:sz w:val="32"/>
          <w:szCs w:val="32"/>
          <w:highlight w:val="auto"/>
        </w:rPr>
        <w:t>七、</w:t>
      </w:r>
      <w:r>
        <w:rPr>
          <w:rStyle w:val="2Char"/>
          <w:rFonts w:ascii="Times New Roman" w:eastAsia="黑体" w:hAnsi="Times New Roman" w:hint="eastAsia"/>
          <w:b w:val="0"/>
          <w:color w:val="auto"/>
          <w:highlight w:val="auto"/>
        </w:rPr>
        <w:t>财政拨款</w:t>
      </w:r>
      <w:r>
        <w:rPr>
          <w:rStyle w:val="2Char"/>
          <w:rFonts w:ascii="Times New Roman" w:eastAsia="黑体" w:hAnsi="Times New Roman" w:hint="eastAsia"/>
          <w:color w:val="auto"/>
          <w:highlight w:val="auto"/>
        </w:rPr>
        <w:t>“</w:t>
      </w:r>
      <w:r>
        <w:rPr>
          <w:rStyle w:val="2Char"/>
          <w:rFonts w:ascii="Times New Roman" w:eastAsia="黑体" w:hAnsi="Times New Roman" w:hint="eastAsia"/>
          <w:b w:val="0"/>
          <w:color w:val="auto"/>
          <w:highlight w:val="auto"/>
        </w:rPr>
        <w:t>三公”经费支出决算情况说明</w:t>
      </w:r>
      <w:bookmarkEnd w:id="38"/>
      <w:bookmarkEnd w:id="39"/>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0" w:name="_Toc15377216"/>
      <w:r>
        <w:rPr>
          <w:rFonts w:ascii="Times New Roman" w:eastAsia="楷体_GB2312" w:cs="楷体_GB2312" w:hAnsi="Times New Roman" w:hint="eastAsia"/>
          <w:b/>
          <w:color w:val="auto"/>
          <w:sz w:val="32"/>
          <w:szCs w:val="32"/>
          <w:highlight w:val="auto"/>
        </w:rPr>
        <w:t>（一）“三公”经费财政拨款支出决算总体情况说明</w:t>
      </w:r>
      <w:bookmarkEnd w:id="40"/>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年度“三公”经费财政拨款支出决算为</w:t>
      </w:r>
      <w:r>
        <w:rPr>
          <w:rFonts w:ascii="仿宋_GB2312" w:eastAsia="仿宋_GB2312" w:cs="仿宋_GB2312"/>
          <w:sz w:val="32"/>
          <w:szCs w:val="32"/>
        </w:rPr>
        <w:t>7.9</w:t>
      </w:r>
      <w:r>
        <w:rPr>
          <w:rFonts w:ascii="仿宋_GB2312" w:eastAsia="仿宋_GB2312" w:cs="仿宋_GB2312" w:hint="eastAsia"/>
          <w:color w:val="auto"/>
          <w:kern w:val="2"/>
          <w:sz w:val="32"/>
          <w:szCs w:val="32"/>
          <w:lang w:val="en-US" w:eastAsia="zh-CN" w:bidi="ar-SA"/>
          <w:highlight w:val="auto"/>
        </w:rPr>
        <w:t>万元，完成预算</w:t>
      </w:r>
      <w:r>
        <w:rPr>
          <w:rFonts w:ascii="仿宋_GB2312" w:eastAsia="仿宋_GB2312" w:cs="仿宋_GB2312" w:hint="eastAsia"/>
          <w:sz w:val="32"/>
          <w:szCs w:val="32"/>
        </w:rPr>
        <w:t>100</w:t>
      </w:r>
      <w:r>
        <w:rPr>
          <w:rFonts w:ascii="仿宋_GB2312"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较上年度增加</w:t>
      </w:r>
      <w:r>
        <w:rPr>
          <w:rFonts w:eastAsia="仿宋_GB2312" w:cs="仿宋_GB2312"/>
          <w:color w:val="auto"/>
          <w:kern w:val="2"/>
          <w:sz w:val="32"/>
          <w:szCs w:val="32"/>
          <w:lang w:val="en-US" w:eastAsia="zh-CN" w:bidi="ar-SA"/>
          <w:highlight w:val="auto"/>
        </w:rPr>
        <w:t>2.85</w:t>
      </w:r>
      <w:r>
        <w:rPr>
          <w:rFonts w:ascii="Times New Roman" w:eastAsia="仿宋_GB2312" w:cs="仿宋_GB2312" w:hAnsi="Times New Roman" w:hint="eastAsia"/>
          <w:color w:val="auto"/>
          <w:kern w:val="2"/>
          <w:sz w:val="32"/>
          <w:szCs w:val="32"/>
          <w:lang w:val="en-US" w:eastAsia="zh-CN" w:bidi="ar-SA"/>
          <w:highlight w:val="auto"/>
        </w:rPr>
        <w:t>万元，</w:t>
      </w:r>
      <w:r>
        <w:rPr>
          <w:rFonts w:ascii="Times New Roman" w:eastAsia="仿宋_GB2312" w:cs="仿宋_GB2312" w:hAnsi="Times New Roman"/>
          <w:color w:val="auto"/>
          <w:kern w:val="2"/>
          <w:sz w:val="32"/>
          <w:szCs w:val="32"/>
          <w:lang w:val="en-US" w:eastAsia="zh-CN" w:bidi="ar-SA"/>
          <w:highlight w:val="auto"/>
        </w:rPr>
        <w:t>减少</w:t>
      </w:r>
      <w:r>
        <w:rPr>
          <w:rFonts w:eastAsia="仿宋_GB2312" w:cs="仿宋_GB2312"/>
          <w:color w:val="auto"/>
          <w:kern w:val="2"/>
          <w:sz w:val="32"/>
          <w:szCs w:val="32"/>
          <w:lang w:val="en-US" w:eastAsia="zh-CN" w:bidi="ar-SA"/>
          <w:highlight w:val="auto"/>
        </w:rPr>
        <w:t>26.53</w:t>
      </w:r>
      <w:r>
        <w:rPr>
          <w:rFonts w:ascii="Times New Roman" w:eastAsia="仿宋_GB2312" w:cs="仿宋_GB2312" w:hAnsi="Times New Roman" w:hint="eastAsia"/>
          <w:color w:val="auto"/>
          <w:kern w:val="2"/>
          <w:sz w:val="32"/>
          <w:szCs w:val="32"/>
          <w:lang w:val="en-US" w:eastAsia="zh-CN" w:bidi="ar-SA"/>
          <w:highlight w:val="auto"/>
        </w:rPr>
        <w:t>%。决算数与预算数持平</w:t>
      </w:r>
      <w:r>
        <w:rPr>
          <w:rFonts w:ascii="仿宋" w:eastAsia="仿宋" w:hint="eastAsia"/>
          <w:color w:val="auto"/>
          <w:sz w:val="32"/>
          <w:szCs w:val="32"/>
          <w:highlight w:val="auto"/>
        </w:rPr>
        <w:t>。</w:t>
      </w:r>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（注：上述“预算”口径为全年预算数，包括一般公共预算和政府性基金预算财政拨款支出决算情况）</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1" w:name="_Toc15377217"/>
      <w:r>
        <w:rPr>
          <w:rFonts w:ascii="Times New Roman" w:eastAsia="楷体_GB2312" w:cs="楷体_GB2312" w:hAnsi="Times New Roman" w:hint="eastAsia"/>
          <w:b/>
          <w:color w:val="auto"/>
          <w:sz w:val="32"/>
          <w:szCs w:val="32"/>
          <w:highlight w:val="auto"/>
        </w:rPr>
        <w:t>（二）“三公”经费财政拨款支出决算具体情况说明</w:t>
      </w:r>
      <w:bookmarkEnd w:id="41"/>
    </w:p>
    <w:p>
      <w:pPr>
        <w:spacing w:line="600" w:lineRule="exact"/>
        <w:ind w:firstLine="640"/>
        <w:rPr>
          <w:rFonts w:ascii="仿宋_GB2312" w:eastAsia="仿宋_GB2312" w:cs="仿宋_GB2312"/>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202</w:t>
      </w:r>
      <w:r>
        <w:rPr>
          <w:rFonts w:ascii="仿宋_GB2312" w:eastAsia="仿宋_GB2312" w:cs="仿宋_GB2312"/>
          <w:color w:val="auto"/>
          <w:kern w:val="2"/>
          <w:sz w:val="32"/>
          <w:szCs w:val="32"/>
          <w:lang w:val="en-US" w:eastAsia="zh-CN" w:bidi="ar-SA"/>
          <w:highlight w:val="auto"/>
        </w:rPr>
        <w:t>5</w:t>
      </w:r>
      <w:r>
        <w:rPr>
          <w:rFonts w:ascii="仿宋_GB2312" w:eastAsia="仿宋_GB2312" w:cs="仿宋_GB2312" w:hint="eastAsia"/>
          <w:color w:val="auto"/>
          <w:kern w:val="2"/>
          <w:sz w:val="32"/>
          <w:szCs w:val="32"/>
          <w:lang w:val="en-US" w:eastAsia="zh-CN" w:bidi="ar-SA"/>
          <w:highlight w:val="auto"/>
        </w:rPr>
        <w:t>年度“三公”经费财政拨款支出决算中，因公出国（境）费支出决算</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万元，占**%；公务用车购置及运行维护费支出决算</w:t>
      </w:r>
      <w:r>
        <w:rPr>
          <w:rFonts w:ascii="仿宋_GB2312" w:eastAsia="仿宋_GB2312" w:cs="仿宋_GB2312"/>
          <w:sz w:val="32"/>
          <w:szCs w:val="32"/>
        </w:rPr>
        <w:t>7.9</w:t>
      </w:r>
      <w:r>
        <w:rPr>
          <w:rFonts w:ascii="仿宋_GB2312" w:eastAsia="仿宋_GB2312" w:cs="仿宋_GB2312" w:hint="eastAsia"/>
          <w:color w:val="auto"/>
          <w:kern w:val="2"/>
          <w:sz w:val="32"/>
          <w:szCs w:val="32"/>
          <w:lang w:val="en-US" w:eastAsia="zh-CN" w:bidi="ar-SA"/>
          <w:highlight w:val="auto"/>
        </w:rPr>
        <w:t>万元，占</w:t>
      </w:r>
      <w:r>
        <w:rPr>
          <w:rFonts w:ascii="仿宋_GB2312" w:eastAsia="仿宋_GB2312" w:cs="仿宋_GB2312"/>
          <w:color w:val="auto"/>
          <w:kern w:val="2"/>
          <w:sz w:val="32"/>
          <w:szCs w:val="32"/>
          <w:lang w:val="en-US" w:eastAsia="zh-CN" w:bidi="ar-SA"/>
          <w:highlight w:val="auto"/>
        </w:rPr>
        <w:t>100</w:t>
      </w:r>
      <w:r>
        <w:rPr>
          <w:rFonts w:ascii="仿宋_GB2312" w:eastAsia="仿宋_GB2312" w:cs="仿宋_GB2312" w:hint="eastAsia"/>
          <w:color w:val="auto"/>
          <w:kern w:val="2"/>
          <w:sz w:val="32"/>
          <w:szCs w:val="32"/>
          <w:lang w:val="en-US" w:eastAsia="zh-CN" w:bidi="ar-SA"/>
          <w:highlight w:val="auto"/>
        </w:rPr>
        <w:t>%；公务接待费支出决算</w:t>
      </w:r>
      <w:r>
        <w:rPr>
          <w:rFonts w:ascii="仿宋_GB2312" w:eastAsia="仿宋_GB2312" w:cs="仿宋_GB2312"/>
          <w:sz w:val="32"/>
          <w:szCs w:val="32"/>
        </w:rPr>
        <w:t>0</w:t>
      </w:r>
      <w:r>
        <w:rPr>
          <w:rFonts w:ascii="仿宋_GB2312" w:eastAsia="仿宋_GB2312" w:cs="仿宋_GB2312" w:hint="eastAsia"/>
          <w:color w:val="auto"/>
          <w:kern w:val="2"/>
          <w:sz w:val="32"/>
          <w:szCs w:val="32"/>
          <w:lang w:val="en-US" w:eastAsia="zh-CN" w:bidi="ar-SA"/>
          <w:highlight w:val="auto"/>
        </w:rPr>
        <w:t>万元，占</w:t>
      </w:r>
      <w:r>
        <w:rPr>
          <w:rFonts w:ascii="仿宋_GB2312" w:eastAsia="仿宋_GB2312" w:cs="仿宋_GB2312"/>
          <w:color w:val="auto"/>
          <w:kern w:val="2"/>
          <w:sz w:val="32"/>
          <w:szCs w:val="32"/>
          <w:lang w:val="en-US" w:eastAsia="zh-CN" w:bidi="ar-SA"/>
          <w:highlight w:val="auto"/>
        </w:rPr>
        <w:t>0</w:t>
      </w:r>
      <w:r>
        <w:rPr>
          <w:rFonts w:ascii="仿宋_GB2312" w:eastAsia="仿宋_GB2312" w:cs="仿宋_GB2312" w:hint="eastAsia"/>
          <w:color w:val="auto"/>
          <w:kern w:val="2"/>
          <w:sz w:val="32"/>
          <w:szCs w:val="32"/>
          <w:lang w:val="en-US" w:eastAsia="zh-CN" w:bidi="ar-SA"/>
          <w:highlight w:val="auto"/>
        </w:rPr>
        <w:t>%。具体情况如下：</w:t>
      </w:r>
    </w:p>
    <w:p>
      <w:pPr>
        <w:pStyle w:val="17"/>
        <w:rPr>
          <w:rFonts w:ascii="仿宋_GB2312" w:eastAsia="仿宋_GB2312" w:cs="仿宋_GB2312" w:hint="eastAsia"/>
          <w:color w:val="auto"/>
          <w:kern w:val="2"/>
          <w:sz w:val="32"/>
          <w:szCs w:val="32"/>
          <w:lang w:val="en-US" w:eastAsia="zh-CN" w:bidi="ar-SA"/>
          <w:highlight w:val="auto"/>
        </w:rPr>
      </w:pPr>
      <w:r>
        <w:rPr>
          <w:rFonts w:ascii="仿宋_GB2312" w:eastAsia="仿宋_GB2312" w:cs="仿宋_GB2312"/>
          <w:color w:val="auto"/>
          <w:kern w:val="2"/>
          <w:sz w:val="32"/>
          <w:szCs w:val="32"/>
          <w:lang w:val="en-US" w:eastAsia="zh-CN" w:bidi="ar-SA"/>
          <w:highlight w:val="auto"/>
        </w:rPr>
        <w:drawing>
          <wp:inline distT="0" distB="0" distL="85723" distR="85723">
            <wp:extent cx="3458455" cy="2229572"/>
            <wp:effectExtent l="0" t="0" r="20" b="6"/>
            <wp:docPr id="17" name="图片"/>
            <wp:cNvGraphicFramePr>
              <a:graphicFrameLocks noChangeAspect="1"/>
            </wp:cNvGraphicFramePr>
            <a:graphic>
              <a:graphicData uri="http://schemas.openxmlformats.org/drawingml/2006/picture">
                <pic:pic>
                  <pic:nvPicPr>
                    <pic:cNvPr id="19" name="图片 19"/>
                    <pic:cNvPicPr/>
                  </pic:nvPicPr>
                  <pic:blipFill>
                    <a:blip r:embed="rId12"/>
                    <a:stretch>
                      <a:fillRect/>
                    </a:stretch>
                  </pic:blipFill>
                  <pic:spPr>
                    <a:xfrm rot="0">
                      <a:off x="0" y="0"/>
                      <a:ext cx="3458455" cy="2229572"/>
                    </a:xfrm>
                    <a:prstGeom prst="rect"/>
                    <a:noFill/>
                    <a:ln w="9525" cmpd="sng" cap="flat">
                      <a:noFill/>
                      <a:prstDash val="solid"/>
                      <a:miter/>
                    </a:ln>
                  </pic:spPr>
                </pic:pic>
              </a:graphicData>
            </a:graphic>
          </wp:inline>
        </w:drawing>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（图7：“三公”经费财政拨款支出结构）（饼状图）</w:t>
      </w:r>
    </w:p>
    <w:p>
      <w:pPr>
        <w:spacing w:line="600" w:lineRule="exact"/>
        <w:ind w:firstLine="640"/>
        <w:rPr>
          <w:rFonts w:ascii="仿宋_GB2312" w:eastAsia="仿宋_GB2312" w:hint="eastAsia"/>
          <w:b/>
          <w:color w:val="auto"/>
          <w:sz w:val="32"/>
          <w:szCs w:val="32"/>
          <w:highlight w:val="auto"/>
        </w:rPr>
      </w:pPr>
      <w:bookmarkStart w:id="42" w:name="_Toc15377218"/>
      <w:bookmarkStart w:id="43" w:name="_Toc15396610"/>
      <w:r>
        <w:rPr>
          <w:rFonts w:ascii="Times New Roman" w:eastAsia="仿宋_GB2312" w:cs="仿宋_GB2312" w:hAnsi="Times New Roman" w:hint="eastAsia"/>
          <w:b/>
          <w:bCs/>
          <w:color w:val="auto"/>
          <w:kern w:val="2"/>
          <w:sz w:val="32"/>
          <w:szCs w:val="32"/>
          <w:lang w:val="en-US" w:eastAsia="zh-CN" w:bidi="ar-SA"/>
          <w:highlight w:val="auto"/>
        </w:rPr>
        <w:t>1.因公出国（境）经费支出</w:t>
      </w:r>
      <w:r>
        <w:rPr>
          <w:rFonts w:eastAsia="仿宋_GB2312" w:cs="仿宋_GB2312" w:hint="eastAsia"/>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万元，完成预算</w:t>
      </w:r>
      <w:r>
        <w:rPr>
          <w:rFonts w:eastAsia="仿宋_GB2312" w:cs="仿宋_GB2312" w:hint="eastAsia"/>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全年安排因公出国（境）团</w:t>
      </w:r>
      <w:r>
        <w:rPr>
          <w:rFonts w:ascii="仿宋_GB2312" w:eastAsia="仿宋_GB2312" w:cs="仿宋_GB2312" w:hint="eastAsia"/>
          <w:color w:val="auto"/>
          <w:kern w:val="2"/>
          <w:sz w:val="32"/>
          <w:szCs w:val="32"/>
          <w:lang w:val="en-US" w:eastAsia="zh-CN" w:bidi="ar-SA"/>
          <w:highlight w:val="auto"/>
        </w:rPr>
        <w:t>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次，出国（境）</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人</w:t>
      </w:r>
      <w:r>
        <w:rPr>
          <w:rFonts w:ascii="Times New Roman" w:eastAsia="仿宋_GB2312" w:cs="仿宋_GB2312" w:hAnsi="Times New Roman" w:hint="eastAsia"/>
          <w:color w:val="auto"/>
          <w:kern w:val="2"/>
          <w:sz w:val="32"/>
          <w:szCs w:val="32"/>
          <w:lang w:val="en-US" w:eastAsia="zh-CN" w:bidi="ar-SA"/>
          <w:highlight w:val="auto"/>
        </w:rPr>
        <w:t>。因公出国（境）支出决算比202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年增加/减少</w:t>
      </w:r>
      <w:r>
        <w:rPr>
          <w:rFonts w:eastAsia="仿宋_GB2312" w:cs="仿宋_GB2312"/>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万元，增长/下降</w:t>
      </w:r>
      <w:r>
        <w:rPr>
          <w:rFonts w:eastAsia="仿宋_GB2312" w:cs="仿宋_GB2312"/>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hint="eastAsia"/>
          <w:color w:val="auto"/>
          <w:sz w:val="32"/>
          <w:szCs w:val="32"/>
          <w:highlight w:val="auto"/>
        </w:rPr>
        <w:t>主要原因是在经费预算编制中，基于实际业务情况，我会未安排因公出国（境）经费。</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开支内容包括：……（团组名称、出访地点、取得成效等）</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2.公务用车购置及运行维护费支出</w:t>
      </w:r>
      <w:r>
        <w:rPr>
          <w:rFonts w:ascii="仿宋_GB2312" w:eastAsia="仿宋_GB2312" w:cs="仿宋_GB2312"/>
          <w:b/>
          <w:bCs/>
          <w:color w:val="auto"/>
          <w:kern w:val="2"/>
          <w:sz w:val="32"/>
          <w:szCs w:val="32"/>
          <w:lang w:val="en-US" w:eastAsia="zh-CN" w:bidi="ar-SA"/>
          <w:highlight w:val="auto"/>
        </w:rPr>
        <w:t>7.9</w:t>
      </w:r>
      <w:r>
        <w:rPr>
          <w:rFonts w:ascii="仿宋_GB2312" w:eastAsia="仿宋_GB2312" w:cs="仿宋_GB2312" w:hint="eastAsia"/>
          <w:b/>
          <w:bCs/>
          <w:color w:val="auto"/>
          <w:kern w:val="2"/>
          <w:sz w:val="32"/>
          <w:szCs w:val="32"/>
          <w:lang w:val="en-US" w:eastAsia="zh-CN" w:bidi="ar-SA"/>
          <w:highlight w:val="auto"/>
        </w:rPr>
        <w:t>万</w:t>
      </w:r>
      <w:r>
        <w:rPr>
          <w:rFonts w:ascii="Times New Roman" w:eastAsia="仿宋_GB2312" w:cs="仿宋_GB2312" w:hAnsi="Times New Roman" w:hint="eastAsia"/>
          <w:b/>
          <w:bCs/>
          <w:color w:val="auto"/>
          <w:kern w:val="2"/>
          <w:sz w:val="32"/>
          <w:szCs w:val="32"/>
          <w:lang w:val="en-US" w:eastAsia="zh-CN" w:bidi="ar-SA"/>
          <w:highlight w:val="auto"/>
        </w:rPr>
        <w:t>元</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完成预算</w:t>
      </w:r>
      <w:r>
        <w:rPr>
          <w:rFonts w:eastAsia="仿宋_GB2312" w:cs="仿宋_GB2312"/>
          <w:b/>
          <w:bCs/>
          <w:color w:val="auto"/>
          <w:kern w:val="2"/>
          <w:sz w:val="32"/>
          <w:szCs w:val="32"/>
          <w:lang w:val="en-US" w:eastAsia="zh-CN" w:bidi="ar-SA"/>
          <w:highlight w:val="auto"/>
        </w:rPr>
        <w:t>100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公务用车购置及运行维护费支出决算比202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年度</w:t>
      </w:r>
      <w:r>
        <w:rPr>
          <w:rFonts w:ascii="Times New Roman" w:eastAsia="仿宋_GB2312" w:cs="仿宋_GB2312" w:hAnsi="Times New Roman"/>
          <w:color w:val="auto"/>
          <w:kern w:val="2"/>
          <w:sz w:val="32"/>
          <w:szCs w:val="32"/>
          <w:lang w:val="en-US" w:eastAsia="zh-CN" w:bidi="ar-SA"/>
          <w:highlight w:val="auto"/>
        </w:rPr>
        <w:t>减少</w:t>
      </w:r>
      <w:r>
        <w:rPr>
          <w:rFonts w:eastAsia="仿宋_GB2312" w:cs="仿宋_GB2312"/>
          <w:color w:val="auto"/>
          <w:kern w:val="2"/>
          <w:sz w:val="32"/>
          <w:szCs w:val="32"/>
          <w:lang w:val="en-US" w:eastAsia="zh-CN" w:bidi="ar-SA"/>
          <w:highlight w:val="auto"/>
        </w:rPr>
        <w:t>2.85</w:t>
      </w:r>
      <w:r>
        <w:rPr>
          <w:rFonts w:ascii="Times New Roman" w:eastAsia="仿宋_GB2312" w:cs="仿宋_GB2312" w:hAnsi="Times New Roman" w:hint="eastAsia"/>
          <w:color w:val="auto"/>
          <w:kern w:val="2"/>
          <w:sz w:val="32"/>
          <w:szCs w:val="32"/>
          <w:lang w:val="en-US" w:eastAsia="zh-CN" w:bidi="ar-SA"/>
          <w:highlight w:val="auto"/>
        </w:rPr>
        <w:t>万元，</w:t>
      </w:r>
      <w:r>
        <w:rPr>
          <w:rFonts w:ascii="Times New Roman" w:eastAsia="仿宋_GB2312" w:cs="仿宋_GB2312" w:hAnsi="Times New Roman"/>
          <w:color w:val="auto"/>
          <w:kern w:val="2"/>
          <w:sz w:val="32"/>
          <w:szCs w:val="32"/>
          <w:lang w:val="en-US" w:eastAsia="zh-CN" w:bidi="ar-SA"/>
          <w:highlight w:val="auto"/>
        </w:rPr>
        <w:t>减少</w:t>
      </w:r>
      <w:r>
        <w:rPr>
          <w:rFonts w:eastAsia="仿宋_GB2312" w:cs="仿宋_GB2312"/>
          <w:color w:val="auto"/>
          <w:kern w:val="2"/>
          <w:sz w:val="32"/>
          <w:szCs w:val="32"/>
          <w:lang w:val="en-US" w:eastAsia="zh-CN" w:bidi="ar-SA"/>
          <w:highlight w:val="auto"/>
        </w:rPr>
        <w:t>26.53</w:t>
      </w:r>
      <w:r>
        <w:rPr>
          <w:rFonts w:ascii="Times New Roman" w:eastAsia="仿宋_GB2312" w:cs="仿宋_GB2312" w:hAnsi="Times New Roman" w:hint="eastAsia"/>
          <w:color w:val="auto"/>
          <w:kern w:val="2"/>
          <w:sz w:val="32"/>
          <w:szCs w:val="32"/>
          <w:lang w:val="en-US" w:eastAsia="zh-CN" w:bidi="ar-SA"/>
          <w:highlight w:val="auto"/>
        </w:rPr>
        <w:t>%。主要原因是</w:t>
      </w:r>
      <w:r>
        <w:rPr>
          <w:rFonts w:eastAsia="仿宋_GB2312" w:cs="仿宋_GB2312" w:hint="eastAsia"/>
          <w:color w:val="auto"/>
          <w:kern w:val="2"/>
          <w:sz w:val="32"/>
          <w:szCs w:val="32"/>
          <w:lang w:val="en-US" w:eastAsia="zh-CN" w:bidi="ar-SA"/>
          <w:highlight w:val="auto"/>
        </w:rPr>
        <w:t>：</w:t>
      </w:r>
      <w:r>
        <w:rPr>
          <w:rFonts w:eastAsia="仿宋_GB2312" w:cs="仿宋_GB2312"/>
          <w:color w:val="auto"/>
          <w:kern w:val="2"/>
          <w:sz w:val="32"/>
          <w:szCs w:val="32"/>
          <w:lang w:val="en-US" w:eastAsia="zh-CN" w:bidi="ar-SA"/>
          <w:highlight w:val="auto"/>
        </w:rPr>
        <w:t>严格落实中央八项规定精神和厉行节俭节约，加强公务用车日常管理，压缩非必要的公务出行</w:t>
      </w:r>
      <w:r>
        <w:rPr>
          <w:rFonts w:eastAsia="仿宋_GB2312" w:cs="仿宋_GB2312"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其中：公务用车购置支</w:t>
      </w:r>
      <w:r>
        <w:rPr>
          <w:rFonts w:ascii="仿宋_GB2312" w:eastAsia="仿宋_GB2312" w:cs="仿宋_GB2312" w:hint="eastAsia"/>
          <w:color w:val="auto"/>
          <w:kern w:val="2"/>
          <w:sz w:val="32"/>
          <w:szCs w:val="32"/>
          <w:lang w:val="en-US" w:eastAsia="zh-CN" w:bidi="ar-SA"/>
          <w:highlight w:val="auto"/>
        </w:rPr>
        <w:t>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万元。全年按规定更新购置公务用车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辆，其中：轿车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万元，越野车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万元，载客汽车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万元，主要用于……。截至202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年12月31日，单位共有公务用车</w:t>
      </w:r>
      <w:r>
        <w:rPr>
          <w:rFonts w:eastAsia="仿宋_GB2312" w:cs="仿宋_GB2312" w:hint="eastAsia"/>
          <w:color w:val="auto"/>
          <w:kern w:val="2"/>
          <w:sz w:val="32"/>
          <w:szCs w:val="32"/>
          <w:lang w:val="en-US" w:eastAsia="zh-CN" w:bidi="ar-SA"/>
          <w:highlight w:val="auto"/>
        </w:rPr>
        <w:t>2</w:t>
      </w:r>
      <w:r>
        <w:rPr>
          <w:rFonts w:ascii="Times New Roman" w:eastAsia="仿宋_GB2312" w:cs="仿宋_GB2312" w:hAnsi="Times New Roman" w:hint="eastAsia"/>
          <w:color w:val="auto"/>
          <w:kern w:val="2"/>
          <w:sz w:val="32"/>
          <w:szCs w:val="32"/>
          <w:lang w:val="en-US" w:eastAsia="zh-CN" w:bidi="ar-SA"/>
          <w:highlight w:val="auto"/>
        </w:rPr>
        <w:t>辆，其中：轿车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辆、越野车</w:t>
      </w:r>
      <w:r>
        <w:rPr>
          <w:rFonts w:eastAsia="仿宋_GB2312" w:cs="仿宋_GB2312" w:hint="eastAsia"/>
          <w:color w:val="auto"/>
          <w:kern w:val="2"/>
          <w:sz w:val="32"/>
          <w:szCs w:val="32"/>
          <w:lang w:val="en-US" w:eastAsia="zh-CN" w:bidi="ar-SA"/>
          <w:highlight w:val="auto"/>
        </w:rPr>
        <w:t>2</w:t>
      </w:r>
      <w:r>
        <w:rPr>
          <w:rFonts w:ascii="Times New Roman" w:eastAsia="仿宋_GB2312" w:cs="仿宋_GB2312" w:hAnsi="Times New Roman" w:hint="eastAsia"/>
          <w:color w:val="auto"/>
          <w:kern w:val="2"/>
          <w:sz w:val="32"/>
          <w:szCs w:val="32"/>
          <w:lang w:val="en-US" w:eastAsia="zh-CN" w:bidi="ar-SA"/>
          <w:highlight w:val="auto"/>
        </w:rPr>
        <w:t>辆、载客汽车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公务用车运行维护费支</w:t>
      </w:r>
      <w:r>
        <w:rPr>
          <w:rFonts w:ascii="仿宋_GB2312" w:eastAsia="仿宋_GB2312" w:cs="仿宋_GB2312" w:hint="eastAsia"/>
          <w:color w:val="auto"/>
          <w:kern w:val="2"/>
          <w:sz w:val="32"/>
          <w:szCs w:val="32"/>
          <w:lang w:val="en-US" w:eastAsia="zh-CN" w:bidi="ar-SA"/>
          <w:highlight w:val="auto"/>
        </w:rPr>
        <w:t>出</w:t>
      </w:r>
      <w:r>
        <w:rPr>
          <w:rFonts w:ascii="仿宋_GB2312" w:eastAsia="仿宋_GB2312" w:cs="仿宋_GB2312"/>
          <w:sz w:val="32"/>
          <w:szCs w:val="32"/>
        </w:rPr>
        <w:t>7.9</w:t>
      </w:r>
      <w:r>
        <w:rPr>
          <w:rFonts w:ascii="Times New Roman" w:eastAsia="仿宋_GB2312" w:cs="仿宋_GB2312" w:hAnsi="Times New Roman" w:hint="eastAsia"/>
          <w:color w:val="auto"/>
          <w:kern w:val="2"/>
          <w:sz w:val="32"/>
          <w:szCs w:val="32"/>
          <w:lang w:val="en-US" w:eastAsia="zh-CN" w:bidi="ar-SA"/>
          <w:highlight w:val="auto"/>
        </w:rPr>
        <w:t>万元。</w:t>
      </w:r>
      <w:r>
        <w:rPr>
          <w:rFonts w:eastAsia="仿宋_GB2312" w:cs="仿宋_GB2312" w:hint="eastAsia"/>
          <w:color w:val="auto"/>
          <w:kern w:val="2"/>
          <w:sz w:val="32"/>
          <w:szCs w:val="32"/>
          <w:lang w:val="en-US" w:eastAsia="zh-CN" w:bidi="ar-SA"/>
          <w:highlight w:val="auto"/>
        </w:rPr>
        <w:t>主要用于</w:t>
      </w:r>
      <w:r>
        <w:rPr>
          <w:rFonts w:ascii="仿宋_GB2312" w:eastAsia="仿宋_GB2312" w:hint="eastAsia"/>
          <w:color w:val="auto"/>
          <w:sz w:val="32"/>
          <w:szCs w:val="32"/>
          <w:highlight w:val="auto"/>
        </w:rPr>
        <w:t>开展教规戒律、和谐寺庙创建等检查、指导工作、举办1期理事培训班，开展《阿坝州珍稀古籍文献会编》收集、编辑、出版，开展“两联一进”群众工作</w:t>
      </w:r>
      <w:r>
        <w:rPr>
          <w:rFonts w:ascii="仿宋_GB2312" w:eastAsia="仿宋_GB2312" w:hint="eastAsia"/>
          <w:color w:val="auto"/>
          <w:sz w:val="32"/>
          <w:szCs w:val="32"/>
          <w:lang w:eastAsia="zh-CN"/>
          <w:highlight w:val="auto"/>
        </w:rPr>
        <w:t>、联心同行、</w:t>
      </w:r>
      <w:r>
        <w:rPr>
          <w:rFonts w:eastAsia="仿宋_GB2312" w:cs="仿宋_GB2312" w:hint="eastAsia"/>
          <w:color w:val="auto"/>
          <w:kern w:val="2"/>
          <w:sz w:val="32"/>
          <w:szCs w:val="32"/>
          <w:lang w:val="en-US" w:eastAsia="zh-CN" w:bidi="ar-SA"/>
          <w:highlight w:val="auto"/>
        </w:rPr>
        <w:t>控辍保学、前方工作组</w:t>
      </w:r>
      <w:r>
        <w:rPr>
          <w:rFonts w:ascii="仿宋_GB2312" w:eastAsia="仿宋_GB2312" w:hint="eastAsia"/>
          <w:color w:val="auto"/>
          <w:sz w:val="32"/>
          <w:szCs w:val="32"/>
          <w:highlight w:val="auto"/>
        </w:rPr>
        <w:t>等</w:t>
      </w:r>
      <w:r>
        <w:rPr>
          <w:rFonts w:ascii="Times New Roman" w:eastAsia="仿宋_GB2312" w:cs="仿宋_GB2312" w:hAnsi="Times New Roman" w:hint="eastAsia"/>
          <w:color w:val="auto"/>
          <w:kern w:val="2"/>
          <w:sz w:val="32"/>
          <w:szCs w:val="32"/>
          <w:lang w:val="en-US" w:eastAsia="zh-CN" w:bidi="ar-SA"/>
          <w:highlight w:val="auto"/>
        </w:rPr>
        <w:t>所需的公务用车燃料费、维修费、过路过桥费、保险费等支出。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3.公务接待费支出</w:t>
      </w:r>
      <w:r>
        <w:rPr>
          <w:rFonts w:ascii="仿宋_GB2312" w:eastAsia="仿宋_GB2312" w:cs="仿宋_GB2312"/>
          <w:b/>
          <w:bCs/>
          <w:color w:val="auto"/>
          <w:kern w:val="2"/>
          <w:sz w:val="32"/>
          <w:szCs w:val="32"/>
          <w:lang w:val="en-US" w:eastAsia="zh-CN" w:bidi="ar-SA"/>
          <w:highlight w:val="auto"/>
        </w:rPr>
        <w:t>0</w:t>
      </w:r>
      <w:r>
        <w:rPr>
          <w:rFonts w:ascii="仿宋_GB2312" w:eastAsia="仿宋_GB2312" w:cs="仿宋_GB2312" w:hint="eastAsia"/>
          <w:b/>
          <w:bCs/>
          <w:color w:val="auto"/>
          <w:kern w:val="2"/>
          <w:sz w:val="32"/>
          <w:szCs w:val="32"/>
          <w:lang w:val="en-US" w:eastAsia="zh-CN" w:bidi="ar-SA"/>
          <w:highlight w:val="auto"/>
        </w:rPr>
        <w:t>万</w:t>
      </w:r>
      <w:r>
        <w:rPr>
          <w:rFonts w:ascii="Times New Roman" w:eastAsia="仿宋_GB2312" w:cs="仿宋_GB2312" w:hAnsi="Times New Roman" w:hint="eastAsia"/>
          <w:b/>
          <w:bCs/>
          <w:color w:val="auto"/>
          <w:kern w:val="2"/>
          <w:sz w:val="32"/>
          <w:szCs w:val="32"/>
          <w:lang w:val="en-US" w:eastAsia="zh-CN" w:bidi="ar-SA"/>
          <w:highlight w:val="auto"/>
        </w:rPr>
        <w:t>元，完成预算</w:t>
      </w:r>
      <w:r>
        <w:rPr>
          <w:rFonts w:eastAsia="仿宋_GB2312" w:cs="仿宋_GB2312"/>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公务接待费支出决算比202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年度</w:t>
      </w:r>
      <w:r>
        <w:rPr>
          <w:rFonts w:eastAsia="仿宋_GB2312" w:cs="仿宋_GB2312" w:hint="eastAsia"/>
          <w:color w:val="auto"/>
          <w:kern w:val="2"/>
          <w:sz w:val="32"/>
          <w:szCs w:val="32"/>
          <w:lang w:val="en-US" w:eastAsia="zh-CN" w:bidi="ar-SA"/>
          <w:highlight w:val="auto"/>
        </w:rPr>
        <w:t>减少</w:t>
      </w:r>
      <w:r>
        <w:rPr>
          <w:rFonts w:eastAsia="仿宋_GB2312" w:cs="仿宋_GB2312"/>
          <w:color w:val="auto"/>
          <w:kern w:val="2"/>
          <w:sz w:val="32"/>
          <w:szCs w:val="32"/>
          <w:lang w:val="en-US" w:eastAsia="zh-CN" w:bidi="ar-SA"/>
          <w:highlight w:val="auto"/>
        </w:rPr>
        <w:t>0.2</w:t>
      </w:r>
      <w:r>
        <w:rPr>
          <w:rFonts w:ascii="Times New Roman" w:eastAsia="仿宋_GB2312" w:cs="仿宋_GB2312" w:hAnsi="Times New Roman" w:hint="eastAsia"/>
          <w:color w:val="auto"/>
          <w:kern w:val="2"/>
          <w:sz w:val="32"/>
          <w:szCs w:val="32"/>
          <w:lang w:val="en-US" w:eastAsia="zh-CN" w:bidi="ar-SA"/>
          <w:highlight w:val="auto"/>
        </w:rPr>
        <w:t>万元，下降</w:t>
      </w:r>
      <w:r>
        <w:rPr>
          <w:rFonts w:eastAsia="仿宋_GB2312" w:cs="仿宋_GB2312"/>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%。主要原因是</w:t>
      </w:r>
      <w:r>
        <w:rPr>
          <w:rFonts w:eastAsia="仿宋_GB2312" w:cs="仿宋_GB2312" w:hint="eastAsia"/>
          <w:color w:val="auto"/>
          <w:kern w:val="2"/>
          <w:sz w:val="32"/>
          <w:szCs w:val="32"/>
          <w:lang w:val="en-US" w:eastAsia="zh-CN" w:bidi="ar-SA"/>
          <w:highlight w:val="auto"/>
        </w:rPr>
        <w:t>强化过紧日子的理念，严控“三公”经费和一般性支出，加强了对公务接待费的预算编制和审核，使得预算更加精准、严格，从源头上控制了接待费用的支出</w:t>
      </w:r>
      <w:r>
        <w:rPr>
          <w:rFonts w:ascii="Times New Roman" w:eastAsia="仿宋_GB2312" w:cs="仿宋_GB2312" w:hAnsi="Times New Roman" w:hint="eastAsia"/>
          <w:color w:val="auto"/>
          <w:kern w:val="2"/>
          <w:sz w:val="32"/>
          <w:szCs w:val="32"/>
          <w:lang w:val="en-US" w:eastAsia="zh-CN" w:bidi="ar-SA"/>
          <w:highlight w:val="auto"/>
        </w:rPr>
        <w:t>。其中：</w:t>
      </w:r>
    </w:p>
    <w:p>
      <w:pPr>
        <w:spacing w:line="600" w:lineRule="exact"/>
        <w:ind w:firstLine="640"/>
        <w:rPr>
          <w:rFonts w:ascii="仿宋_GB2312" w:eastAsia="仿宋_GB2312" w:cs="仿宋_GB2312"/>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国内公务接待支</w:t>
      </w:r>
      <w:r>
        <w:rPr>
          <w:rFonts w:ascii="仿宋_GB2312" w:eastAsia="仿宋_GB2312" w:cs="仿宋_GB2312" w:hint="eastAsia"/>
          <w:color w:val="auto"/>
          <w:kern w:val="2"/>
          <w:sz w:val="32"/>
          <w:szCs w:val="32"/>
          <w:lang w:val="en-US" w:eastAsia="zh-CN" w:bidi="ar-SA"/>
          <w:highlight w:val="auto"/>
        </w:rPr>
        <w:t>出</w:t>
      </w:r>
      <w:r>
        <w:rPr>
          <w:rFonts w:ascii="仿宋_GB2312" w:eastAsia="仿宋_GB2312" w:cs="仿宋_GB2312"/>
          <w:sz w:val="32"/>
          <w:szCs w:val="32"/>
        </w:rPr>
        <w:t>0</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元，主要用于</w:t>
      </w:r>
      <w:r>
        <w:rPr>
          <w:rFonts w:ascii="仿宋_GB2312" w:eastAsia="仿宋_GB2312" w:cs="仿宋_GB2312" w:hint="eastAsia"/>
          <w:color w:val="auto"/>
          <w:kern w:val="2"/>
          <w:sz w:val="32"/>
          <w:szCs w:val="32"/>
          <w:lang w:val="en-US" w:eastAsia="zh-CN" w:bidi="ar-SA"/>
          <w:highlight w:val="auto"/>
        </w:rPr>
        <w:t>……（具体项目）</w:t>
      </w:r>
      <w:r>
        <w:rPr>
          <w:rFonts w:ascii="Times New Roman" w:eastAsia="仿宋_GB2312" w:cs="仿宋_GB2312" w:hAnsi="Times New Roman" w:hint="eastAsia"/>
          <w:color w:val="auto"/>
          <w:kern w:val="2"/>
          <w:sz w:val="32"/>
          <w:szCs w:val="32"/>
          <w:lang w:val="en-US" w:eastAsia="zh-CN" w:bidi="ar-SA"/>
          <w:highlight w:val="auto"/>
        </w:rPr>
        <w:t>。国内公务接</w:t>
      </w:r>
      <w:r>
        <w:rPr>
          <w:rFonts w:ascii="仿宋_GB2312" w:eastAsia="仿宋_GB2312" w:cs="仿宋_GB2312" w:hint="eastAsia"/>
          <w:color w:val="auto"/>
          <w:kern w:val="2"/>
          <w:sz w:val="32"/>
          <w:szCs w:val="32"/>
          <w:lang w:val="en-US" w:eastAsia="zh-CN" w:bidi="ar-SA"/>
          <w:highlight w:val="auto"/>
        </w:rPr>
        <w:t>待</w:t>
      </w:r>
      <w:r>
        <w:rPr>
          <w:rFonts w:ascii="仿宋_GB2312" w:eastAsia="仿宋_GB2312" w:cs="仿宋_GB2312"/>
          <w:sz w:val="32"/>
          <w:szCs w:val="32"/>
        </w:rPr>
        <w:t>0</w:t>
      </w:r>
      <w:r>
        <w:rPr>
          <w:rFonts w:ascii="仿宋_GB2312" w:eastAsia="仿宋_GB2312" w:cs="仿宋_GB2312" w:hint="eastAsia"/>
          <w:color w:val="auto"/>
          <w:kern w:val="2"/>
          <w:sz w:val="32"/>
          <w:szCs w:val="32"/>
          <w:lang w:val="en-US" w:eastAsia="zh-CN" w:bidi="ar-SA"/>
          <w:highlight w:val="auto"/>
        </w:rPr>
        <w:t>批次，</w:t>
      </w:r>
      <w:r>
        <w:rPr>
          <w:rFonts w:ascii="仿宋_GB2312" w:eastAsia="仿宋_GB2312" w:cs="仿宋_GB2312"/>
          <w:sz w:val="32"/>
          <w:szCs w:val="32"/>
          <w:lang w:val="en-US" w:eastAsia="zh-CN"/>
        </w:rPr>
        <w:t>0</w:t>
      </w:r>
      <w:r>
        <w:rPr>
          <w:rFonts w:ascii="Times New Roman" w:eastAsia="仿宋_GB2312" w:cs="仿宋_GB2312" w:hAnsi="Times New Roman" w:hint="eastAsia"/>
          <w:color w:val="auto"/>
          <w:kern w:val="2"/>
          <w:sz w:val="32"/>
          <w:szCs w:val="32"/>
          <w:lang w:val="en-US" w:eastAsia="zh-CN" w:bidi="ar-SA"/>
          <w:highlight w:val="auto"/>
        </w:rPr>
        <w:t>人次（不包括陪同人员），共计支出</w:t>
      </w:r>
      <w:r>
        <w:rPr>
          <w:rFonts w:eastAsia="仿宋_GB2312" w:cs="仿宋_GB2312"/>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万元，具体内容包括：</w:t>
      </w:r>
      <w:r>
        <w:rPr>
          <w:rFonts w:ascii="仿宋_GB2312" w:eastAsia="仿宋_GB2312" w:cs="仿宋_GB2312" w:hint="eastAsia"/>
          <w:color w:val="auto"/>
          <w:kern w:val="2"/>
          <w:sz w:val="32"/>
          <w:szCs w:val="32"/>
          <w:lang w:val="en-US" w:eastAsia="zh-CN" w:bidi="ar-SA"/>
          <w:highlight w:val="auto"/>
        </w:rPr>
        <w:t>……</w:t>
      </w:r>
      <w:r>
        <w:rPr>
          <w:rFonts w:ascii="仿宋_GB2312" w:eastAsia="仿宋_GB2312" w:cs="仿宋_GB2312"/>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外事接待支</w:t>
      </w:r>
      <w:r>
        <w:rPr>
          <w:rFonts w:ascii="仿宋_GB2312" w:eastAsia="仿宋_GB2312" w:cs="仿宋_GB2312" w:hint="eastAsia"/>
          <w:color w:val="auto"/>
          <w:kern w:val="2"/>
          <w:sz w:val="32"/>
          <w:szCs w:val="32"/>
          <w:lang w:val="en-US" w:eastAsia="zh-CN" w:bidi="ar-SA"/>
          <w:highlight w:val="auto"/>
        </w:rPr>
        <w:t>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万元，主要用于……（具体项目）。外事接待</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批次，</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人次（不包括陪同人员），共计支出0万</w:t>
      </w:r>
      <w:r>
        <w:rPr>
          <w:rFonts w:ascii="Times New Roman" w:eastAsia="仿宋_GB2312" w:cs="仿宋_GB2312" w:hAnsi="Times New Roman" w:hint="eastAsia"/>
          <w:color w:val="auto"/>
          <w:kern w:val="2"/>
          <w:sz w:val="32"/>
          <w:szCs w:val="32"/>
          <w:lang w:val="en-US" w:eastAsia="zh-CN" w:bidi="ar-SA"/>
          <w:highlight w:val="auto"/>
        </w:rPr>
        <w:t>元。</w:t>
      </w:r>
    </w:p>
    <w:p>
      <w:pPr>
        <w:spacing w:line="600" w:lineRule="exact"/>
        <w:ind w:firstLine="640"/>
        <w:outlineLvl w:val="1"/>
        <w:rPr>
          <w:rStyle w:val="2Char"/>
          <w:rFonts w:ascii="Times New Roman" w:eastAsia="黑体" w:hAnsi="Times New Roman"/>
          <w:color w:val="auto"/>
          <w:highlight w:val="auto"/>
        </w:rPr>
      </w:pPr>
      <w:r>
        <w:rPr>
          <w:rFonts w:ascii="Times New Roman" w:eastAsia="黑体" w:hAnsi="Times New Roman" w:hint="eastAsia"/>
          <w:color w:val="auto"/>
          <w:sz w:val="32"/>
          <w:szCs w:val="32"/>
          <w:highlight w:val="auto"/>
        </w:rPr>
        <w:t>八、</w:t>
      </w:r>
      <w:r>
        <w:rPr>
          <w:rStyle w:val="2Char"/>
          <w:rFonts w:ascii="Times New Roman" w:eastAsia="黑体" w:hAnsi="Times New Roman" w:hint="eastAsia"/>
          <w:b w:val="0"/>
          <w:color w:val="auto"/>
          <w:highlight w:val="auto"/>
        </w:rPr>
        <w:t>政府性基金预算支出决算情况说明</w:t>
      </w:r>
      <w:bookmarkEnd w:id="42"/>
      <w:bookmarkEnd w:id="43"/>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202</w:t>
      </w:r>
      <w:r>
        <w:rPr>
          <w:rFonts w:ascii="仿宋_GB2312" w:eastAsia="仿宋_GB2312" w:cs="仿宋_GB2312"/>
          <w:color w:val="auto"/>
          <w:kern w:val="2"/>
          <w:sz w:val="32"/>
          <w:szCs w:val="32"/>
          <w:lang w:val="en-US" w:eastAsia="zh-CN" w:bidi="ar-SA"/>
          <w:highlight w:val="auto"/>
        </w:rPr>
        <w:t>5</w:t>
      </w:r>
      <w:r>
        <w:rPr>
          <w:rFonts w:ascii="仿宋_GB2312" w:eastAsia="仿宋_GB2312" w:cs="仿宋_GB2312" w:hint="eastAsia"/>
          <w:color w:val="auto"/>
          <w:kern w:val="2"/>
          <w:sz w:val="32"/>
          <w:szCs w:val="32"/>
          <w:lang w:val="en-US" w:eastAsia="zh-CN" w:bidi="ar-SA"/>
          <w:highlight w:val="auto"/>
        </w:rPr>
        <w:t>年度政府性基金预算财政拨款支出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。与202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年度相比，政府性基金预算财政拨款支出增加/减少</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万元，增长/下降</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hint="eastAsia"/>
          <w:color w:val="auto"/>
          <w:sz w:val="32"/>
          <w:szCs w:val="32"/>
          <w:lang w:eastAsia="zh-CN"/>
          <w:highlight w:val="auto"/>
        </w:rPr>
        <w:t>根据经济发展状况和政策环境的需求，我会不涉及政府性基金支持的项目。因此在202</w:t>
      </w:r>
      <w:r>
        <w:rPr>
          <w:rFonts w:ascii="仿宋_GB2312" w:eastAsia="仿宋_GB2312" w:hint="eastAsia"/>
          <w:color w:val="auto"/>
          <w:sz w:val="32"/>
          <w:szCs w:val="32"/>
          <w:lang w:val="en-US" w:eastAsia="zh-CN"/>
          <w:highlight w:val="auto"/>
        </w:rPr>
        <w:t>4</w:t>
      </w:r>
      <w:r>
        <w:rPr>
          <w:rFonts w:ascii="仿宋_GB2312" w:eastAsia="仿宋_GB2312" w:hint="eastAsia"/>
          <w:color w:val="auto"/>
          <w:sz w:val="32"/>
          <w:szCs w:val="32"/>
          <w:highlight w:val="auto"/>
        </w:rPr>
        <w:t>年</w:t>
      </w:r>
      <w:r>
        <w:rPr>
          <w:rFonts w:ascii="仿宋_GB2312" w:eastAsia="仿宋_GB2312" w:hint="eastAsia"/>
          <w:color w:val="auto"/>
          <w:sz w:val="32"/>
          <w:szCs w:val="32"/>
          <w:lang w:eastAsia="zh-CN"/>
          <w:highlight w:val="auto"/>
        </w:rPr>
        <w:t>度的预算安排和实际执行中，均未产生</w:t>
      </w:r>
      <w:r>
        <w:rPr>
          <w:rFonts w:ascii="仿宋_GB2312" w:eastAsia="仿宋_GB2312" w:hint="eastAsia"/>
          <w:color w:val="auto"/>
          <w:sz w:val="32"/>
          <w:szCs w:val="32"/>
          <w:highlight w:val="auto"/>
        </w:rPr>
        <w:t>政府性基金预算支出。政府性基金预算</w:t>
      </w:r>
      <w:r>
        <w:rPr>
          <w:rFonts w:ascii="仿宋_GB2312" w:eastAsia="仿宋_GB2312" w:hint="eastAsia"/>
          <w:color w:val="auto"/>
          <w:sz w:val="32"/>
          <w:szCs w:val="32"/>
          <w:lang w:eastAsia="zh-CN"/>
          <w:highlight w:val="auto"/>
        </w:rPr>
        <w:t>财政</w:t>
      </w:r>
      <w:r>
        <w:rPr>
          <w:rFonts w:ascii="仿宋_GB2312" w:eastAsia="仿宋_GB2312" w:hint="eastAsia"/>
          <w:color w:val="auto"/>
          <w:sz w:val="32"/>
          <w:szCs w:val="32"/>
          <w:highlight w:val="auto"/>
        </w:rPr>
        <w:t>拨款支出0万元。</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left="630"/>
        <w:outlineLvl w:val="1"/>
        <w:rPr>
          <w:rStyle w:val="2Char"/>
          <w:rFonts w:ascii="Times New Roman" w:eastAsia="黑体" w:hAnsi="Times New Roman"/>
          <w:b w:val="0"/>
          <w:color w:val="auto"/>
          <w:highlight w:val="auto"/>
        </w:rPr>
      </w:pPr>
      <w:bookmarkStart w:id="44" w:name="_Toc15396611"/>
      <w:bookmarkStart w:id="45" w:name="_Toc15377219"/>
      <w:r>
        <w:rPr>
          <w:rStyle w:val="2Char"/>
          <w:rFonts w:ascii="Times New Roman" w:eastAsia="黑体" w:hAnsi="Times New Roman" w:hint="eastAsia"/>
          <w:b w:val="0"/>
          <w:color w:val="auto"/>
          <w:lang w:eastAsia="zh-CN"/>
          <w:highlight w:val="auto"/>
        </w:rPr>
        <w:t>九、</w:t>
      </w:r>
      <w:r>
        <w:rPr>
          <w:rStyle w:val="2Char"/>
          <w:rFonts w:ascii="Times New Roman" w:eastAsia="黑体" w:hAnsi="Times New Roman" w:hint="eastAsia"/>
          <w:b w:val="0"/>
          <w:color w:val="auto"/>
          <w:highlight w:val="auto"/>
        </w:rPr>
        <w:t>国有资本经营预算支出决算情况说明</w:t>
      </w:r>
      <w:bookmarkEnd w:id="44"/>
      <w:bookmarkEnd w:id="45"/>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bookmarkStart w:id="46" w:name="_Toc15377221"/>
      <w:bookmarkStart w:id="47" w:name="_Toc15396612"/>
      <w:r>
        <w:rPr>
          <w:rFonts w:ascii="仿宋_GB2312" w:eastAsia="仿宋_GB2312" w:cs="仿宋_GB2312" w:hint="eastAsia"/>
          <w:color w:val="auto"/>
          <w:kern w:val="2"/>
          <w:sz w:val="32"/>
          <w:szCs w:val="32"/>
          <w:lang w:val="en-US" w:eastAsia="zh-CN" w:bidi="ar-SA"/>
          <w:highlight w:val="auto"/>
        </w:rPr>
        <w:t>202</w:t>
      </w:r>
      <w:r>
        <w:rPr>
          <w:rFonts w:ascii="仿宋_GB2312" w:eastAsia="仿宋_GB2312" w:cs="仿宋_GB2312"/>
          <w:color w:val="auto"/>
          <w:kern w:val="2"/>
          <w:sz w:val="32"/>
          <w:szCs w:val="32"/>
          <w:lang w:val="en-US" w:eastAsia="zh-CN" w:bidi="ar-SA"/>
          <w:highlight w:val="auto"/>
        </w:rPr>
        <w:t>5</w:t>
      </w:r>
      <w:r>
        <w:rPr>
          <w:rFonts w:ascii="仿宋_GB2312" w:eastAsia="仿宋_GB2312" w:cs="仿宋_GB2312" w:hint="eastAsia"/>
          <w:color w:val="auto"/>
          <w:kern w:val="2"/>
          <w:sz w:val="32"/>
          <w:szCs w:val="32"/>
          <w:lang w:val="en-US" w:eastAsia="zh-CN" w:bidi="ar-SA"/>
          <w:highlight w:val="auto"/>
        </w:rPr>
        <w:t>年度政府性基金预算财政拨款支出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。与202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年度相比，政府性基金预算财政拨款支出增加/减少</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万元，增长/下降</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hint="eastAsia"/>
          <w:color w:val="auto"/>
          <w:sz w:val="32"/>
          <w:szCs w:val="32"/>
          <w:lang w:eastAsia="zh-CN"/>
          <w:highlight w:val="auto"/>
        </w:rPr>
        <w:t>根据经济发展状况和政策环境的需求，我会不涉及政府性基金支持的项目。因此在202</w:t>
      </w:r>
      <w:r>
        <w:rPr>
          <w:rFonts w:ascii="仿宋_GB2312" w:eastAsia="仿宋_GB2312"/>
          <w:color w:val="auto"/>
          <w:sz w:val="32"/>
          <w:szCs w:val="32"/>
          <w:lang w:eastAsia="zh-CN"/>
          <w:highlight w:val="auto"/>
        </w:rPr>
        <w:t>5</w:t>
      </w:r>
      <w:r>
        <w:rPr>
          <w:rFonts w:ascii="仿宋_GB2312" w:eastAsia="仿宋_GB2312" w:hint="eastAsia"/>
          <w:color w:val="auto"/>
          <w:sz w:val="32"/>
          <w:szCs w:val="32"/>
          <w:highlight w:val="auto"/>
        </w:rPr>
        <w:t>年</w:t>
      </w:r>
      <w:r>
        <w:rPr>
          <w:rFonts w:ascii="仿宋_GB2312" w:eastAsia="仿宋_GB2312" w:hint="eastAsia"/>
          <w:color w:val="auto"/>
          <w:sz w:val="32"/>
          <w:szCs w:val="32"/>
          <w:lang w:eastAsia="zh-CN"/>
          <w:highlight w:val="auto"/>
        </w:rPr>
        <w:t>度的预算安排和实际执行中，均未产生</w:t>
      </w:r>
      <w:r>
        <w:rPr>
          <w:rFonts w:ascii="仿宋_GB2312" w:eastAsia="仿宋_GB2312" w:hint="eastAsia"/>
          <w:color w:val="auto"/>
          <w:sz w:val="32"/>
          <w:szCs w:val="32"/>
          <w:highlight w:val="auto"/>
        </w:rPr>
        <w:t>政府性基金预算支出。政府性基金预算</w:t>
      </w:r>
      <w:r>
        <w:rPr>
          <w:rFonts w:ascii="仿宋_GB2312" w:eastAsia="仿宋_GB2312" w:hint="eastAsia"/>
          <w:color w:val="auto"/>
          <w:sz w:val="32"/>
          <w:szCs w:val="32"/>
          <w:lang w:eastAsia="zh-CN"/>
          <w:highlight w:val="auto"/>
        </w:rPr>
        <w:t>财政</w:t>
      </w:r>
      <w:r>
        <w:rPr>
          <w:rFonts w:ascii="仿宋_GB2312" w:eastAsia="仿宋_GB2312" w:hint="eastAsia"/>
          <w:color w:val="auto"/>
          <w:sz w:val="32"/>
          <w:szCs w:val="32"/>
          <w:highlight w:val="auto"/>
        </w:rPr>
        <w:t>拨款支出0万元。</w:t>
      </w:r>
    </w:p>
    <w:p>
      <w:pPr>
        <w:spacing w:line="600" w:lineRule="exact"/>
        <w:ind w:left="630"/>
        <w:outlineLvl w:val="1"/>
        <w:rPr>
          <w:rStyle w:val="2Char"/>
          <w:rFonts w:ascii="Times New Roman" w:eastAsia="黑体" w:hAnsi="Times New Roman" w:hint="eastAsia"/>
          <w:b w:val="0"/>
          <w:color w:val="auto"/>
          <w:highlight w:val="auto"/>
        </w:rPr>
      </w:pPr>
      <w:r>
        <w:rPr>
          <w:rStyle w:val="2Char"/>
          <w:rFonts w:ascii="Times New Roman" w:eastAsia="黑体" w:hAnsi="Times New Roman" w:hint="eastAsia"/>
          <w:b w:val="0"/>
          <w:color w:val="auto"/>
          <w:lang w:eastAsia="zh-CN"/>
          <w:highlight w:val="auto"/>
        </w:rPr>
        <w:t>十、</w:t>
      </w:r>
      <w:r>
        <w:rPr>
          <w:rStyle w:val="2Char"/>
          <w:rFonts w:ascii="Times New Roman" w:eastAsia="黑体" w:hAnsi="Times New Roman" w:hint="eastAsia"/>
          <w:b w:val="0"/>
          <w:color w:val="auto"/>
          <w:highlight w:val="auto"/>
        </w:rPr>
        <w:t>其他重要事项的情况说明</w:t>
      </w:r>
      <w:bookmarkEnd w:id="46"/>
      <w:bookmarkEnd w:id="47"/>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8" w:name="_Toc15377222"/>
      <w:r>
        <w:rPr>
          <w:rFonts w:ascii="Times New Roman" w:eastAsia="楷体_GB2312" w:cs="楷体_GB2312" w:hAnsi="Times New Roman" w:hint="eastAsia"/>
          <w:b/>
          <w:color w:val="auto"/>
          <w:sz w:val="32"/>
          <w:szCs w:val="32"/>
          <w:highlight w:val="auto"/>
        </w:rPr>
        <w:t>（一）机关运行经费支出情况</w:t>
      </w:r>
      <w:bookmarkEnd w:id="48"/>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w:t>
      </w:r>
      <w:r>
        <w:rPr>
          <w:rFonts w:ascii="仿宋_GB2312" w:eastAsia="仿宋_GB2312" w:cs="仿宋_GB2312" w:hint="eastAsia"/>
          <w:color w:val="auto"/>
          <w:kern w:val="2"/>
          <w:sz w:val="32"/>
          <w:szCs w:val="32"/>
          <w:lang w:val="en-US" w:eastAsia="zh-CN" w:bidi="ar-SA"/>
          <w:highlight w:val="auto"/>
        </w:rPr>
        <w:t>，</w:t>
      </w:r>
      <w:r>
        <w:rPr>
          <w:rFonts w:ascii="仿宋_GB2312" w:eastAsia="仿宋_GB2312" w:cs="仿宋_GB2312" w:hint="eastAsia"/>
          <w:sz w:val="32"/>
          <w:szCs w:val="32"/>
        </w:rPr>
        <w:t>阿坝州佛教协会（本级）</w:t>
      </w:r>
      <w:r>
        <w:rPr>
          <w:rFonts w:ascii="仿宋_GB2312" w:eastAsia="仿宋_GB2312" w:cs="仿宋_GB2312" w:hint="eastAsia"/>
          <w:color w:val="auto"/>
          <w:kern w:val="2"/>
          <w:sz w:val="32"/>
          <w:szCs w:val="32"/>
          <w:lang w:val="en-US" w:eastAsia="zh-CN" w:bidi="ar-SA"/>
          <w:highlight w:val="auto"/>
        </w:rPr>
        <w:t>机关运行经费支出</w:t>
      </w:r>
      <w:r>
        <w:rPr>
          <w:rFonts w:ascii="仿宋_GB2312" w:eastAsia="仿宋_GB2312" w:cs="仿宋_GB2312"/>
          <w:sz w:val="32"/>
          <w:szCs w:val="32"/>
        </w:rPr>
        <w:t>18.4</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w:t>
      </w:r>
      <w:r>
        <w:rPr>
          <w:rFonts w:ascii="Times New Roman" w:eastAsia="仿宋_GB2312" w:cs="仿宋_GB2312" w:hAnsi="Times New Roman"/>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比202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年度</w:t>
      </w:r>
      <w:r>
        <w:rPr>
          <w:rFonts w:ascii="Times New Roman" w:eastAsia="仿宋_GB2312" w:cs="仿宋_GB2312" w:hAnsi="Times New Roman"/>
          <w:color w:val="auto"/>
          <w:kern w:val="2"/>
          <w:sz w:val="32"/>
          <w:szCs w:val="32"/>
          <w:lang w:val="en-US" w:eastAsia="zh-CN" w:bidi="ar-SA"/>
          <w:highlight w:val="auto"/>
        </w:rPr>
        <w:t>减少</w:t>
      </w:r>
      <w:r>
        <w:rPr>
          <w:rFonts w:eastAsia="仿宋_GB2312" w:cs="仿宋_GB2312"/>
          <w:color w:val="auto"/>
          <w:kern w:val="2"/>
          <w:sz w:val="32"/>
          <w:szCs w:val="32"/>
          <w:lang w:val="en-US" w:eastAsia="zh-CN" w:bidi="ar-SA"/>
          <w:highlight w:val="auto"/>
        </w:rPr>
        <w:t>6.37</w:t>
      </w:r>
      <w:r>
        <w:rPr>
          <w:rFonts w:ascii="Times New Roman" w:eastAsia="仿宋_GB2312" w:cs="仿宋_GB2312" w:hAnsi="Times New Roman" w:hint="eastAsia"/>
          <w:color w:val="auto"/>
          <w:kern w:val="2"/>
          <w:sz w:val="32"/>
          <w:szCs w:val="32"/>
          <w:lang w:val="en-US" w:eastAsia="zh-CN" w:bidi="ar-SA"/>
          <w:highlight w:val="auto"/>
        </w:rPr>
        <w:t>万元，</w:t>
      </w:r>
      <w:r>
        <w:rPr>
          <w:rFonts w:ascii="Times New Roman" w:eastAsia="仿宋_GB2312" w:cs="仿宋_GB2312" w:hAnsi="Times New Roman"/>
          <w:color w:val="auto"/>
          <w:kern w:val="2"/>
          <w:sz w:val="32"/>
          <w:szCs w:val="32"/>
          <w:lang w:val="en-US" w:eastAsia="zh-CN" w:bidi="ar-SA"/>
          <w:highlight w:val="auto"/>
        </w:rPr>
        <w:t>增减</w:t>
      </w:r>
      <w:r>
        <w:rPr>
          <w:rFonts w:eastAsia="仿宋_GB2312" w:cs="仿宋_GB2312"/>
          <w:color w:val="auto"/>
          <w:kern w:val="2"/>
          <w:sz w:val="32"/>
          <w:szCs w:val="32"/>
          <w:lang w:val="en-US" w:eastAsia="zh-CN" w:bidi="ar-SA"/>
          <w:highlight w:val="auto"/>
        </w:rPr>
        <w:t>25.71</w:t>
      </w:r>
      <w:r>
        <w:rPr>
          <w:rFonts w:ascii="Times New Roman" w:eastAsia="仿宋_GB2312" w:cs="仿宋_GB2312" w:hAnsi="Times New Roman" w:hint="eastAsia"/>
          <w:color w:val="auto"/>
          <w:kern w:val="2"/>
          <w:sz w:val="32"/>
          <w:szCs w:val="32"/>
          <w:lang w:val="en-US" w:eastAsia="zh-CN" w:bidi="ar-SA"/>
          <w:highlight w:val="auto"/>
        </w:rPr>
        <w:t>%。主要原因</w:t>
      </w:r>
      <w:r>
        <w:rPr>
          <w:rFonts w:eastAsia="仿宋_GB2312" w:cs="仿宋_GB2312" w:hint="eastAsia"/>
          <w:color w:val="auto"/>
          <w:kern w:val="2"/>
          <w:sz w:val="32"/>
          <w:szCs w:val="32"/>
          <w:lang w:val="en-US" w:eastAsia="zh-CN" w:bidi="ar-SA"/>
          <w:highlight w:val="auto"/>
        </w:rPr>
        <w:t>：一</w:t>
      </w:r>
      <w:r>
        <w:rPr>
          <w:rFonts w:ascii="Times New Roman" w:eastAsia="仿宋_GB2312" w:cs="仿宋_GB2312" w:hAnsi="Times New Roman" w:hint="eastAsia"/>
          <w:color w:val="auto"/>
          <w:kern w:val="2"/>
          <w:sz w:val="32"/>
          <w:szCs w:val="32"/>
          <w:lang w:val="en-US" w:eastAsia="zh-CN" w:bidi="ar-SA"/>
          <w:highlight w:val="auto"/>
        </w:rPr>
        <w:t>是</w:t>
      </w:r>
      <w:r>
        <w:rPr>
          <w:rFonts w:ascii="Times New Roman" w:eastAsia="仿宋_GB2312" w:cs="仿宋_GB2312" w:hAnsi="Times New Roman"/>
          <w:color w:val="auto"/>
          <w:kern w:val="2"/>
          <w:sz w:val="32"/>
          <w:szCs w:val="32"/>
          <w:lang w:val="en-US" w:eastAsia="zh-CN" w:bidi="ar-SA"/>
          <w:highlight w:val="auto"/>
        </w:rPr>
        <w:t>严格贯彻落实厉行节俭节约“过紧日子”要求，压减日常公用经费</w:t>
      </w:r>
      <w:r>
        <w:rPr>
          <w:rFonts w:eastAsia="仿宋_GB2312" w:cs="仿宋_GB2312" w:hint="eastAsia"/>
          <w:color w:val="auto"/>
          <w:kern w:val="2"/>
          <w:sz w:val="32"/>
          <w:szCs w:val="32"/>
          <w:lang w:val="en-US" w:eastAsia="zh-CN" w:bidi="ar-SA"/>
          <w:highlight w:val="auto"/>
        </w:rPr>
        <w:t>。二是</w:t>
      </w:r>
      <w:r>
        <w:rPr>
          <w:rFonts w:eastAsia="仿宋_GB2312" w:cs="仿宋_GB2312"/>
          <w:color w:val="auto"/>
          <w:kern w:val="2"/>
          <w:sz w:val="32"/>
          <w:szCs w:val="32"/>
          <w:lang w:val="en-US" w:eastAsia="zh-CN" w:bidi="ar-SA"/>
          <w:highlight w:val="auto"/>
        </w:rPr>
        <w:t>强化经费预算执行管理，从严审核经费开支。</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9" w:name="_Toc15377223"/>
      <w:r>
        <w:rPr>
          <w:rFonts w:ascii="Times New Roman" w:eastAsia="楷体_GB2312" w:cs="楷体_GB2312" w:hAnsi="Times New Roman" w:hint="eastAsia"/>
          <w:b/>
          <w:color w:val="auto"/>
          <w:sz w:val="32"/>
          <w:szCs w:val="32"/>
          <w:highlight w:val="auto"/>
        </w:rPr>
        <w:t>（二）政府采购支出情况</w:t>
      </w:r>
      <w:bookmarkEnd w:id="49"/>
    </w:p>
    <w:p>
      <w:pPr>
        <w:spacing w:line="600" w:lineRule="exact"/>
        <w:ind w:firstLine="640"/>
        <w:rPr>
          <w:rFonts w:ascii="仿宋_GB2312" w:eastAsia="仿宋_GB2312" w:cs="仿宋_GB2312" w:hint="eastAsia"/>
          <w:color w:val="auto"/>
          <w:kern w:val="2"/>
          <w:sz w:val="32"/>
          <w:szCs w:val="32"/>
          <w:lang w:val="en-US" w:eastAsia="zh-CN" w:bidi="ar-SA"/>
          <w:highlight w:val="auto"/>
        </w:rPr>
      </w:pPr>
      <w:bookmarkStart w:id="50" w:name="_Toc15377224"/>
      <w:r>
        <w:rPr>
          <w:rFonts w:ascii="仿宋_GB2312" w:eastAsia="仿宋_GB2312" w:cs="仿宋_GB2312" w:hint="eastAsia"/>
          <w:color w:val="auto"/>
          <w:kern w:val="2"/>
          <w:sz w:val="32"/>
          <w:szCs w:val="32"/>
          <w:lang w:val="en-US" w:eastAsia="zh-CN" w:bidi="ar-SA"/>
          <w:highlight w:val="auto"/>
        </w:rPr>
        <w:t>202</w:t>
      </w:r>
      <w:r>
        <w:rPr>
          <w:rFonts w:ascii="仿宋_GB2312" w:eastAsia="仿宋_GB2312" w:cs="仿宋_GB2312"/>
          <w:color w:val="auto"/>
          <w:kern w:val="2"/>
          <w:sz w:val="32"/>
          <w:szCs w:val="32"/>
          <w:lang w:val="en-US" w:eastAsia="zh-CN" w:bidi="ar-SA"/>
          <w:highlight w:val="auto"/>
        </w:rPr>
        <w:t>5</w:t>
      </w:r>
      <w:r>
        <w:rPr>
          <w:rFonts w:ascii="仿宋_GB2312" w:eastAsia="仿宋_GB2312" w:cs="仿宋_GB2312" w:hint="eastAsia"/>
          <w:color w:val="auto"/>
          <w:kern w:val="2"/>
          <w:sz w:val="32"/>
          <w:szCs w:val="32"/>
          <w:lang w:val="en-US" w:eastAsia="zh-CN" w:bidi="ar-SA"/>
          <w:highlight w:val="auto"/>
        </w:rPr>
        <w:t>年度，</w:t>
      </w:r>
      <w:r>
        <w:rPr>
          <w:rFonts w:ascii="仿宋_GB2312" w:eastAsia="仿宋_GB2312" w:cs="仿宋_GB2312" w:hint="eastAsia"/>
          <w:sz w:val="32"/>
          <w:szCs w:val="32"/>
        </w:rPr>
        <w:t>阿坝州佛教协会（本级）</w:t>
      </w:r>
      <w:r>
        <w:rPr>
          <w:rFonts w:ascii="仿宋_GB2312" w:eastAsia="仿宋_GB2312" w:cs="仿宋_GB2312" w:hint="eastAsia"/>
          <w:color w:val="auto"/>
          <w:kern w:val="2"/>
          <w:sz w:val="32"/>
          <w:szCs w:val="32"/>
          <w:lang w:val="en-US" w:eastAsia="zh-CN" w:bidi="ar-SA"/>
          <w:highlight w:val="auto"/>
        </w:rPr>
        <w:t>政府采购支出总额</w:t>
      </w:r>
      <w:r>
        <w:rPr>
          <w:rFonts w:ascii="仿宋_GB2312" w:eastAsia="仿宋_GB2312" w:cs="仿宋_GB2312"/>
          <w:sz w:val="32"/>
          <w:szCs w:val="32"/>
        </w:rPr>
        <w:t>104.21</w:t>
      </w:r>
      <w:r>
        <w:rPr>
          <w:rFonts w:ascii="仿宋_GB2312" w:eastAsia="仿宋_GB2312" w:cs="仿宋_GB2312" w:hint="eastAsia"/>
          <w:color w:val="auto"/>
          <w:kern w:val="2"/>
          <w:sz w:val="32"/>
          <w:szCs w:val="32"/>
          <w:lang w:val="en-US" w:eastAsia="zh-CN" w:bidi="ar-SA"/>
          <w:highlight w:val="auto"/>
        </w:rPr>
        <w:t>万元，其中：政府采购货物支出</w:t>
      </w:r>
      <w:r>
        <w:rPr>
          <w:rFonts w:ascii="仿宋_GB2312" w:eastAsia="仿宋_GB2312" w:cs="仿宋_GB2312"/>
          <w:sz w:val="32"/>
          <w:szCs w:val="32"/>
        </w:rPr>
        <w:t>2.62</w:t>
      </w:r>
      <w:r>
        <w:rPr>
          <w:rFonts w:ascii="仿宋_GB2312" w:eastAsia="仿宋_GB2312" w:cs="仿宋_GB2312" w:hint="eastAsia"/>
          <w:color w:val="auto"/>
          <w:kern w:val="2"/>
          <w:sz w:val="32"/>
          <w:szCs w:val="32"/>
          <w:lang w:val="en-US" w:eastAsia="zh-CN" w:bidi="ar-SA"/>
          <w:highlight w:val="auto"/>
        </w:rPr>
        <w:t>万元、政府采购工程支出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万元、政府采购服务支出</w:t>
      </w:r>
      <w:r>
        <w:rPr>
          <w:rFonts w:ascii="仿宋_GB2312" w:eastAsia="仿宋_GB2312" w:cs="仿宋_GB2312"/>
          <w:sz w:val="32"/>
          <w:szCs w:val="32"/>
        </w:rPr>
        <w:t>101.6</w:t>
      </w:r>
      <w:r>
        <w:rPr>
          <w:rFonts w:ascii="仿宋_GB2312" w:eastAsia="仿宋_GB2312" w:cs="仿宋_GB2312" w:hint="eastAsia"/>
          <w:color w:val="auto"/>
          <w:kern w:val="2"/>
          <w:sz w:val="32"/>
          <w:szCs w:val="32"/>
          <w:lang w:val="en-US" w:eastAsia="zh-CN" w:bidi="ar-SA"/>
          <w:highlight w:val="auto"/>
        </w:rPr>
        <w:t>万元。主要用于</w:t>
      </w:r>
      <w:r>
        <w:rPr>
          <w:rFonts w:ascii="仿宋_GB2312" w:eastAsia="仿宋_GB2312" w:hint="eastAsia"/>
          <w:color w:val="auto"/>
          <w:sz w:val="32"/>
          <w:szCs w:val="32"/>
          <w:highlight w:val="auto"/>
        </w:rPr>
        <w:t>《阿坝州珍稀古籍</w:t>
      </w:r>
      <w:r>
        <w:rPr>
          <w:rFonts w:ascii="仿宋_GB2312" w:eastAsia="仿宋_GB2312" w:hint="eastAsia"/>
          <w:color w:val="auto"/>
          <w:sz w:val="32"/>
          <w:szCs w:val="32"/>
          <w:lang w:eastAsia="zh-CN"/>
          <w:highlight w:val="auto"/>
        </w:rPr>
        <w:t>文献汇编</w:t>
      </w:r>
      <w:r>
        <w:rPr>
          <w:rFonts w:ascii="仿宋_GB2312" w:eastAsia="仿宋_GB2312" w:hint="eastAsia"/>
          <w:color w:val="auto"/>
          <w:sz w:val="32"/>
          <w:szCs w:val="32"/>
          <w:highlight w:val="auto"/>
        </w:rPr>
        <w:t>》</w:t>
      </w:r>
      <w:r>
        <w:rPr>
          <w:rFonts w:ascii="仿宋_GB2312" w:eastAsia="仿宋_GB2312" w:cs="仿宋_GB2312" w:hint="eastAsia"/>
          <w:color w:val="auto"/>
          <w:kern w:val="2"/>
          <w:sz w:val="32"/>
          <w:szCs w:val="32"/>
          <w:lang w:val="en-US" w:eastAsia="zh-CN" w:bidi="ar-SA"/>
          <w:highlight w:val="auto"/>
        </w:rPr>
        <w:t>出版</w:t>
      </w:r>
      <w:r>
        <w:rPr>
          <w:rFonts w:ascii="仿宋_GB2312" w:eastAsia="仿宋_GB2312" w:cs="仿宋_GB2312"/>
          <w:color w:val="auto"/>
          <w:kern w:val="2"/>
          <w:sz w:val="32"/>
          <w:szCs w:val="32"/>
          <w:lang w:val="en-US" w:eastAsia="zh-CN" w:bidi="ar-SA"/>
          <w:highlight w:val="auto"/>
        </w:rPr>
        <w:t>和采购打印机</w:t>
      </w:r>
      <w:r>
        <w:rPr>
          <w:rFonts w:ascii="仿宋_GB2312" w:eastAsia="仿宋_GB2312" w:cs="仿宋_GB2312" w:hint="eastAsia"/>
          <w:color w:val="auto"/>
          <w:kern w:val="2"/>
          <w:sz w:val="32"/>
          <w:szCs w:val="32"/>
          <w:lang w:val="en-US" w:eastAsia="zh-CN" w:bidi="ar-SA"/>
          <w:highlight w:val="auto"/>
        </w:rPr>
        <w:t>。授予中小企业合同金额</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万元，占政府采购支出总额的</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%，其中：授予小微企业合同金额</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万元，占政府采购支出总额的</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r>
        <w:rPr>
          <w:rFonts w:ascii="Times New Roman" w:eastAsia="楷体_GB2312" w:cs="楷体_GB2312" w:hAnsi="Times New Roman" w:hint="eastAsia"/>
          <w:b/>
          <w:color w:val="auto"/>
          <w:sz w:val="32"/>
          <w:szCs w:val="32"/>
          <w:highlight w:val="auto"/>
        </w:rPr>
        <w:t>（三）国有资产占有使用情况</w:t>
      </w:r>
      <w:bookmarkEnd w:id="50"/>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截至202</w:t>
      </w:r>
      <w:r>
        <w:rPr>
          <w:rFonts w:ascii="仿宋_GB2312" w:eastAsia="仿宋_GB2312" w:cs="仿宋_GB2312"/>
          <w:color w:val="auto"/>
          <w:kern w:val="2"/>
          <w:sz w:val="32"/>
          <w:szCs w:val="32"/>
          <w:lang w:val="en-US" w:eastAsia="zh-CN" w:bidi="ar-SA"/>
          <w:highlight w:val="auto"/>
        </w:rPr>
        <w:t>5</w:t>
      </w:r>
      <w:r>
        <w:rPr>
          <w:rFonts w:ascii="仿宋_GB2312" w:eastAsia="仿宋_GB2312" w:cs="仿宋_GB2312" w:hint="eastAsia"/>
          <w:color w:val="auto"/>
          <w:kern w:val="2"/>
          <w:sz w:val="32"/>
          <w:szCs w:val="32"/>
          <w:lang w:val="en-US" w:eastAsia="zh-CN" w:bidi="ar-SA"/>
          <w:highlight w:val="auto"/>
        </w:rPr>
        <w:t>年12月31日，</w:t>
      </w:r>
      <w:r>
        <w:rPr>
          <w:rFonts w:ascii="仿宋_GB2312" w:eastAsia="仿宋_GB2312" w:cs="仿宋_GB2312" w:hint="eastAsia"/>
          <w:sz w:val="32"/>
          <w:szCs w:val="32"/>
        </w:rPr>
        <w:t>阿坝州佛教协会（本级）</w:t>
      </w:r>
      <w:r>
        <w:rPr>
          <w:rFonts w:ascii="仿宋_GB2312" w:eastAsia="仿宋_GB2312" w:cs="仿宋_GB2312" w:hint="eastAsia"/>
          <w:color w:val="auto"/>
          <w:kern w:val="2"/>
          <w:sz w:val="32"/>
          <w:szCs w:val="32"/>
          <w:lang w:val="en-US" w:eastAsia="zh-CN" w:bidi="ar-SA"/>
          <w:highlight w:val="auto"/>
        </w:rPr>
        <w:t>共有车辆</w:t>
      </w:r>
      <w:r>
        <w:rPr>
          <w:rFonts w:ascii="仿宋_GB2312" w:eastAsia="仿宋_GB2312" w:cs="仿宋_GB2312" w:hint="eastAsia"/>
          <w:sz w:val="32"/>
          <w:szCs w:val="32"/>
        </w:rPr>
        <w:t>2</w:t>
      </w:r>
      <w:r>
        <w:rPr>
          <w:rFonts w:ascii="仿宋_GB2312" w:eastAsia="仿宋_GB2312" w:cs="仿宋_GB2312" w:hint="eastAsia"/>
          <w:color w:val="auto"/>
          <w:kern w:val="2"/>
          <w:sz w:val="32"/>
          <w:szCs w:val="32"/>
          <w:lang w:val="en-US" w:eastAsia="zh-CN" w:bidi="ar-SA"/>
          <w:highlight w:val="auto"/>
        </w:rPr>
        <w:t>辆，其中：主要负责人用车</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辆、机要通信用车</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辆、应急保障用车</w:t>
      </w:r>
      <w:r>
        <w:rPr>
          <w:rFonts w:ascii="仿宋_GB2312" w:eastAsia="仿宋_GB2312" w:cs="仿宋_GB2312" w:hint="eastAsia"/>
          <w:sz w:val="32"/>
          <w:szCs w:val="32"/>
        </w:rPr>
        <w:t>2</w:t>
      </w:r>
      <w:r>
        <w:rPr>
          <w:rFonts w:ascii="仿宋_GB2312" w:eastAsia="仿宋_GB2312" w:cs="仿宋_GB2312" w:hint="eastAsia"/>
          <w:color w:val="auto"/>
          <w:kern w:val="2"/>
          <w:sz w:val="32"/>
          <w:szCs w:val="32"/>
          <w:lang w:val="en-US" w:eastAsia="zh-CN" w:bidi="ar-SA"/>
          <w:highlight w:val="auto"/>
        </w:rPr>
        <w:t>辆、其他用车</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辆，其他用车主要是用于……。单价100万元（含）以上设备（不含车辆）</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台（套）</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left="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r>
        <w:rPr>
          <w:rFonts w:ascii="Times New Roman" w:eastAsia="楷体_GB2312" w:cs="楷体_GB2312" w:hAnsi="Times New Roman" w:hint="eastAsia"/>
          <w:b/>
          <w:color w:val="auto"/>
          <w:sz w:val="32"/>
          <w:szCs w:val="32"/>
          <w:highlight w:val="auto"/>
        </w:rPr>
        <w:t>（四）预算绩效管理情况</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根据预算绩效管理要求，</w:t>
      </w:r>
      <w:r>
        <w:rPr>
          <w:rFonts w:eastAsia="仿宋_GB2312" w:cs="仿宋_GB2312" w:hint="eastAsia"/>
          <w:color w:val="auto"/>
          <w:kern w:val="2"/>
          <w:sz w:val="32"/>
          <w:szCs w:val="32"/>
          <w:lang w:val="en-US" w:eastAsia="zh-CN" w:bidi="ar-SA"/>
          <w:highlight w:val="auto"/>
        </w:rPr>
        <w:t>本单位</w:t>
      </w:r>
      <w:r>
        <w:rPr>
          <w:rFonts w:ascii="Times New Roman" w:eastAsia="仿宋_GB2312" w:cs="仿宋_GB2312" w:hAnsi="Times New Roman" w:hint="eastAsia"/>
          <w:color w:val="auto"/>
          <w:kern w:val="2"/>
          <w:sz w:val="32"/>
          <w:szCs w:val="32"/>
          <w:lang w:val="en-US" w:eastAsia="zh-CN" w:bidi="ar-SA"/>
          <w:highlight w:val="auto"/>
        </w:rPr>
        <w:t>在202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年度预算编制阶段，组织对</w:t>
      </w:r>
      <w:r>
        <w:rPr>
          <w:rFonts w:ascii="仿宋_GB2312" w:eastAsia="仿宋_GB2312" w:cs="仿宋_GB2312" w:hint="eastAsia"/>
          <w:sz w:val="32"/>
          <w:szCs w:val="32"/>
          <w:lang w:bidi="ar-SA"/>
        </w:rPr>
        <w:t>《阿坝州珍稀古籍文献会编》出版经费、理事培训费、《阿坝州珍稀古籍文献会编收集经费</w:t>
      </w:r>
      <w:r>
        <w:rPr>
          <w:rFonts w:ascii="仿宋_GB2312" w:eastAsia="仿宋_GB2312" w:cs="仿宋_GB2312" w:hint="eastAsia"/>
          <w:sz w:val="32"/>
          <w:szCs w:val="32"/>
          <w:lang w:eastAsia="zh-CN" w:bidi="ar-SA"/>
        </w:rPr>
        <w:t>》《</w:t>
      </w:r>
      <w:r>
        <w:rPr>
          <w:rFonts w:ascii="仿宋_GB2312" w:eastAsia="仿宋_GB2312" w:cs="仿宋_GB2312" w:hint="eastAsia"/>
          <w:sz w:val="32"/>
          <w:szCs w:val="32"/>
          <w:lang w:bidi="ar-SA"/>
        </w:rPr>
        <w:t>阿坝菩提道场》微信公众号、全州藏传佛教寺庙戒律教育及和谐寺庙创建活动经费、老会长慰问费、生活补助</w:t>
      </w:r>
      <w:r>
        <w:rPr>
          <w:rFonts w:ascii="仿宋_GB2312" w:eastAsia="仿宋_GB2312" w:cs="仿宋_GB2312"/>
          <w:sz w:val="32"/>
          <w:szCs w:val="32"/>
          <w:lang w:bidi="ar-SA"/>
        </w:rPr>
        <w:t>、采购国产办公设备、</w:t>
      </w:r>
      <w:r>
        <w:rPr>
          <w:rFonts w:ascii="Times New Roman" w:eastAsia="仿宋_GB2312" w:cs="仿宋_GB2312" w:hAnsi="Times New Roman" w:hint="eastAsia"/>
          <w:color w:val="auto"/>
          <w:kern w:val="2"/>
          <w:sz w:val="32"/>
          <w:szCs w:val="32"/>
          <w:lang w:val="en-US" w:eastAsia="zh-CN" w:bidi="ar-SA"/>
          <w:highlight w:val="auto"/>
        </w:rPr>
        <w:t>等</w:t>
      </w:r>
      <w:r>
        <w:rPr>
          <w:rFonts w:ascii="Times New Roman" w:eastAsia="仿宋_GB2312" w:cs="仿宋_GB2312" w:hAnsi="Times New Roman"/>
          <w:color w:val="auto"/>
          <w:kern w:val="2"/>
          <w:sz w:val="32"/>
          <w:szCs w:val="32"/>
          <w:lang w:val="en-US" w:eastAsia="zh-CN" w:bidi="ar-SA"/>
          <w:highlight w:val="auto"/>
        </w:rPr>
        <w:t>8</w:t>
      </w:r>
      <w:r>
        <w:rPr>
          <w:rFonts w:ascii="Times New Roman" w:eastAsia="仿宋_GB2312" w:cs="仿宋_GB2312" w:hAnsi="Times New Roman" w:hint="eastAsia"/>
          <w:color w:val="auto"/>
          <w:kern w:val="2"/>
          <w:sz w:val="32"/>
          <w:szCs w:val="32"/>
          <w:lang w:val="en-US" w:eastAsia="zh-CN" w:bidi="ar-SA"/>
          <w:highlight w:val="auto"/>
        </w:rPr>
        <w:t>个项目开展了预算事前绩效评估，对</w:t>
      </w:r>
      <w:r>
        <w:rPr>
          <w:rFonts w:ascii="Times New Roman" w:eastAsia="仿宋_GB2312" w:cs="仿宋_GB2312" w:hAnsi="Times New Roman"/>
          <w:color w:val="auto"/>
          <w:kern w:val="2"/>
          <w:sz w:val="32"/>
          <w:szCs w:val="32"/>
          <w:lang w:val="en-US" w:eastAsia="zh-CN" w:bidi="ar-SA"/>
          <w:highlight w:val="auto"/>
        </w:rPr>
        <w:t>8</w:t>
      </w:r>
      <w:r>
        <w:rPr>
          <w:rFonts w:ascii="Times New Roman" w:eastAsia="仿宋_GB2312" w:cs="仿宋_GB2312" w:hAnsi="Times New Roman" w:hint="eastAsia"/>
          <w:color w:val="auto"/>
          <w:kern w:val="2"/>
          <w:sz w:val="32"/>
          <w:szCs w:val="32"/>
          <w:lang w:val="en-US" w:eastAsia="zh-CN" w:bidi="ar-SA"/>
          <w:highlight w:val="auto"/>
        </w:rPr>
        <w:t>个项目编制了绩效目标，预算执行过程中，选取</w:t>
      </w:r>
      <w:r>
        <w:rPr>
          <w:rFonts w:eastAsia="仿宋_GB2312" w:cs="仿宋_GB2312" w:hint="eastAsia"/>
          <w:color w:val="auto"/>
          <w:kern w:val="2"/>
          <w:sz w:val="32"/>
          <w:szCs w:val="32"/>
          <w:lang w:val="en-US"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个项目开展绩效监控。</w:t>
      </w:r>
    </w:p>
    <w:p>
      <w:pPr>
        <w:spacing w:line="600" w:lineRule="exact"/>
        <w:ind w:firstLine="640"/>
        <w:rPr>
          <w:rFonts w:eastAsia="仿宋_GB2312" w:cs="仿宋_GB2312" w:hint="eastAsia"/>
          <w:b/>
          <w:bCs/>
          <w:sz w:val="32"/>
          <w:szCs w:val="32"/>
        </w:rPr>
      </w:pPr>
      <w:r>
        <w:rPr>
          <w:rFonts w:ascii="Times New Roman" w:eastAsia="仿宋_GB2312" w:cs="仿宋_GB2312" w:hAnsi="Times New Roman" w:hint="eastAsia"/>
          <w:color w:val="auto"/>
          <w:kern w:val="2"/>
          <w:sz w:val="32"/>
          <w:szCs w:val="32"/>
          <w:lang w:val="en-US" w:eastAsia="zh-CN" w:bidi="ar-SA"/>
          <w:highlight w:val="auto"/>
        </w:rPr>
        <w:t>组织对202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年度一般公共预算、政府性基金预算、国有资本经营预算、社会保险基金预算以及资本资产、债券资金等全面开展绩效自评，形成</w:t>
      </w:r>
      <w:r>
        <w:rPr>
          <w:rFonts w:eastAsia="仿宋_GB2312" w:cs="仿宋_GB2312" w:hint="eastAsia"/>
          <w:color w:val="auto"/>
          <w:kern w:val="2"/>
          <w:sz w:val="32"/>
          <w:szCs w:val="32"/>
          <w:lang w:val="en-US" w:eastAsia="zh-CN" w:bidi="ar-SA"/>
          <w:highlight w:val="auto"/>
        </w:rPr>
        <w:t>州佛协</w:t>
      </w:r>
      <w:r>
        <w:rPr>
          <w:rFonts w:ascii="Times New Roman" w:eastAsia="仿宋_GB2312" w:cs="仿宋_GB2312" w:hAnsi="Times New Roman" w:hint="eastAsia"/>
          <w:color w:val="auto"/>
          <w:kern w:val="2"/>
          <w:sz w:val="32"/>
          <w:szCs w:val="32"/>
          <w:lang w:val="en-US" w:eastAsia="zh-CN" w:bidi="ar-SA"/>
          <w:highlight w:val="auto"/>
        </w:rPr>
        <w:t>部门整体（含部门预算项目）绩效自评报告、</w:t>
      </w:r>
      <w:r>
        <w:rPr>
          <w:rFonts w:eastAsia="仿宋_GB2312" w:cs="仿宋_GB2312" w:hint="eastAsia"/>
          <w:color w:val="auto"/>
          <w:kern w:val="2"/>
          <w:sz w:val="32"/>
          <w:szCs w:val="32"/>
          <w:lang w:val="en-US" w:eastAsia="zh-CN" w:bidi="ar-SA"/>
          <w:highlight w:val="auto"/>
        </w:rPr>
        <w:t>我会无专项预算项目，无</w:t>
      </w:r>
      <w:r>
        <w:rPr>
          <w:rFonts w:ascii="Times New Roman" w:eastAsia="仿宋_GB2312" w:cs="仿宋_GB2312" w:hAnsi="Times New Roman" w:hint="eastAsia"/>
          <w:color w:val="auto"/>
          <w:kern w:val="2"/>
          <w:sz w:val="32"/>
          <w:szCs w:val="32"/>
          <w:lang w:val="en-US" w:eastAsia="zh-CN" w:bidi="ar-SA"/>
          <w:highlight w:val="auto"/>
        </w:rPr>
        <w:t>专项预算项目绩效自评报告，其中，</w:t>
      </w:r>
      <w:r>
        <w:rPr>
          <w:rFonts w:eastAsia="仿宋_GB2312" w:cs="仿宋_GB2312" w:hint="eastAsia"/>
          <w:color w:val="auto"/>
          <w:kern w:val="2"/>
          <w:sz w:val="32"/>
          <w:szCs w:val="32"/>
          <w:lang w:val="en-US" w:eastAsia="zh-CN" w:bidi="ar-SA"/>
          <w:highlight w:val="auto"/>
        </w:rPr>
        <w:t>州佛协</w:t>
      </w:r>
      <w:r>
        <w:rPr>
          <w:rFonts w:ascii="Times New Roman" w:eastAsia="仿宋_GB2312" w:cs="仿宋_GB2312" w:hAnsi="Times New Roman" w:hint="eastAsia"/>
          <w:color w:val="auto"/>
          <w:kern w:val="2"/>
          <w:sz w:val="32"/>
          <w:szCs w:val="32"/>
          <w:lang w:val="en-US" w:eastAsia="zh-CN" w:bidi="ar-SA"/>
          <w:highlight w:val="auto"/>
        </w:rPr>
        <w:t>部门整体（含部门预算项目）绩效自评得分为</w:t>
      </w:r>
      <w:r>
        <w:rPr>
          <w:rFonts w:eastAsia="仿宋_GB2312" w:cs="仿宋_GB2312"/>
          <w:color w:val="auto"/>
          <w:kern w:val="2"/>
          <w:sz w:val="32"/>
          <w:szCs w:val="32"/>
          <w:lang w:val="en-US" w:eastAsia="zh-CN" w:bidi="ar-SA"/>
          <w:highlight w:val="auto"/>
        </w:rPr>
        <w:t>95.8</w:t>
      </w:r>
      <w:r>
        <w:rPr>
          <w:rFonts w:ascii="Times New Roman" w:eastAsia="仿宋_GB2312" w:cs="仿宋_GB2312" w:hAnsi="Times New Roman" w:hint="eastAsia"/>
          <w:color w:val="auto"/>
          <w:kern w:val="2"/>
          <w:sz w:val="32"/>
          <w:szCs w:val="32"/>
          <w:lang w:val="en-US" w:eastAsia="zh-CN" w:bidi="ar-SA"/>
          <w:highlight w:val="auto"/>
        </w:rPr>
        <w:t>分，绩效自评综述</w:t>
      </w:r>
      <w:r>
        <w:rPr>
          <w:rFonts w:eastAsia="仿宋_GB2312" w:cs="仿宋_GB2312" w:hint="eastAsia"/>
          <w:color w:val="auto"/>
          <w:kern w:val="2"/>
          <w:sz w:val="32"/>
          <w:szCs w:val="32"/>
          <w:lang w:val="en-US" w:eastAsia="zh-CN" w:bidi="ar-SA"/>
          <w:highlight w:val="auto"/>
        </w:rPr>
        <w:t>预算项目执行率达标。核心目标完成，效益较好，无违规</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我会无</w:t>
      </w:r>
      <w:r>
        <w:rPr>
          <w:rFonts w:ascii="Times New Roman" w:eastAsia="仿宋_GB2312" w:cs="仿宋_GB2312" w:hAnsi="Times New Roman" w:hint="eastAsia"/>
          <w:color w:val="auto"/>
          <w:kern w:val="2"/>
          <w:sz w:val="32"/>
          <w:szCs w:val="32"/>
          <w:lang w:val="en-US" w:eastAsia="zh-CN" w:bidi="ar-SA"/>
          <w:highlight w:val="auto"/>
        </w:rPr>
        <w:t>专项预算项目绩效自评得分为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分，绩效自评综述……。绩效自评报告详见附件。</w:t>
      </w:r>
      <w:r>
        <w:rPr>
          <w:rFonts w:ascii="Times New Roman" w:eastAsia="仿宋_GB2312" w:cs="仿宋_GB2312" w:hAnsi="Times New Roman" w:hint="eastAsia"/>
          <w:b/>
          <w:bCs/>
          <w:color w:val="auto"/>
          <w:kern w:val="2"/>
          <w:sz w:val="32"/>
          <w:szCs w:val="32"/>
          <w:lang w:val="en-US" w:eastAsia="zh-CN" w:bidi="ar-SA"/>
          <w:highlight w:val="auto"/>
        </w:rPr>
        <w:t>（</w:t>
      </w:r>
      <w:r>
        <w:rPr>
          <w:rFonts w:eastAsia="仿宋_GB2312" w:cs="仿宋_GB2312" w:hint="eastAsia"/>
          <w:b/>
          <w:bCs/>
          <w:color w:val="auto"/>
          <w:kern w:val="2"/>
          <w:sz w:val="32"/>
          <w:szCs w:val="32"/>
          <w:lang w:val="en-US" w:eastAsia="zh-CN" w:bidi="ar-SA"/>
          <w:highlight w:val="auto"/>
        </w:rPr>
        <w:t>注：</w:t>
      </w:r>
      <w:r>
        <w:rPr>
          <w:rFonts w:ascii="Times New Roman" w:eastAsia="仿宋_GB2312" w:cs="仿宋_GB2312" w:hAnsi="Times New Roman" w:hint="eastAsia"/>
          <w:b/>
          <w:bCs/>
          <w:color w:val="auto"/>
          <w:kern w:val="2"/>
          <w:sz w:val="32"/>
          <w:szCs w:val="32"/>
          <w:lang w:val="en-US" w:eastAsia="zh-CN" w:bidi="ar-SA"/>
          <w:highlight w:val="auto"/>
        </w:rPr>
        <w:t>如不涉及，可根据实际修改表述。）</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jc w:val="center"/>
        <w:outlineLvl w:val="0"/>
        <w:rPr>
          <w:rFonts w:ascii="Times New Roman" w:eastAsia="黑体" w:hAnsi="Times New Roman" w:hint="eastAsia"/>
          <w:color w:val="auto"/>
          <w:sz w:val="44"/>
          <w:szCs w:val="44"/>
          <w:highlight w:val="auto"/>
        </w:rPr>
      </w:pPr>
      <w:bookmarkStart w:id="51" w:name="_Toc15396613"/>
      <w:bookmarkStart w:id="52" w:name="_Toc15377225"/>
      <w:r>
        <w:rPr>
          <w:rFonts w:ascii="Times New Roman" w:eastAsia="黑体" w:hAnsi="Times New Roman" w:hint="eastAsia"/>
          <w:color w:val="auto"/>
          <w:sz w:val="44"/>
          <w:szCs w:val="44"/>
          <w:highlight w:val="auto"/>
        </w:rPr>
        <w:t>第</w:t>
      </w:r>
      <w:r>
        <w:rPr>
          <w:rFonts w:eastAsia="黑体" w:hint="eastAsia"/>
          <w:color w:val="auto"/>
          <w:sz w:val="44"/>
          <w:szCs w:val="44"/>
          <w:lang w:eastAsia="zh-CN"/>
          <w:highlight w:val="auto"/>
        </w:rPr>
        <w:t>三</w:t>
      </w:r>
      <w:r>
        <w:rPr>
          <w:rFonts w:ascii="Times New Roman" w:eastAsia="黑体" w:hAnsi="Times New Roman" w:hint="eastAsia"/>
          <w:color w:val="auto"/>
          <w:sz w:val="44"/>
          <w:szCs w:val="44"/>
          <w:highlight w:val="auto"/>
        </w:rPr>
        <w:t>部分</w:t>
      </w:r>
      <w:r>
        <w:rPr>
          <w:rFonts w:ascii="Times New Roman" w:eastAsia="黑体" w:hAnsi="Times New Roman" w:hint="eastAsia"/>
          <w:color w:val="auto"/>
          <w:sz w:val="44"/>
          <w:szCs w:val="44"/>
          <w:lang w:val="en-US" w:eastAsia="zh-CN"/>
          <w:highlight w:val="auto"/>
        </w:rPr>
        <w:t xml:space="preserve"> </w:t>
      </w:r>
      <w:r>
        <w:rPr>
          <w:rFonts w:eastAsia="黑体" w:hint="eastAsia"/>
          <w:color w:val="auto"/>
          <w:sz w:val="44"/>
          <w:szCs w:val="44"/>
          <w:lang w:val="en-US" w:eastAsia="zh-CN"/>
          <w:highlight w:val="auto"/>
        </w:rPr>
        <w:t xml:space="preserve"> </w:t>
      </w:r>
      <w:r>
        <w:rPr>
          <w:rFonts w:ascii="Times New Roman" w:eastAsia="黑体" w:hAnsi="Times New Roman" w:hint="eastAsia"/>
          <w:color w:val="auto"/>
          <w:sz w:val="44"/>
          <w:szCs w:val="44"/>
          <w:highlight w:val="auto"/>
        </w:rPr>
        <w:t>名词解释</w:t>
      </w:r>
      <w:bookmarkEnd w:id="51"/>
      <w:bookmarkEnd w:id="52"/>
    </w:p>
    <w:p>
      <w:pPr>
        <w:spacing w:line="600" w:lineRule="exact"/>
        <w:jc w:val="left"/>
        <w:rPr>
          <w:rFonts w:ascii="Times New Roman" w:hAnsi="Times New Roman"/>
          <w:b/>
          <w:color w:val="auto"/>
          <w:sz w:val="44"/>
          <w:szCs w:val="44"/>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bookmarkStart w:id="53" w:name="_Toc15377226"/>
      <w:r>
        <w:rPr>
          <w:rFonts w:ascii="Times New Roman" w:eastAsia="仿宋_GB2312" w:cs="仿宋_GB2312" w:hAnsi="Times New Roman" w:hint="eastAsia"/>
          <w:color w:val="auto"/>
          <w:kern w:val="2"/>
          <w:sz w:val="32"/>
          <w:szCs w:val="32"/>
          <w:lang w:val="en-US" w:eastAsia="zh-CN" w:bidi="ar-SA"/>
          <w:highlight w:val="auto"/>
        </w:rPr>
        <w:t>1.财政拨款收入：指单位从同级财政部门取得的财政预算资金。</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2.事业收入：指事业单位开展专业业务活动及辅助活动取得的收入。</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3</w:t>
      </w:r>
      <w:r>
        <w:rPr>
          <w:rFonts w:ascii="Times New Roman" w:eastAsia="仿宋_GB2312" w:cs="仿宋_GB2312" w:hAnsi="Times New Roman" w:hint="eastAsia"/>
          <w:color w:val="auto"/>
          <w:kern w:val="2"/>
          <w:sz w:val="32"/>
          <w:szCs w:val="32"/>
          <w:lang w:val="en-US" w:eastAsia="zh-CN" w:bidi="ar-SA"/>
          <w:highlight w:val="auto"/>
        </w:rPr>
        <w:t xml:space="preserve">.其他收入：指单位取得的除上述收入以外的各项收入。 </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 xml:space="preserve">.使用非财政拨款结余（含专用结余）：指事业单位使用以前年度积累的非财政拨款结余弥补当年收支差额的金额。 </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 xml:space="preserve">.年初结转和结余：指以前年度尚未完成、结转到本年按有关规定继续使用的资金。 </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6</w:t>
      </w:r>
      <w:r>
        <w:rPr>
          <w:rFonts w:ascii="Times New Roman" w:eastAsia="仿宋_GB2312" w:cs="仿宋_GB2312" w:hAnsi="Times New Roman" w:hint="eastAsia"/>
          <w:color w:val="auto"/>
          <w:kern w:val="2"/>
          <w:sz w:val="32"/>
          <w:szCs w:val="32"/>
          <w:lang w:val="en-US" w:eastAsia="zh-CN" w:bidi="ar-SA"/>
          <w:highlight w:val="auto"/>
        </w:rPr>
        <w:t>.结余分配：指事业单位按照会计制度规定缴纳的所得税、提取的专用结余以及转入非财政拨款结余的金额等。</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7</w:t>
      </w:r>
      <w:r>
        <w:rPr>
          <w:rFonts w:ascii="Times New Roman" w:eastAsia="仿宋_GB2312" w:cs="仿宋_GB2312" w:hAnsi="Times New Roman" w:hint="eastAsia"/>
          <w:color w:val="auto"/>
          <w:kern w:val="2"/>
          <w:sz w:val="32"/>
          <w:szCs w:val="32"/>
          <w:lang w:val="en-US" w:eastAsia="zh-CN" w:bidi="ar-SA"/>
          <w:highlight w:val="auto"/>
        </w:rPr>
        <w:t>.年末结转和结余：指单位按有关规定结转到下年或以后年度继续使用的资金。</w:t>
      </w:r>
    </w:p>
    <w:p>
      <w:pPr>
        <w:spacing w:line="600" w:lineRule="exact"/>
        <w:ind w:firstLine="640"/>
        <w:rPr>
          <w:rFonts w:ascii="仿宋_GB2312" w:eastAsia="仿宋_GB2312" w:hint="eastAsia"/>
          <w:color w:val="auto"/>
          <w:sz w:val="32"/>
          <w:szCs w:val="32"/>
        </w:rPr>
      </w:pPr>
      <w:r>
        <w:rPr>
          <w:rFonts w:eastAsia="仿宋_GB2312" w:cs="仿宋_GB2312" w:hint="eastAsia"/>
          <w:color w:val="auto"/>
          <w:kern w:val="2"/>
          <w:sz w:val="32"/>
          <w:szCs w:val="32"/>
          <w:lang w:val="en-US" w:eastAsia="zh-CN" w:bidi="ar-SA"/>
          <w:highlight w:val="auto"/>
        </w:rPr>
        <w:t>8</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hint="eastAsia"/>
          <w:color w:val="auto"/>
          <w:sz w:val="32"/>
          <w:szCs w:val="32"/>
          <w:highlight w:val="auto"/>
        </w:rPr>
        <w:t>一般公共服务（类）</w:t>
      </w:r>
      <w:r>
        <w:rPr>
          <w:rFonts w:ascii="仿宋_GB2312" w:eastAsia="仿宋_GB2312" w:hint="eastAsia"/>
          <w:color w:val="auto"/>
          <w:sz w:val="32"/>
          <w:szCs w:val="32"/>
        </w:rPr>
        <w:t>群众团体事务（款）行政运行：指</w:t>
      </w:r>
      <w:r>
        <w:rPr>
          <w:rFonts w:ascii="仿宋_GB2312" w:eastAsia="仿宋_GB2312" w:hint="eastAsia"/>
          <w:color w:val="auto"/>
          <w:sz w:val="32"/>
          <w:szCs w:val="32"/>
          <w:lang w:eastAsia="zh-CN"/>
        </w:rPr>
        <w:t>反映</w:t>
      </w:r>
      <w:r>
        <w:rPr>
          <w:rFonts w:ascii="仿宋_GB2312" w:eastAsia="仿宋_GB2312" w:hint="eastAsia"/>
          <w:color w:val="auto"/>
          <w:sz w:val="32"/>
          <w:szCs w:val="32"/>
        </w:rPr>
        <w:t>行政单位的基本支出。</w:t>
      </w:r>
    </w:p>
    <w:p>
      <w:pPr>
        <w:pStyle w:val="15"/>
        <w:ind w:firstLineChars="200" w:firstLine="640"/>
      </w:pPr>
      <w:r>
        <w:rPr>
          <w:rFonts w:ascii="仿宋_GB2312" w:eastAsia="仿宋_GB2312" w:hint="eastAsia"/>
          <w:color w:val="auto"/>
          <w:sz w:val="32"/>
          <w:szCs w:val="32"/>
          <w:lang w:val="en-US" w:eastAsia="zh-CN"/>
        </w:rPr>
        <w:t>9</w:t>
      </w:r>
      <w:r>
        <w:rPr>
          <w:rFonts w:ascii="仿宋_GB2312" w:eastAsia="仿宋_GB2312" w:hint="eastAsia"/>
          <w:color w:val="auto"/>
          <w:sz w:val="32"/>
          <w:szCs w:val="32"/>
        </w:rPr>
        <w:t>.一般公共服务（类）群众团体事务（款）一般行政管理事务（项）：指</w:t>
      </w:r>
      <w:r>
        <w:rPr>
          <w:rFonts w:ascii="仿宋_GB2312" w:eastAsia="仿宋_GB2312" w:hint="eastAsia"/>
          <w:color w:val="auto"/>
          <w:sz w:val="32"/>
          <w:szCs w:val="32"/>
          <w:lang w:eastAsia="zh-CN"/>
        </w:rPr>
        <w:t>反映</w:t>
      </w:r>
      <w:r>
        <w:rPr>
          <w:rFonts w:ascii="仿宋_GB2312" w:eastAsia="仿宋_GB2312" w:hint="eastAsia"/>
          <w:color w:val="auto"/>
          <w:sz w:val="32"/>
          <w:szCs w:val="32"/>
        </w:rPr>
        <w:t>行政单位的其他项目支出。</w:t>
      </w:r>
    </w:p>
    <w:p>
      <w:pPr>
        <w:pStyle w:val="31"/>
        <w:spacing w:line="560" w:lineRule="exact"/>
        <w:ind w:firstLineChars="200" w:firstLine="640"/>
        <w:rPr>
          <w:rFonts w:ascii="仿宋_GB2312" w:eastAsia="仿宋_GB2312" w:hint="eastAsia"/>
          <w:color w:val="auto"/>
          <w:sz w:val="32"/>
          <w:szCs w:val="32"/>
        </w:rPr>
      </w:pPr>
      <w:r>
        <w:rPr>
          <w:rFonts w:ascii="仿宋_GB2312" w:eastAsia="仿宋_GB2312" w:hint="eastAsia"/>
          <w:color w:val="auto"/>
          <w:sz w:val="32"/>
          <w:szCs w:val="32"/>
          <w:lang w:val="en-US" w:eastAsia="zh-CN"/>
        </w:rPr>
        <w:t>10</w:t>
      </w:r>
      <w:r>
        <w:rPr>
          <w:rFonts w:ascii="仿宋_GB2312" w:eastAsia="仿宋_GB2312" w:hint="eastAsia"/>
          <w:color w:val="auto"/>
          <w:sz w:val="32"/>
          <w:szCs w:val="32"/>
        </w:rPr>
        <w:t>. 社会保障和就业（类）行政事业单位离退休（款）机关事业单位基本养老保险缴费支出（项）: 指反映机关事业单位实施养老保险制度由单位缴纳的基本养老保险费支出。</w:t>
      </w:r>
    </w:p>
    <w:p>
      <w:pPr>
        <w:ind w:firstLineChars="200" w:firstLine="640"/>
        <w:rPr>
          <w:rFonts w:ascii="仿宋_GB2312" w:eastAsia="仿宋_GB2312" w:hint="eastAsia"/>
          <w:sz w:val="32"/>
          <w:szCs w:val="32"/>
        </w:rPr>
      </w:pPr>
      <w:r>
        <w:rPr>
          <w:rFonts w:ascii="仿宋_GB2312" w:eastAsia="仿宋_GB2312" w:hint="eastAsia"/>
          <w:color w:val="auto"/>
          <w:sz w:val="32"/>
          <w:szCs w:val="32"/>
          <w:lang w:val="en-US" w:eastAsia="zh-CN"/>
        </w:rPr>
        <w:t>11</w:t>
      </w:r>
      <w:r>
        <w:rPr>
          <w:rFonts w:ascii="仿宋_GB2312" w:eastAsia="仿宋_GB2312" w:hint="eastAsia"/>
          <w:color w:val="auto"/>
          <w:sz w:val="32"/>
          <w:szCs w:val="32"/>
        </w:rPr>
        <w:t>.社会保障和就业（类）行政事业单位离退休（款）机关事业单位职业年金缴费支出（项）:指反映机关事业单位实施养老保险制度</w:t>
      </w:r>
      <w:r>
        <w:rPr>
          <w:rFonts w:ascii="仿宋_GB2312" w:eastAsia="仿宋_GB2312" w:hint="eastAsia"/>
          <w:color w:val="auto"/>
          <w:sz w:val="32"/>
          <w:szCs w:val="32"/>
          <w:lang w:eastAsia="zh-CN"/>
        </w:rPr>
        <w:t>有关</w:t>
      </w:r>
      <w:r>
        <w:rPr>
          <w:rFonts w:ascii="仿宋_GB2312" w:eastAsia="仿宋_GB2312" w:hint="eastAsia"/>
          <w:color w:val="auto"/>
          <w:sz w:val="32"/>
          <w:szCs w:val="32"/>
        </w:rPr>
        <w:t>单位实际缴纳的职业年金支出。</w:t>
      </w:r>
    </w:p>
    <w:p>
      <w:pPr>
        <w:pStyle w:val="31"/>
        <w:spacing w:line="560" w:lineRule="exact"/>
        <w:ind w:firstLineChars="200" w:firstLine="640"/>
        <w:rPr>
          <w:rFonts w:ascii="仿宋_GB2312" w:eastAsia="仿宋_GB2312" w:hint="eastAsia"/>
          <w:color w:val="auto"/>
          <w:sz w:val="32"/>
          <w:szCs w:val="32"/>
        </w:rPr>
      </w:pPr>
      <w:r>
        <w:rPr>
          <w:rFonts w:ascii="仿宋_GB2312" w:eastAsia="仿宋_GB2312" w:hint="eastAsia"/>
          <w:color w:val="auto"/>
          <w:sz w:val="32"/>
          <w:szCs w:val="32"/>
          <w:lang w:val="en-US" w:eastAsia="zh-CN"/>
          <w:highlight w:val="auto"/>
        </w:rPr>
        <w:t>12</w:t>
      </w:r>
      <w:r>
        <w:rPr>
          <w:rFonts w:ascii="仿宋_GB2312" w:eastAsia="仿宋_GB2312" w:hint="eastAsia"/>
          <w:color w:val="auto"/>
          <w:sz w:val="32"/>
          <w:szCs w:val="32"/>
          <w:highlight w:val="auto"/>
        </w:rPr>
        <w:t>.</w:t>
      </w:r>
      <w:r>
        <w:rPr>
          <w:rFonts w:ascii="仿宋_GB2312" w:eastAsia="仿宋_GB2312" w:hint="eastAsia"/>
          <w:color w:val="auto"/>
          <w:sz w:val="32"/>
          <w:szCs w:val="32"/>
          <w:lang w:eastAsia="zh-CN"/>
          <w:highlight w:val="auto"/>
        </w:rPr>
        <w:t>卫生健康</w:t>
      </w:r>
      <w:r>
        <w:rPr>
          <w:rFonts w:ascii="仿宋_GB2312" w:eastAsia="仿宋_GB2312" w:hint="eastAsia"/>
          <w:color w:val="auto"/>
          <w:sz w:val="32"/>
          <w:szCs w:val="32"/>
          <w:highlight w:val="auto"/>
        </w:rPr>
        <w:t>（类）</w:t>
      </w:r>
      <w:r>
        <w:rPr>
          <w:rFonts w:ascii="仿宋_GB2312" w:eastAsia="仿宋_GB2312" w:hint="eastAsia"/>
          <w:color w:val="auto"/>
          <w:sz w:val="32"/>
          <w:szCs w:val="32"/>
        </w:rPr>
        <w:t>行政事业单位医疗（款）行政单位医疗（项）:指反映财政部门安排的行政单位基本医疗保险缴费经费。</w:t>
      </w:r>
    </w:p>
    <w:p>
      <w:pPr>
        <w:pStyle w:val="31"/>
        <w:spacing w:line="560" w:lineRule="exact"/>
        <w:ind w:firstLineChars="200" w:firstLine="640"/>
        <w:rPr>
          <w:rFonts w:ascii="仿宋_GB2312" w:eastAsia="仿宋_GB2312" w:hint="eastAsia"/>
          <w:color w:val="auto"/>
          <w:sz w:val="32"/>
          <w:szCs w:val="32"/>
        </w:rPr>
      </w:pPr>
      <w:r>
        <w:rPr>
          <w:rFonts w:ascii="仿宋_GB2312" w:eastAsia="仿宋_GB2312" w:hint="eastAsia"/>
          <w:color w:val="auto"/>
          <w:sz w:val="32"/>
          <w:szCs w:val="32"/>
          <w:lang w:val="en-US" w:eastAsia="zh-CN"/>
        </w:rPr>
        <w:t>13</w:t>
      </w:r>
      <w:r>
        <w:rPr>
          <w:rFonts w:ascii="仿宋_GB2312" w:eastAsia="仿宋_GB2312" w:hint="eastAsia"/>
          <w:color w:val="auto"/>
          <w:sz w:val="32"/>
          <w:szCs w:val="32"/>
        </w:rPr>
        <w:t>.</w:t>
      </w:r>
      <w:r>
        <w:rPr>
          <w:rFonts w:ascii="仿宋_GB2312" w:eastAsia="仿宋_GB2312" w:hint="eastAsia"/>
          <w:color w:val="auto"/>
          <w:sz w:val="32"/>
          <w:szCs w:val="32"/>
          <w:lang w:eastAsia="zh-CN"/>
          <w:highlight w:val="auto"/>
        </w:rPr>
        <w:t>卫生健康</w:t>
      </w:r>
      <w:r>
        <w:rPr>
          <w:rFonts w:ascii="仿宋_GB2312" w:eastAsia="仿宋_GB2312" w:hint="eastAsia"/>
          <w:color w:val="auto"/>
          <w:sz w:val="32"/>
          <w:szCs w:val="32"/>
          <w:highlight w:val="auto"/>
        </w:rPr>
        <w:t>（类）</w:t>
      </w:r>
      <w:r>
        <w:rPr>
          <w:rFonts w:ascii="仿宋_GB2312" w:eastAsia="仿宋_GB2312" w:hint="eastAsia"/>
          <w:color w:val="auto"/>
          <w:sz w:val="32"/>
          <w:szCs w:val="32"/>
        </w:rPr>
        <w:t>行政事业单位医疗（款）公务员医疗补助（项）:指反映财政部门安排的公务员医疗补助经费。</w:t>
      </w:r>
    </w:p>
    <w:p>
      <w:pPr>
        <w:pStyle w:val="31"/>
        <w:spacing w:line="560" w:lineRule="exact"/>
        <w:ind w:firstLineChars="200" w:firstLine="640"/>
        <w:rPr>
          <w:rFonts w:ascii="仿宋_GB2312" w:eastAsia="仿宋_GB2312" w:hint="eastAsia"/>
          <w:color w:val="auto"/>
          <w:sz w:val="32"/>
          <w:szCs w:val="32"/>
        </w:rPr>
      </w:pPr>
      <w:r>
        <w:rPr>
          <w:rFonts w:ascii="仿宋_GB2312" w:eastAsia="仿宋_GB2312" w:hint="eastAsia"/>
          <w:color w:val="auto"/>
          <w:sz w:val="32"/>
          <w:szCs w:val="32"/>
          <w:lang w:val="en-US" w:eastAsia="zh-CN"/>
        </w:rPr>
        <w:t>14</w:t>
      </w:r>
      <w:r>
        <w:rPr>
          <w:rFonts w:ascii="仿宋_GB2312" w:eastAsia="仿宋_GB2312" w:hint="eastAsia"/>
          <w:color w:val="auto"/>
          <w:sz w:val="32"/>
          <w:szCs w:val="32"/>
        </w:rPr>
        <w:t>.住房保障(类)</w:t>
      </w:r>
      <w:r>
        <w:rPr>
          <w:rFonts w:ascii="仿宋_GB2312" w:eastAsia="仿宋_GB2312" w:hint="eastAsia"/>
          <w:color w:val="auto"/>
          <w:sz w:val="32"/>
          <w:szCs w:val="32"/>
          <w:lang w:eastAsia="zh-CN"/>
        </w:rPr>
        <w:t>住房</w:t>
      </w:r>
      <w:r>
        <w:rPr>
          <w:rFonts w:ascii="仿宋_GB2312" w:eastAsia="仿宋_GB2312" w:hint="eastAsia"/>
          <w:color w:val="auto"/>
          <w:sz w:val="32"/>
          <w:szCs w:val="32"/>
        </w:rPr>
        <w:t>改革支出(款)住房公积金(项):指反映行政事业单位按人力资源和社会保障部、财政部规定的基本工资和津补贴以及规定比例为职工缴纳的住房公积金。</w:t>
      </w:r>
    </w:p>
    <w:p>
      <w:pPr>
        <w:pStyle w:val="31"/>
        <w:spacing w:line="560" w:lineRule="exact"/>
        <w:ind w:firstLineChars="200" w:firstLine="640"/>
        <w:rPr>
          <w:rFonts w:ascii="仿宋_GB2312" w:eastAsia="仿宋_GB2312" w:hint="eastAsia"/>
          <w:color w:val="auto"/>
          <w:sz w:val="32"/>
          <w:szCs w:val="32"/>
        </w:rPr>
      </w:pPr>
      <w:r>
        <w:rPr>
          <w:rFonts w:ascii="仿宋_GB2312" w:eastAsia="仿宋_GB2312" w:hint="eastAsia"/>
          <w:color w:val="auto"/>
          <w:sz w:val="32"/>
          <w:szCs w:val="32"/>
          <w:lang w:val="en-US" w:eastAsia="zh-CN"/>
        </w:rPr>
        <w:t>15</w:t>
      </w:r>
      <w:r>
        <w:rPr>
          <w:rFonts w:ascii="仿宋_GB2312" w:eastAsia="仿宋_GB2312" w:hint="eastAsia"/>
          <w:color w:val="auto"/>
          <w:sz w:val="32"/>
          <w:szCs w:val="32"/>
        </w:rPr>
        <w:t>.</w:t>
      </w:r>
      <w:r>
        <w:rPr>
          <w:rFonts w:ascii="仿宋_GB2312" w:eastAsia="仿宋_GB2312" w:hint="eastAsia"/>
          <w:color w:val="auto"/>
          <w:sz w:val="32"/>
          <w:szCs w:val="32"/>
          <w:lang w:eastAsia="zh-CN"/>
          <w:highlight w:val="auto"/>
        </w:rPr>
        <w:t>卫生健康</w:t>
      </w:r>
      <w:r>
        <w:rPr>
          <w:rFonts w:ascii="仿宋_GB2312" w:eastAsia="仿宋_GB2312" w:hint="eastAsia"/>
          <w:color w:val="auto"/>
          <w:sz w:val="32"/>
          <w:szCs w:val="32"/>
          <w:highlight w:val="auto"/>
        </w:rPr>
        <w:t>（类）</w:t>
      </w:r>
      <w:r>
        <w:rPr>
          <w:rFonts w:ascii="仿宋_GB2312" w:eastAsia="仿宋_GB2312" w:hint="eastAsia"/>
          <w:color w:val="auto"/>
          <w:sz w:val="32"/>
          <w:szCs w:val="32"/>
        </w:rPr>
        <w:t>行政事业单位医疗（款）其他行政事业单位医疗支出（项）:指反映其他用于行政事业单位医疗方面的支出。</w:t>
      </w:r>
    </w:p>
    <w:p>
      <w:pPr>
        <w:spacing w:line="600" w:lineRule="exact"/>
        <w:ind w:firstLine="640"/>
        <w:rPr>
          <w:rFonts w:ascii="仿宋_GB2312" w:eastAsia="仿宋_GB2312" w:hint="eastAsia"/>
          <w:color w:val="auto"/>
          <w:sz w:val="32"/>
          <w:szCs w:val="32"/>
        </w:rPr>
      </w:pPr>
      <w:r>
        <w:rPr>
          <w:rFonts w:ascii="仿宋_GB2312" w:eastAsia="仿宋_GB2312" w:hint="eastAsia"/>
          <w:color w:val="auto"/>
          <w:sz w:val="32"/>
          <w:szCs w:val="32"/>
          <w:lang w:val="en-US" w:eastAsia="zh-CN"/>
        </w:rPr>
        <w:t>16</w:t>
      </w:r>
      <w:r>
        <w:rPr>
          <w:rFonts w:ascii="仿宋_GB2312" w:eastAsia="仿宋_GB2312" w:hint="eastAsia"/>
          <w:color w:val="auto"/>
          <w:sz w:val="32"/>
          <w:szCs w:val="32"/>
        </w:rPr>
        <w:t>.</w:t>
      </w:r>
      <w:r>
        <w:rPr>
          <w:rFonts w:ascii="仿宋_GB2312" w:eastAsia="仿宋_GB2312" w:hint="eastAsia"/>
          <w:color w:val="auto"/>
          <w:sz w:val="32"/>
          <w:szCs w:val="32"/>
          <w:lang w:eastAsia="zh-CN"/>
          <w:highlight w:val="auto"/>
        </w:rPr>
        <w:t>卫生健康</w:t>
      </w:r>
      <w:r>
        <w:rPr>
          <w:rFonts w:ascii="仿宋_GB2312" w:eastAsia="仿宋_GB2312" w:hint="eastAsia"/>
          <w:color w:val="auto"/>
          <w:sz w:val="32"/>
          <w:szCs w:val="32"/>
          <w:highlight w:val="auto"/>
        </w:rPr>
        <w:t>（类）</w:t>
      </w:r>
      <w:r>
        <w:rPr>
          <w:rFonts w:ascii="仿宋_GB2312" w:eastAsia="仿宋_GB2312" w:hint="eastAsia"/>
          <w:color w:val="auto"/>
          <w:sz w:val="32"/>
          <w:szCs w:val="32"/>
        </w:rPr>
        <w:t>行政事业单位医疗（款）事业单位医疗（项）：指反映财政部门安排的事业单位基本医疗保险缴费经费。</w:t>
      </w:r>
    </w:p>
    <w:p>
      <w:pPr>
        <w:pStyle w:val="15"/>
        <w:rPr>
          <w:rFonts w:hint="eastAsia"/>
        </w:rPr>
      </w:pPr>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w:t>
      </w:r>
      <w:r>
        <w:rPr>
          <w:rFonts w:eastAsia="仿宋_GB2312" w:cs="仿宋_GB2312" w:hint="eastAsia"/>
          <w:b/>
          <w:bCs/>
          <w:color w:val="auto"/>
          <w:kern w:val="2"/>
          <w:sz w:val="32"/>
          <w:szCs w:val="32"/>
          <w:lang w:val="en-US" w:eastAsia="zh-CN" w:bidi="ar-SA"/>
          <w:highlight w:val="auto"/>
        </w:rPr>
        <w:t>注：</w:t>
      </w:r>
      <w:r>
        <w:rPr>
          <w:rFonts w:ascii="Times New Roman" w:eastAsia="仿宋_GB2312" w:cs="仿宋_GB2312" w:hAnsi="Times New Roman" w:hint="eastAsia"/>
          <w:b/>
          <w:bCs/>
          <w:color w:val="auto"/>
          <w:kern w:val="2"/>
          <w:sz w:val="32"/>
          <w:szCs w:val="32"/>
          <w:lang w:val="en-US" w:eastAsia="zh-CN" w:bidi="ar-SA"/>
          <w:highlight w:val="auto"/>
        </w:rPr>
        <w:t>解释本部门决算报表中涉及的全部功能分类科目至项级，不涉及的科目请自行删除。请参照</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202</w:t>
      </w:r>
      <w:r>
        <w:rPr>
          <w:rFonts w:eastAsia="仿宋_GB2312" w:cs="仿宋_GB2312" w:hint="eastAsia"/>
          <w:b/>
          <w:bCs/>
          <w:color w:val="auto"/>
          <w:kern w:val="2"/>
          <w:sz w:val="32"/>
          <w:szCs w:val="32"/>
          <w:lang w:val="en-US" w:eastAsia="zh-CN" w:bidi="ar-SA"/>
          <w:highlight w:val="auto"/>
        </w:rPr>
        <w:t>4</w:t>
      </w:r>
      <w:r>
        <w:rPr>
          <w:rFonts w:ascii="Times New Roman" w:eastAsia="仿宋_GB2312" w:cs="仿宋_GB2312" w:hAnsi="Times New Roman" w:hint="eastAsia"/>
          <w:b/>
          <w:bCs/>
          <w:color w:val="auto"/>
          <w:kern w:val="2"/>
          <w:sz w:val="32"/>
          <w:szCs w:val="32"/>
          <w:lang w:val="en-US" w:eastAsia="zh-CN" w:bidi="ar-SA"/>
          <w:highlight w:val="auto"/>
        </w:rPr>
        <w:t>年政府收支分类科目</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增减内容）</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17</w:t>
      </w:r>
      <w:r>
        <w:rPr>
          <w:rFonts w:ascii="Times New Roman" w:eastAsia="仿宋_GB2312" w:cs="仿宋_GB2312" w:hAnsi="Times New Roman" w:hint="eastAsia"/>
          <w:color w:val="auto"/>
          <w:kern w:val="2"/>
          <w:sz w:val="32"/>
          <w:szCs w:val="32"/>
          <w:lang w:val="en-US" w:eastAsia="zh-CN" w:bidi="ar-SA"/>
          <w:highlight w:val="auto"/>
        </w:rPr>
        <w:t>.基本支出：指为保障机构正常运转、完成日常工作任务而发生的人员支出和公用支出。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18</w:t>
      </w:r>
      <w:r>
        <w:rPr>
          <w:rFonts w:ascii="Times New Roman" w:eastAsia="仿宋_GB2312" w:cs="仿宋_GB2312" w:hAnsi="Times New Roman" w:hint="eastAsia"/>
          <w:color w:val="auto"/>
          <w:kern w:val="2"/>
          <w:sz w:val="32"/>
          <w:szCs w:val="32"/>
          <w:lang w:val="en-US" w:eastAsia="zh-CN" w:bidi="ar-SA"/>
          <w:highlight w:val="auto"/>
        </w:rPr>
        <w:t xml:space="preserve">.项目支出：指在基本支出之外为完成特定行政任务和事业发展目标所发生的支出。 </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19</w:t>
      </w:r>
      <w:r>
        <w:rPr>
          <w:rFonts w:ascii="Times New Roman" w:eastAsia="仿宋_GB2312" w:cs="仿宋_GB2312" w:hAnsi="Times New Roman" w:hint="eastAsia"/>
          <w:color w:val="auto"/>
          <w:kern w:val="2"/>
          <w:sz w:val="32"/>
          <w:szCs w:val="32"/>
          <w:lang w:val="en-US" w:eastAsia="zh-CN" w:bidi="ar-SA"/>
          <w:highlight w:val="auto"/>
        </w:rPr>
        <w:t>.经营支出：指事业单位在专业业务活动及其辅助活动之外开展非独立核算经营活动发生的支出。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三公</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21</w:t>
      </w:r>
      <w:r>
        <w:rPr>
          <w:rFonts w:ascii="Times New Roman" w:eastAsia="仿宋_GB2312" w:cs="仿宋_GB2312" w:hAnsi="Times New Roman" w:hint="eastAsia"/>
          <w:color w:val="auto"/>
          <w:kern w:val="2"/>
          <w:sz w:val="32"/>
          <w:szCs w:val="32"/>
          <w:lang w:val="en-US" w:eastAsia="zh-CN" w:bidi="ar-SA"/>
          <w:highlight w:val="auto"/>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（注：名词解释部分请根据各部门实际列支情况罗列，并根据本部门职责职能增减名词解释内容）</w:t>
      </w:r>
    </w:p>
    <w:p>
      <w:pPr>
        <w:pStyle w:val="15"/>
        <w:rPr>
          <w:rFonts w:hint="eastAsia"/>
          <w:lang w:val="en-US" w:eastAsia="zh-CN"/>
        </w:rPr>
      </w:pPr>
    </w:p>
    <w:p>
      <w:pPr>
        <w:pStyle w:val="1"/>
        <w:spacing w:line="578" w:lineRule="auto"/>
        <w:jc w:val="center"/>
        <w:rPr>
          <w:rStyle w:val="1Char"/>
          <w:rFonts w:ascii="Times New Roman" w:eastAsia="黑体" w:hAnsi="Times New Roman" w:hint="eastAsia"/>
          <w:b w:val="0"/>
          <w:bCs w:val="0"/>
          <w:color w:val="auto"/>
          <w:lang w:eastAsia="zh-CN"/>
          <w:highlight w:val="auto"/>
        </w:rPr>
      </w:pPr>
      <w:r>
        <w:rPr>
          <w:rFonts w:ascii="Times New Roman" w:eastAsia="仿宋_GB2312" w:cs="仿宋_GB2312" w:hAnsi="Times New Roman" w:hint="eastAsia"/>
          <w:color w:val="auto"/>
          <w:kern w:val="2"/>
          <w:sz w:val="32"/>
          <w:szCs w:val="32"/>
          <w:lang w:val="en-US" w:eastAsia="zh-CN" w:bidi="ar-SA"/>
          <w:highlight w:val="auto"/>
        </w:rPr>
        <w:br w:type="page"/>
      </w:r>
      <w:bookmarkStart w:id="54" w:name="_Toc15396614"/>
      <w:bookmarkEnd w:id="53"/>
      <w:r>
        <w:rPr>
          <w:rFonts w:hint="eastAsia"/>
        </w:rPr>
        <w:t>第四部分  附件</w:t>
      </w:r>
      <w:bookmarkEnd w:id="54"/>
    </w:p>
    <w:p>
      <w:pPr>
        <w:keepNext w:val="0"/>
        <w:keepLines w:val="0"/>
        <w:pageBreakBefore w:val="0"/>
        <w:widowControl w:val="0"/>
        <w:kinsoku/>
        <w:wordWrap/>
        <w:overflowPunct/>
        <w:topLinePunct w:val="0"/>
        <w:autoSpaceDE/>
        <w:autoSpaceDN/>
        <w:bidi w:val="0"/>
        <w:spacing w:line="572" w:lineRule="exact"/>
        <w:jc w:val="left"/>
        <w:textAlignment w:val="auto"/>
        <w:outlineLvl w:val="0"/>
        <w:rPr>
          <w:rFonts w:ascii="Times New Roman" w:eastAsia="黑体" w:cs="黑体" w:hAnsi="Times New Roman" w:hint="eastAsia"/>
          <w:color w:val="FF0000"/>
          <w:sz w:val="32"/>
          <w:szCs w:val="32"/>
          <w:highlight w:val="auto"/>
        </w:rPr>
      </w:pPr>
    </w:p>
    <w:p>
      <w:pPr>
        <w:keepNext w:val="0"/>
        <w:keepLines w:val="0"/>
        <w:pageBreakBefore w:val="0"/>
        <w:widowControl w:val="0"/>
        <w:kinsoku/>
        <w:wordWrap/>
        <w:overflowPunct/>
        <w:topLinePunct w:val="0"/>
        <w:autoSpaceDE/>
        <w:autoSpaceDN/>
        <w:bidi w:val="0"/>
        <w:spacing w:line="572" w:lineRule="exact"/>
        <w:jc w:val="left"/>
        <w:textAlignment w:val="auto"/>
        <w:outlineLvl w:val="0"/>
        <w:rPr>
          <w:rFonts w:ascii="Times New Roman" w:eastAsia="黑体" w:cs="方正小标宋简体" w:hAnsi="Times New Roman" w:hint="eastAsia"/>
          <w:color w:val="auto"/>
          <w:sz w:val="44"/>
          <w:szCs w:val="44"/>
          <w:lang w:val="en-US" w:eastAsia="zh-CN"/>
          <w:highlight w:val="auto"/>
        </w:rPr>
      </w:pPr>
      <w:r>
        <w:rPr>
          <w:rFonts w:ascii="Times New Roman" w:eastAsia="黑体" w:cs="黑体" w:hAnsi="Times New Roman" w:hint="eastAsia"/>
          <w:color w:val="auto"/>
          <w:sz w:val="32"/>
          <w:szCs w:val="32"/>
          <w:highlight w:val="auto"/>
        </w:rPr>
        <w:t>附件</w:t>
      </w:r>
      <w:r>
        <w:rPr>
          <w:rFonts w:ascii="Times New Roman" w:eastAsia="黑体" w:cs="黑体" w:hAnsi="Times New Roman" w:hint="eastAsia"/>
          <w:color w:val="auto"/>
          <w:sz w:val="32"/>
          <w:szCs w:val="32"/>
          <w:lang w:val="en-US" w:eastAsia="zh-CN"/>
          <w:highlight w:val="auto"/>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eastAsia="方正小标宋简体" w:cs="Times New Roman" w:hAnsi="Times New Roman"/>
          <w:b w:val="0"/>
          <w:bCs/>
          <w:sz w:val="44"/>
          <w:szCs w:val="44"/>
          <w:shd w:val="clear" w:color="auto" w:fill="FFFFFF"/>
          <w:highlight w:val="auto"/>
        </w:rPr>
      </w:pPr>
    </w:p>
    <w:p>
      <w:pPr>
        <w:spacing w:line="580" w:lineRule="exact"/>
        <w:jc w:val="center"/>
        <w:rPr>
          <w:rFonts w:ascii="方正小标宋_GBK" w:eastAsia="方正小标宋_GBK" w:hint="eastAsia"/>
          <w:b/>
          <w:bCs/>
          <w:color w:val="000000"/>
          <w:sz w:val="44"/>
          <w:szCs w:val="44"/>
        </w:rPr>
      </w:pPr>
      <w:r>
        <w:rPr>
          <w:rFonts w:ascii="方正小标宋_GBK" w:eastAsia="方正小标宋_GBK" w:hint="eastAsia"/>
          <w:b/>
          <w:bCs/>
          <w:color w:val="000000"/>
          <w:sz w:val="44"/>
          <w:szCs w:val="44"/>
        </w:rPr>
        <w:t>阿坝州佛教协会</w:t>
      </w:r>
    </w:p>
    <w:p>
      <w:pPr>
        <w:spacing w:line="580" w:lineRule="exact"/>
        <w:jc w:val="center"/>
        <w:rPr>
          <w:rFonts w:ascii="方正小标宋_GBK" w:eastAsia="方正小标宋_GBK" w:hint="eastAsia"/>
          <w:b/>
          <w:bCs/>
          <w:color w:val="000000"/>
          <w:sz w:val="44"/>
          <w:szCs w:val="44"/>
        </w:rPr>
      </w:pPr>
      <w:r>
        <w:rPr>
          <w:rFonts w:ascii="方正小标宋_GBK" w:eastAsia="方正小标宋_GBK" w:hint="eastAsia"/>
          <w:b/>
          <w:bCs/>
          <w:color w:val="000000"/>
          <w:sz w:val="44"/>
          <w:szCs w:val="44"/>
        </w:rPr>
        <w:t>关于202</w:t>
      </w:r>
      <w:r>
        <w:rPr>
          <w:rFonts w:ascii="方正小标宋_GBK" w:eastAsia="方正小标宋_GBK"/>
          <w:b/>
          <w:bCs/>
          <w:color w:val="000000"/>
          <w:sz w:val="44"/>
          <w:szCs w:val="44"/>
        </w:rPr>
        <w:t>5</w:t>
      </w:r>
      <w:r>
        <w:rPr>
          <w:rFonts w:ascii="方正小标宋_GBK" w:eastAsia="方正小标宋_GBK" w:hint="eastAsia"/>
          <w:b/>
          <w:bCs/>
          <w:color w:val="000000"/>
          <w:sz w:val="44"/>
          <w:szCs w:val="44"/>
        </w:rPr>
        <w:t>年</w:t>
      </w:r>
      <w:r>
        <w:rPr>
          <w:rFonts w:ascii="方正小标宋_GBK" w:eastAsia="方正小标宋_GBK" w:hint="eastAsia"/>
          <w:b/>
          <w:bCs/>
          <w:color w:val="000000"/>
          <w:sz w:val="44"/>
          <w:szCs w:val="44"/>
          <w:highlight w:val="auto"/>
        </w:rPr>
        <w:t>部门</w:t>
      </w:r>
      <w:r>
        <w:rPr>
          <w:rFonts w:ascii="方正小标宋_GBK" w:eastAsia="方正小标宋_GBK" w:hint="eastAsia"/>
          <w:b/>
          <w:bCs/>
          <w:color w:val="000000"/>
          <w:sz w:val="44"/>
          <w:szCs w:val="44"/>
          <w:lang w:eastAsia="zh-CN"/>
          <w:highlight w:val="auto"/>
        </w:rPr>
        <w:t>预算</w:t>
      </w:r>
      <w:r>
        <w:rPr>
          <w:rFonts w:ascii="方正小标宋_GBK" w:eastAsia="方正小标宋_GBK" w:hint="eastAsia"/>
          <w:b/>
          <w:bCs/>
          <w:color w:val="000000"/>
          <w:sz w:val="44"/>
          <w:szCs w:val="44"/>
          <w:highlight w:val="auto"/>
        </w:rPr>
        <w:t>绩效</w:t>
      </w:r>
      <w:r>
        <w:rPr>
          <w:rFonts w:ascii="方正小标宋_GBK" w:eastAsia="方正小标宋_GBK" w:hint="eastAsia"/>
          <w:b/>
          <w:bCs/>
          <w:color w:val="000000"/>
          <w:sz w:val="44"/>
          <w:szCs w:val="44"/>
          <w:lang w:eastAsia="zh-CN"/>
          <w:highlight w:val="auto"/>
        </w:rPr>
        <w:t>自评</w:t>
      </w:r>
      <w:r>
        <w:rPr>
          <w:rFonts w:ascii="方正小标宋_GBK" w:eastAsia="方正小标宋_GBK" w:hint="eastAsia"/>
          <w:b/>
          <w:bCs/>
          <w:color w:val="000000"/>
          <w:sz w:val="44"/>
          <w:szCs w:val="44"/>
          <w:highlight w:val="auto"/>
        </w:rPr>
        <w:t>报告</w:t>
      </w:r>
    </w:p>
    <w:p>
      <w:pPr>
        <w:spacing w:line="560" w:lineRule="exact"/>
        <w:ind w:firstLineChars="200" w:firstLine="640"/>
        <w:rPr>
          <w:rFonts w:ascii="Times New Roman" w:eastAsia="黑体" w:hAnsi="Times New Roman"/>
          <w:b/>
          <w:bCs/>
          <w:color w:val="000000"/>
          <w:sz w:val="32"/>
          <w:szCs w:val="32"/>
        </w:rPr>
      </w:pPr>
    </w:p>
    <w:p>
      <w:pPr>
        <w:spacing w:line="560" w:lineRule="exact"/>
        <w:ind w:firstLineChars="200" w:firstLine="640"/>
        <w:rPr>
          <w:rFonts w:ascii="Times New Roman" w:eastAsia="黑体" w:hAnsi="Times New Roman"/>
          <w:b/>
          <w:bCs/>
          <w:color w:val="000000"/>
          <w:kern w:val="0"/>
          <w:szCs w:val="32"/>
          <w:shd w:val="clear" w:color="auto" w:fill="FFFFFF"/>
          <w:lang w:val="zh-CN" w:eastAsia="zh-CN"/>
        </w:rPr>
      </w:pPr>
      <w:r>
        <w:rPr>
          <w:rFonts w:ascii="Times New Roman" w:eastAsia="黑体" w:hAnsi="Times New Roman"/>
          <w:b/>
          <w:bCs/>
          <w:color w:val="000000"/>
          <w:sz w:val="32"/>
          <w:szCs w:val="32"/>
        </w:rPr>
        <w:t>一、部门（单位）基本情况</w:t>
      </w:r>
    </w:p>
    <w:p>
      <w:pPr>
        <w:spacing w:line="560" w:lineRule="exact"/>
        <w:ind w:firstLineChars="200" w:firstLine="640"/>
        <w:rPr>
          <w:rFonts w:ascii="方正楷体_GBK" w:eastAsia="方正楷体_GBK" w:hint="eastAsia"/>
          <w:b/>
          <w:bCs/>
          <w:color w:val="000000"/>
          <w:sz w:val="32"/>
          <w:szCs w:val="32"/>
        </w:rPr>
      </w:pPr>
      <w:r>
        <w:rPr>
          <w:rFonts w:ascii="方正楷体_GBK" w:eastAsia="方正楷体_GBK" w:hint="eastAsia"/>
          <w:b/>
          <w:bCs/>
          <w:color w:val="000000"/>
          <w:sz w:val="32"/>
          <w:szCs w:val="32"/>
        </w:rPr>
        <w:t>（一）机构组成</w:t>
      </w:r>
    </w:p>
    <w:p>
      <w:pPr>
        <w:widowControl/>
        <w:adjustRightInd w:val="0"/>
        <w:snapToGrid w:val="0"/>
        <w:spacing w:line="580" w:lineRule="exact"/>
        <w:ind w:firstLineChars="200" w:firstLine="640"/>
        <w:contextualSpacing/>
        <w:jc w:val="left"/>
        <w:rPr>
          <w:rFonts w:ascii="仿宋_GB2312" w:eastAsia="仿宋_GB2312" w:hint="eastAsia"/>
          <w:color w:val="000000"/>
          <w:kern w:val="0"/>
          <w:sz w:val="32"/>
          <w:szCs w:val="32"/>
          <w:shd w:val="clear" w:color="auto" w:fill="FFFFFF"/>
        </w:rPr>
      </w:pPr>
      <w:r>
        <w:rPr>
          <w:rFonts w:ascii="仿宋_GB2312" w:eastAsia="仿宋_GB2312" w:hint="eastAsia"/>
          <w:color w:val="000000"/>
          <w:kern w:val="0"/>
          <w:sz w:val="32"/>
          <w:szCs w:val="32"/>
          <w:shd w:val="clear" w:color="auto" w:fill="FFFFFF"/>
        </w:rPr>
        <w:t>阿坝州佛教协会是一级预算单位，属参公单位。内设机构1个，下属财政全额拨款事业一级预算单位1个（阿坝州藏传佛教文化研究中心）。</w:t>
      </w:r>
    </w:p>
    <w:p>
      <w:pPr>
        <w:spacing w:line="560" w:lineRule="exact"/>
        <w:ind w:firstLineChars="200" w:firstLine="640"/>
        <w:rPr>
          <w:rFonts w:ascii="方正楷体_GBK" w:eastAsia="方正楷体_GBK" w:hint="eastAsia"/>
          <w:b/>
          <w:bCs/>
          <w:color w:val="000000"/>
          <w:sz w:val="32"/>
          <w:szCs w:val="32"/>
        </w:rPr>
      </w:pPr>
      <w:r>
        <w:rPr>
          <w:rFonts w:ascii="方正楷体_GBK" w:eastAsia="方正楷体_GBK" w:hint="eastAsia"/>
          <w:b/>
          <w:bCs/>
          <w:color w:val="000000"/>
          <w:sz w:val="32"/>
          <w:szCs w:val="32"/>
        </w:rPr>
        <w:t>（二）机构职能</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按照三定方案（阿委办〔1997〕96号）文件规定，州佛协主要职责是:1.协同党和政府宣传贯彻党的宗教政策和国家有关宗教方面的法律、法规；2.组织和推动佛教徒学习国家的宗教政策和国家有关法律、法规，协助寺庙制定各项规章制度，管好宗教活动场所，开展正常的宗教活动；3.维护佛教徒信仰自由的合法权益，反映佛教界的愿望和要求；4.举办佛教教育培训，积极开展藏传佛教历史和学术研究，收集整理各教派寺庙的历史资料，保护佛教文物古迹；5.抵制境外敌对宗教势力的渗透，教育佛教徒爱国爱教；6.团结和引导全州各族佛教徒积极为国家经济建设服务，帮助和指导各教派寺庙举办以“自养”为中心的生产、服务和社会公益事业；7.承办党和政府及上级主管部门交办的其他工作。</w:t>
      </w:r>
    </w:p>
    <w:p>
      <w:pPr>
        <w:spacing w:line="560" w:lineRule="exact"/>
        <w:ind w:firstLineChars="200" w:firstLine="640"/>
        <w:rPr>
          <w:rFonts w:ascii="方正楷体_GBK" w:eastAsia="方正楷体_GBK" w:hint="eastAsia"/>
          <w:b/>
          <w:color w:val="000000"/>
          <w:sz w:val="32"/>
          <w:szCs w:val="32"/>
        </w:rPr>
      </w:pPr>
      <w:r>
        <w:rPr>
          <w:rFonts w:ascii="方正楷体_GBK" w:eastAsia="方正楷体_GBK" w:hint="eastAsia"/>
          <w:b/>
          <w:color w:val="000000"/>
          <w:sz w:val="32"/>
          <w:szCs w:val="32"/>
        </w:rPr>
        <w:t>（三）人员概况</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截至2025年末，我会编制数11名（其中：参公6人，事业4人，参公工勤1人）；在职人员9人（其中：参公4人，事业4人，参公工勤1人），退休人员3人。</w:t>
      </w:r>
    </w:p>
    <w:p>
      <w:pPr>
        <w:spacing w:line="560" w:lineRule="exact"/>
        <w:ind w:firstLineChars="200" w:firstLine="640"/>
        <w:rPr>
          <w:rFonts w:ascii="Times New Roman" w:eastAsia="黑体" w:hAnsi="Times New Roman"/>
          <w:b/>
          <w:color w:val="000000"/>
          <w:sz w:val="32"/>
          <w:szCs w:val="32"/>
        </w:rPr>
      </w:pPr>
      <w:r>
        <w:rPr>
          <w:rFonts w:ascii="Times New Roman" w:eastAsia="黑体" w:hAnsi="Times New Roman"/>
          <w:b/>
          <w:color w:val="000000"/>
          <w:sz w:val="32"/>
          <w:szCs w:val="32"/>
        </w:rPr>
        <w:t>二、部门资金收支情况</w:t>
      </w:r>
    </w:p>
    <w:p>
      <w:pPr>
        <w:spacing w:line="560" w:lineRule="exact"/>
        <w:ind w:firstLineChars="200" w:firstLine="640"/>
        <w:rPr>
          <w:rFonts w:ascii="方正楷体_GBK" w:eastAsia="方正楷体_GBK" w:hint="eastAsia"/>
          <w:b/>
          <w:color w:val="000000"/>
          <w:sz w:val="32"/>
          <w:szCs w:val="32"/>
        </w:rPr>
      </w:pPr>
      <w:r>
        <w:rPr>
          <w:rFonts w:ascii="方正楷体_GBK" w:eastAsia="方正楷体_GBK" w:hint="eastAsia"/>
          <w:b/>
          <w:color w:val="000000"/>
          <w:sz w:val="32"/>
          <w:szCs w:val="32"/>
        </w:rPr>
        <w:t>（一）收入情况</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我会2025年度年初一般公共预算财政拨款收入429.75万元，本年财政资金收入合计为429.75万元；其他收入17万元（代管资金），全年收入合计446.75万元。</w:t>
      </w:r>
    </w:p>
    <w:p>
      <w:pPr>
        <w:spacing w:line="560" w:lineRule="exact"/>
        <w:ind w:firstLineChars="200" w:firstLine="640"/>
        <w:rPr>
          <w:rFonts w:ascii="方正楷体_GBK" w:eastAsia="方正楷体_GBK" w:hint="eastAsia"/>
          <w:b/>
          <w:color w:val="000000"/>
          <w:sz w:val="32"/>
          <w:szCs w:val="32"/>
        </w:rPr>
      </w:pPr>
      <w:r>
        <w:rPr>
          <w:rFonts w:ascii="方正楷体_GBK" w:eastAsia="方正楷体_GBK" w:hint="eastAsia"/>
          <w:b/>
          <w:color w:val="000000"/>
          <w:sz w:val="32"/>
          <w:szCs w:val="32"/>
        </w:rPr>
        <w:t>（二）支出情况</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我会2025年度财政总支出445.08万元。其中人员经费：234.3万元；公用经费：26.51万元；项目支出：184.27万元。</w:t>
      </w:r>
    </w:p>
    <w:p>
      <w:pPr>
        <w:spacing w:line="560" w:lineRule="exact"/>
        <w:ind w:firstLineChars="200" w:firstLine="640"/>
        <w:rPr>
          <w:rFonts w:ascii="方正楷体_GBK" w:eastAsia="方正楷体_GBK" w:hint="eastAsia"/>
          <w:b/>
          <w:color w:val="000000"/>
          <w:sz w:val="32"/>
          <w:szCs w:val="32"/>
        </w:rPr>
      </w:pPr>
      <w:r>
        <w:rPr>
          <w:rFonts w:ascii="方正楷体_GBK" w:eastAsia="方正楷体_GBK" w:hint="eastAsia"/>
          <w:b/>
          <w:color w:val="000000"/>
          <w:sz w:val="32"/>
          <w:szCs w:val="32"/>
        </w:rPr>
        <w:t>（三）结余分配和结转结余情况</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我会2025年一般公共预算财政拨款不存在决算报表结转结余情况。非财政拨款资金（代管资金）结转结余22.3万元，由财政财政代管。</w:t>
      </w:r>
    </w:p>
    <w:p>
      <w:pPr>
        <w:spacing w:line="560" w:lineRule="exact"/>
        <w:ind w:firstLineChars="200" w:firstLine="640"/>
        <w:rPr>
          <w:rFonts w:ascii="Times New Roman" w:eastAsia="黑体" w:hAnsi="Times New Roman"/>
          <w:color w:val="000000"/>
          <w:sz w:val="32"/>
          <w:szCs w:val="32"/>
        </w:rPr>
      </w:pPr>
      <w:r>
        <w:rPr>
          <w:rFonts w:ascii="Times New Roman" w:eastAsia="黑体" w:hAnsi="Times New Roman"/>
          <w:color w:val="000000"/>
          <w:sz w:val="32"/>
          <w:szCs w:val="32"/>
        </w:rPr>
        <w:t>三、部门预算绩效分析</w:t>
      </w:r>
    </w:p>
    <w:p>
      <w:pPr>
        <w:adjustRightInd w:val="0"/>
        <w:snapToGrid w:val="0"/>
        <w:spacing w:line="578" w:lineRule="exact"/>
        <w:ind w:firstLineChars="200" w:firstLine="640"/>
        <w:contextualSpacing/>
        <w:jc w:val="left"/>
        <w:rPr>
          <w:rFonts w:ascii="方正楷体_GBK" w:eastAsia="方正楷体_GBK" w:hint="eastAsia"/>
          <w:b/>
          <w:bCs/>
          <w:color w:val="000000"/>
          <w:sz w:val="32"/>
          <w:szCs w:val="32"/>
          <w:lang w:val="zh-CN" w:eastAsia="zh-CN"/>
        </w:rPr>
      </w:pPr>
      <w:r>
        <w:rPr>
          <w:rFonts w:ascii="方正楷体_GBK" w:eastAsia="方正楷体_GBK" w:hint="eastAsia"/>
          <w:b/>
          <w:bCs/>
          <w:color w:val="000000"/>
          <w:sz w:val="32"/>
          <w:szCs w:val="32"/>
          <w:lang w:val="zh-CN" w:eastAsia="zh-CN"/>
        </w:rPr>
        <w:t>（一）部门预算总体绩效分析。</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根据部门预算绩效评价指标体系“总体绩效”涉及一、二、三级指标进行逐项绩效分析并评分，一级指标包括：总体绩效和项目绩效。依次包括履职效能、预算管理、财务管理、资产管理、采购管理等情况。</w:t>
      </w:r>
    </w:p>
    <w:p>
      <w:pPr>
        <w:numPr>
          <w:ilvl w:val="0"/>
          <w:numId w:val="3"/>
        </w:numPr>
        <w:spacing w:line="560" w:lineRule="exact"/>
        <w:rPr>
          <w:rFonts w:ascii="方正楷体_GBK" w:eastAsia="方正楷体_GBK" w:hint="eastAsia"/>
          <w:b/>
          <w:bCs/>
          <w:color w:val="000000"/>
          <w:sz w:val="32"/>
          <w:szCs w:val="32"/>
        </w:rPr>
      </w:pPr>
      <w:r>
        <w:rPr>
          <w:rFonts w:ascii="方正楷体_GBK" w:eastAsia="方正楷体_GBK" w:cs="楷体_GB2312" w:hint="eastAsia"/>
          <w:b/>
          <w:bCs/>
          <w:color w:val="000000"/>
          <w:sz w:val="32"/>
          <w:szCs w:val="32"/>
          <w:lang w:val="zh-CN" w:eastAsia="zh-CN" w:bidi="ar-SA"/>
        </w:rPr>
        <w:t>履职效能</w:t>
      </w:r>
      <w:r>
        <w:rPr>
          <w:rFonts w:ascii="方正楷体_GBK" w:eastAsia="方正楷体_GBK" w:hint="eastAsia"/>
          <w:b/>
          <w:bCs/>
          <w:color w:val="000000"/>
          <w:sz w:val="32"/>
          <w:szCs w:val="32"/>
        </w:rPr>
        <w:t>。</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培训费》：根据历年开展培训情况和2025年工作规划，《培训费》年初预算数为25万元（包括：伙食费、住宿费、授课费、资料文印费、现场教学费等），年度培训内容分为一期，组织部分县佛协领导、州佛协理事培训，增强社会责任感，提高素质和能力。2025年年底实际支付24.52万元，剩余0.48万元收回财政，预算执行率100%。无扣分项。 培训及现场教学按照实际参训人数来核算预算支出，力争做到节约为本，杜绝浪费，实现绩效目标。</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生活补助：年初预算数为1.68万元，年度目标为进一步加强州、县佛协组织建设，调动广大佛教界人士自觉接受政府依法管理和强化佛协组织自主管理积极性。实际支付1.68万元，预算执行率100%。无扣分项</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阿坝州珍稀古籍文献汇编》收集：为继承弘扬优秀民族文化，打造特色文化品牌，州佛协与州藏文编译局每年对各教派的珍稀古籍进行收集、整理，2025年我会对格鲁、萨迦、觉囊教文集13卷完成了文集收集、录入、排版、校对等工作，为出版奠定了坚实基础。2025年支出29.94，剩余0.06万元收回财政，预算执行率100%。</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阿坝州珍稀古籍文献汇编》出版经费：2025年对格鲁、萨迦、觉囊教13卷文集进行了排版，因文集涉及藏文、梵文排版和编辑等特殊需求，故通过单一来源采购方式，由具备藏文、梵文编审排版出版资质的四川民族出版社出版。具体支出内容为：一是出版费（刊号费、管理费等）；二是文集的排版费、校对费等；三是印刷费（精装版，封面用黄色天然丝绸特种材料印制，封面工艺采用烫红金或黄金，前后环衬用金黄色特种纸张，插页用纸全彩印刷，用128克进品铜版纸，内文用纸单色印刷，正文用纸70克轻型纸，装订方式要求锁线圆背精装+红色双根丝带，每卷印制1000册，共计13000册）。2025年支出首付款50万元，2024年尾款44万元，因此项目为期2年，达到了本年度执行目标。</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iCs/>
          <w:color w:val="000000"/>
          <w:kern w:val="0"/>
          <w:sz w:val="32"/>
          <w:szCs w:val="32"/>
          <w:shd w:val="clear" w:color="auto" w:fill="FFFFFF"/>
        </w:rPr>
        <w:t>《开展“爱党爱国爱社会主义”僧尼教育活动经费》</w:t>
      </w:r>
      <w:r>
        <w:rPr>
          <w:rFonts w:ascii="仿宋_GB2312" w:eastAsia="仿宋_GB2312" w:hint="eastAsia"/>
          <w:bCs/>
          <w:color w:val="000000"/>
          <w:kern w:val="0"/>
          <w:sz w:val="32"/>
          <w:szCs w:val="32"/>
          <w:shd w:val="clear" w:color="auto" w:fill="FFFFFF"/>
        </w:rPr>
        <w:t>：此项目为我会代管资金，年度目标:开展政策法规癣将、藏传佛教教风建设、民族团结进步教育、服务社会活动和教规教义新阐释。支持宗教界对宗教教义教规作出符合社会进步要求的阐释，挖掘和弘扬总教教义、宗教道德、宗教文化中有利于社会和谐、时代进步、健康文明的内容，与中华优秀传统文化向融合，与社会主义先进文化相适应，丰富中国特色社会主义文化内涵。此项目资金为省佛协下拨经费，为连续性项目。2025年度开展主题活动的总场数2次,对僧尼建议的处理反馈时效5个工作日完成,组织僧尼义务植树成活率≥80%，完成了年度目标任务。履职效能最后得分15分。</w:t>
      </w:r>
    </w:p>
    <w:p>
      <w:pPr>
        <w:spacing w:line="560" w:lineRule="exact"/>
        <w:ind w:firstLineChars="200" w:firstLine="640"/>
        <w:rPr>
          <w:rFonts w:ascii="方正楷体_GBK" w:eastAsia="方正楷体_GBK" w:cs="楷体_GB2312" w:hint="eastAsia"/>
          <w:b/>
          <w:bCs/>
          <w:color w:val="000000"/>
          <w:sz w:val="32"/>
          <w:szCs w:val="32"/>
          <w:lang w:val="zh-CN" w:eastAsia="zh-CN" w:bidi="ar-SA"/>
        </w:rPr>
      </w:pPr>
      <w:r>
        <w:rPr>
          <w:rFonts w:ascii="方正楷体_GBK" w:eastAsia="方正楷体_GBK" w:cs="楷体_GB2312" w:hint="eastAsia"/>
          <w:b/>
          <w:bCs/>
          <w:color w:val="000000"/>
          <w:sz w:val="32"/>
          <w:szCs w:val="32"/>
          <w:lang w:val="zh-CN" w:eastAsia="zh-CN" w:bidi="ar-SA"/>
        </w:rPr>
        <w:t>2.预算管理。</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严格执行预算管理相关规定，坚持一个部门一本预算，加强全口径预算管理。结合工作开展实际，坚持“依法依规、突出重点、讲求绩效”的基本原则，严格预算编制。</w:t>
      </w:r>
      <w:r>
        <w:rPr>
          <w:rFonts w:ascii="仿宋_GB2312" w:eastAsia="仿宋_GB2312" w:hint="eastAsia"/>
          <w:b/>
          <w:bCs/>
          <w:color w:val="000000"/>
          <w:kern w:val="0"/>
          <w:sz w:val="32"/>
          <w:szCs w:val="32"/>
          <w:shd w:val="clear" w:color="auto" w:fill="FFFFFF"/>
        </w:rPr>
        <w:t>1</w:t>
      </w:r>
      <w:r>
        <w:rPr>
          <w:rFonts w:ascii="仿宋_GB2312" w:eastAsia="仿宋_GB2312" w:hint="eastAsia"/>
          <w:bCs/>
          <w:color w:val="000000"/>
          <w:kern w:val="0"/>
          <w:sz w:val="32"/>
          <w:szCs w:val="32"/>
          <w:shd w:val="clear" w:color="auto" w:fill="FFFFFF"/>
        </w:rPr>
        <w:t>.我会全年预算数429.75万元，全年决算数429.75万元，无偏离度，无资产配置预算偏离度，政府采购无偏离度得8分；</w:t>
      </w:r>
      <w:r>
        <w:rPr>
          <w:rFonts w:ascii="仿宋_GB2312" w:eastAsia="仿宋_GB2312" w:hint="eastAsia"/>
          <w:b/>
          <w:bCs/>
          <w:color w:val="000000"/>
          <w:kern w:val="0"/>
          <w:sz w:val="32"/>
          <w:szCs w:val="32"/>
          <w:shd w:val="clear" w:color="auto" w:fill="FFFFFF"/>
        </w:rPr>
        <w:t>2.</w:t>
      </w:r>
      <w:r>
        <w:rPr>
          <w:rFonts w:ascii="仿宋_GB2312" w:eastAsia="仿宋_GB2312" w:hint="eastAsia"/>
          <w:bCs/>
          <w:color w:val="000000"/>
          <w:kern w:val="0"/>
          <w:sz w:val="32"/>
          <w:szCs w:val="32"/>
          <w:shd w:val="clear" w:color="auto" w:fill="FFFFFF"/>
        </w:rPr>
        <w:t>我会统筹自有收入为利息收入，已上缴财政，得4分；</w:t>
      </w:r>
      <w:r>
        <w:rPr>
          <w:rFonts w:ascii="仿宋_GB2312" w:eastAsia="仿宋_GB2312" w:hint="eastAsia"/>
          <w:b/>
          <w:bCs/>
          <w:color w:val="000000"/>
          <w:kern w:val="0"/>
          <w:sz w:val="32"/>
          <w:szCs w:val="32"/>
          <w:shd w:val="clear" w:color="auto" w:fill="FFFFFF"/>
        </w:rPr>
        <w:t>3.</w:t>
      </w:r>
      <w:r>
        <w:rPr>
          <w:rFonts w:ascii="仿宋_GB2312" w:eastAsia="仿宋_GB2312" w:hint="eastAsia"/>
          <w:bCs/>
          <w:color w:val="000000"/>
          <w:kern w:val="0"/>
          <w:sz w:val="32"/>
          <w:szCs w:val="32"/>
          <w:shd w:val="clear" w:color="auto" w:fill="FFFFFF"/>
        </w:rPr>
        <w:t>支出执行进度：我会1-6月预算执行数158.4万元，1-10月预算执行数268.97，无支出预警和违规金额，该项指标得分=（158.4÷（429.75×50%）×2）+（1-0×0.8-0×0.2）+（268.97÷（429.75×83.33%）×2）+（1-0×0.8-10×0.2）=5；</w:t>
      </w:r>
      <w:r>
        <w:rPr>
          <w:rFonts w:ascii="仿宋_GB2312" w:eastAsia="仿宋_GB2312" w:hint="eastAsia"/>
          <w:b/>
          <w:bCs/>
          <w:color w:val="000000"/>
          <w:kern w:val="0"/>
          <w:sz w:val="32"/>
          <w:szCs w:val="32"/>
          <w:shd w:val="clear" w:color="auto" w:fill="FFFFFF"/>
        </w:rPr>
        <w:t>4.</w:t>
      </w:r>
      <w:r>
        <w:rPr>
          <w:rFonts w:ascii="仿宋_GB2312" w:eastAsia="仿宋_GB2312" w:hint="eastAsia"/>
          <w:bCs/>
          <w:color w:val="000000"/>
          <w:kern w:val="0"/>
          <w:sz w:val="32"/>
          <w:szCs w:val="32"/>
          <w:shd w:val="clear" w:color="auto" w:fill="FFFFFF"/>
        </w:rPr>
        <w:t>部门整体年终预算结余情况：我会2025年度年终部门预算注销金额（财政回收）为37.55万元，部门整体预算结余率为=财政收回数37.55万元÷预算数429.75万元=8%，该项指标得分=（1-8%）×100%×2=1.8，得分1.8分；</w:t>
      </w:r>
      <w:r>
        <w:rPr>
          <w:rFonts w:ascii="仿宋_GB2312" w:eastAsia="仿宋_GB2312" w:hint="eastAsia"/>
          <w:b/>
          <w:bCs/>
          <w:color w:val="000000"/>
          <w:kern w:val="0"/>
          <w:sz w:val="32"/>
          <w:szCs w:val="32"/>
          <w:shd w:val="clear" w:color="auto" w:fill="FFFFFF"/>
        </w:rPr>
        <w:t>5.</w:t>
      </w:r>
      <w:r>
        <w:rPr>
          <w:rFonts w:ascii="仿宋_GB2312" w:eastAsia="仿宋_GB2312" w:hint="eastAsia"/>
          <w:bCs/>
          <w:color w:val="000000"/>
          <w:kern w:val="0"/>
          <w:sz w:val="32"/>
          <w:szCs w:val="32"/>
          <w:shd w:val="clear" w:color="auto" w:fill="FFFFFF"/>
        </w:rPr>
        <w:t>严控一般性支出，我会2024年预算数为463.72万元，2025年预算数为429.75万元，较上年压减8%。2024年预算执行数为463.72万元，2025年预算执行数为429.75万元， 较上年实现压减8%，共计得分5分，预算管理最后得分23.8分。</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下一步，我会将严格按照预算规定的支出用途使用资金，严格执行各项经费开支标准，合理安排支出进度，规范预算执行。会计年度结束后，加强预算绩效管理，推进预算信息公开，不断提高预算管理的规范化、科学化、标准化水平，增强财政资源统筹能力，硬化预算刚性约束，提高资金使用绩效。</w:t>
      </w:r>
    </w:p>
    <w:p>
      <w:pPr>
        <w:spacing w:line="560" w:lineRule="exact"/>
        <w:ind w:firstLineChars="200" w:firstLine="640"/>
        <w:rPr>
          <w:rFonts w:ascii="方正楷体_GBK" w:eastAsia="方正楷体_GBK" w:cs="楷体_GB2312" w:hint="eastAsia"/>
          <w:b/>
          <w:bCs/>
          <w:color w:val="000000"/>
          <w:sz w:val="32"/>
          <w:szCs w:val="32"/>
          <w:lang w:val="zh-CN" w:eastAsia="zh-CN" w:bidi="ar-SA"/>
        </w:rPr>
      </w:pPr>
      <w:r>
        <w:rPr>
          <w:rFonts w:ascii="方正楷体_GBK" w:eastAsia="方正楷体_GBK" w:cs="楷体_GB2312" w:hint="eastAsia"/>
          <w:b/>
          <w:bCs/>
          <w:color w:val="000000"/>
          <w:sz w:val="32"/>
          <w:szCs w:val="32"/>
          <w:lang w:val="zh-CN" w:eastAsia="zh-CN" w:bidi="ar-SA"/>
        </w:rPr>
        <w:t>3.财务管理。</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严格遵循《中华人民共和国会计法》《中华人民共和国预算法》《政府会计准则-基本准则》《政府会计制度-行政事业单位会计科目和报表》等法律、行政法规和规章。制定了《州佛协财务管理制度》，建立健全内控相关制度，合理设置了财务工作岗位，明确了职责权限，并严格实行不相容岗位分离。加强资金使用监管，实时对我会的用款计划进行审核，每一笔资金的拨付过程都处于财政部门和银行相互制约、相互监督的监控之下，提高财政资金运行透明度。得10分。</w:t>
      </w:r>
    </w:p>
    <w:p>
      <w:pPr>
        <w:spacing w:line="560" w:lineRule="exact"/>
        <w:ind w:firstLineChars="200" w:firstLine="640"/>
        <w:rPr>
          <w:rFonts w:ascii="方正楷体_GBK" w:eastAsia="方正楷体_GBK" w:cs="楷体_GB2312" w:hint="eastAsia"/>
          <w:b/>
          <w:bCs/>
          <w:color w:val="000000"/>
          <w:sz w:val="32"/>
          <w:szCs w:val="32"/>
          <w:lang w:val="zh-CN" w:eastAsia="zh-CN" w:bidi="ar-SA"/>
        </w:rPr>
      </w:pPr>
      <w:r>
        <w:rPr>
          <w:rFonts w:ascii="方正楷体_GBK" w:eastAsia="方正楷体_GBK" w:cs="楷体_GB2312" w:hint="eastAsia"/>
          <w:b/>
          <w:bCs/>
          <w:color w:val="000000"/>
          <w:sz w:val="32"/>
          <w:szCs w:val="32"/>
          <w:lang w:val="zh-CN" w:eastAsia="zh-CN" w:bidi="ar-SA"/>
        </w:rPr>
        <w:t>4.资产管理。</w:t>
      </w:r>
    </w:p>
    <w:p>
      <w:pPr>
        <w:widowControl/>
        <w:adjustRightInd w:val="0"/>
        <w:snapToGrid w:val="0"/>
        <w:spacing w:line="580" w:lineRule="exact"/>
        <w:ind w:firstLineChars="200" w:firstLine="640"/>
        <w:contextualSpacing/>
        <w:jc w:val="left"/>
        <w:rPr>
          <w:rFonts w:ascii="仿宋_GB2312" w:eastAsia="仿宋_GB2312" w:hint="eastAsia"/>
          <w:color w:val="000000"/>
          <w:kern w:val="0"/>
          <w:sz w:val="32"/>
          <w:szCs w:val="32"/>
          <w:shd w:val="clear" w:color="auto" w:fill="FFFFFF"/>
        </w:rPr>
      </w:pPr>
      <w:r>
        <w:rPr>
          <w:rFonts w:ascii="仿宋_GB2312" w:eastAsia="仿宋_GB2312" w:hint="eastAsia"/>
          <w:color w:val="000000"/>
          <w:kern w:val="0"/>
          <w:sz w:val="32"/>
          <w:szCs w:val="32"/>
          <w:shd w:val="clear" w:color="auto" w:fill="FFFFFF"/>
        </w:rPr>
        <w:t>制定了资产管理制度，明确资产配置、使用、处置等程序和审核审批权限；编制部门预算同步编制新增资产配置预算；国有资产交付使用后及时准确入账；明确资产使用和保管责任人、落实资产使用人在资产管理中的责任；国有资产折旧的计提符合相关会计规范；行政事业性国有资产纳入四川省行政事业单位资产管理信息系统动态管理；行政事业单位资产处置按规定报批，处置收益及时足额上缴财政；我会资产无出租、对外投资情况。</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围绕人均资产变化率、资产利用率、资产盘活率进行绩效分析：</w:t>
      </w:r>
      <w:r>
        <w:rPr>
          <w:rFonts w:ascii="仿宋_GB2312" w:eastAsia="仿宋_GB2312" w:hint="eastAsia"/>
          <w:b/>
          <w:bCs/>
          <w:color w:val="000000"/>
          <w:kern w:val="0"/>
          <w:sz w:val="32"/>
          <w:szCs w:val="32"/>
          <w:shd w:val="clear" w:color="auto" w:fill="FFFFFF"/>
        </w:rPr>
        <w:t>1.</w:t>
      </w:r>
      <w:r>
        <w:rPr>
          <w:rFonts w:ascii="仿宋_GB2312" w:eastAsia="仿宋_GB2312" w:hint="eastAsia"/>
          <w:bCs/>
          <w:color w:val="000000"/>
          <w:kern w:val="0"/>
          <w:sz w:val="32"/>
          <w:szCs w:val="32"/>
          <w:shd w:val="clear" w:color="auto" w:fill="FFFFFF"/>
        </w:rPr>
        <w:t>部门人均资产变化率为:2024年年末在职7人，固定资产原值为222.67+无形资产2.48=225.15万元，225.15÷7=21.16万元，2025年年末在职9人，固定资产原值为225.59+无形资产2.48=228.07万元，225.15÷9=25.34万元，部门人均资产变化率为X= (25.34-21.16) ÷21.16×100=19.75%，部门人均资产增长率为X=-3.49%，X&gt;N，得0分。同期省级财政收入增长率为17.1%,X&gt;N得0分，17.1%＜19.75%≤34.2%,得0.6分。共计0.6分。</w:t>
      </w:r>
      <w:r>
        <w:rPr>
          <w:rFonts w:ascii="仿宋_GB2312" w:eastAsia="仿宋_GB2312" w:hint="eastAsia"/>
          <w:b/>
          <w:bCs/>
          <w:color w:val="000000"/>
          <w:kern w:val="0"/>
          <w:sz w:val="32"/>
          <w:szCs w:val="32"/>
          <w:shd w:val="clear" w:color="auto" w:fill="FFFFFF"/>
        </w:rPr>
        <w:t>2.</w:t>
      </w:r>
      <w:r>
        <w:rPr>
          <w:rFonts w:ascii="仿宋_GB2312" w:eastAsia="仿宋_GB2312" w:hint="eastAsia"/>
          <w:bCs/>
          <w:color w:val="000000"/>
          <w:kern w:val="0"/>
          <w:sz w:val="32"/>
          <w:szCs w:val="32"/>
          <w:shd w:val="clear" w:color="auto" w:fill="FFFFFF"/>
        </w:rPr>
        <w:t>资产利用率，我会办公家具超最低使用年限资产利用率X=14160÷124760×100%=11.35%，省直行政事业单位平均值办公家具N为12.93%，X≤N，得0分。0.8N＜11.35%≤12.93%,得0.9分。部门办公设备超最低使用年限资产利用率X=1658714÷1814264×100%=91.43%，省直行政事业单位平均值N为53.14%，X＞N，得1.5分，共计2.4分。</w:t>
      </w:r>
      <w:r>
        <w:rPr>
          <w:rFonts w:ascii="仿宋_GB2312" w:eastAsia="仿宋_GB2312" w:hint="eastAsia"/>
          <w:b/>
          <w:bCs/>
          <w:color w:val="000000"/>
          <w:kern w:val="0"/>
          <w:sz w:val="32"/>
          <w:szCs w:val="32"/>
          <w:shd w:val="clear" w:color="auto" w:fill="FFFFFF"/>
        </w:rPr>
        <w:t>3.</w:t>
      </w:r>
      <w:r>
        <w:rPr>
          <w:rFonts w:ascii="仿宋_GB2312" w:eastAsia="仿宋_GB2312" w:hint="eastAsia"/>
          <w:bCs/>
          <w:color w:val="000000"/>
          <w:kern w:val="0"/>
          <w:sz w:val="32"/>
          <w:szCs w:val="32"/>
          <w:shd w:val="clear" w:color="auto" w:fill="FFFFFF"/>
        </w:rPr>
        <w:t>资产盘活率</w:t>
      </w:r>
      <w:r>
        <w:rPr>
          <w:rFonts w:ascii="仿宋_GB2312" w:eastAsia="仿宋_GB2312" w:hint="eastAsia"/>
          <w:b/>
          <w:bCs/>
          <w:color w:val="000000"/>
          <w:kern w:val="0"/>
          <w:sz w:val="32"/>
          <w:szCs w:val="32"/>
          <w:shd w:val="clear" w:color="auto" w:fill="FFFFFF"/>
        </w:rPr>
        <w:t>，</w:t>
      </w:r>
      <w:r>
        <w:rPr>
          <w:rFonts w:ascii="仿宋_GB2312" w:eastAsia="仿宋_GB2312" w:hint="eastAsia"/>
          <w:color w:val="000000"/>
          <w:kern w:val="0"/>
          <w:sz w:val="32"/>
          <w:szCs w:val="32"/>
          <w:shd w:val="clear" w:color="auto" w:fill="FFFFFF"/>
        </w:rPr>
        <w:t>我会2024年及2025年无闲置资产，得3分</w:t>
      </w:r>
      <w:r>
        <w:rPr>
          <w:rFonts w:ascii="仿宋_GB2312" w:eastAsia="仿宋_GB2312" w:hint="eastAsia"/>
          <w:b/>
          <w:bCs/>
          <w:color w:val="000000"/>
          <w:kern w:val="0"/>
          <w:sz w:val="32"/>
          <w:szCs w:val="32"/>
          <w:shd w:val="clear" w:color="auto" w:fill="FFFFFF"/>
        </w:rPr>
        <w:t>。</w:t>
      </w:r>
      <w:r>
        <w:rPr>
          <w:rFonts w:ascii="仿宋_GB2312" w:eastAsia="仿宋_GB2312" w:hint="eastAsia"/>
          <w:bCs/>
          <w:color w:val="000000"/>
          <w:kern w:val="0"/>
          <w:sz w:val="32"/>
          <w:szCs w:val="32"/>
          <w:shd w:val="clear" w:color="auto" w:fill="FFFFFF"/>
        </w:rPr>
        <w:t>资产管理得分6分。</w:t>
      </w:r>
    </w:p>
    <w:p>
      <w:pPr>
        <w:spacing w:line="560" w:lineRule="exact"/>
        <w:ind w:firstLineChars="200" w:firstLine="640"/>
        <w:rPr>
          <w:rFonts w:ascii="方正楷体_GBK" w:eastAsia="方正楷体_GBK" w:cs="楷体_GB2312" w:hint="eastAsia"/>
          <w:b/>
          <w:bCs/>
          <w:color w:val="000000"/>
          <w:sz w:val="32"/>
          <w:szCs w:val="32"/>
          <w:lang w:val="zh-CN" w:eastAsia="zh-CN" w:bidi="ar-SA"/>
        </w:rPr>
      </w:pPr>
      <w:r>
        <w:rPr>
          <w:rFonts w:ascii="方正楷体_GBK" w:eastAsia="方正楷体_GBK" w:cs="楷体_GB2312" w:hint="eastAsia"/>
          <w:b/>
          <w:bCs/>
          <w:color w:val="000000"/>
          <w:sz w:val="32"/>
          <w:szCs w:val="32"/>
          <w:lang w:val="zh-CN" w:eastAsia="zh-CN" w:bidi="ar-SA"/>
        </w:rPr>
        <w:t>5.采购管理。</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政府采购编制应编尽编；不存在无预算采购、超预算采购情况；按规定进行政府采购计划备案；按照合同约定及时支付资金。按法定采购方式和程序实施采购；不存在拆分项目预算规避政府采购或公开招标情况；按采购文件确定事项签订政府采购合同，按规定公告、备案政府采购合同；政府采购系统中的政府采购信息真实、准确、合法、合规。政府采购行为中不存在限制政府采购供应商及对内外资企业实行差别待遇或歧视等问题。</w:t>
      </w:r>
    </w:p>
    <w:p>
      <w:pPr>
        <w:spacing w:line="560" w:lineRule="exact"/>
        <w:ind w:firstLineChars="200" w:firstLine="640"/>
        <w:rPr>
          <w:rFonts w:ascii="方正楷体_GBK" w:eastAsia="方正楷体_GBK" w:hint="eastAsia"/>
          <w:b/>
          <w:bCs/>
          <w:color w:val="000000"/>
          <w:sz w:val="32"/>
          <w:szCs w:val="32"/>
          <w:lang w:val="zh-CN" w:eastAsia="zh-CN"/>
        </w:rPr>
      </w:pPr>
      <w:r>
        <w:rPr>
          <w:rFonts w:ascii="方正楷体_GBK" w:eastAsia="方正楷体_GBK" w:hint="eastAsia"/>
          <w:b/>
          <w:bCs/>
          <w:color w:val="000000"/>
          <w:sz w:val="32"/>
          <w:szCs w:val="32"/>
          <w:lang w:val="zh-CN" w:eastAsia="zh-CN"/>
        </w:rPr>
        <w:t>（二）部门预算项目绩效分析。</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根据部门预算绩效评价指标体系“项目绩效”涉及二、三级指标进行逐项绩效分析并评分，依次包括项目决策、项目执行、目标实现等情况。</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常规项目绩效分析。该类项目总数10个，涉及预算总金额206.57万元，1—12月预算执行总体进度为71.82%，其中：预算结余率大于10%的项目共计1个（阿坝珍稀古籍文献汇编出版费，此项目为期2年，达到了本年度目标任务和支付进度）。</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阶段（一次性）项目绩效分析。该类项目总数0个，涉及预算总金额0万元，1—12月预算执行总体进度为0%，其中：预算结余率大于10%的项目共计0个。</w:t>
      </w:r>
    </w:p>
    <w:p>
      <w:pPr>
        <w:spacing w:line="560" w:lineRule="exact"/>
        <w:ind w:firstLineChars="200" w:firstLine="640"/>
        <w:rPr>
          <w:rFonts w:ascii="方正楷体_GBK" w:eastAsia="方正楷体_GBK" w:cs="楷体_GB2312" w:hint="eastAsia"/>
          <w:b/>
          <w:bCs/>
          <w:color w:val="000000"/>
          <w:sz w:val="32"/>
          <w:szCs w:val="32"/>
          <w:lang w:val="zh-CN" w:eastAsia="zh-CN" w:bidi="ar-SA"/>
        </w:rPr>
      </w:pPr>
      <w:r>
        <w:rPr>
          <w:rFonts w:ascii="方正楷体_GBK" w:eastAsia="方正楷体_GBK" w:cs="楷体_GB2312" w:hint="eastAsia"/>
          <w:b/>
          <w:bCs/>
          <w:color w:val="000000"/>
          <w:sz w:val="32"/>
          <w:szCs w:val="32"/>
          <w:lang w:val="zh-CN" w:eastAsia="zh-CN" w:bidi="ar-SA"/>
        </w:rPr>
        <w:t>1.项目决策。</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我会2025年度通过会长办公会决策的项目有10个，其中：（一）每个项目决策流程进行了详细的梳理和记录，确保每个决策环节都有明确的依据和审批流程；（二）每个项目的目标清晰明确，能够准确反映项目的预期成果和关键指标，目标分解到了具体的工作任务和责任人，便于跟踪和考核；（三）对于入库项目的技术方案、实施方案和风险评估进行了详细审查，提高了项目的成功率。</w:t>
      </w:r>
    </w:p>
    <w:p>
      <w:pPr>
        <w:spacing w:line="560" w:lineRule="exact"/>
        <w:ind w:firstLineChars="200" w:firstLine="640"/>
        <w:rPr>
          <w:rFonts w:ascii="方正楷体_GBK" w:eastAsia="方正楷体_GBK" w:cs="楷体_GB2312" w:hint="eastAsia"/>
          <w:b/>
          <w:bCs/>
          <w:color w:val="000000"/>
          <w:sz w:val="32"/>
          <w:szCs w:val="32"/>
          <w:lang w:val="zh-CN" w:eastAsia="zh-CN" w:bidi="ar-SA"/>
        </w:rPr>
      </w:pPr>
      <w:r>
        <w:rPr>
          <w:rFonts w:ascii="方正楷体_GBK" w:eastAsia="方正楷体_GBK" w:cs="楷体_GB2312" w:hint="eastAsia"/>
          <w:b/>
          <w:bCs/>
          <w:color w:val="000000"/>
          <w:sz w:val="32"/>
          <w:szCs w:val="32"/>
          <w:lang w:val="zh-CN" w:eastAsia="zh-CN" w:bidi="ar-SA"/>
        </w:rPr>
        <w:t>2.项目执行。</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我会2025年度财政拨款项目收入206.57万元，项目支出184.27万元。代管资金结转结余22.3万元，资金使用符合预算计划和项目需求，不存在浪费和挪用的情况，剩余资金都由财政收回。无项目调整情况。项目执行结果都是按规定执行，达到了预期的目标，同时，建立了相关的绩效评估机制，以保证项目的顺利实施。</w:t>
      </w:r>
    </w:p>
    <w:p>
      <w:pPr>
        <w:widowControl/>
        <w:adjustRightInd w:val="0"/>
        <w:snapToGrid w:val="0"/>
        <w:spacing w:line="580" w:lineRule="exact"/>
        <w:ind w:firstLineChars="200" w:firstLine="640"/>
        <w:contextualSpacing/>
        <w:jc w:val="left"/>
        <w:rPr>
          <w:rFonts w:ascii="Times New Roman" w:eastAsia="方正仿宋_GBK" w:hAnsi="Times New Roman" w:hint="eastAsia"/>
          <w:b/>
          <w:bCs/>
          <w:color w:val="000000"/>
          <w:kern w:val="0"/>
          <w:sz w:val="32"/>
          <w:szCs w:val="32"/>
          <w:shd w:val="clear" w:color="auto" w:fill="FFFFFF"/>
        </w:rPr>
      </w:pPr>
      <w:r>
        <w:rPr>
          <w:rFonts w:ascii="方正楷体_GBK" w:eastAsia="方正楷体_GBK" w:cs="楷体_GB2312" w:hint="eastAsia"/>
          <w:b/>
          <w:bCs/>
          <w:color w:val="000000"/>
          <w:sz w:val="32"/>
          <w:szCs w:val="32"/>
          <w:lang w:val="zh-CN" w:eastAsia="zh-CN" w:bidi="ar-SA"/>
        </w:rPr>
        <w:t xml:space="preserve">3.目标实现   </w:t>
      </w:r>
      <w:r>
        <w:rPr>
          <w:rFonts w:ascii="Times New Roman" w:eastAsia="方正仿宋_GBK" w:hAnsi="Times New Roman"/>
          <w:b/>
          <w:bCs/>
          <w:color w:val="000000"/>
          <w:kern w:val="0"/>
          <w:sz w:val="32"/>
          <w:szCs w:val="32"/>
          <w:shd w:val="clear" w:color="auto" w:fill="FFFFFF"/>
        </w:rPr>
        <w:t xml:space="preserve">                                    </w:t>
      </w:r>
    </w:p>
    <w:p>
      <w:pPr>
        <w:widowControl/>
        <w:adjustRightInd w:val="0"/>
        <w:snapToGrid w:val="0"/>
        <w:spacing w:line="580" w:lineRule="exact"/>
        <w:ind w:firstLineChars="200" w:firstLine="640"/>
        <w:contextualSpacing/>
        <w:jc w:val="left"/>
        <w:rPr>
          <w:rFonts w:ascii="Times New Roman" w:eastAsia="方正仿宋_GBK" w:hAnsi="Times New Roman" w:hint="eastAsia"/>
          <w:b/>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我会2025年度完成的目标任务：1.《阿坝州珍稀古籍文献汇编》排版13000本；2.组织和推动佛教徒学习国家的宗教政策和国家有关法律、法规，协助寺庙制定各项规章制度，管好宗教活动场所，开展正常的宗教活动；3.举办佛教教育培训，积极开展藏传佛教历史和学术研究，收集整理各教派寺庙的历史资料，保护佛教文物古迹；4.组织其参加各种培训和现场教学，增强国家意识、法律意识、（三个意识）；5.解决了州、县佛协组织会长、副会长、秘书长、副秘书长中未领取国家工资的人员实行了生活补助。为全州经济社会发展发挥了积极作用，预算资金的支出进度和工作计划相匹配，预算执行率100%，不存在资金闲置和违规使用资金。</w:t>
      </w:r>
    </w:p>
    <w:p>
      <w:pPr>
        <w:widowControl/>
        <w:adjustRightInd w:val="0"/>
        <w:snapToGrid w:val="0"/>
        <w:spacing w:line="578" w:lineRule="exact"/>
        <w:ind w:left="0" w:firstLineChars="150" w:firstLine="480"/>
        <w:contextualSpacing/>
        <w:jc w:val="left"/>
        <w:rPr>
          <w:rFonts w:ascii="方正楷体_GBK" w:eastAsia="方正楷体_GBK" w:hint="eastAsia"/>
          <w:b/>
          <w:bCs/>
          <w:color w:val="000000"/>
          <w:sz w:val="32"/>
          <w:szCs w:val="32"/>
          <w:lang w:val="zh-CN" w:eastAsia="zh-CN"/>
        </w:rPr>
      </w:pPr>
      <w:r>
        <w:rPr>
          <w:rFonts w:ascii="方正楷体_GBK" w:eastAsia="方正楷体_GBK" w:hint="eastAsia"/>
          <w:b/>
          <w:bCs/>
          <w:color w:val="000000"/>
          <w:sz w:val="32"/>
          <w:szCs w:val="32"/>
          <w:lang w:val="zh-CN" w:eastAsia="zh-CN"/>
        </w:rPr>
        <w:t>（三）重点领域绩效分析。</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我会2025年度政府采购《阿坝州珍稀古籍文献汇编》出版经费预算数100万元，支付首付款50万元，2024年度尾款44万元，预算执行率100%，自评分为100分，因《阿坝州珍稀古籍文献汇编》从收集整理到完成出版印刷周期较长，合同周期一般为2年，签至2026年，通过项目实施，2025年已全面完成文集的排版工作，完成了既定目标。</w:t>
      </w:r>
    </w:p>
    <w:p>
      <w:pPr>
        <w:snapToGrid w:val="0"/>
        <w:spacing w:line="600" w:lineRule="exact"/>
        <w:ind w:left="0" w:firstLineChars="150" w:firstLine="480"/>
        <w:rPr>
          <w:rFonts w:ascii="方正楷体_GBK" w:eastAsia="方正楷体_GBK" w:hint="eastAsia"/>
          <w:b/>
          <w:bCs/>
          <w:color w:val="000000"/>
          <w:sz w:val="32"/>
          <w:szCs w:val="32"/>
          <w:lang w:val="zh-CN" w:eastAsia="zh-CN"/>
        </w:rPr>
      </w:pPr>
      <w:r>
        <w:rPr>
          <w:rFonts w:ascii="方正楷体_GBK" w:eastAsia="方正楷体_GBK" w:hint="eastAsia"/>
          <w:b/>
          <w:bCs/>
          <w:color w:val="000000"/>
          <w:sz w:val="32"/>
          <w:szCs w:val="32"/>
          <w:lang w:val="zh-CN" w:eastAsia="zh-CN"/>
        </w:rPr>
        <w:t>（四）绩效结果应用情况。</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我会根据绩效评估结果，为财政政策制定和调整提供依据，确保政策的科学性和有效性；将绩效结果作为内部监督和问责的重要依据，对造成财政资源浪费或绩效低下的责任人员进行相应的处理；综合考虑各项目的绩效情况，实现单位内部财政资源的优化配置，提高资金使用效率；对绩效不达标的财政项目进行深入分析，找出问题所在，优化项目管理流程和方法，提高项目实施效果；为单位的重大决策提供数据支持，例如是否继续开展某项业务、是否加大对特定领域的投入等，同时按照相关规定，向州财政局及时报告财政绩效结果，增加透明度和公信力，为我会圆满完成各项目标任务，发挥职能作用奠定了良好的基础。</w:t>
      </w:r>
    </w:p>
    <w:p>
      <w:pPr>
        <w:spacing w:line="560" w:lineRule="exact"/>
        <w:ind w:firstLineChars="200" w:firstLine="640"/>
        <w:rPr>
          <w:rFonts w:ascii="Times New Roman" w:eastAsia="黑体" w:hAnsi="Times New Roman"/>
          <w:bCs/>
          <w:color w:val="000000"/>
          <w:sz w:val="32"/>
          <w:szCs w:val="32"/>
        </w:rPr>
      </w:pPr>
      <w:r>
        <w:rPr>
          <w:rFonts w:ascii="Times New Roman" w:eastAsia="黑体" w:hAnsi="Times New Roman"/>
          <w:bCs/>
          <w:color w:val="000000"/>
          <w:sz w:val="32"/>
          <w:szCs w:val="32"/>
        </w:rPr>
        <w:t>四、评价结论及建议</w:t>
      </w:r>
    </w:p>
    <w:p>
      <w:pPr>
        <w:spacing w:line="560" w:lineRule="exact"/>
        <w:ind w:firstLineChars="200" w:firstLine="640"/>
        <w:rPr>
          <w:rFonts w:ascii="方正楷体_GBK" w:eastAsia="方正楷体_GBK" w:hint="eastAsia"/>
          <w:b/>
          <w:color w:val="000000"/>
          <w:sz w:val="32"/>
          <w:szCs w:val="32"/>
        </w:rPr>
      </w:pPr>
      <w:r>
        <w:rPr>
          <w:rFonts w:ascii="方正楷体_GBK" w:eastAsia="方正楷体_GBK" w:hint="eastAsia"/>
          <w:b/>
          <w:color w:val="000000"/>
          <w:sz w:val="32"/>
          <w:szCs w:val="32"/>
        </w:rPr>
        <w:t>（一）评价结论</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我会总体收入和支出都较小，项目经费把控严格，总体收支较平衡，严格按照预算管理办法进行财务收支，三公经费管控合理，无小金库，无违规发放钱物等情况。通过自评我会整体绩效评价为95.8分。</w:t>
      </w:r>
    </w:p>
    <w:p>
      <w:pPr>
        <w:spacing w:line="560" w:lineRule="exact"/>
        <w:ind w:firstLineChars="200" w:firstLine="640"/>
        <w:rPr>
          <w:rFonts w:ascii="方正楷体_GBK" w:eastAsia="方正楷体_GBK" w:hint="eastAsia"/>
          <w:b/>
          <w:color w:val="000000"/>
          <w:sz w:val="32"/>
          <w:szCs w:val="32"/>
        </w:rPr>
      </w:pPr>
      <w:r>
        <w:rPr>
          <w:rFonts w:ascii="方正楷体_GBK" w:eastAsia="方正楷体_GBK" w:hint="eastAsia"/>
          <w:b/>
          <w:color w:val="000000"/>
          <w:sz w:val="32"/>
          <w:szCs w:val="32"/>
        </w:rPr>
        <w:t>（二）存在问题</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一是因我会工作人员少，工作量大，为顺利推进各项工作，下基层开展工作多数时候是将几项专项工作一次性开展，再加上多数专项贯穿全年，故造成部分项目经费支出进度较慢及执行不够的情况；二是因我州藏传佛教教派多、高僧大德多，分布地区广，有些文集需跨省收集，且内容较多、体量较大，故造成《阿坝州珍稀古籍文献汇编》收集整理时间较长，致使影响出版进度；三是由于教规戒律教育涉及全州253座寺庙，工作点多、面广、量大，加之州县（市）佛协工作人员少、经费少等因素，影响工作推进力度。</w:t>
      </w:r>
    </w:p>
    <w:p>
      <w:pPr>
        <w:spacing w:line="560" w:lineRule="exact"/>
        <w:ind w:firstLineChars="200" w:firstLine="640"/>
        <w:rPr>
          <w:rFonts w:ascii="方正楷体_GBK" w:eastAsia="方正楷体_GBK" w:hint="eastAsia"/>
          <w:b/>
          <w:color w:val="000000"/>
          <w:sz w:val="32"/>
          <w:szCs w:val="32"/>
        </w:rPr>
      </w:pPr>
      <w:r>
        <w:rPr>
          <w:rFonts w:ascii="方正楷体_GBK" w:eastAsia="方正楷体_GBK" w:hint="eastAsia"/>
          <w:b/>
          <w:color w:val="000000"/>
          <w:sz w:val="32"/>
          <w:szCs w:val="32"/>
        </w:rPr>
        <w:t>（三）改进建议</w:t>
      </w:r>
    </w:p>
    <w:p>
      <w:pPr>
        <w:pStyle w:val="17"/>
        <w:keepNext w:val="0"/>
        <w:keepLines w:val="0"/>
        <w:pageBreakBefore w:val="0"/>
        <w:widowControl w:val="0"/>
        <w:kinsoku/>
        <w:wordWrap/>
        <w:overflowPunct/>
        <w:topLinePunct w:val="0"/>
        <w:autoSpaceDE/>
        <w:autoSpaceDN/>
        <w:bidi w:val="0"/>
        <w:spacing w:line="560" w:lineRule="exact"/>
        <w:textAlignment w:val="auto"/>
        <w:rPr>
          <w:rFonts w:ascii="Times New Roman" w:cs="Times New Roman" w:hAnsi="Times New Roman" w:hint="eastAsia"/>
          <w:sz w:val="32"/>
          <w:szCs w:val="32"/>
          <w:lang w:val="zh-CN" w:eastAsia="zh-CN"/>
          <w:highlight w:val="yellow"/>
        </w:rPr>
      </w:pPr>
      <w:r>
        <w:rPr>
          <w:rFonts w:ascii="仿宋_GB2312" w:eastAsia="仿宋_GB2312" w:hint="eastAsia"/>
          <w:bCs/>
          <w:color w:val="000000"/>
          <w:kern w:val="0"/>
          <w:sz w:val="32"/>
          <w:szCs w:val="32"/>
          <w:shd w:val="clear" w:color="auto" w:fill="FFFFFF"/>
        </w:rPr>
        <w:t>一是加强预算支出平衡力度，合理安排各项工作开展时间；二是进一步增收节支，提高服务水平及管理能力；三是加强自身建设，提高工作人员综合素质，在有限的人员和经费前提下，及时推进各项工作，圆满完成各项目标任务。</w:t>
      </w:r>
    </w:p>
    <w:p>
      <w:pPr>
        <w:pStyle w:val="18"/>
        <w:rPr>
          <w:rFonts w:ascii="Times New Roman" w:cs="宋体" w:hAnsi="Times New Roman" w:hint="eastAsia"/>
          <w:color w:val="FF0000"/>
          <w:kern w:val="0"/>
          <w:sz w:val="32"/>
          <w:szCs w:val="32"/>
          <w:shd w:val="clear" w:color="auto" w:fill="FFFFFF"/>
          <w:lang w:val="zh-CN"/>
          <w:highlight w:val="yellow"/>
        </w:rPr>
      </w:pPr>
    </w:p>
    <w:p>
      <w:pPr>
        <w:rPr>
          <w:rFonts w:ascii="Times New Roman" w:eastAsia="黑体" w:cs="黑体" w:hAnsi="Times New Roman" w:hint="eastAsia"/>
          <w:color w:val="auto"/>
          <w:kern w:val="0"/>
          <w:sz w:val="32"/>
          <w:szCs w:val="32"/>
          <w:shd w:val="clear" w:color="auto" w:fill="FFFFFF"/>
          <w:lang w:val="zh-CN"/>
          <w:highlight w:val="auto"/>
        </w:rPr>
      </w:pPr>
      <w:r>
        <w:rPr>
          <w:rFonts w:ascii="Times New Roman" w:eastAsia="黑体" w:cs="黑体" w:hAnsi="Times New Roman" w:hint="eastAsia"/>
          <w:color w:val="auto"/>
          <w:kern w:val="0"/>
          <w:sz w:val="32"/>
          <w:szCs w:val="32"/>
          <w:shd w:val="clear" w:color="auto" w:fill="FFFFFF"/>
          <w:lang w:val="zh-CN"/>
          <w:highlight w:val="auto"/>
        </w:rPr>
        <w:br w:type="page"/>
      </w:r>
    </w:p>
    <w:tbl>
      <w:tblPr>
        <w:jc w:val="center"/>
        <w:tblW w:w="845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87"/>
        <w:gridCol w:w="715"/>
        <w:gridCol w:w="830"/>
        <w:gridCol w:w="852"/>
        <w:gridCol w:w="830"/>
        <w:gridCol w:w="830"/>
        <w:gridCol w:w="830"/>
        <w:gridCol w:w="663"/>
        <w:gridCol w:w="731"/>
        <w:gridCol w:w="731"/>
        <w:gridCol w:w="731"/>
        <w:gridCol w:w="225"/>
      </w:tblGrid>
      <w:tr>
        <w:trPr>
          <w:trHeight w:val="899"/>
        </w:trPr>
        <w:tc>
          <w:tcPr>
            <w:tcW w:w="8230"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p>
        </w:tc>
      </w:tr>
      <w:tr>
        <w:trPr>
          <w:trHeight w:val="284"/>
        </w:trPr>
        <w:tc>
          <w:tcPr>
            <w:tcW w:w="120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7028"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51320021T000000090038</w:t>
            </w:r>
            <w:r>
              <w:rPr>
                <w:rFonts w:ascii="宋体" w:cs="Lucida Sans" w:hint="eastAsia"/>
                <w:color w:val="000000"/>
                <w:sz w:val="18"/>
                <w:lang w:eastAsia="zh-CN"/>
              </w:rPr>
              <w:t>－</w:t>
            </w:r>
            <w:r>
              <w:rPr>
                <w:rFonts w:ascii="宋体" w:eastAsia="宋体" w:cs="Lucida Sans"/>
                <w:color w:val="000000"/>
                <w:sz w:val="18"/>
              </w:rPr>
              <w:t>培训费</w:t>
            </w: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p>
        </w:tc>
      </w:tr>
      <w:tr>
        <w:trPr>
          <w:trHeight w:val="509"/>
        </w:trPr>
        <w:tc>
          <w:tcPr>
            <w:tcW w:w="120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4172"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州佛协部门</w:t>
            </w:r>
          </w:p>
        </w:tc>
        <w:tc>
          <w:tcPr>
            <w:tcW w:w="663"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219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w:t>
            </w: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p>
        </w:tc>
      </w:tr>
      <w:tr>
        <w:trPr>
          <w:trHeight w:val="284"/>
        </w:trPr>
        <w:tc>
          <w:tcPr>
            <w:tcW w:w="48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71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4172"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2856"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p>
        </w:tc>
      </w:tr>
      <w:tr>
        <w:trPr>
          <w:trHeight w:val="704"/>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172"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加强州、县（市）佛协班子成员、寺管会班子成员和经师等对国情的了解，坚定爱国立场，增强社会责任感，提高素质和能力，引导他们对藏传佛教教规教义作出符合时代发展和社会进步要求的阐释。</w:t>
            </w:r>
          </w:p>
        </w:tc>
        <w:tc>
          <w:tcPr>
            <w:tcW w:w="2856"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宋体" w:cs="Lucida Sans"/>
                <w:color w:val="000000"/>
                <w:sz w:val="18"/>
              </w:rPr>
              <w:t>有效推进宗教教义阐释2025年完成培训次数1次,课程内容适配度≥95%,培训对象满意度≥97%.切实做到坚定爱国立场，增强社会责任感，宗教人士综合素质提升程度。圆满完成年度培训工作任务。</w:t>
            </w: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p>
        </w:tc>
      </w:tr>
      <w:tr>
        <w:trPr>
          <w:trHeight w:val="689"/>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7028"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本项目为佛协班子成员、寺管会班子成员和经师等佛教界人士教育培训经费支出项目，主要用于开展政策法规学习、意识形态教育等专题培训，项目严格按照财政预算管理、培训费管理办法等相关规定组织实施，坚持先审批、后培训、先预算、后支出原则，实现培训组织、经费使用、过程管理全程闭环。在项目实施过程中，首先根据年度培训计划和工作实际，科学制定培训方案，明确培训主题、参训对象、培训时间、授课方式、课程内容及经费预算，按程序履行报批手续。培训采取集中学习、专题讲座、线上课程、交流研讨等多种形式开展，内容紧扣政策要求与业务需求，注重实用性和针对性，确保培训取得实效。</w:t>
            </w: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p>
        </w:tc>
      </w:tr>
      <w:tr>
        <w:trPr>
          <w:trHeight w:val="359"/>
        </w:trPr>
        <w:tc>
          <w:tcPr>
            <w:tcW w:w="48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7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49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p>
        </w:tc>
      </w:tr>
      <w:tr>
        <w:trPr>
          <w:trHeight w:val="344"/>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25.00</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24.52</w:t>
            </w:r>
          </w:p>
        </w:tc>
        <w:tc>
          <w:tcPr>
            <w:tcW w:w="249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24.52</w:t>
            </w: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31"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b w:val="0"/>
                <w:i/>
                <w:color w:val="000000"/>
                <w:sz w:val="18"/>
              </w:rPr>
            </w:p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b w:val="0"/>
                <w:i/>
                <w:color w:val="000000"/>
                <w:sz w:val="18"/>
              </w:rPr>
            </w:pPr>
          </w:p>
        </w:tc>
      </w:tr>
      <w:tr>
        <w:trPr>
          <w:trHeight w:val="389"/>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25.00</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24.52</w:t>
            </w:r>
          </w:p>
        </w:tc>
        <w:tc>
          <w:tcPr>
            <w:tcW w:w="249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24.52</w:t>
            </w: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31"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49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31"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49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31"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49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31"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48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7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p>
        </w:tc>
      </w:tr>
      <w:tr>
        <w:trPr>
          <w:trHeight w:val="344"/>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培训次数</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次</w:t>
            </w: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培训合格率</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培训时限</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w:t>
            </w: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增强社会责任感</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社会责任感显著提升</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可持续影响指标</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宗教教义阐释现代化推进程度</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有效推进宗教教义阐释</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培训对象满意度</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97</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899"/>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培训经费</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25</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万元/每项目</w:t>
            </w: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6037"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r>
      <w:tr>
        <w:trPr>
          <w:trHeight w:val="599"/>
        </w:trPr>
        <w:tc>
          <w:tcPr>
            <w:tcW w:w="48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774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自评分为100分。成效：加强州、县（市）佛协班子成员、寺管会班子成员和经师等对国情的了解，坚定爱国立场，增强社会责任感，提高素质和能力，引导他们对藏传佛教教规教义作出符合时代发展和社会进步要求的阐释。确保寺庙领导权牢牢掌握在爱国爱教人士手中，落实“加强对民管会班子成员的经常性教育和培训”和“落实</w:t>
            </w:r>
            <w:r>
              <w:rPr>
                <w:rFonts w:ascii="微软雅黑" w:eastAsia="微软雅黑" w:cs="Lucida Sans" w:hint="eastAsia"/>
                <w:b w:val="0"/>
                <w:i/>
                <w:color w:val="000000"/>
                <w:sz w:val="16"/>
                <w:lang w:eastAsia="zh-CN"/>
              </w:rPr>
              <w:t>警事</w:t>
            </w:r>
            <w:r>
              <w:rPr>
                <w:rFonts w:ascii="微软雅黑" w:eastAsia="微软雅黑" w:cs="Lucida Sans"/>
                <w:b w:val="0"/>
                <w:i/>
                <w:color w:val="000000"/>
                <w:sz w:val="16"/>
              </w:rPr>
              <w:t>联系制度，组织其参加各种培训和参观考察，增强国家意识、法律意识、公民意识”。</w:t>
            </w: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r>
      <w:tr>
        <w:trPr>
          <w:trHeight w:val="569"/>
        </w:trPr>
        <w:tc>
          <w:tcPr>
            <w:tcW w:w="48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774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r>
      <w:tr>
        <w:trPr>
          <w:trHeight w:val="629"/>
        </w:trPr>
        <w:tc>
          <w:tcPr>
            <w:tcW w:w="48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774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r>
      <w:tr>
        <w:trPr>
          <w:trHeight w:val="284"/>
        </w:trPr>
        <w:tc>
          <w:tcPr>
            <w:tcW w:w="3714"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w:t>
            </w:r>
          </w:p>
        </w:tc>
        <w:tc>
          <w:tcPr>
            <w:tcW w:w="4516"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w:t>
            </w: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p>
        </w:tc>
      </w:tr>
    </w:tbl>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pPr>
      <w:bookmarkStart w:id="55" w:name="_Toc15396618"/>
      <w:r>
        <w:rPr>
          <w:rFonts w:ascii="Times New Roman" w:eastAsia="仿宋_GB2312" w:cs="仿宋_GB2312" w:hAnsi="Times New Roman" w:hint="eastAsia"/>
          <w:b w:val="0"/>
          <w:bCs w:val="0"/>
          <w:kern w:val="0"/>
          <w:position w:val="0"/>
          <w:sz w:val="32"/>
          <w:szCs w:val="32"/>
          <w:lang w:val="en-US" w:eastAsia="zh-CN" w:bidi="ar-SA"/>
          <w:highlight w:val="auto"/>
        </w:rPr>
        <w:br w:type="page"/>
      </w:r>
    </w:p>
    <w:tbl>
      <w:tblPr>
        <w:jc w:val="left"/>
        <w:tblInd w:w="0"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569"/>
        <w:gridCol w:w="528"/>
        <w:gridCol w:w="823"/>
        <w:gridCol w:w="621"/>
        <w:gridCol w:w="803"/>
        <w:gridCol w:w="1120"/>
        <w:gridCol w:w="898"/>
        <w:gridCol w:w="776"/>
        <w:gridCol w:w="755"/>
        <w:gridCol w:w="755"/>
        <w:gridCol w:w="702"/>
      </w:tblGrid>
      <w:tr>
        <w:trPr>
          <w:trHeight w:val="899"/>
        </w:trPr>
        <w:tc>
          <w:tcPr>
            <w:tcW w:w="8350"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51320021T000000090247</w:t>
            </w:r>
            <w:r>
              <w:rPr>
                <w:rFonts w:ascii="宋体" w:cs="Lucida Sans" w:hint="eastAsia"/>
                <w:color w:val="000000"/>
                <w:sz w:val="18"/>
                <w:lang w:eastAsia="zh-CN"/>
              </w:rPr>
              <w:t>－</w:t>
            </w:r>
            <w:r>
              <w:rPr>
                <w:rFonts w:ascii="宋体" w:eastAsia="宋体" w:cs="Lucida Sans"/>
                <w:color w:val="000000"/>
                <w:sz w:val="18"/>
              </w:rPr>
              <w:t>老会长慰问费</w:t>
            </w:r>
          </w:p>
        </w:tc>
      </w:tr>
      <w:tr>
        <w:trPr>
          <w:trHeight w:val="509"/>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州佛协部门</w:t>
            </w:r>
          </w:p>
        </w:tc>
        <w:tc>
          <w:tcPr>
            <w:tcW w:w="776"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221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w:t>
            </w:r>
          </w:p>
        </w:tc>
      </w:tr>
      <w:tr>
        <w:trPr>
          <w:trHeight w:val="284"/>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根据我会工作实际，按照州委主要领导的指示，要求我会在春节前开展老会长、老活佛的慰问工作，传达党和政府的问候和关心，为切实做好此项工作。通过慰问老会长、老活佛，传达党和政府的关心关爱，促进宗教和谐，鼓励老同志继续为我州宗教工作建言献策</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2025年对已离任的老会长、老活佛等宗教界代表人士进行慰问8人,发放对象及数额准确率100%,有效传达党和政府的关心、关爱.本次慰问项目组织严谨、安排周密、执行顺畅、措施暖心，切实做到了关心到位、沟通到位、了解到位，有效增强了宗教界代表人士的归属感与认同感，维护了宗教领域的和谐稳定，圆满完成年度慰问工作任务。</w:t>
            </w:r>
          </w:p>
        </w:tc>
      </w:tr>
      <w:tr>
        <w:trPr>
          <w:trHeight w:val="6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本项目旨在进一步贯彻落实党和政府对宗教界代表人士的关心关怀政策，扎实做好离退休及已离任代表人士的联络服务工作，通过组织开展走访慰问活动，传递组织关怀、了解生活状况、沟通思想动态，促进宗教界和谐稳定。项目严格按照相关经费管理规定、慰问工作制度及年度预算组织实施，坚持政策暖心、程序合规、开支规范、实事求实的工作原则。慰问实施过程中，严格按照既定方案，组织工作人员采取上门走访、座谈慰问等多种方式，与慰问对象亲切交流。工作人员认真了解他们的生活情况、身体健康状况和实际困难，耐心听取意见建议，及时做好沟通记录和情况反馈。慰问物资与慰问金严格按照预算标准发放，做到对象明确、金额准确、依据充分、手续齐全，全过程实行公开透明、即时登记、财务合规管理。</w:t>
            </w:r>
          </w:p>
        </w:tc>
      </w:tr>
      <w:tr>
        <w:trPr>
          <w:trHeight w:val="35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0.90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0.80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8"/>
              </w:rPr>
              <w:t>0.90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b w:val="0"/>
                <w:i/>
                <w:color w:val="000000"/>
                <w:sz w:val="18"/>
              </w:rPr>
            </w:pPr>
          </w:p>
        </w:tc>
      </w:tr>
      <w:tr>
        <w:trPr>
          <w:trHeight w:val="3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0.90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0.80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0.90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发放 人员</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发放对象及数额准确率</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发放时间</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春节前完成发放</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月</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传达党和政府的 关心关爱</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有效传达</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可持续影响指标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增强老同志的归属感和荣誉感</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归属感显著增强</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慰问人员满意度</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发放金额</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9000</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元</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6138"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自评分为100分，通过对已离任的老会长、老活佛等宗教界代表人士进行慰问，体现</w:t>
            </w:r>
            <w:r>
              <w:rPr>
                <w:rFonts w:ascii="微软雅黑" w:eastAsia="微软雅黑" w:cs="Lucida Sans" w:hint="eastAsia"/>
                <w:b w:val="0"/>
                <w:i/>
                <w:color w:val="000000"/>
                <w:sz w:val="16"/>
                <w:lang w:eastAsia="zh-CN"/>
              </w:rPr>
              <w:t>党委、政府</w:t>
            </w:r>
            <w:r>
              <w:rPr>
                <w:rFonts w:ascii="微软雅黑" w:eastAsia="微软雅黑" w:cs="Lucida Sans"/>
                <w:b w:val="0"/>
                <w:i/>
                <w:color w:val="000000"/>
                <w:sz w:val="16"/>
              </w:rPr>
              <w:t>对宗教界的关心、关爱，进一步发挥老会长、老活佛等宗教界代表人士在我州宗教工作中的积极作用，为全州宗教工作建言献策、发挥余热，为我州民族团结、宗教和睦做出积极贡献。</w:t>
            </w:r>
          </w:p>
        </w:tc>
      </w:tr>
      <w:tr>
        <w:trPr>
          <w:trHeight w:val="56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3344"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w:t>
            </w:r>
          </w:p>
        </w:tc>
        <w:tc>
          <w:tcPr>
            <w:tcW w:w="5006"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w:t>
            </w:r>
          </w:p>
        </w:tc>
      </w:tr>
      <w:tr>
        <w:trPr>
          <w:trHeight w:val="284"/>
        </w:trPr>
        <w:tc>
          <w:tcPr>
            <w:tcW w:w="569" w:type="dxa"/>
            <w:tcBorders>
              <w:top w:val="nil"/>
              <w:left w:val="nil"/>
              <w:bottom w:val="nil"/>
              <w:right w:val="nil"/>
              <w:tl2br w:val="nil"/>
              <w:tr2bl w:val="nil"/>
            </w:tcBorders>
            <w:noWrap/>
            <w:vAlign w:val="center"/>
          </w:tcPr>
          <w:p>
            <w:pPr>
              <w:rPr>
                <w:rFonts w:ascii="宋体" w:eastAsia="宋体"/>
                <w:color w:val="000000"/>
                <w:sz w:val="18"/>
              </w:rPr>
            </w:pPr>
          </w:p>
        </w:tc>
        <w:tc>
          <w:tcPr>
            <w:tcW w:w="528" w:type="dxa"/>
            <w:tcBorders>
              <w:top w:val="nil"/>
              <w:left w:val="nil"/>
              <w:bottom w:val="nil"/>
              <w:right w:val="nil"/>
              <w:tl2br w:val="nil"/>
              <w:tr2bl w:val="nil"/>
            </w:tcBorders>
            <w:noWrap/>
            <w:vAlign w:val="center"/>
          </w:tcPr>
          <w:p>
            <w:pPr>
              <w:rPr>
                <w:rFonts w:ascii="宋体" w:eastAsia="宋体"/>
                <w:color w:val="000000"/>
                <w:sz w:val="18"/>
              </w:rPr>
            </w:pPr>
          </w:p>
        </w:tc>
        <w:tc>
          <w:tcPr>
            <w:tcW w:w="823" w:type="dxa"/>
            <w:tcBorders>
              <w:top w:val="nil"/>
              <w:left w:val="nil"/>
              <w:bottom w:val="nil"/>
              <w:right w:val="nil"/>
              <w:tl2br w:val="nil"/>
              <w:tr2bl w:val="nil"/>
            </w:tcBorders>
            <w:noWrap/>
            <w:vAlign w:val="center"/>
          </w:tcPr>
          <w:p>
            <w:pPr>
              <w:rPr>
                <w:rFonts w:ascii="宋体" w:eastAsia="宋体"/>
                <w:color w:val="000000"/>
                <w:sz w:val="18"/>
              </w:rPr>
            </w:pPr>
          </w:p>
        </w:tc>
        <w:tc>
          <w:tcPr>
            <w:tcW w:w="621" w:type="dxa"/>
            <w:tcBorders>
              <w:top w:val="nil"/>
              <w:left w:val="nil"/>
              <w:bottom w:val="nil"/>
              <w:right w:val="nil"/>
              <w:tl2br w:val="nil"/>
              <w:tr2bl w:val="nil"/>
            </w:tcBorders>
            <w:noWrap/>
            <w:vAlign w:val="center"/>
          </w:tcPr>
          <w:p>
            <w:pPr>
              <w:rPr>
                <w:rFonts w:ascii="宋体" w:eastAsia="宋体"/>
                <w:color w:val="000000"/>
                <w:sz w:val="18"/>
              </w:rPr>
            </w:pPr>
          </w:p>
        </w:tc>
        <w:tc>
          <w:tcPr>
            <w:tcW w:w="803" w:type="dxa"/>
            <w:tcBorders>
              <w:top w:val="nil"/>
              <w:left w:val="nil"/>
              <w:bottom w:val="nil"/>
              <w:right w:val="nil"/>
              <w:tl2br w:val="nil"/>
              <w:tr2bl w:val="nil"/>
            </w:tcBorders>
            <w:noWrap/>
            <w:vAlign w:val="center"/>
          </w:tcPr>
          <w:p>
            <w:pPr>
              <w:rPr>
                <w:rFonts w:ascii="宋体" w:eastAsia="宋体"/>
                <w:color w:val="000000"/>
                <w:sz w:val="18"/>
              </w:rPr>
            </w:pPr>
          </w:p>
        </w:tc>
        <w:tc>
          <w:tcPr>
            <w:tcW w:w="1120" w:type="dxa"/>
            <w:tcBorders>
              <w:top w:val="nil"/>
              <w:left w:val="nil"/>
              <w:bottom w:val="nil"/>
              <w:right w:val="nil"/>
              <w:tl2br w:val="nil"/>
              <w:tr2bl w:val="nil"/>
            </w:tcBorders>
            <w:noWrap/>
            <w:vAlign w:val="center"/>
          </w:tcPr>
          <w:p>
            <w:pPr>
              <w:rPr>
                <w:rFonts w:ascii="宋体" w:eastAsia="宋体"/>
                <w:color w:val="000000"/>
                <w:sz w:val="18"/>
              </w:rPr>
            </w:pPr>
          </w:p>
        </w:tc>
        <w:tc>
          <w:tcPr>
            <w:tcW w:w="898" w:type="dxa"/>
            <w:tcBorders>
              <w:top w:val="nil"/>
              <w:left w:val="nil"/>
              <w:bottom w:val="nil"/>
              <w:right w:val="nil"/>
              <w:tl2br w:val="nil"/>
              <w:tr2bl w:val="nil"/>
            </w:tcBorders>
            <w:noWrap/>
            <w:vAlign w:val="center"/>
          </w:tcPr>
          <w:p>
            <w:pPr>
              <w:rPr>
                <w:rFonts w:ascii="宋体" w:eastAsia="宋体"/>
                <w:color w:val="000000"/>
                <w:sz w:val="18"/>
              </w:rPr>
            </w:pPr>
          </w:p>
        </w:tc>
        <w:tc>
          <w:tcPr>
            <w:tcW w:w="776" w:type="dxa"/>
            <w:tcBorders>
              <w:top w:val="nil"/>
              <w:left w:val="nil"/>
              <w:bottom w:val="nil"/>
              <w:right w:val="nil"/>
              <w:tl2br w:val="nil"/>
              <w:tr2bl w:val="nil"/>
            </w:tcBorders>
            <w:noWrap/>
            <w:vAlign w:val="center"/>
          </w:tcPr>
          <w:p>
            <w:pPr>
              <w:rPr>
                <w:rFonts w:ascii="宋体" w:eastAsia="宋体"/>
                <w:color w:val="000000"/>
                <w:sz w:val="18"/>
              </w:rPr>
            </w:pPr>
          </w:p>
        </w:tc>
        <w:tc>
          <w:tcPr>
            <w:tcW w:w="755" w:type="dxa"/>
            <w:tcBorders>
              <w:top w:val="nil"/>
              <w:left w:val="nil"/>
              <w:bottom w:val="nil"/>
              <w:right w:val="nil"/>
              <w:tl2br w:val="nil"/>
              <w:tr2bl w:val="nil"/>
            </w:tcBorders>
            <w:noWrap/>
            <w:vAlign w:val="center"/>
          </w:tcPr>
          <w:p>
            <w:pPr>
              <w:rPr>
                <w:rFonts w:ascii="宋体" w:eastAsia="宋体"/>
                <w:color w:val="000000"/>
                <w:sz w:val="18"/>
              </w:rPr>
            </w:pPr>
          </w:p>
        </w:tc>
        <w:tc>
          <w:tcPr>
            <w:tcW w:w="755" w:type="dxa"/>
            <w:tcBorders>
              <w:top w:val="nil"/>
              <w:left w:val="nil"/>
              <w:bottom w:val="nil"/>
              <w:right w:val="nil"/>
              <w:tl2br w:val="nil"/>
              <w:tr2bl w:val="nil"/>
            </w:tcBorders>
            <w:noWrap/>
            <w:vAlign w:val="center"/>
          </w:tcPr>
          <w:p>
            <w:pPr>
              <w:rPr>
                <w:rFonts w:ascii="宋体" w:eastAsia="宋体"/>
                <w:color w:val="000000"/>
                <w:sz w:val="18"/>
              </w:rPr>
            </w:pPr>
          </w:p>
        </w:tc>
        <w:tc>
          <w:tcPr>
            <w:tcW w:w="701"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8350"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51320021T000000090891</w:t>
            </w:r>
            <w:r>
              <w:rPr>
                <w:rFonts w:ascii="宋体" w:cs="Lucida Sans" w:hint="eastAsia"/>
                <w:color w:val="000000"/>
                <w:sz w:val="18"/>
                <w:lang w:eastAsia="zh-CN"/>
              </w:rPr>
              <w:t>－</w:t>
            </w:r>
            <w:r>
              <w:rPr>
                <w:rFonts w:ascii="宋体" w:eastAsia="宋体" w:cs="Lucida Sans"/>
                <w:color w:val="000000"/>
                <w:sz w:val="18"/>
              </w:rPr>
              <w:t>全州藏传佛教寺庙戒律教育及和谐寺庙创建经费</w:t>
            </w:r>
          </w:p>
        </w:tc>
      </w:tr>
      <w:tr>
        <w:trPr>
          <w:trHeight w:val="509"/>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州佛协部门</w:t>
            </w:r>
          </w:p>
        </w:tc>
        <w:tc>
          <w:tcPr>
            <w:tcW w:w="776"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221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w:t>
            </w:r>
          </w:p>
        </w:tc>
      </w:tr>
      <w:tr>
        <w:trPr>
          <w:trHeight w:val="284"/>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89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对500名僧尼进行戒律教育，推动我州藏传佛教寺庙管理长效机制建设，使服务群众满意度达到95%以上，维护藏传佛教的正常秩序，树立寺庙和僧尼的良好形象，有效发挥藏传佛教在构建和谐社会中的积极作用。</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 xml:space="preserve">2025年完成僧尼持戒守法工作人数500人,宗教秩序违规事件发生率≤2%,预算执行率100%  ，项目全程遵循“合规统筹、精准施策、注重实效、专款专用”原则，实现实施过程闭环管理、经费使用规范透明，圆满完成既定工作目标。 </w:t>
            </w:r>
          </w:p>
        </w:tc>
      </w:tr>
      <w:tr>
        <w:trPr>
          <w:trHeight w:val="116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本项目紧扣藏传佛教中国化方向，严格落实宗教工作方针政策及年度预算管理要求，强化僧人戒律意识，筑牢寺庙和谐稳定根基，推动藏传佛教与社会主义社会相适应。推进寺庙管理制度完善、基础设施优化、文明风尚培育等工作，协助寺庙规范日常管理、消防安全、环境卫生等工作，开展“平安寺庙”“文明寺庙”创建评比，搭建寺庙与信众、社会的和谐沟通桥梁。</w:t>
            </w:r>
          </w:p>
        </w:tc>
      </w:tr>
      <w:tr>
        <w:trPr>
          <w:trHeight w:val="35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14.23</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14.23</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b w:val="0"/>
                <w:i/>
                <w:color w:val="000000"/>
                <w:sz w:val="18"/>
              </w:rPr>
            </w:pPr>
          </w:p>
        </w:tc>
      </w:tr>
      <w:tr>
        <w:trPr>
          <w:trHeight w:val="3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14.23</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14.23</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完成僧尼持戒守法工作</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500</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人数</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戒律教育考核合格率</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r>
              <w:t>95</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r>
              <w:rPr>
                <w:rFonts w:ascii="宋体" w:eastAsia="宋体" w:cs="Lucida Sans"/>
                <w:color w:val="000000"/>
                <w:sz w:val="18"/>
              </w:rPr>
              <w:t>%</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项目年限</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树立寺庙和僧尼的良好形象</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有效树立</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可持续影响指标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维护藏传佛教的正常秩序</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有效维护</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服务群众满意度</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89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经费支出</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万元/每项目</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6138"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自评分为100分，提出了“依法治寺管僧，僧尼持戒守法”的工作要求，引导各寺庙弘扬藏传佛教爱国爱教光荣传统，发挥藏传佛教在构建和谐社会中的积极作用，进一步推动我州藏传佛教寺庙管理长效机制建设，维护藏传佛教的正常秩序，树立寺庙和僧尼的良好形象。</w:t>
            </w:r>
          </w:p>
        </w:tc>
      </w:tr>
      <w:tr>
        <w:trPr>
          <w:trHeight w:val="56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3344"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w:t>
            </w:r>
          </w:p>
        </w:tc>
        <w:tc>
          <w:tcPr>
            <w:tcW w:w="5006"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w:t>
            </w:r>
          </w:p>
        </w:tc>
      </w:tr>
      <w:tr>
        <w:trPr>
          <w:trHeight w:val="284"/>
        </w:trPr>
        <w:tc>
          <w:tcPr>
            <w:tcW w:w="569" w:type="dxa"/>
            <w:tcBorders>
              <w:top w:val="nil"/>
              <w:left w:val="nil"/>
              <w:bottom w:val="nil"/>
              <w:right w:val="nil"/>
              <w:tl2br w:val="nil"/>
              <w:tr2bl w:val="nil"/>
            </w:tcBorders>
            <w:noWrap/>
            <w:vAlign w:val="center"/>
          </w:tcPr>
          <w:p>
            <w:pPr>
              <w:rPr>
                <w:rFonts w:ascii="宋体" w:eastAsia="宋体"/>
                <w:color w:val="000000"/>
                <w:sz w:val="18"/>
              </w:rPr>
            </w:pPr>
          </w:p>
        </w:tc>
        <w:tc>
          <w:tcPr>
            <w:tcW w:w="528" w:type="dxa"/>
            <w:tcBorders>
              <w:top w:val="nil"/>
              <w:left w:val="nil"/>
              <w:bottom w:val="nil"/>
              <w:right w:val="nil"/>
              <w:tl2br w:val="nil"/>
              <w:tr2bl w:val="nil"/>
            </w:tcBorders>
            <w:noWrap/>
            <w:vAlign w:val="center"/>
          </w:tcPr>
          <w:p>
            <w:pPr>
              <w:rPr>
                <w:rFonts w:ascii="宋体" w:eastAsia="宋体"/>
                <w:color w:val="000000"/>
                <w:sz w:val="18"/>
              </w:rPr>
            </w:pPr>
          </w:p>
        </w:tc>
        <w:tc>
          <w:tcPr>
            <w:tcW w:w="823" w:type="dxa"/>
            <w:tcBorders>
              <w:top w:val="nil"/>
              <w:left w:val="nil"/>
              <w:bottom w:val="nil"/>
              <w:right w:val="nil"/>
              <w:tl2br w:val="nil"/>
              <w:tr2bl w:val="nil"/>
            </w:tcBorders>
            <w:noWrap/>
            <w:vAlign w:val="center"/>
          </w:tcPr>
          <w:p>
            <w:pPr>
              <w:rPr>
                <w:rFonts w:ascii="宋体" w:eastAsia="宋体"/>
                <w:color w:val="000000"/>
                <w:sz w:val="18"/>
              </w:rPr>
            </w:pPr>
          </w:p>
        </w:tc>
        <w:tc>
          <w:tcPr>
            <w:tcW w:w="621" w:type="dxa"/>
            <w:tcBorders>
              <w:top w:val="nil"/>
              <w:left w:val="nil"/>
              <w:bottom w:val="nil"/>
              <w:right w:val="nil"/>
              <w:tl2br w:val="nil"/>
              <w:tr2bl w:val="nil"/>
            </w:tcBorders>
            <w:noWrap/>
            <w:vAlign w:val="center"/>
          </w:tcPr>
          <w:p>
            <w:pPr>
              <w:rPr>
                <w:rFonts w:ascii="宋体" w:eastAsia="宋体"/>
                <w:color w:val="000000"/>
                <w:sz w:val="18"/>
              </w:rPr>
            </w:pPr>
          </w:p>
        </w:tc>
        <w:tc>
          <w:tcPr>
            <w:tcW w:w="803" w:type="dxa"/>
            <w:tcBorders>
              <w:top w:val="nil"/>
              <w:left w:val="nil"/>
              <w:bottom w:val="nil"/>
              <w:right w:val="nil"/>
              <w:tl2br w:val="nil"/>
              <w:tr2bl w:val="nil"/>
            </w:tcBorders>
            <w:noWrap/>
            <w:vAlign w:val="center"/>
          </w:tcPr>
          <w:p>
            <w:pPr>
              <w:rPr>
                <w:rFonts w:ascii="宋体" w:eastAsia="宋体"/>
                <w:color w:val="000000"/>
                <w:sz w:val="18"/>
              </w:rPr>
            </w:pPr>
          </w:p>
        </w:tc>
        <w:tc>
          <w:tcPr>
            <w:tcW w:w="1120" w:type="dxa"/>
            <w:tcBorders>
              <w:top w:val="nil"/>
              <w:left w:val="nil"/>
              <w:bottom w:val="nil"/>
              <w:right w:val="nil"/>
              <w:tl2br w:val="nil"/>
              <w:tr2bl w:val="nil"/>
            </w:tcBorders>
            <w:noWrap/>
            <w:vAlign w:val="center"/>
          </w:tcPr>
          <w:p>
            <w:pPr>
              <w:rPr>
                <w:rFonts w:ascii="宋体" w:eastAsia="宋体"/>
                <w:color w:val="000000"/>
                <w:sz w:val="18"/>
              </w:rPr>
            </w:pPr>
          </w:p>
        </w:tc>
        <w:tc>
          <w:tcPr>
            <w:tcW w:w="898" w:type="dxa"/>
            <w:tcBorders>
              <w:top w:val="nil"/>
              <w:left w:val="nil"/>
              <w:bottom w:val="nil"/>
              <w:right w:val="nil"/>
              <w:tl2br w:val="nil"/>
              <w:tr2bl w:val="nil"/>
            </w:tcBorders>
            <w:noWrap/>
            <w:vAlign w:val="center"/>
          </w:tcPr>
          <w:p>
            <w:pPr>
              <w:rPr>
                <w:rFonts w:ascii="宋体" w:eastAsia="宋体"/>
                <w:color w:val="000000"/>
                <w:sz w:val="18"/>
              </w:rPr>
            </w:pPr>
          </w:p>
        </w:tc>
        <w:tc>
          <w:tcPr>
            <w:tcW w:w="776" w:type="dxa"/>
            <w:tcBorders>
              <w:top w:val="nil"/>
              <w:left w:val="nil"/>
              <w:bottom w:val="nil"/>
              <w:right w:val="nil"/>
              <w:tl2br w:val="nil"/>
              <w:tr2bl w:val="nil"/>
            </w:tcBorders>
            <w:noWrap/>
            <w:vAlign w:val="center"/>
          </w:tcPr>
          <w:p>
            <w:pPr>
              <w:rPr>
                <w:rFonts w:ascii="宋体" w:eastAsia="宋体"/>
                <w:color w:val="000000"/>
                <w:sz w:val="18"/>
              </w:rPr>
            </w:pPr>
          </w:p>
        </w:tc>
        <w:tc>
          <w:tcPr>
            <w:tcW w:w="755" w:type="dxa"/>
            <w:tcBorders>
              <w:top w:val="nil"/>
              <w:left w:val="nil"/>
              <w:bottom w:val="nil"/>
              <w:right w:val="nil"/>
              <w:tl2br w:val="nil"/>
              <w:tr2bl w:val="nil"/>
            </w:tcBorders>
            <w:noWrap/>
            <w:vAlign w:val="center"/>
          </w:tcPr>
          <w:p>
            <w:pPr>
              <w:rPr>
                <w:rFonts w:ascii="宋体" w:eastAsia="宋体"/>
                <w:color w:val="000000"/>
                <w:sz w:val="18"/>
              </w:rPr>
            </w:pPr>
          </w:p>
        </w:tc>
        <w:tc>
          <w:tcPr>
            <w:tcW w:w="755" w:type="dxa"/>
            <w:tcBorders>
              <w:top w:val="nil"/>
              <w:left w:val="nil"/>
              <w:bottom w:val="nil"/>
              <w:right w:val="nil"/>
              <w:tl2br w:val="nil"/>
              <w:tr2bl w:val="nil"/>
            </w:tcBorders>
            <w:noWrap/>
            <w:vAlign w:val="center"/>
          </w:tcPr>
          <w:p>
            <w:pPr>
              <w:rPr>
                <w:rFonts w:ascii="宋体" w:eastAsia="宋体"/>
                <w:color w:val="000000"/>
                <w:sz w:val="18"/>
              </w:rPr>
            </w:pPr>
          </w:p>
        </w:tc>
        <w:tc>
          <w:tcPr>
            <w:tcW w:w="701"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8350"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51320021T000000160243</w:t>
            </w:r>
            <w:r>
              <w:rPr>
                <w:rFonts w:ascii="宋体" w:cs="Lucida Sans" w:hint="eastAsia"/>
                <w:color w:val="000000"/>
                <w:sz w:val="18"/>
                <w:lang w:eastAsia="zh-CN"/>
              </w:rPr>
              <w:t>－</w:t>
            </w:r>
            <w:r>
              <w:rPr>
                <w:rFonts w:ascii="宋体" w:eastAsia="宋体" w:cs="Lucida Sans"/>
                <w:color w:val="000000"/>
                <w:sz w:val="18"/>
              </w:rPr>
              <w:t>阿坝菩提道场（微信公众平台）</w:t>
            </w:r>
          </w:p>
        </w:tc>
      </w:tr>
      <w:tr>
        <w:trPr>
          <w:trHeight w:val="509"/>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州佛协部门</w:t>
            </w:r>
          </w:p>
        </w:tc>
        <w:tc>
          <w:tcPr>
            <w:tcW w:w="776"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221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w:t>
            </w:r>
          </w:p>
        </w:tc>
      </w:tr>
      <w:tr>
        <w:trPr>
          <w:trHeight w:val="284"/>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13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　为弘扬藏传佛教优秀文化，传播宗教正能量，及时将中央、省、州党委政府关于宗教工作的方针政策、法律法规以及高僧大德教言、寺庙管理动态等发布到僧尼和信众中，有力促进历史挖掘传承和现实融合创新的有机结合，起到宣传藏传佛教正能量的良好社会效应。自2015年来，按照州委工作部署，我会在阿坝日报社开设藏文手机报“阿坝菩提道场”栏目和开办《阿坝菩提道场》微信公众平台。</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2025年完成刊播数量48期,信教群众对宗教政策的知晓率≥80%，通过微信公众平台有效弘扬了藏传佛教优秀文化，传播了宗教正能量，展示了宗教界良好社会形象，为促进宗教和谐、民族团结、社会稳定发挥了积极作用，圆满完成年度项目目标任务。</w:t>
            </w:r>
          </w:p>
        </w:tc>
      </w:tr>
      <w:tr>
        <w:trPr>
          <w:trHeight w:val="6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本项目以弘扬藏传佛教优秀传统文化、传播宗教正能量、展示宗教界良好形象为目标，依托微信公众平台开展正面宣传、文化传播、政策解读、和谐稳定引导等内容运营，进一步提升藏传佛教中国化水平，营造积极健康、向上向善的网络舆论氛围。项目严格按照预算管理、宣传思想工作要求及网络平台管理规定组织实施，坚持正确导向、内容合规、运营规范、实现全流程闭环管理。落实微信公众号内容审核、信息发布、留言管理、安全防护等制度，确保发布内容导向正确、信息真实、用语规范，坚决杜绝不良信息，维护平台清朗健康。</w:t>
            </w:r>
          </w:p>
        </w:tc>
      </w:tr>
      <w:tr>
        <w:trPr>
          <w:trHeight w:val="35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1.07</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1.07</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b w:val="0"/>
                <w:i/>
                <w:color w:val="000000"/>
                <w:sz w:val="18"/>
              </w:rPr>
            </w:pPr>
          </w:p>
        </w:tc>
      </w:tr>
      <w:tr>
        <w:trPr>
          <w:trHeight w:val="3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1.07</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1.07</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刊播数量</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48</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期</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有力促进历史挖掘传承和现实融合创新的有机结合</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有力促进</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刊播时限</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宣传藏传佛教正能量的良好社会效应</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广泛宣传</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可持续影响指标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传播宗教正能量</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有效传播</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公众满意度</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89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经费支出</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万元/每项目</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6138"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自评分为100分，通过刊播“阿坝菩提道场”微信公众号和“菩提道场”藏文语音手机报，及时将中央、省、州</w:t>
            </w:r>
            <w:r>
              <w:rPr>
                <w:rFonts w:ascii="微软雅黑" w:eastAsia="微软雅黑" w:cs="Lucida Sans" w:hint="eastAsia"/>
                <w:b w:val="0"/>
                <w:i/>
                <w:color w:val="000000"/>
                <w:sz w:val="16"/>
                <w:lang w:eastAsia="zh-CN"/>
              </w:rPr>
              <w:t>党委、政府</w:t>
            </w:r>
            <w:r>
              <w:rPr>
                <w:rFonts w:ascii="微软雅黑" w:eastAsia="微软雅黑" w:cs="Lucida Sans"/>
                <w:b w:val="0"/>
                <w:i/>
                <w:color w:val="000000"/>
                <w:sz w:val="16"/>
              </w:rPr>
              <w:t>关于宗教工作的方针政策、法律法规以及高僧大德教言、寺庙管理动态等发布到僧尼和信众中，促进历史挖掘传承和现实融合创新的有机结合，起到宣传藏传佛教正能量的良好社会效应。</w:t>
            </w:r>
          </w:p>
        </w:tc>
      </w:tr>
      <w:tr>
        <w:trPr>
          <w:trHeight w:val="56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根据工作安排，2024年原创作品刊数减少，转载内容较多，造成经费支出减少</w:t>
            </w:r>
          </w:p>
        </w:tc>
      </w:tr>
      <w:tr>
        <w:trPr>
          <w:trHeight w:val="62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加大原创刊播力度，提高刊播质量。</w:t>
            </w:r>
          </w:p>
        </w:tc>
      </w:tr>
      <w:tr>
        <w:trPr>
          <w:trHeight w:val="284"/>
        </w:trPr>
        <w:tc>
          <w:tcPr>
            <w:tcW w:w="3344"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w:t>
            </w:r>
          </w:p>
        </w:tc>
        <w:tc>
          <w:tcPr>
            <w:tcW w:w="5006"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w:t>
            </w:r>
          </w:p>
        </w:tc>
      </w:tr>
      <w:tr>
        <w:trPr>
          <w:trHeight w:val="284"/>
        </w:trPr>
        <w:tc>
          <w:tcPr>
            <w:tcW w:w="569" w:type="dxa"/>
            <w:tcBorders>
              <w:top w:val="nil"/>
              <w:left w:val="nil"/>
              <w:bottom w:val="nil"/>
              <w:right w:val="nil"/>
              <w:tl2br w:val="nil"/>
              <w:tr2bl w:val="nil"/>
            </w:tcBorders>
            <w:noWrap/>
            <w:vAlign w:val="center"/>
          </w:tcPr>
          <w:p>
            <w:pPr>
              <w:rPr>
                <w:rFonts w:ascii="宋体" w:eastAsia="宋体"/>
                <w:color w:val="000000"/>
                <w:sz w:val="18"/>
              </w:rPr>
            </w:pPr>
          </w:p>
        </w:tc>
        <w:tc>
          <w:tcPr>
            <w:tcW w:w="528" w:type="dxa"/>
            <w:tcBorders>
              <w:top w:val="nil"/>
              <w:left w:val="nil"/>
              <w:bottom w:val="nil"/>
              <w:right w:val="nil"/>
              <w:tl2br w:val="nil"/>
              <w:tr2bl w:val="nil"/>
            </w:tcBorders>
            <w:noWrap/>
            <w:vAlign w:val="center"/>
          </w:tcPr>
          <w:p>
            <w:pPr>
              <w:rPr>
                <w:rFonts w:ascii="宋体" w:eastAsia="宋体"/>
                <w:color w:val="000000"/>
                <w:sz w:val="18"/>
              </w:rPr>
            </w:pPr>
          </w:p>
        </w:tc>
        <w:tc>
          <w:tcPr>
            <w:tcW w:w="823" w:type="dxa"/>
            <w:tcBorders>
              <w:top w:val="nil"/>
              <w:left w:val="nil"/>
              <w:bottom w:val="nil"/>
              <w:right w:val="nil"/>
              <w:tl2br w:val="nil"/>
              <w:tr2bl w:val="nil"/>
            </w:tcBorders>
            <w:noWrap/>
            <w:vAlign w:val="center"/>
          </w:tcPr>
          <w:p>
            <w:pPr>
              <w:rPr>
                <w:rFonts w:ascii="宋体" w:eastAsia="宋体"/>
                <w:color w:val="000000"/>
                <w:sz w:val="18"/>
              </w:rPr>
            </w:pPr>
          </w:p>
        </w:tc>
        <w:tc>
          <w:tcPr>
            <w:tcW w:w="621" w:type="dxa"/>
            <w:tcBorders>
              <w:top w:val="nil"/>
              <w:left w:val="nil"/>
              <w:bottom w:val="nil"/>
              <w:right w:val="nil"/>
              <w:tl2br w:val="nil"/>
              <w:tr2bl w:val="nil"/>
            </w:tcBorders>
            <w:noWrap/>
            <w:vAlign w:val="center"/>
          </w:tcPr>
          <w:p>
            <w:pPr>
              <w:rPr>
                <w:rFonts w:ascii="宋体" w:eastAsia="宋体"/>
                <w:color w:val="000000"/>
                <w:sz w:val="18"/>
              </w:rPr>
            </w:pPr>
          </w:p>
        </w:tc>
        <w:tc>
          <w:tcPr>
            <w:tcW w:w="803" w:type="dxa"/>
            <w:tcBorders>
              <w:top w:val="nil"/>
              <w:left w:val="nil"/>
              <w:bottom w:val="nil"/>
              <w:right w:val="nil"/>
              <w:tl2br w:val="nil"/>
              <w:tr2bl w:val="nil"/>
            </w:tcBorders>
            <w:noWrap/>
            <w:vAlign w:val="center"/>
          </w:tcPr>
          <w:p>
            <w:pPr>
              <w:rPr>
                <w:rFonts w:ascii="宋体" w:eastAsia="宋体"/>
                <w:color w:val="000000"/>
                <w:sz w:val="18"/>
              </w:rPr>
            </w:pPr>
          </w:p>
        </w:tc>
        <w:tc>
          <w:tcPr>
            <w:tcW w:w="1120" w:type="dxa"/>
            <w:tcBorders>
              <w:top w:val="nil"/>
              <w:left w:val="nil"/>
              <w:bottom w:val="nil"/>
              <w:right w:val="nil"/>
              <w:tl2br w:val="nil"/>
              <w:tr2bl w:val="nil"/>
            </w:tcBorders>
            <w:noWrap/>
            <w:vAlign w:val="center"/>
          </w:tcPr>
          <w:p>
            <w:pPr>
              <w:rPr>
                <w:rFonts w:ascii="宋体" w:eastAsia="宋体"/>
                <w:color w:val="000000"/>
                <w:sz w:val="18"/>
              </w:rPr>
            </w:pPr>
          </w:p>
        </w:tc>
        <w:tc>
          <w:tcPr>
            <w:tcW w:w="898" w:type="dxa"/>
            <w:tcBorders>
              <w:top w:val="nil"/>
              <w:left w:val="nil"/>
              <w:bottom w:val="nil"/>
              <w:right w:val="nil"/>
              <w:tl2br w:val="nil"/>
              <w:tr2bl w:val="nil"/>
            </w:tcBorders>
            <w:noWrap/>
            <w:vAlign w:val="center"/>
          </w:tcPr>
          <w:p>
            <w:pPr>
              <w:rPr>
                <w:rFonts w:ascii="宋体" w:eastAsia="宋体"/>
                <w:color w:val="000000"/>
                <w:sz w:val="18"/>
              </w:rPr>
            </w:pPr>
          </w:p>
        </w:tc>
        <w:tc>
          <w:tcPr>
            <w:tcW w:w="776" w:type="dxa"/>
            <w:tcBorders>
              <w:top w:val="nil"/>
              <w:left w:val="nil"/>
              <w:bottom w:val="nil"/>
              <w:right w:val="nil"/>
              <w:tl2br w:val="nil"/>
              <w:tr2bl w:val="nil"/>
            </w:tcBorders>
            <w:noWrap/>
            <w:vAlign w:val="center"/>
          </w:tcPr>
          <w:p>
            <w:pPr>
              <w:rPr>
                <w:rFonts w:ascii="宋体" w:eastAsia="宋体"/>
                <w:color w:val="000000"/>
                <w:sz w:val="18"/>
              </w:rPr>
            </w:pPr>
          </w:p>
        </w:tc>
        <w:tc>
          <w:tcPr>
            <w:tcW w:w="755" w:type="dxa"/>
            <w:tcBorders>
              <w:top w:val="nil"/>
              <w:left w:val="nil"/>
              <w:bottom w:val="nil"/>
              <w:right w:val="nil"/>
              <w:tl2br w:val="nil"/>
              <w:tr2bl w:val="nil"/>
            </w:tcBorders>
            <w:noWrap/>
            <w:vAlign w:val="center"/>
          </w:tcPr>
          <w:p>
            <w:pPr>
              <w:rPr>
                <w:rFonts w:ascii="宋体" w:eastAsia="宋体"/>
                <w:color w:val="000000"/>
                <w:sz w:val="18"/>
              </w:rPr>
            </w:pPr>
          </w:p>
        </w:tc>
        <w:tc>
          <w:tcPr>
            <w:tcW w:w="755" w:type="dxa"/>
            <w:tcBorders>
              <w:top w:val="nil"/>
              <w:left w:val="nil"/>
              <w:bottom w:val="nil"/>
              <w:right w:val="nil"/>
              <w:tl2br w:val="nil"/>
              <w:tr2bl w:val="nil"/>
            </w:tcBorders>
            <w:noWrap/>
            <w:vAlign w:val="center"/>
          </w:tcPr>
          <w:p>
            <w:pPr>
              <w:rPr>
                <w:rFonts w:ascii="宋体" w:eastAsia="宋体"/>
                <w:color w:val="000000"/>
                <w:sz w:val="18"/>
              </w:rPr>
            </w:pPr>
          </w:p>
        </w:tc>
        <w:tc>
          <w:tcPr>
            <w:tcW w:w="701"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8350"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51320021T000000160290-生活补助</w:t>
            </w:r>
          </w:p>
        </w:tc>
      </w:tr>
      <w:tr>
        <w:trPr>
          <w:trHeight w:val="509"/>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州佛协部门</w:t>
            </w:r>
          </w:p>
        </w:tc>
        <w:tc>
          <w:tcPr>
            <w:tcW w:w="776"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221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w:t>
            </w:r>
          </w:p>
        </w:tc>
      </w:tr>
      <w:tr>
        <w:trPr>
          <w:trHeight w:val="284"/>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　为进一步加强州、县佛协组织建设，调动广大佛教界人士自觉接受政府依法管理和强化佛协组织自主管理的积极性。</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2025年度完成支付</w:t>
            </w:r>
          </w:p>
        </w:tc>
      </w:tr>
      <w:tr>
        <w:trPr>
          <w:trHeight w:val="6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 xml:space="preserve"> 发放标准为副会长每人每月700元，副秘书长每人每月600元，按每季度发放一次。未领取国家工资的副会长为2名（2</w:t>
            </w:r>
            <w:r>
              <w:rPr>
                <w:rFonts w:ascii="宋体" w:cs="Lucida Sans" w:hint="eastAsia"/>
                <w:color w:val="000000"/>
                <w:sz w:val="18"/>
                <w:lang w:eastAsia="zh-CN"/>
              </w:rPr>
              <w:t>x</w:t>
            </w:r>
            <w:r>
              <w:rPr>
                <w:rFonts w:ascii="宋体" w:eastAsia="宋体" w:cs="Lucida Sans"/>
                <w:color w:val="000000"/>
                <w:sz w:val="18"/>
              </w:rPr>
              <w:t>700﹦1400</w:t>
            </w:r>
            <w:r>
              <w:rPr>
                <w:rFonts w:ascii="宋体" w:cs="Lucida Sans" w:hint="eastAsia"/>
                <w:color w:val="000000"/>
                <w:sz w:val="18"/>
                <w:lang w:eastAsia="zh-CN"/>
              </w:rPr>
              <w:t>x</w:t>
            </w:r>
            <w:r>
              <w:rPr>
                <w:rFonts w:ascii="宋体" w:eastAsia="宋体" w:cs="Lucida Sans"/>
                <w:color w:val="000000"/>
                <w:sz w:val="18"/>
              </w:rPr>
              <w:t>12﹦16800元。</w:t>
            </w:r>
          </w:p>
        </w:tc>
      </w:tr>
      <w:tr>
        <w:trPr>
          <w:trHeight w:val="35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1.68</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1.68</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1.68</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b w:val="0"/>
                <w:i/>
                <w:color w:val="000000"/>
                <w:sz w:val="18"/>
              </w:rPr>
            </w:pPr>
          </w:p>
        </w:tc>
      </w:tr>
      <w:tr>
        <w:trPr>
          <w:trHeight w:val="3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1.68</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1.68</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1.68</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发放人数</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补助对象及数额准确率</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发放时限</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12</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月</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落实文集收集工作</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有效落实</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可持续影响指标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强化佛协组织管理的积极性</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有效组织管理</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补助人员满意度</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发放额</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1.68</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6138"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自评分为100分，通过对州佛协副会长、副秘书长中未领取国家工资的人员实行生活补贴，进一步加强州、县佛协组织建设，调动广大佛教界人士自觉接受政府依法管理和强化佛协组织管理的积极性。</w:t>
            </w:r>
          </w:p>
        </w:tc>
      </w:tr>
      <w:tr>
        <w:trPr>
          <w:trHeight w:val="56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3344"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w:t>
            </w:r>
          </w:p>
        </w:tc>
        <w:tc>
          <w:tcPr>
            <w:tcW w:w="5006"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w:t>
            </w:r>
          </w:p>
        </w:tc>
      </w:tr>
      <w:tr>
        <w:trPr>
          <w:trHeight w:val="284"/>
        </w:trPr>
        <w:tc>
          <w:tcPr>
            <w:tcW w:w="569" w:type="dxa"/>
            <w:tcBorders>
              <w:top w:val="nil"/>
              <w:left w:val="nil"/>
              <w:bottom w:val="nil"/>
              <w:right w:val="nil"/>
              <w:tl2br w:val="nil"/>
              <w:tr2bl w:val="nil"/>
            </w:tcBorders>
            <w:noWrap/>
            <w:vAlign w:val="center"/>
          </w:tcPr>
          <w:p>
            <w:pPr>
              <w:rPr>
                <w:rFonts w:ascii="宋体" w:eastAsia="宋体"/>
                <w:color w:val="000000"/>
                <w:sz w:val="18"/>
              </w:rPr>
            </w:pPr>
          </w:p>
        </w:tc>
        <w:tc>
          <w:tcPr>
            <w:tcW w:w="528" w:type="dxa"/>
            <w:tcBorders>
              <w:top w:val="nil"/>
              <w:left w:val="nil"/>
              <w:bottom w:val="nil"/>
              <w:right w:val="nil"/>
              <w:tl2br w:val="nil"/>
              <w:tr2bl w:val="nil"/>
            </w:tcBorders>
            <w:noWrap/>
            <w:vAlign w:val="center"/>
          </w:tcPr>
          <w:p>
            <w:pPr>
              <w:rPr>
                <w:rFonts w:ascii="宋体" w:eastAsia="宋体"/>
                <w:color w:val="000000"/>
                <w:sz w:val="18"/>
              </w:rPr>
            </w:pPr>
          </w:p>
        </w:tc>
        <w:tc>
          <w:tcPr>
            <w:tcW w:w="823" w:type="dxa"/>
            <w:tcBorders>
              <w:top w:val="nil"/>
              <w:left w:val="nil"/>
              <w:bottom w:val="nil"/>
              <w:right w:val="nil"/>
              <w:tl2br w:val="nil"/>
              <w:tr2bl w:val="nil"/>
            </w:tcBorders>
            <w:noWrap/>
            <w:vAlign w:val="center"/>
          </w:tcPr>
          <w:p>
            <w:pPr>
              <w:rPr>
                <w:rFonts w:ascii="宋体" w:eastAsia="宋体"/>
                <w:color w:val="000000"/>
                <w:sz w:val="18"/>
              </w:rPr>
            </w:pPr>
          </w:p>
        </w:tc>
        <w:tc>
          <w:tcPr>
            <w:tcW w:w="621" w:type="dxa"/>
            <w:tcBorders>
              <w:top w:val="nil"/>
              <w:left w:val="nil"/>
              <w:bottom w:val="nil"/>
              <w:right w:val="nil"/>
              <w:tl2br w:val="nil"/>
              <w:tr2bl w:val="nil"/>
            </w:tcBorders>
            <w:noWrap/>
            <w:vAlign w:val="center"/>
          </w:tcPr>
          <w:p>
            <w:pPr>
              <w:rPr>
                <w:rFonts w:ascii="宋体" w:eastAsia="宋体"/>
                <w:color w:val="000000"/>
                <w:sz w:val="18"/>
              </w:rPr>
            </w:pPr>
          </w:p>
        </w:tc>
        <w:tc>
          <w:tcPr>
            <w:tcW w:w="803" w:type="dxa"/>
            <w:tcBorders>
              <w:top w:val="nil"/>
              <w:left w:val="nil"/>
              <w:bottom w:val="nil"/>
              <w:right w:val="nil"/>
              <w:tl2br w:val="nil"/>
              <w:tr2bl w:val="nil"/>
            </w:tcBorders>
            <w:noWrap/>
            <w:vAlign w:val="center"/>
          </w:tcPr>
          <w:p>
            <w:pPr>
              <w:rPr>
                <w:rFonts w:ascii="宋体" w:eastAsia="宋体"/>
                <w:color w:val="000000"/>
                <w:sz w:val="18"/>
              </w:rPr>
            </w:pPr>
          </w:p>
        </w:tc>
        <w:tc>
          <w:tcPr>
            <w:tcW w:w="1120" w:type="dxa"/>
            <w:tcBorders>
              <w:top w:val="nil"/>
              <w:left w:val="nil"/>
              <w:bottom w:val="nil"/>
              <w:right w:val="nil"/>
              <w:tl2br w:val="nil"/>
              <w:tr2bl w:val="nil"/>
            </w:tcBorders>
            <w:noWrap/>
            <w:vAlign w:val="center"/>
          </w:tcPr>
          <w:p>
            <w:pPr>
              <w:rPr>
                <w:rFonts w:ascii="宋体" w:eastAsia="宋体"/>
                <w:color w:val="000000"/>
                <w:sz w:val="18"/>
              </w:rPr>
            </w:pPr>
          </w:p>
        </w:tc>
        <w:tc>
          <w:tcPr>
            <w:tcW w:w="898" w:type="dxa"/>
            <w:tcBorders>
              <w:top w:val="nil"/>
              <w:left w:val="nil"/>
              <w:bottom w:val="nil"/>
              <w:right w:val="nil"/>
              <w:tl2br w:val="nil"/>
              <w:tr2bl w:val="nil"/>
            </w:tcBorders>
            <w:noWrap/>
            <w:vAlign w:val="center"/>
          </w:tcPr>
          <w:p>
            <w:pPr>
              <w:rPr>
                <w:rFonts w:ascii="宋体" w:eastAsia="宋体"/>
                <w:color w:val="000000"/>
                <w:sz w:val="18"/>
              </w:rPr>
            </w:pPr>
          </w:p>
        </w:tc>
        <w:tc>
          <w:tcPr>
            <w:tcW w:w="776" w:type="dxa"/>
            <w:tcBorders>
              <w:top w:val="nil"/>
              <w:left w:val="nil"/>
              <w:bottom w:val="nil"/>
              <w:right w:val="nil"/>
              <w:tl2br w:val="nil"/>
              <w:tr2bl w:val="nil"/>
            </w:tcBorders>
            <w:noWrap/>
            <w:vAlign w:val="center"/>
          </w:tcPr>
          <w:p>
            <w:pPr>
              <w:rPr>
                <w:rFonts w:ascii="宋体" w:eastAsia="宋体"/>
                <w:color w:val="000000"/>
                <w:sz w:val="18"/>
              </w:rPr>
            </w:pPr>
          </w:p>
        </w:tc>
        <w:tc>
          <w:tcPr>
            <w:tcW w:w="755" w:type="dxa"/>
            <w:tcBorders>
              <w:top w:val="nil"/>
              <w:left w:val="nil"/>
              <w:bottom w:val="nil"/>
              <w:right w:val="nil"/>
              <w:tl2br w:val="nil"/>
              <w:tr2bl w:val="nil"/>
            </w:tcBorders>
            <w:noWrap/>
            <w:vAlign w:val="center"/>
          </w:tcPr>
          <w:p>
            <w:pPr>
              <w:rPr>
                <w:rFonts w:ascii="宋体" w:eastAsia="宋体"/>
                <w:color w:val="000000"/>
                <w:sz w:val="18"/>
              </w:rPr>
            </w:pPr>
          </w:p>
        </w:tc>
        <w:tc>
          <w:tcPr>
            <w:tcW w:w="755" w:type="dxa"/>
            <w:tcBorders>
              <w:top w:val="nil"/>
              <w:left w:val="nil"/>
              <w:bottom w:val="nil"/>
              <w:right w:val="nil"/>
              <w:tl2br w:val="nil"/>
              <w:tr2bl w:val="nil"/>
            </w:tcBorders>
            <w:noWrap/>
            <w:vAlign w:val="center"/>
          </w:tcPr>
          <w:p>
            <w:pPr>
              <w:rPr>
                <w:rFonts w:ascii="宋体" w:eastAsia="宋体"/>
                <w:color w:val="000000"/>
                <w:sz w:val="18"/>
              </w:rPr>
            </w:pPr>
          </w:p>
        </w:tc>
        <w:tc>
          <w:tcPr>
            <w:tcW w:w="701"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8350"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51320023T000009714877-《阿坝州珍稀古籍文献汇编》出版经费</w:t>
            </w:r>
          </w:p>
        </w:tc>
      </w:tr>
      <w:tr>
        <w:trPr>
          <w:trHeight w:val="509"/>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州佛协部门</w:t>
            </w:r>
          </w:p>
        </w:tc>
        <w:tc>
          <w:tcPr>
            <w:tcW w:w="776"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221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w:t>
            </w:r>
          </w:p>
        </w:tc>
      </w:tr>
      <w:tr>
        <w:trPr>
          <w:trHeight w:val="284"/>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89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及时收集、整理、出版我州发展进程中有声望、有影响的活佛、喇嘛、堪布、格西等</w:t>
            </w:r>
            <w:r>
              <w:rPr>
                <w:rFonts w:ascii="宋体" w:cs="Lucida Sans" w:hint="eastAsia"/>
                <w:color w:val="000000"/>
                <w:sz w:val="18"/>
                <w:lang w:eastAsia="zh-CN"/>
              </w:rPr>
              <w:t>珍稀</w:t>
            </w:r>
            <w:r>
              <w:rPr>
                <w:rFonts w:ascii="宋体" w:eastAsia="宋体" w:cs="Lucida Sans"/>
                <w:color w:val="000000"/>
                <w:sz w:val="18"/>
              </w:rPr>
              <w:t>古籍著作，继承弘扬优秀民族文化，打造特色文化品牌，提升地域传统文化和旅游文化品位，促进阿坝州“文化兴州”进程，具有现实需求性和必要性。</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2025年完成2024年出版并支付尾款44万元，并支付了2025年首付款49.5万元.完成了项目规定的50%，有效提升了地域传统文化和旅游文化品位。</w:t>
            </w:r>
          </w:p>
        </w:tc>
      </w:tr>
      <w:tr>
        <w:trPr>
          <w:trHeight w:val="6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实施内容：召集我州藏传佛教方面专家学者对文集选题进行研讨，筛选符合出版的文集；请专业人员对筛选出的文集进行整理、录入、存档等工作；具有藏文排版资质的公司对文集进行排版编辑。具体支出内容为：一是办公费，用于收集整理工作中办公费的支出；二是差旅费，用于到各地各寺庙开展文集收集支出；三是劳务费，用于校对、排版等人员的工资支出；四是其他费用，交通费、文集存放库房租金和其他一些没有预计到的支出，共计支出133.94万元。</w:t>
            </w:r>
          </w:p>
        </w:tc>
      </w:tr>
      <w:tr>
        <w:trPr>
          <w:trHeight w:val="35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144</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94</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b w:val="0"/>
                <w:i/>
                <w:color w:val="000000"/>
                <w:sz w:val="18"/>
              </w:rPr>
            </w:pPr>
          </w:p>
        </w:tc>
      </w:tr>
      <w:tr>
        <w:trPr>
          <w:trHeight w:val="3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144</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94</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出版数量</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13</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册卷</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提升地域传统文化和旅游文化品位</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有效提升</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出版时限</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扬优秀民族文化，打造特色文化品牌</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有效打造</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可持续影响指标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促进阿坝州“文化兴州”进程</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有效促进</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公众满意度</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出版经费</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6138"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自评分为100分，因此项目为期2年，2025年对出版的格鲁、萨迦、觉囊等教派散集文集约13卷已完成100%，完成了2025年度目标计划2026年校对、验收合格后进行出版再支付尾款。</w:t>
            </w:r>
          </w:p>
        </w:tc>
      </w:tr>
      <w:tr>
        <w:trPr>
          <w:trHeight w:val="56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3344"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w:t>
            </w:r>
          </w:p>
        </w:tc>
        <w:tc>
          <w:tcPr>
            <w:tcW w:w="5006"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w:t>
            </w:r>
          </w:p>
        </w:tc>
      </w:tr>
      <w:tr>
        <w:trPr>
          <w:trHeight w:val="284"/>
        </w:trPr>
        <w:tc>
          <w:tcPr>
            <w:tcW w:w="569" w:type="dxa"/>
            <w:tcBorders>
              <w:top w:val="nil"/>
              <w:left w:val="nil"/>
              <w:bottom w:val="nil"/>
              <w:right w:val="nil"/>
              <w:tl2br w:val="nil"/>
              <w:tr2bl w:val="nil"/>
            </w:tcBorders>
            <w:noWrap/>
            <w:vAlign w:val="center"/>
          </w:tcPr>
          <w:p>
            <w:pPr>
              <w:rPr>
                <w:rFonts w:ascii="宋体" w:eastAsia="宋体"/>
                <w:color w:val="000000"/>
                <w:sz w:val="18"/>
              </w:rPr>
            </w:pPr>
          </w:p>
        </w:tc>
        <w:tc>
          <w:tcPr>
            <w:tcW w:w="528" w:type="dxa"/>
            <w:tcBorders>
              <w:top w:val="nil"/>
              <w:left w:val="nil"/>
              <w:bottom w:val="nil"/>
              <w:right w:val="nil"/>
              <w:tl2br w:val="nil"/>
              <w:tr2bl w:val="nil"/>
            </w:tcBorders>
            <w:noWrap/>
            <w:vAlign w:val="center"/>
          </w:tcPr>
          <w:p>
            <w:pPr>
              <w:rPr>
                <w:rFonts w:ascii="宋体" w:eastAsia="宋体"/>
                <w:color w:val="000000"/>
                <w:sz w:val="18"/>
              </w:rPr>
            </w:pPr>
          </w:p>
        </w:tc>
        <w:tc>
          <w:tcPr>
            <w:tcW w:w="823" w:type="dxa"/>
            <w:tcBorders>
              <w:top w:val="nil"/>
              <w:left w:val="nil"/>
              <w:bottom w:val="nil"/>
              <w:right w:val="nil"/>
              <w:tl2br w:val="nil"/>
              <w:tr2bl w:val="nil"/>
            </w:tcBorders>
            <w:noWrap/>
            <w:vAlign w:val="center"/>
          </w:tcPr>
          <w:p>
            <w:pPr>
              <w:rPr>
                <w:rFonts w:ascii="宋体" w:eastAsia="宋体"/>
                <w:color w:val="000000"/>
                <w:sz w:val="18"/>
              </w:rPr>
            </w:pPr>
          </w:p>
        </w:tc>
        <w:tc>
          <w:tcPr>
            <w:tcW w:w="621" w:type="dxa"/>
            <w:tcBorders>
              <w:top w:val="nil"/>
              <w:left w:val="nil"/>
              <w:bottom w:val="nil"/>
              <w:right w:val="nil"/>
              <w:tl2br w:val="nil"/>
              <w:tr2bl w:val="nil"/>
            </w:tcBorders>
            <w:noWrap/>
            <w:vAlign w:val="center"/>
          </w:tcPr>
          <w:p>
            <w:pPr>
              <w:rPr>
                <w:rFonts w:ascii="宋体" w:eastAsia="宋体"/>
                <w:color w:val="000000"/>
                <w:sz w:val="18"/>
              </w:rPr>
            </w:pPr>
          </w:p>
        </w:tc>
        <w:tc>
          <w:tcPr>
            <w:tcW w:w="803" w:type="dxa"/>
            <w:tcBorders>
              <w:top w:val="nil"/>
              <w:left w:val="nil"/>
              <w:bottom w:val="nil"/>
              <w:right w:val="nil"/>
              <w:tl2br w:val="nil"/>
              <w:tr2bl w:val="nil"/>
            </w:tcBorders>
            <w:noWrap/>
            <w:vAlign w:val="center"/>
          </w:tcPr>
          <w:p>
            <w:pPr>
              <w:rPr>
                <w:rFonts w:ascii="宋体" w:eastAsia="宋体"/>
                <w:color w:val="000000"/>
                <w:sz w:val="18"/>
              </w:rPr>
            </w:pPr>
          </w:p>
        </w:tc>
        <w:tc>
          <w:tcPr>
            <w:tcW w:w="1120" w:type="dxa"/>
            <w:tcBorders>
              <w:top w:val="nil"/>
              <w:left w:val="nil"/>
              <w:bottom w:val="nil"/>
              <w:right w:val="nil"/>
              <w:tl2br w:val="nil"/>
              <w:tr2bl w:val="nil"/>
            </w:tcBorders>
            <w:noWrap/>
            <w:vAlign w:val="center"/>
          </w:tcPr>
          <w:p>
            <w:pPr>
              <w:rPr>
                <w:rFonts w:ascii="宋体" w:eastAsia="宋体"/>
                <w:color w:val="000000"/>
                <w:sz w:val="18"/>
              </w:rPr>
            </w:pPr>
          </w:p>
        </w:tc>
        <w:tc>
          <w:tcPr>
            <w:tcW w:w="898" w:type="dxa"/>
            <w:tcBorders>
              <w:top w:val="nil"/>
              <w:left w:val="nil"/>
              <w:bottom w:val="nil"/>
              <w:right w:val="nil"/>
              <w:tl2br w:val="nil"/>
              <w:tr2bl w:val="nil"/>
            </w:tcBorders>
            <w:noWrap/>
            <w:vAlign w:val="center"/>
          </w:tcPr>
          <w:p>
            <w:pPr>
              <w:rPr>
                <w:rFonts w:ascii="宋体" w:eastAsia="宋体"/>
                <w:color w:val="000000"/>
                <w:sz w:val="18"/>
              </w:rPr>
            </w:pPr>
          </w:p>
        </w:tc>
        <w:tc>
          <w:tcPr>
            <w:tcW w:w="776" w:type="dxa"/>
            <w:tcBorders>
              <w:top w:val="nil"/>
              <w:left w:val="nil"/>
              <w:bottom w:val="nil"/>
              <w:right w:val="nil"/>
              <w:tl2br w:val="nil"/>
              <w:tr2bl w:val="nil"/>
            </w:tcBorders>
            <w:noWrap/>
            <w:vAlign w:val="center"/>
          </w:tcPr>
          <w:p>
            <w:pPr>
              <w:rPr>
                <w:rFonts w:ascii="宋体" w:eastAsia="宋体"/>
                <w:color w:val="000000"/>
                <w:sz w:val="18"/>
              </w:rPr>
            </w:pPr>
          </w:p>
        </w:tc>
        <w:tc>
          <w:tcPr>
            <w:tcW w:w="755" w:type="dxa"/>
            <w:tcBorders>
              <w:top w:val="nil"/>
              <w:left w:val="nil"/>
              <w:bottom w:val="nil"/>
              <w:right w:val="nil"/>
              <w:tl2br w:val="nil"/>
              <w:tr2bl w:val="nil"/>
            </w:tcBorders>
            <w:noWrap/>
            <w:vAlign w:val="center"/>
          </w:tcPr>
          <w:p>
            <w:pPr>
              <w:rPr>
                <w:rFonts w:ascii="宋体" w:eastAsia="宋体"/>
                <w:color w:val="000000"/>
                <w:sz w:val="18"/>
              </w:rPr>
            </w:pPr>
          </w:p>
        </w:tc>
        <w:tc>
          <w:tcPr>
            <w:tcW w:w="755" w:type="dxa"/>
            <w:tcBorders>
              <w:top w:val="nil"/>
              <w:left w:val="nil"/>
              <w:bottom w:val="nil"/>
              <w:right w:val="nil"/>
              <w:tl2br w:val="nil"/>
              <w:tr2bl w:val="nil"/>
            </w:tcBorders>
            <w:noWrap/>
            <w:vAlign w:val="center"/>
          </w:tcPr>
          <w:p>
            <w:pPr>
              <w:rPr>
                <w:rFonts w:ascii="宋体" w:eastAsia="宋体"/>
                <w:color w:val="000000"/>
                <w:sz w:val="18"/>
              </w:rPr>
            </w:pPr>
          </w:p>
        </w:tc>
        <w:tc>
          <w:tcPr>
            <w:tcW w:w="701"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8350"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51320026T000014817564-采购国产办公设备</w:t>
            </w:r>
          </w:p>
        </w:tc>
      </w:tr>
      <w:tr>
        <w:trPr>
          <w:trHeight w:val="509"/>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州佛协部门</w:t>
            </w:r>
          </w:p>
        </w:tc>
        <w:tc>
          <w:tcPr>
            <w:tcW w:w="776"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221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w:t>
            </w:r>
          </w:p>
        </w:tc>
      </w:tr>
      <w:tr>
        <w:trPr>
          <w:trHeight w:val="284"/>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全面完成年度国产笔记本电脑、国产打印机采购计划、确保设备按时、按需、足额配置到位，满足日常办公需求。</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2025年严格按照年度计划和采购流程组织实施采购1台国产笔记本电脑用于涉密工作,3台打印机用于日常工作开展,截止2025年年底已全面完成并入固定资产。</w:t>
            </w:r>
          </w:p>
        </w:tc>
      </w:tr>
      <w:tr>
        <w:trPr>
          <w:trHeight w:val="6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因单位日常办公保障所需，采购标的国产标准化笔记本电脑与打印机，因符合规格标准统一、现货货源充足、价格变化幅度小的法定适用情形，且采购预算未达到公开招标数额标准，依据《中华人民共和国政府采购法》第三十二条及《政府采购非招标采购方式管理办法》相关规定，采用询价采购方式实施，未进行公开招标。项目全程遵循“公开、透明、最低价成交”原则，实现采购流程闭环管理。</w:t>
            </w:r>
          </w:p>
        </w:tc>
      </w:tr>
      <w:tr>
        <w:trPr>
          <w:trHeight w:val="35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2.62</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2.62</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b w:val="0"/>
                <w:i/>
                <w:color w:val="000000"/>
                <w:sz w:val="18"/>
              </w:rPr>
            </w:pPr>
          </w:p>
        </w:tc>
      </w:tr>
      <w:tr>
        <w:trPr>
          <w:trHeight w:val="3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2.62</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2.62</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803" w:type="dxa"/>
            <w:tcBorders>
              <w:top w:val="nil"/>
              <w:left w:val="nil"/>
              <w:bottom w:val="nil"/>
              <w:right w:val="nil"/>
              <w:tl2br w:val="nil"/>
              <w:tr2bl w:val="nil"/>
            </w:tcBorders>
          </w:tcPr>
          <w:p>
            <w:pPr>
              <w:jc w:val="center"/>
              <w:rPr>
                <w:rFonts w:ascii="宋体" w:eastAsia="宋体" w:cs="Lucida Sans"/>
                <w:color w:val="000000"/>
                <w:sz w:val="18"/>
              </w:rPr>
            </w:pPr>
          </w:p>
        </w:tc>
        <w:tc>
          <w:tcPr>
            <w:tcW w:w="1120" w:type="dxa"/>
            <w:tcBorders>
              <w:top w:val="nil"/>
              <w:left w:val="nil"/>
              <w:bottom w:val="nil"/>
              <w:right w:val="nil"/>
              <w:tl2br w:val="nil"/>
              <w:tr2bl w:val="nil"/>
            </w:tcBorders>
          </w:tcPr>
          <w:p>
            <w:pPr>
              <w:jc w:val="center"/>
              <w:rPr>
                <w:rFonts w:ascii="宋体" w:eastAsia="宋体" w:cs="Lucida Sans"/>
                <w:color w:val="000000"/>
                <w:sz w:val="18"/>
              </w:rPr>
            </w:pPr>
          </w:p>
        </w:tc>
        <w:tc>
          <w:tcPr>
            <w:tcW w:w="898" w:type="dxa"/>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微软雅黑" w:eastAsia="微软雅黑"/>
                <w:b w:val="0"/>
                <w:i/>
                <w:color w:val="000000"/>
                <w:sz w:val="16"/>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olor w:val="000000"/>
                <w:sz w:val="18"/>
              </w:rPr>
            </w:pPr>
          </w:p>
        </w:tc>
        <w:tc>
          <w:tcPr>
            <w:tcW w:w="701" w:type="dxa"/>
            <w:tcBorders>
              <w:top w:val="nil"/>
              <w:left w:val="nil"/>
              <w:bottom w:val="nil"/>
              <w:right w:val="nil"/>
              <w:tl2br w:val="nil"/>
              <w:tr2bl w:val="nil"/>
            </w:tcBorders>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nil"/>
              <w:left w:val="nil"/>
              <w:bottom w:val="nil"/>
              <w:right w:val="nil"/>
              <w:tl2br w:val="nil"/>
              <w:tr2bl w:val="nil"/>
            </w:tcBorders>
          </w:tc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803" w:type="dxa"/>
            <w:tcBorders>
              <w:top w:val="nil"/>
              <w:left w:val="nil"/>
              <w:bottom w:val="nil"/>
              <w:right w:val="nil"/>
              <w:tl2br w:val="nil"/>
              <w:tr2bl w:val="nil"/>
            </w:tcBorders>
          </w:tcPr>
          <w:p>
            <w:pPr>
              <w:jc w:val="center"/>
              <w:rPr>
                <w:rFonts w:ascii="宋体" w:eastAsia="宋体" w:cs="Lucida Sans"/>
                <w:color w:val="000000"/>
                <w:sz w:val="18"/>
              </w:rPr>
            </w:pPr>
          </w:p>
        </w:tc>
        <w:tc>
          <w:tcPr>
            <w:tcW w:w="1120" w:type="dxa"/>
            <w:tcBorders>
              <w:top w:val="nil"/>
              <w:left w:val="nil"/>
              <w:bottom w:val="nil"/>
              <w:right w:val="nil"/>
              <w:tl2br w:val="nil"/>
              <w:tr2bl w:val="nil"/>
            </w:tcBorders>
          </w:tcPr>
          <w:p>
            <w:pPr>
              <w:jc w:val="center"/>
              <w:rPr>
                <w:rFonts w:ascii="宋体" w:eastAsia="宋体" w:cs="Lucida Sans"/>
                <w:color w:val="000000"/>
                <w:sz w:val="18"/>
              </w:rPr>
            </w:pPr>
          </w:p>
        </w:tc>
        <w:tc>
          <w:tcPr>
            <w:tcW w:w="898" w:type="dxa"/>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微软雅黑" w:eastAsia="微软雅黑"/>
                <w:b w:val="0"/>
                <w:i/>
                <w:color w:val="000000"/>
                <w:sz w:val="16"/>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olor w:val="000000"/>
                <w:sz w:val="18"/>
              </w:rPr>
            </w:pPr>
          </w:p>
        </w:tc>
        <w:tc>
          <w:tcPr>
            <w:tcW w:w="701" w:type="dxa"/>
            <w:tcBorders>
              <w:top w:val="nil"/>
              <w:left w:val="nil"/>
              <w:bottom w:val="nil"/>
              <w:right w:val="nil"/>
              <w:tl2br w:val="nil"/>
              <w:tr2bl w:val="nil"/>
            </w:tcBorders>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nil"/>
              <w:left w:val="nil"/>
              <w:bottom w:val="nil"/>
              <w:right w:val="nil"/>
              <w:tl2br w:val="nil"/>
              <w:tr2bl w:val="nil"/>
            </w:tcBorders>
          </w:tc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803" w:type="dxa"/>
            <w:tcBorders>
              <w:top w:val="nil"/>
              <w:left w:val="nil"/>
              <w:bottom w:val="nil"/>
              <w:right w:val="nil"/>
              <w:tl2br w:val="nil"/>
              <w:tr2bl w:val="nil"/>
            </w:tcBorders>
          </w:tcPr>
          <w:p>
            <w:pPr>
              <w:jc w:val="center"/>
              <w:rPr>
                <w:rFonts w:ascii="宋体" w:eastAsia="宋体" w:cs="Lucida Sans"/>
                <w:color w:val="000000"/>
                <w:sz w:val="18"/>
              </w:rPr>
            </w:pPr>
          </w:p>
        </w:tc>
        <w:tc>
          <w:tcPr>
            <w:tcW w:w="1120" w:type="dxa"/>
            <w:tcBorders>
              <w:top w:val="nil"/>
              <w:left w:val="nil"/>
              <w:bottom w:val="nil"/>
              <w:right w:val="nil"/>
              <w:tl2br w:val="nil"/>
              <w:tr2bl w:val="nil"/>
            </w:tcBorders>
          </w:tcPr>
          <w:p>
            <w:pPr>
              <w:jc w:val="center"/>
              <w:rPr>
                <w:rFonts w:ascii="宋体" w:eastAsia="宋体" w:cs="Lucida Sans"/>
                <w:color w:val="000000"/>
                <w:sz w:val="18"/>
              </w:rPr>
            </w:pPr>
          </w:p>
        </w:tc>
        <w:tc>
          <w:tcPr>
            <w:tcW w:w="898" w:type="dxa"/>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微软雅黑" w:eastAsia="微软雅黑"/>
                <w:b w:val="0"/>
                <w:i/>
                <w:color w:val="000000"/>
                <w:sz w:val="16"/>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olor w:val="000000"/>
                <w:sz w:val="18"/>
              </w:rPr>
            </w:pPr>
          </w:p>
        </w:tc>
        <w:tc>
          <w:tcPr>
            <w:tcW w:w="701" w:type="dxa"/>
            <w:tcBorders>
              <w:top w:val="nil"/>
              <w:left w:val="nil"/>
              <w:bottom w:val="nil"/>
              <w:right w:val="nil"/>
              <w:tl2br w:val="nil"/>
              <w:tr2bl w:val="nil"/>
            </w:tcBorders>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803" w:type="dxa"/>
            <w:tcBorders>
              <w:top w:val="nil"/>
              <w:left w:val="nil"/>
              <w:bottom w:val="nil"/>
              <w:right w:val="nil"/>
              <w:tl2br w:val="nil"/>
              <w:tr2bl w:val="nil"/>
            </w:tcBorders>
          </w:tcPr>
          <w:p>
            <w:pPr>
              <w:jc w:val="center"/>
              <w:rPr>
                <w:rFonts w:ascii="宋体" w:eastAsia="宋体" w:cs="Lucida Sans"/>
                <w:color w:val="000000"/>
                <w:sz w:val="18"/>
              </w:rPr>
            </w:pPr>
          </w:p>
        </w:tc>
        <w:tc>
          <w:tcPr>
            <w:tcW w:w="1120" w:type="dxa"/>
            <w:tcBorders>
              <w:top w:val="nil"/>
              <w:left w:val="nil"/>
              <w:bottom w:val="nil"/>
              <w:right w:val="nil"/>
              <w:tl2br w:val="nil"/>
              <w:tr2bl w:val="nil"/>
            </w:tcBorders>
          </w:tcPr>
          <w:p>
            <w:pPr>
              <w:jc w:val="center"/>
              <w:rPr>
                <w:rFonts w:ascii="宋体" w:eastAsia="宋体" w:cs="Lucida Sans"/>
                <w:color w:val="000000"/>
                <w:sz w:val="18"/>
              </w:rPr>
            </w:pPr>
          </w:p>
        </w:tc>
        <w:tc>
          <w:tcPr>
            <w:tcW w:w="898" w:type="dxa"/>
            <w:tcBorders>
              <w:top w:val="nil"/>
              <w:left w:val="nil"/>
              <w:bottom w:val="nil"/>
              <w:right w:val="nil"/>
              <w:tl2br w:val="nil"/>
              <w:tr2bl w:val="nil"/>
            </w:tcBorders>
          </w:tcPr>
          <w:p>
            <w:pPr>
              <w:jc w:val="center"/>
              <w:rPr>
                <w:rFonts w:ascii="宋体" w:eastAsia="宋体"/>
                <w:color w:val="000000"/>
                <w:sz w:val="18"/>
              </w:rPr>
            </w:pPr>
          </w:p>
        </w:tc>
        <w:tc>
          <w:tcPr>
            <w:tcW w:w="776" w:type="dxa"/>
            <w:tcBorders>
              <w:top w:val="nil"/>
              <w:left w:val="nil"/>
              <w:bottom w:val="nil"/>
              <w:right w:val="nil"/>
              <w:tl2br w:val="nil"/>
              <w:tr2bl w:val="nil"/>
            </w:tcBorders>
          </w:tcPr>
          <w:p>
            <w:pPr>
              <w:jc w:val="center"/>
              <w:rPr>
                <w:rFonts w:ascii="微软雅黑" w:eastAsia="微软雅黑"/>
                <w:b w:val="0"/>
                <w:i/>
                <w:color w:val="000000"/>
                <w:sz w:val="16"/>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olor w:val="000000"/>
                <w:sz w:val="18"/>
              </w:rPr>
            </w:pPr>
          </w:p>
        </w:tc>
        <w:tc>
          <w:tcPr>
            <w:tcW w:w="701" w:type="dxa"/>
            <w:tcBorders>
              <w:top w:val="nil"/>
              <w:left w:val="nil"/>
              <w:bottom w:val="nil"/>
              <w:right w:val="nil"/>
              <w:tl2br w:val="nil"/>
              <w:tr2bl w:val="nil"/>
            </w:tcBorders>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nil"/>
              <w:left w:val="nil"/>
              <w:bottom w:val="nil"/>
              <w:right w:val="nil"/>
              <w:tl2br w:val="nil"/>
              <w:tr2bl w:val="nil"/>
            </w:tcBorders>
          </w:tc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803" w:type="dxa"/>
            <w:tcBorders>
              <w:top w:val="nil"/>
              <w:left w:val="nil"/>
              <w:bottom w:val="nil"/>
              <w:right w:val="nil"/>
              <w:tl2br w:val="nil"/>
              <w:tr2bl w:val="nil"/>
            </w:tcBorders>
          </w:tcPr>
          <w:p>
            <w:pPr>
              <w:jc w:val="center"/>
              <w:rPr>
                <w:rFonts w:ascii="宋体" w:eastAsia="宋体" w:cs="Lucida Sans"/>
                <w:color w:val="000000"/>
                <w:sz w:val="18"/>
              </w:rPr>
            </w:pPr>
          </w:p>
        </w:tc>
        <w:tc>
          <w:tcPr>
            <w:tcW w:w="1120" w:type="dxa"/>
            <w:tcBorders>
              <w:top w:val="nil"/>
              <w:left w:val="nil"/>
              <w:bottom w:val="nil"/>
              <w:right w:val="nil"/>
              <w:tl2br w:val="nil"/>
              <w:tr2bl w:val="nil"/>
            </w:tcBorders>
          </w:tcPr>
          <w:p>
            <w:pPr>
              <w:jc w:val="center"/>
              <w:rPr>
                <w:rFonts w:ascii="宋体" w:eastAsia="宋体" w:cs="Lucida Sans"/>
                <w:color w:val="000000"/>
                <w:sz w:val="18"/>
              </w:rPr>
            </w:pPr>
          </w:p>
        </w:tc>
        <w:tc>
          <w:tcPr>
            <w:tcW w:w="898" w:type="dxa"/>
            <w:tcBorders>
              <w:top w:val="nil"/>
              <w:left w:val="nil"/>
              <w:bottom w:val="nil"/>
              <w:right w:val="nil"/>
              <w:tl2br w:val="nil"/>
              <w:tr2bl w:val="nil"/>
            </w:tcBorders>
          </w:tcPr>
          <w:p>
            <w:pPr>
              <w:jc w:val="center"/>
              <w:rPr>
                <w:rFonts w:ascii="宋体" w:eastAsia="宋体"/>
                <w:color w:val="000000"/>
                <w:sz w:val="18"/>
              </w:rPr>
            </w:pPr>
          </w:p>
        </w:tc>
        <w:tc>
          <w:tcPr>
            <w:tcW w:w="776" w:type="dxa"/>
            <w:tcBorders>
              <w:top w:val="nil"/>
              <w:left w:val="nil"/>
              <w:bottom w:val="nil"/>
              <w:right w:val="nil"/>
              <w:tl2br w:val="nil"/>
              <w:tr2bl w:val="nil"/>
            </w:tcBorders>
          </w:tcPr>
          <w:p>
            <w:pPr>
              <w:jc w:val="center"/>
              <w:rPr>
                <w:rFonts w:ascii="微软雅黑" w:eastAsia="微软雅黑"/>
                <w:b w:val="0"/>
                <w:i/>
                <w:color w:val="000000"/>
                <w:sz w:val="16"/>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olor w:val="000000"/>
                <w:sz w:val="18"/>
              </w:rPr>
            </w:pPr>
          </w:p>
        </w:tc>
        <w:tc>
          <w:tcPr>
            <w:tcW w:w="701" w:type="dxa"/>
            <w:tcBorders>
              <w:top w:val="nil"/>
              <w:left w:val="nil"/>
              <w:bottom w:val="nil"/>
              <w:right w:val="nil"/>
              <w:tl2br w:val="nil"/>
              <w:tr2bl w:val="nil"/>
            </w:tcBorders>
          </w:tcPr>
          <w:p>
            <w:pPr>
              <w:jc w:val="center"/>
              <w:rPr>
                <w:rFonts w:ascii="微软雅黑" w:eastAsia="微软雅黑"/>
                <w:b w:val="0"/>
                <w:i/>
                <w:color w:val="000000"/>
                <w:sz w:val="16"/>
              </w:rPr>
            </w:pPr>
          </w:p>
        </w:tc>
      </w:tr>
      <w:tr>
        <w:trPr>
          <w:trHeight w:val="122"/>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803" w:type="dxa"/>
            <w:tcBorders>
              <w:top w:val="nil"/>
              <w:left w:val="nil"/>
              <w:bottom w:val="nil"/>
              <w:right w:val="nil"/>
              <w:tl2br w:val="nil"/>
              <w:tr2bl w:val="nil"/>
            </w:tcBorders>
          </w:tcPr>
          <w:p>
            <w:pPr>
              <w:jc w:val="center"/>
              <w:rPr>
                <w:rFonts w:ascii="宋体" w:eastAsia="宋体" w:cs="Lucida Sans"/>
                <w:color w:val="000000"/>
                <w:sz w:val="18"/>
              </w:rPr>
            </w:pPr>
          </w:p>
        </w:tc>
        <w:tc>
          <w:tcPr>
            <w:tcW w:w="1120" w:type="dxa"/>
            <w:tcBorders>
              <w:top w:val="nil"/>
              <w:left w:val="nil"/>
              <w:bottom w:val="nil"/>
              <w:right w:val="nil"/>
              <w:tl2br w:val="nil"/>
              <w:tr2bl w:val="nil"/>
            </w:tcBorders>
          </w:tcPr>
          <w:p>
            <w:pPr>
              <w:jc w:val="center"/>
              <w:rPr>
                <w:rFonts w:ascii="宋体" w:eastAsia="宋体" w:cs="Lucida Sans"/>
                <w:color w:val="000000"/>
                <w:sz w:val="18"/>
              </w:rPr>
            </w:pPr>
          </w:p>
        </w:tc>
        <w:tc>
          <w:tcPr>
            <w:tcW w:w="898" w:type="dxa"/>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微软雅黑" w:eastAsia="微软雅黑"/>
                <w:b w:val="0"/>
                <w:i/>
                <w:color w:val="000000"/>
                <w:sz w:val="16"/>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olor w:val="000000"/>
                <w:sz w:val="18"/>
              </w:rPr>
            </w:pPr>
          </w:p>
        </w:tc>
        <w:tc>
          <w:tcPr>
            <w:tcW w:w="701" w:type="dxa"/>
            <w:tcBorders>
              <w:top w:val="nil"/>
              <w:left w:val="nil"/>
              <w:bottom w:val="nil"/>
              <w:right w:val="nil"/>
              <w:tl2br w:val="nil"/>
              <w:tr2bl w:val="nil"/>
            </w:tcBorders>
          </w:tcPr>
          <w:p>
            <w:pPr>
              <w:jc w:val="center"/>
              <w:rPr>
                <w:rFonts w:ascii="微软雅黑" w:eastAsia="微软雅黑"/>
                <w:b w:val="0"/>
                <w:i/>
                <w:color w:val="000000"/>
                <w:sz w:val="16"/>
              </w:rPr>
            </w:pPr>
          </w:p>
        </w:tc>
      </w:tr>
      <w:tr>
        <w:trPr>
          <w:trHeight w:val="59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自评分为100分，本项目围绕我会移动办公及日常文印保障核心需求，严格遵循政府采购相关法律法规，采用合规采购方式完成国产笔记本电脑及打印机的采购、履约、验收全流程工作。项目已按既定目标全面办结，资金规范使用，设备适配性强，圆满达成采购预期。</w:t>
            </w:r>
          </w:p>
        </w:tc>
      </w:tr>
      <w:tr>
        <w:trPr>
          <w:trHeight w:val="56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3344"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w:t>
            </w:r>
          </w:p>
        </w:tc>
        <w:tc>
          <w:tcPr>
            <w:tcW w:w="5006"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w:t>
            </w:r>
          </w:p>
        </w:tc>
      </w:tr>
      <w:tr>
        <w:trPr>
          <w:trHeight w:val="284"/>
        </w:trPr>
        <w:tc>
          <w:tcPr>
            <w:tcW w:w="569" w:type="dxa"/>
            <w:tcBorders>
              <w:top w:val="nil"/>
              <w:left w:val="nil"/>
              <w:bottom w:val="nil"/>
              <w:right w:val="nil"/>
              <w:tl2br w:val="nil"/>
              <w:tr2bl w:val="nil"/>
            </w:tcBorders>
            <w:noWrap/>
            <w:vAlign w:val="center"/>
          </w:tcPr>
          <w:p>
            <w:pPr>
              <w:rPr>
                <w:rFonts w:ascii="宋体" w:eastAsia="宋体"/>
                <w:color w:val="000000"/>
                <w:sz w:val="18"/>
              </w:rPr>
            </w:pPr>
          </w:p>
        </w:tc>
        <w:tc>
          <w:tcPr>
            <w:tcW w:w="528" w:type="dxa"/>
            <w:tcBorders>
              <w:top w:val="nil"/>
              <w:left w:val="nil"/>
              <w:bottom w:val="nil"/>
              <w:right w:val="nil"/>
              <w:tl2br w:val="nil"/>
              <w:tr2bl w:val="nil"/>
            </w:tcBorders>
            <w:noWrap/>
            <w:vAlign w:val="center"/>
          </w:tcPr>
          <w:p>
            <w:pPr>
              <w:rPr>
                <w:rFonts w:ascii="宋体" w:eastAsia="宋体"/>
                <w:color w:val="000000"/>
                <w:sz w:val="18"/>
              </w:rPr>
            </w:pPr>
          </w:p>
        </w:tc>
        <w:tc>
          <w:tcPr>
            <w:tcW w:w="823" w:type="dxa"/>
            <w:tcBorders>
              <w:top w:val="nil"/>
              <w:left w:val="nil"/>
              <w:bottom w:val="nil"/>
              <w:right w:val="nil"/>
              <w:tl2br w:val="nil"/>
              <w:tr2bl w:val="nil"/>
            </w:tcBorders>
            <w:noWrap/>
            <w:vAlign w:val="center"/>
          </w:tcPr>
          <w:p>
            <w:pPr>
              <w:rPr>
                <w:rFonts w:ascii="宋体" w:eastAsia="宋体"/>
                <w:color w:val="000000"/>
                <w:sz w:val="18"/>
              </w:rPr>
            </w:pPr>
          </w:p>
        </w:tc>
        <w:tc>
          <w:tcPr>
            <w:tcW w:w="621" w:type="dxa"/>
            <w:tcBorders>
              <w:top w:val="nil"/>
              <w:left w:val="nil"/>
              <w:bottom w:val="nil"/>
              <w:right w:val="nil"/>
              <w:tl2br w:val="nil"/>
              <w:tr2bl w:val="nil"/>
            </w:tcBorders>
            <w:noWrap/>
            <w:vAlign w:val="center"/>
          </w:tcPr>
          <w:p>
            <w:pPr>
              <w:rPr>
                <w:rFonts w:ascii="宋体" w:eastAsia="宋体"/>
                <w:color w:val="000000"/>
                <w:sz w:val="18"/>
              </w:rPr>
            </w:pPr>
          </w:p>
        </w:tc>
        <w:tc>
          <w:tcPr>
            <w:tcW w:w="803" w:type="dxa"/>
            <w:tcBorders>
              <w:top w:val="nil"/>
              <w:left w:val="nil"/>
              <w:bottom w:val="nil"/>
              <w:right w:val="nil"/>
              <w:tl2br w:val="nil"/>
              <w:tr2bl w:val="nil"/>
            </w:tcBorders>
            <w:noWrap/>
            <w:vAlign w:val="center"/>
          </w:tcPr>
          <w:p>
            <w:pPr>
              <w:rPr>
                <w:rFonts w:ascii="宋体" w:eastAsia="宋体"/>
                <w:color w:val="000000"/>
                <w:sz w:val="18"/>
              </w:rPr>
            </w:pPr>
          </w:p>
        </w:tc>
        <w:tc>
          <w:tcPr>
            <w:tcW w:w="1120" w:type="dxa"/>
            <w:tcBorders>
              <w:top w:val="nil"/>
              <w:left w:val="nil"/>
              <w:bottom w:val="nil"/>
              <w:right w:val="nil"/>
              <w:tl2br w:val="nil"/>
              <w:tr2bl w:val="nil"/>
            </w:tcBorders>
            <w:noWrap/>
            <w:vAlign w:val="center"/>
          </w:tcPr>
          <w:p>
            <w:pPr>
              <w:rPr>
                <w:rFonts w:ascii="宋体" w:eastAsia="宋体"/>
                <w:color w:val="000000"/>
                <w:sz w:val="18"/>
              </w:rPr>
            </w:pPr>
          </w:p>
        </w:tc>
        <w:tc>
          <w:tcPr>
            <w:tcW w:w="898" w:type="dxa"/>
            <w:tcBorders>
              <w:top w:val="nil"/>
              <w:left w:val="nil"/>
              <w:bottom w:val="nil"/>
              <w:right w:val="nil"/>
              <w:tl2br w:val="nil"/>
              <w:tr2bl w:val="nil"/>
            </w:tcBorders>
            <w:noWrap/>
            <w:vAlign w:val="center"/>
          </w:tcPr>
          <w:p>
            <w:pPr>
              <w:rPr>
                <w:rFonts w:ascii="宋体" w:eastAsia="宋体"/>
                <w:color w:val="000000"/>
                <w:sz w:val="18"/>
              </w:rPr>
            </w:pPr>
          </w:p>
        </w:tc>
        <w:tc>
          <w:tcPr>
            <w:tcW w:w="776" w:type="dxa"/>
            <w:tcBorders>
              <w:top w:val="nil"/>
              <w:left w:val="nil"/>
              <w:bottom w:val="nil"/>
              <w:right w:val="nil"/>
              <w:tl2br w:val="nil"/>
              <w:tr2bl w:val="nil"/>
            </w:tcBorders>
            <w:noWrap/>
            <w:vAlign w:val="center"/>
          </w:tcPr>
          <w:p>
            <w:pPr>
              <w:rPr>
                <w:rFonts w:ascii="宋体" w:eastAsia="宋体"/>
                <w:color w:val="000000"/>
                <w:sz w:val="18"/>
              </w:rPr>
            </w:pPr>
          </w:p>
        </w:tc>
        <w:tc>
          <w:tcPr>
            <w:tcW w:w="755" w:type="dxa"/>
            <w:tcBorders>
              <w:top w:val="nil"/>
              <w:left w:val="nil"/>
              <w:bottom w:val="nil"/>
              <w:right w:val="nil"/>
              <w:tl2br w:val="nil"/>
              <w:tr2bl w:val="nil"/>
            </w:tcBorders>
            <w:noWrap/>
            <w:vAlign w:val="center"/>
          </w:tcPr>
          <w:p>
            <w:pPr>
              <w:rPr>
                <w:rFonts w:ascii="宋体" w:eastAsia="宋体"/>
                <w:color w:val="000000"/>
                <w:sz w:val="18"/>
              </w:rPr>
            </w:pPr>
          </w:p>
        </w:tc>
        <w:tc>
          <w:tcPr>
            <w:tcW w:w="755" w:type="dxa"/>
            <w:tcBorders>
              <w:top w:val="nil"/>
              <w:left w:val="nil"/>
              <w:bottom w:val="nil"/>
              <w:right w:val="nil"/>
              <w:tl2br w:val="nil"/>
              <w:tr2bl w:val="nil"/>
            </w:tcBorders>
            <w:noWrap/>
            <w:vAlign w:val="center"/>
          </w:tcPr>
          <w:p>
            <w:pPr>
              <w:rPr>
                <w:rFonts w:ascii="宋体" w:eastAsia="宋体"/>
                <w:color w:val="000000"/>
                <w:sz w:val="18"/>
              </w:rPr>
            </w:pPr>
          </w:p>
        </w:tc>
        <w:tc>
          <w:tcPr>
            <w:tcW w:w="701"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569" w:type="dxa"/>
            <w:tcBorders>
              <w:top w:val="nil"/>
              <w:left w:val="nil"/>
              <w:bottom w:val="nil"/>
              <w:right w:val="nil"/>
              <w:tl2br w:val="nil"/>
              <w:tr2bl w:val="nil"/>
            </w:tcBorders>
            <w:noWrap/>
            <w:vAlign w:val="center"/>
          </w:tcPr>
          <w:p/>
        </w:tc>
        <w:tc>
          <w:tcPr>
            <w:tcW w:w="528" w:type="dxa"/>
            <w:tcBorders>
              <w:top w:val="nil"/>
              <w:left w:val="nil"/>
              <w:bottom w:val="nil"/>
              <w:right w:val="nil"/>
              <w:tl2br w:val="nil"/>
              <w:tr2bl w:val="nil"/>
            </w:tcBorders>
            <w:noWrap/>
            <w:vAlign w:val="center"/>
          </w:tcPr>
          <w:p/>
        </w:tc>
        <w:tc>
          <w:tcPr>
            <w:tcW w:w="823" w:type="dxa"/>
            <w:tcBorders>
              <w:top w:val="nil"/>
              <w:left w:val="nil"/>
              <w:bottom w:val="nil"/>
              <w:right w:val="nil"/>
              <w:tl2br w:val="nil"/>
              <w:tr2bl w:val="nil"/>
            </w:tcBorders>
            <w:noWrap/>
            <w:vAlign w:val="center"/>
          </w:tcPr>
          <w:p/>
        </w:tc>
        <w:tc>
          <w:tcPr>
            <w:tcW w:w="621" w:type="dxa"/>
            <w:tcBorders>
              <w:top w:val="nil"/>
              <w:left w:val="nil"/>
              <w:bottom w:val="nil"/>
              <w:right w:val="nil"/>
              <w:tl2br w:val="nil"/>
              <w:tr2bl w:val="nil"/>
            </w:tcBorders>
            <w:noWrap/>
            <w:vAlign w:val="center"/>
          </w:tcPr>
          <w:p/>
        </w:tc>
        <w:tc>
          <w:tcPr>
            <w:tcW w:w="803" w:type="dxa"/>
            <w:tcBorders>
              <w:top w:val="nil"/>
              <w:left w:val="nil"/>
              <w:bottom w:val="nil"/>
              <w:right w:val="nil"/>
              <w:tl2br w:val="nil"/>
              <w:tr2bl w:val="nil"/>
            </w:tcBorders>
            <w:noWrap/>
            <w:vAlign w:val="center"/>
          </w:tcPr>
          <w:p/>
        </w:tc>
        <w:tc>
          <w:tcPr>
            <w:tcW w:w="1120" w:type="dxa"/>
            <w:tcBorders>
              <w:top w:val="nil"/>
              <w:left w:val="nil"/>
              <w:bottom w:val="nil"/>
              <w:right w:val="nil"/>
              <w:tl2br w:val="nil"/>
              <w:tr2bl w:val="nil"/>
            </w:tcBorders>
            <w:noWrap/>
            <w:vAlign w:val="center"/>
          </w:tcPr>
          <w:p/>
        </w:tc>
        <w:tc>
          <w:tcPr>
            <w:tcW w:w="898" w:type="dxa"/>
            <w:tcBorders>
              <w:top w:val="nil"/>
              <w:left w:val="nil"/>
              <w:bottom w:val="nil"/>
              <w:right w:val="nil"/>
              <w:tl2br w:val="nil"/>
              <w:tr2bl w:val="nil"/>
            </w:tcBorders>
            <w:noWrap/>
            <w:vAlign w:val="center"/>
          </w:tcPr>
          <w:p/>
        </w:tc>
        <w:tc>
          <w:tcPr>
            <w:tcW w:w="776" w:type="dxa"/>
            <w:tcBorders>
              <w:top w:val="nil"/>
              <w:left w:val="nil"/>
              <w:bottom w:val="nil"/>
              <w:right w:val="nil"/>
              <w:tl2br w:val="nil"/>
              <w:tr2bl w:val="nil"/>
            </w:tcBorders>
            <w:noWrap/>
            <w:vAlign w:val="center"/>
          </w:tcPr>
          <w:p/>
        </w:tc>
        <w:tc>
          <w:tcPr>
            <w:tcW w:w="755" w:type="dxa"/>
            <w:tcBorders>
              <w:top w:val="nil"/>
              <w:left w:val="nil"/>
              <w:bottom w:val="nil"/>
              <w:right w:val="nil"/>
              <w:tl2br w:val="nil"/>
              <w:tr2bl w:val="nil"/>
            </w:tcBorders>
            <w:noWrap/>
            <w:vAlign w:val="center"/>
          </w:tcPr>
          <w:p/>
        </w:tc>
        <w:tc>
          <w:tcPr>
            <w:tcW w:w="755" w:type="dxa"/>
            <w:tcBorders>
              <w:top w:val="nil"/>
              <w:left w:val="nil"/>
              <w:bottom w:val="nil"/>
              <w:right w:val="nil"/>
              <w:tl2br w:val="nil"/>
              <w:tr2bl w:val="nil"/>
            </w:tcBorders>
            <w:noWrap/>
            <w:vAlign w:val="center"/>
          </w:tcPr>
          <w:p/>
        </w:tc>
        <w:tc>
          <w:tcPr>
            <w:tcW w:w="701" w:type="dxa"/>
            <w:tcBorders>
              <w:top w:val="nil"/>
              <w:left w:val="nil"/>
              <w:bottom w:val="nil"/>
              <w:right w:val="nil"/>
              <w:tl2br w:val="nil"/>
              <w:tr2bl w:val="nil"/>
            </w:tcBorders>
            <w:noWrap/>
            <w:vAlign w:val="center"/>
          </w:tcPr>
          <w:p/>
        </w:tc>
      </w:tr>
      <w:tr>
        <w:trPr>
          <w:trHeight w:val="284"/>
        </w:trPr>
        <w:tc>
          <w:tcPr>
            <w:tcW w:w="8350"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509"/>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51320024T000010457563-《阿坝州珍稀古籍文献汇编》收集整理经费</w:t>
            </w:r>
          </w:p>
        </w:tc>
      </w:tr>
      <w:tr>
        <w:trPr>
          <w:trHeight w:val="284"/>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州佛协部门</w:t>
            </w:r>
          </w:p>
        </w:tc>
        <w:tc>
          <w:tcPr>
            <w:tcW w:w="776"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221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w:t>
            </w:r>
          </w:p>
        </w:tc>
      </w:tr>
      <w:tr>
        <w:trPr>
          <w:trHeight w:val="89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6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为</w:t>
            </w:r>
            <w:r>
              <w:rPr>
                <w:rFonts w:ascii="宋体" w:cs="Lucida Sans" w:hint="eastAsia"/>
                <w:color w:val="000000"/>
                <w:sz w:val="18"/>
                <w:lang w:eastAsia="zh-CN"/>
              </w:rPr>
              <w:t>抢救性地</w:t>
            </w:r>
            <w:r>
              <w:rPr>
                <w:rFonts w:ascii="宋体" w:eastAsia="宋体" w:cs="Lucida Sans"/>
                <w:color w:val="000000"/>
                <w:sz w:val="18"/>
              </w:rPr>
              <w:t>收集、整理、出版我州藏传佛教发展进程中，有声望、有影响的活佛、喇嘛、堪布、格西等历史名人的著作，继承弘扬优秀民族文化，打造特色文化品牌，提升地域传统文化和旅游文化品位，促进阿坝州“文化兴州”进程。</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2025年度已按工作要求已完成格鲁、萨迦、觉囊文集的收集率100%</w:t>
            </w:r>
          </w:p>
        </w:tc>
      </w:tr>
      <w:tr>
        <w:trPr>
          <w:trHeight w:val="359"/>
        </w:trPr>
        <w:tc>
          <w:tcPr>
            <w:tcW w:w="56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实施内容：召集我州藏传佛教方面专家学者对文集选题进行研讨，筛选符合出版的文集；请专业人员对筛选出的文集进行整理、录入、存档等工作；具有藏文排版资质的公司对文集进行排版编辑。具体支出内容为：一是办公费，用于收集整理工作中办公费的支出；二是差旅费，用于到各地各寺庙开展文集收集支出；三是劳务费，用于校对、排版等人员的工资支出；四是其他费用，交通费、文集存放库房租金和其他一些没有预计到的支出，共计支出29.94万元。</w:t>
            </w:r>
          </w:p>
        </w:tc>
      </w:tr>
      <w:tr>
        <w:trPr>
          <w:trHeight w:val="344"/>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29.94</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29.94</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01"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29.94</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29.94</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56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0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文集收集</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13</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卷</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整理合格率</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收集时限</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提升地域传统文化率</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可持续影响指标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促进阿坝州文化兴州进程</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有效促进</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89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公众满意度</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284"/>
        </w:trPr>
        <w:tc>
          <w:tcPr>
            <w:tcW w:w="613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收集整理费</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30</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599"/>
        </w:trPr>
        <w:tc>
          <w:tcPr>
            <w:tcW w:w="6138"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56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自评分为100分，202年按要求支付完毕。在阿坝州藏传佛教发展进程中，曾出现过许多有声望、有影响的活佛、喇嘛、堪布、格西等高僧大德，他们中有不少人著书立说、弘扬佛法和传统文化，为藏传佛教和藏族传统文化在阿坝地区乃至整个藏区的传播作出了积极贡献。他们的著作数量多，内容涉及佛教、历史、诗词、医药、历算等领域，堪称藏学历史上的宝库。目前，很多有价值的文集诸多因素失散，如不及时抢救性的整理和收集，以后会很难再收集。整理出版我州历史名人著作，对继承弘扬优秀民族文化，打造特色文化品牌，提升地域传统文化和旅游文化品位，促进阿坝州“文化兴州”进程都具有十分重要的意义。</w:t>
            </w:r>
          </w:p>
        </w:tc>
      </w:tr>
      <w:tr>
        <w:trPr>
          <w:trHeight w:val="62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3344"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w:t>
            </w:r>
          </w:p>
        </w:tc>
        <w:tc>
          <w:tcPr>
            <w:tcW w:w="5006"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w:t>
            </w:r>
          </w:p>
        </w:tc>
      </w:tr>
      <w:tr>
        <w:trPr>
          <w:trHeight w:val="899"/>
        </w:trPr>
        <w:tc>
          <w:tcPr>
            <w:tcW w:w="569" w:type="dxa"/>
            <w:tcBorders>
              <w:top w:val="nil"/>
              <w:left w:val="nil"/>
              <w:bottom w:val="nil"/>
              <w:right w:val="nil"/>
              <w:tl2br w:val="nil"/>
              <w:tr2bl w:val="nil"/>
            </w:tcBorders>
            <w:noWrap/>
            <w:vAlign w:val="center"/>
          </w:tcPr>
          <w:p/>
        </w:tc>
        <w:tc>
          <w:tcPr>
            <w:tcW w:w="528" w:type="dxa"/>
            <w:tcBorders>
              <w:top w:val="nil"/>
              <w:left w:val="nil"/>
              <w:bottom w:val="nil"/>
              <w:right w:val="nil"/>
              <w:tl2br w:val="nil"/>
              <w:tr2bl w:val="nil"/>
            </w:tcBorders>
            <w:noWrap/>
            <w:vAlign w:val="center"/>
          </w:tcPr>
          <w:p/>
        </w:tc>
        <w:tc>
          <w:tcPr>
            <w:tcW w:w="823" w:type="dxa"/>
            <w:tcBorders>
              <w:top w:val="nil"/>
              <w:left w:val="nil"/>
              <w:bottom w:val="nil"/>
              <w:right w:val="nil"/>
              <w:tl2br w:val="nil"/>
              <w:tr2bl w:val="nil"/>
            </w:tcBorders>
            <w:noWrap/>
            <w:vAlign w:val="center"/>
          </w:tcPr>
          <w:p/>
        </w:tc>
        <w:tc>
          <w:tcPr>
            <w:tcW w:w="621" w:type="dxa"/>
            <w:tcBorders>
              <w:top w:val="nil"/>
              <w:left w:val="nil"/>
              <w:bottom w:val="nil"/>
              <w:right w:val="nil"/>
              <w:tl2br w:val="nil"/>
              <w:tr2bl w:val="nil"/>
            </w:tcBorders>
            <w:noWrap/>
            <w:vAlign w:val="center"/>
          </w:tcPr>
          <w:p/>
        </w:tc>
        <w:tc>
          <w:tcPr>
            <w:tcW w:w="803" w:type="dxa"/>
            <w:tcBorders>
              <w:top w:val="nil"/>
              <w:left w:val="nil"/>
              <w:bottom w:val="nil"/>
              <w:right w:val="nil"/>
              <w:tl2br w:val="nil"/>
              <w:tr2bl w:val="nil"/>
            </w:tcBorders>
            <w:noWrap/>
            <w:vAlign w:val="center"/>
          </w:tcPr>
          <w:p/>
        </w:tc>
        <w:tc>
          <w:tcPr>
            <w:tcW w:w="1120" w:type="dxa"/>
            <w:tcBorders>
              <w:top w:val="nil"/>
              <w:left w:val="nil"/>
              <w:bottom w:val="nil"/>
              <w:right w:val="nil"/>
              <w:tl2br w:val="nil"/>
              <w:tr2bl w:val="nil"/>
            </w:tcBorders>
            <w:noWrap/>
            <w:vAlign w:val="center"/>
          </w:tcPr>
          <w:p/>
        </w:tc>
        <w:tc>
          <w:tcPr>
            <w:tcW w:w="898" w:type="dxa"/>
            <w:tcBorders>
              <w:top w:val="nil"/>
              <w:left w:val="nil"/>
              <w:bottom w:val="nil"/>
              <w:right w:val="nil"/>
              <w:tl2br w:val="nil"/>
              <w:tr2bl w:val="nil"/>
            </w:tcBorders>
            <w:noWrap/>
            <w:vAlign w:val="center"/>
          </w:tcPr>
          <w:p/>
        </w:tc>
        <w:tc>
          <w:tcPr>
            <w:tcW w:w="776" w:type="dxa"/>
            <w:tcBorders>
              <w:top w:val="nil"/>
              <w:left w:val="nil"/>
              <w:bottom w:val="nil"/>
              <w:right w:val="nil"/>
              <w:tl2br w:val="nil"/>
              <w:tr2bl w:val="nil"/>
            </w:tcBorders>
            <w:noWrap/>
            <w:vAlign w:val="center"/>
          </w:tcPr>
          <w:p/>
        </w:tc>
        <w:tc>
          <w:tcPr>
            <w:tcW w:w="755" w:type="dxa"/>
            <w:tcBorders>
              <w:top w:val="nil"/>
              <w:left w:val="nil"/>
              <w:bottom w:val="nil"/>
              <w:right w:val="nil"/>
              <w:tl2br w:val="nil"/>
              <w:tr2bl w:val="nil"/>
            </w:tcBorders>
            <w:noWrap/>
            <w:vAlign w:val="center"/>
          </w:tcPr>
          <w:p/>
        </w:tc>
        <w:tc>
          <w:tcPr>
            <w:tcW w:w="755" w:type="dxa"/>
            <w:tcBorders>
              <w:top w:val="nil"/>
              <w:left w:val="nil"/>
              <w:bottom w:val="nil"/>
              <w:right w:val="nil"/>
              <w:tl2br w:val="nil"/>
              <w:tr2bl w:val="nil"/>
            </w:tcBorders>
            <w:noWrap/>
            <w:vAlign w:val="center"/>
          </w:tcPr>
          <w:p/>
        </w:tc>
        <w:tc>
          <w:tcPr>
            <w:tcW w:w="701" w:type="dxa"/>
            <w:tcBorders>
              <w:top w:val="nil"/>
              <w:left w:val="nil"/>
              <w:bottom w:val="nil"/>
              <w:right w:val="nil"/>
              <w:tl2br w:val="nil"/>
              <w:tr2bl w:val="nil"/>
            </w:tcBorders>
            <w:noWrap/>
            <w:vAlign w:val="center"/>
          </w:tcPr>
          <w:p/>
        </w:tc>
      </w:tr>
      <w:tr>
        <w:trPr>
          <w:trHeight w:val="284"/>
        </w:trPr>
        <w:tc>
          <w:tcPr>
            <w:tcW w:w="3344" w:type="dxa"/>
            <w:gridSpan w:val="5"/>
            <w:tcBorders>
              <w:top w:val="nil"/>
              <w:left w:val="nil"/>
              <w:bottom w:val="nil"/>
              <w:right w:val="nil"/>
              <w:tl2br w:val="nil"/>
              <w:tr2bl w:val="nil"/>
            </w:tcBorders>
          </w:tcPr>
          <w:p>
            <w:pPr>
              <w:jc w:val="center"/>
              <w:rPr>
                <w:rFonts w:ascii="黑体" w:eastAsia="黑体" w:cs="Lucida Sans"/>
                <w:color w:val="000000"/>
                <w:sz w:val="18"/>
              </w:rPr>
            </w:pPr>
          </w:p>
        </w:tc>
        <w:tc>
          <w:tcPr>
            <w:tcW w:w="5006" w:type="dxa"/>
            <w:gridSpan w:val="6"/>
            <w:tcBorders>
              <w:top w:val="nil"/>
              <w:left w:val="nil"/>
              <w:bottom w:val="nil"/>
              <w:right w:val="nil"/>
              <w:tl2br w:val="nil"/>
              <w:tr2bl w:val="nil"/>
            </w:tcBorders>
          </w:tcPr>
          <w:p>
            <w:pPr>
              <w:jc w:val="center"/>
              <w:rPr>
                <w:rFonts w:ascii="黑体" w:eastAsia="黑体" w:cs="Lucida Sans"/>
                <w:color w:val="000000"/>
                <w:sz w:val="18"/>
              </w:rPr>
            </w:pPr>
          </w:p>
        </w:tc>
      </w:tr>
      <w:tr>
        <w:trPr>
          <w:trHeight w:val="284"/>
        </w:trPr>
        <w:tc>
          <w:tcPr>
            <w:tcW w:w="569" w:type="dxa"/>
            <w:tcBorders>
              <w:top w:val="nil"/>
              <w:left w:val="nil"/>
              <w:bottom w:val="nil"/>
              <w:right w:val="nil"/>
              <w:tl2br w:val="nil"/>
              <w:tr2bl w:val="nil"/>
            </w:tcBorders>
          </w:tcPr>
          <w:p>
            <w:pPr>
              <w:rPr>
                <w:rFonts w:ascii="宋体" w:eastAsia="宋体"/>
                <w:color w:val="000000"/>
                <w:sz w:val="18"/>
              </w:rPr>
            </w:pPr>
          </w:p>
        </w:tc>
        <w:tc>
          <w:tcPr>
            <w:tcW w:w="528" w:type="dxa"/>
            <w:tcBorders>
              <w:top w:val="nil"/>
              <w:left w:val="nil"/>
              <w:bottom w:val="nil"/>
              <w:right w:val="nil"/>
              <w:tl2br w:val="nil"/>
              <w:tr2bl w:val="nil"/>
            </w:tcBorders>
          </w:tcPr>
          <w:p>
            <w:pPr>
              <w:rPr>
                <w:rFonts w:ascii="宋体" w:eastAsia="宋体"/>
                <w:color w:val="000000"/>
                <w:sz w:val="18"/>
              </w:rPr>
            </w:pPr>
          </w:p>
        </w:tc>
        <w:tc>
          <w:tcPr>
            <w:tcW w:w="823" w:type="dxa"/>
            <w:tcBorders>
              <w:top w:val="nil"/>
              <w:left w:val="nil"/>
              <w:bottom w:val="nil"/>
              <w:right w:val="nil"/>
              <w:tl2br w:val="nil"/>
              <w:tr2bl w:val="nil"/>
            </w:tcBorders>
          </w:tcPr>
          <w:p>
            <w:pPr>
              <w:rPr>
                <w:rFonts w:ascii="宋体" w:eastAsia="宋体"/>
                <w:color w:val="000000"/>
                <w:sz w:val="18"/>
              </w:rPr>
            </w:pPr>
          </w:p>
        </w:tc>
        <w:tc>
          <w:tcPr>
            <w:tcW w:w="621" w:type="dxa"/>
            <w:tcBorders>
              <w:top w:val="nil"/>
              <w:left w:val="nil"/>
              <w:bottom w:val="nil"/>
              <w:right w:val="nil"/>
              <w:tl2br w:val="nil"/>
              <w:tr2bl w:val="nil"/>
            </w:tcBorders>
          </w:tcPr>
          <w:p>
            <w:pPr>
              <w:rPr>
                <w:rFonts w:ascii="宋体" w:eastAsia="宋体"/>
                <w:color w:val="000000"/>
                <w:sz w:val="18"/>
              </w:rPr>
            </w:pPr>
          </w:p>
        </w:tc>
        <w:tc>
          <w:tcPr>
            <w:tcW w:w="803" w:type="dxa"/>
            <w:tcBorders>
              <w:top w:val="nil"/>
              <w:left w:val="nil"/>
              <w:bottom w:val="nil"/>
              <w:right w:val="nil"/>
              <w:tl2br w:val="nil"/>
              <w:tr2bl w:val="nil"/>
            </w:tcBorders>
          </w:tcPr>
          <w:p>
            <w:pPr>
              <w:rPr>
                <w:rFonts w:ascii="宋体" w:eastAsia="宋体"/>
                <w:color w:val="000000"/>
                <w:sz w:val="18"/>
              </w:rPr>
            </w:pPr>
          </w:p>
        </w:tc>
        <w:tc>
          <w:tcPr>
            <w:tcW w:w="1120" w:type="dxa"/>
            <w:tcBorders>
              <w:top w:val="nil"/>
              <w:left w:val="nil"/>
              <w:bottom w:val="nil"/>
              <w:right w:val="nil"/>
              <w:tl2br w:val="nil"/>
              <w:tr2bl w:val="nil"/>
            </w:tcBorders>
          </w:tcPr>
          <w:p>
            <w:pPr>
              <w:rPr>
                <w:rFonts w:ascii="宋体" w:eastAsia="宋体"/>
                <w:color w:val="000000"/>
                <w:sz w:val="18"/>
              </w:rPr>
            </w:pPr>
          </w:p>
        </w:tc>
        <w:tc>
          <w:tcPr>
            <w:tcW w:w="898" w:type="dxa"/>
            <w:tcBorders>
              <w:top w:val="nil"/>
              <w:left w:val="nil"/>
              <w:bottom w:val="nil"/>
              <w:right w:val="nil"/>
              <w:tl2br w:val="nil"/>
              <w:tr2bl w:val="nil"/>
            </w:tcBorders>
          </w:tcPr>
          <w:p>
            <w:pPr>
              <w:rPr>
                <w:rFonts w:ascii="宋体" w:eastAsia="宋体"/>
                <w:color w:val="000000"/>
                <w:sz w:val="18"/>
              </w:rPr>
            </w:pPr>
          </w:p>
        </w:tc>
        <w:tc>
          <w:tcPr>
            <w:tcW w:w="776" w:type="dxa"/>
            <w:tcBorders>
              <w:top w:val="nil"/>
              <w:left w:val="nil"/>
              <w:bottom w:val="nil"/>
              <w:right w:val="nil"/>
              <w:tl2br w:val="nil"/>
              <w:tr2bl w:val="nil"/>
            </w:tcBorders>
          </w:tcPr>
          <w:p>
            <w:pPr>
              <w:rPr>
                <w:rFonts w:ascii="宋体" w:eastAsia="宋体"/>
                <w:color w:val="000000"/>
                <w:sz w:val="18"/>
              </w:rPr>
            </w:pPr>
          </w:p>
        </w:tc>
        <w:tc>
          <w:tcPr>
            <w:tcW w:w="755" w:type="dxa"/>
            <w:tcBorders>
              <w:top w:val="nil"/>
              <w:left w:val="nil"/>
              <w:bottom w:val="nil"/>
              <w:right w:val="nil"/>
              <w:tl2br w:val="nil"/>
              <w:tr2bl w:val="nil"/>
            </w:tcBorders>
          </w:tcPr>
          <w:p>
            <w:pPr>
              <w:rPr>
                <w:rFonts w:ascii="宋体" w:eastAsia="宋体"/>
                <w:color w:val="000000"/>
                <w:sz w:val="18"/>
              </w:rPr>
            </w:pPr>
          </w:p>
        </w:tc>
        <w:tc>
          <w:tcPr>
            <w:tcW w:w="755" w:type="dxa"/>
            <w:tcBorders>
              <w:top w:val="nil"/>
              <w:left w:val="nil"/>
              <w:bottom w:val="nil"/>
              <w:right w:val="nil"/>
              <w:tl2br w:val="nil"/>
              <w:tr2bl w:val="nil"/>
            </w:tcBorders>
          </w:tcPr>
          <w:p>
            <w:pPr>
              <w:rPr>
                <w:rFonts w:ascii="宋体" w:eastAsia="宋体"/>
                <w:color w:val="000000"/>
                <w:sz w:val="18"/>
              </w:rPr>
            </w:pPr>
          </w:p>
        </w:tc>
        <w:tc>
          <w:tcPr>
            <w:tcW w:w="701" w:type="dxa"/>
            <w:tcBorders>
              <w:top w:val="nil"/>
              <w:left w:val="nil"/>
              <w:bottom w:val="nil"/>
              <w:right w:val="nil"/>
              <w:tl2br w:val="nil"/>
              <w:tr2bl w:val="nil"/>
            </w:tcBorders>
          </w:tcPr>
          <w:p>
            <w:pPr>
              <w:rPr>
                <w:rFonts w:ascii="宋体" w:eastAsia="宋体"/>
                <w:color w:val="000000"/>
                <w:sz w:val="18"/>
              </w:rPr>
            </w:pPr>
          </w:p>
        </w:tc>
      </w:tr>
      <w:tr>
        <w:trPr>
          <w:trHeight w:val="899"/>
        </w:trPr>
        <w:tc>
          <w:tcPr>
            <w:tcW w:w="8350" w:type="dxa"/>
            <w:gridSpan w:val="11"/>
            <w:tcBorders>
              <w:top w:val="nil"/>
              <w:left w:val="nil"/>
              <w:bottom w:val="nil"/>
              <w:right w:val="nil"/>
              <w:tl2br w:val="nil"/>
              <w:tr2bl w:val="nil"/>
            </w:tcBorders>
          </w:tcPr>
          <w:p>
            <w:pPr>
              <w:jc w:val="center"/>
              <w:rPr>
                <w:rFonts w:ascii="黑体" w:eastAsia="黑体" w:cs="Lucida Sans"/>
                <w:b/>
                <w:i w:val="0"/>
                <w:color w:val="000000"/>
                <w:sz w:val="30"/>
              </w:rPr>
            </w:pPr>
          </w:p>
        </w:tc>
      </w:tr>
      <w:tr>
        <w:trPr>
          <w:trHeight w:val="284"/>
        </w:trPr>
        <w:tc>
          <w:tcPr>
            <w:tcW w:w="1097" w:type="dxa"/>
            <w:gridSpan w:val="2"/>
            <w:tcBorders>
              <w:top w:val="nil"/>
              <w:left w:val="nil"/>
              <w:bottom w:val="nil"/>
              <w:right w:val="nil"/>
              <w:tl2br w:val="nil"/>
              <w:tr2bl w:val="nil"/>
            </w:tcBorders>
          </w:tcPr>
          <w:p>
            <w:pPr>
              <w:jc w:val="center"/>
              <w:rPr>
                <w:rFonts w:ascii="宋体" w:eastAsia="宋体" w:cs="Lucida Sans"/>
                <w:color w:val="000000"/>
                <w:sz w:val="18"/>
              </w:rPr>
            </w:pPr>
          </w:p>
        </w:tc>
        <w:tc>
          <w:tcPr>
            <w:tcW w:w="7253" w:type="dxa"/>
            <w:gridSpan w:val="9"/>
            <w:tcBorders>
              <w:top w:val="nil"/>
              <w:left w:val="nil"/>
              <w:bottom w:val="nil"/>
              <w:right w:val="nil"/>
              <w:tl2br w:val="nil"/>
              <w:tr2bl w:val="nil"/>
            </w:tcBorders>
          </w:tcPr>
          <w:p>
            <w:pPr>
              <w:jc w:val="center"/>
              <w:rPr>
                <w:rFonts w:ascii="宋体" w:eastAsia="宋体" w:cs="Lucida Sans"/>
                <w:color w:val="000000"/>
                <w:sz w:val="18"/>
              </w:rPr>
            </w:pPr>
          </w:p>
        </w:tc>
      </w:tr>
      <w:tr>
        <w:trPr>
          <w:trHeight w:val="509"/>
        </w:trPr>
        <w:tc>
          <w:tcPr>
            <w:tcW w:w="1097" w:type="dxa"/>
            <w:gridSpan w:val="2"/>
            <w:tcBorders>
              <w:top w:val="nil"/>
              <w:left w:val="nil"/>
              <w:bottom w:val="nil"/>
              <w:right w:val="nil"/>
              <w:tl2br w:val="nil"/>
              <w:tr2bl w:val="nil"/>
            </w:tcBorders>
          </w:tcPr>
          <w:p>
            <w:pPr>
              <w:jc w:val="center"/>
              <w:rPr>
                <w:rFonts w:ascii="宋体" w:eastAsia="宋体" w:cs="Lucida Sans"/>
                <w:color w:val="000000"/>
                <w:sz w:val="18"/>
              </w:rPr>
            </w:pPr>
          </w:p>
        </w:tc>
        <w:tc>
          <w:tcPr>
            <w:tcW w:w="4265" w:type="dxa"/>
            <w:gridSpan w:val="5"/>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黑体" w:eastAsia="黑体" w:cs="Lucida Sans"/>
                <w:color w:val="000000"/>
                <w:sz w:val="18"/>
              </w:rPr>
            </w:pPr>
          </w:p>
        </w:tc>
        <w:tc>
          <w:tcPr>
            <w:tcW w:w="2212" w:type="dxa"/>
            <w:gridSpan w:val="3"/>
            <w:tcBorders>
              <w:top w:val="nil"/>
              <w:left w:val="nil"/>
              <w:bottom w:val="nil"/>
              <w:right w:val="nil"/>
              <w:tl2br w:val="nil"/>
              <w:tr2bl w:val="nil"/>
            </w:tcBorders>
          </w:tcPr>
          <w:p>
            <w:pPr>
              <w:jc w:val="center"/>
              <w:rPr>
                <w:rFonts w:ascii="宋体" w:eastAsia="宋体" w:cs="Lucida Sans"/>
                <w:color w:val="000000"/>
                <w:sz w:val="18"/>
              </w:rPr>
            </w:pPr>
          </w:p>
        </w:tc>
      </w:tr>
      <w:tr>
        <w:trPr>
          <w:trHeight w:val="284"/>
        </w:trPr>
        <w:tc>
          <w:tcPr>
            <w:tcW w:w="569" w:type="dxa"/>
            <w:tcBorders>
              <w:top w:val="nil"/>
              <w:left w:val="nil"/>
              <w:bottom w:val="nil"/>
              <w:right w:val="nil"/>
              <w:tl2br w:val="nil"/>
              <w:tr2bl w:val="nil"/>
            </w:tcBorders>
          </w:tcPr>
          <w:p>
            <w:pPr>
              <w:jc w:val="center"/>
              <w:rPr>
                <w:rFonts w:ascii="宋体" w:eastAsia="宋体" w:cs="Lucida Sans"/>
                <w:color w:val="000000"/>
                <w:sz w:val="18"/>
              </w:rPr>
            </w:p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4265" w:type="dxa"/>
            <w:gridSpan w:val="5"/>
            <w:tcBorders>
              <w:top w:val="nil"/>
              <w:left w:val="nil"/>
              <w:bottom w:val="nil"/>
              <w:right w:val="nil"/>
              <w:tl2br w:val="nil"/>
              <w:tr2bl w:val="nil"/>
            </w:tcBorders>
          </w:tcPr>
          <w:p>
            <w:pPr>
              <w:jc w:val="center"/>
              <w:rPr>
                <w:rFonts w:ascii="宋体" w:eastAsia="宋体" w:cs="Lucida Sans"/>
                <w:color w:val="000000"/>
                <w:sz w:val="18"/>
              </w:rPr>
            </w:pPr>
          </w:p>
        </w:tc>
        <w:tc>
          <w:tcPr>
            <w:tcW w:w="2987" w:type="dxa"/>
            <w:gridSpan w:val="4"/>
            <w:tcBorders>
              <w:top w:val="nil"/>
              <w:left w:val="nil"/>
              <w:bottom w:val="nil"/>
              <w:right w:val="nil"/>
              <w:tl2br w:val="nil"/>
              <w:tr2bl w:val="nil"/>
            </w:tcBorders>
          </w:tcPr>
          <w:p>
            <w:pPr>
              <w:jc w:val="center"/>
              <w:rPr>
                <w:rFonts w:ascii="黑体" w:eastAsia="黑体" w:cs="Lucida Sans"/>
                <w:color w:val="000000"/>
                <w:sz w:val="18"/>
              </w:rPr>
            </w:pPr>
          </w:p>
        </w:tc>
      </w:tr>
      <w:tr>
        <w:trPr>
          <w:trHeight w:val="704"/>
        </w:trPr>
        <w:tc>
          <w:tcPr>
            <w:tcW w:w="569" w:type="dxa"/>
            <w:tcBorders>
              <w:top w:val="nil"/>
              <w:left w:val="nil"/>
              <w:bottom w:val="nil"/>
              <w:right w:val="nil"/>
              <w:tl2br w:val="nil"/>
              <w:tr2bl w:val="nil"/>
            </w:tcBorders>
          </w:tcPr>
          <w:p/>
        </w:tc>
        <w:tc>
          <w:tcPr>
            <w:tcW w:w="528" w:type="dxa"/>
            <w:tcBorders>
              <w:top w:val="nil"/>
              <w:left w:val="nil"/>
              <w:bottom w:val="nil"/>
              <w:right w:val="nil"/>
              <w:tl2br w:val="nil"/>
              <w:tr2bl w:val="nil"/>
            </w:tcBorders>
          </w:tcPr>
          <w:p/>
        </w:tc>
        <w:tc>
          <w:tcPr>
            <w:tcW w:w="4265" w:type="dxa"/>
            <w:gridSpan w:val="5"/>
            <w:tcBorders>
              <w:top w:val="nil"/>
              <w:left w:val="nil"/>
              <w:bottom w:val="nil"/>
              <w:right w:val="nil"/>
              <w:tl2br w:val="nil"/>
              <w:tr2bl w:val="nil"/>
            </w:tcBorders>
          </w:tcPr>
          <w:p>
            <w:pPr>
              <w:jc w:val="center"/>
              <w:rPr>
                <w:rFonts w:ascii="宋体" w:eastAsia="宋体" w:cs="Lucida Sans"/>
                <w:color w:val="000000"/>
                <w:sz w:val="18"/>
              </w:rPr>
            </w:pPr>
          </w:p>
        </w:tc>
        <w:tc>
          <w:tcPr>
            <w:tcW w:w="2987" w:type="dxa"/>
            <w:gridSpan w:val="4"/>
            <w:tcBorders>
              <w:top w:val="nil"/>
              <w:left w:val="nil"/>
              <w:bottom w:val="nil"/>
              <w:right w:val="nil"/>
              <w:tl2br w:val="nil"/>
              <w:tr2bl w:val="nil"/>
            </w:tcBorders>
          </w:tcPr>
          <w:p>
            <w:pPr>
              <w:jc w:val="center"/>
              <w:rPr>
                <w:rFonts w:ascii="黑体" w:eastAsia="黑体" w:cs="Lucida Sans"/>
                <w:color w:val="000000"/>
                <w:sz w:val="18"/>
              </w:rPr>
            </w:pPr>
          </w:p>
        </w:tc>
      </w:tr>
      <w:tr>
        <w:trPr>
          <w:trHeight w:val="689"/>
        </w:trPr>
        <w:tc>
          <w:tcPr>
            <w:tcW w:w="569" w:type="dxa"/>
            <w:tcBorders>
              <w:top w:val="nil"/>
              <w:left w:val="nil"/>
              <w:bottom w:val="nil"/>
              <w:right w:val="nil"/>
              <w:tl2br w:val="nil"/>
              <w:tr2bl w:val="nil"/>
            </w:tcBorders>
          </w:tc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7253" w:type="dxa"/>
            <w:gridSpan w:val="9"/>
            <w:tcBorders>
              <w:top w:val="nil"/>
              <w:left w:val="nil"/>
              <w:bottom w:val="nil"/>
              <w:right w:val="nil"/>
              <w:tl2br w:val="nil"/>
              <w:tr2bl w:val="nil"/>
            </w:tcBorders>
          </w:tcPr>
          <w:p>
            <w:pPr>
              <w:jc w:val="center"/>
              <w:rPr>
                <w:rFonts w:ascii="宋体" w:eastAsia="宋体" w:cs="Lucida Sans"/>
                <w:color w:val="000000"/>
                <w:sz w:val="18"/>
              </w:rPr>
            </w:pPr>
          </w:p>
        </w:tc>
      </w:tr>
      <w:tr>
        <w:trPr>
          <w:trHeight w:val="359"/>
        </w:trPr>
        <w:tc>
          <w:tcPr>
            <w:tcW w:w="569" w:type="dxa"/>
            <w:tcBorders>
              <w:top w:val="nil"/>
              <w:left w:val="nil"/>
              <w:bottom w:val="nil"/>
              <w:right w:val="nil"/>
              <w:tl2br w:val="nil"/>
              <w:tr2bl w:val="nil"/>
            </w:tcBorders>
          </w:tcPr>
          <w:p>
            <w:pPr>
              <w:jc w:val="center"/>
              <w:rPr>
                <w:rFonts w:ascii="宋体" w:eastAsia="宋体" w:cs="Lucida Sans"/>
                <w:color w:val="000000"/>
                <w:sz w:val="18"/>
              </w:rPr>
            </w:p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2821" w:type="dxa"/>
            <w:gridSpan w:val="3"/>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01" w:type="dxa"/>
            <w:tcBorders>
              <w:top w:val="nil"/>
              <w:left w:val="nil"/>
              <w:bottom w:val="nil"/>
              <w:right w:val="nil"/>
              <w:tl2br w:val="nil"/>
              <w:tr2bl w:val="nil"/>
            </w:tcBorders>
          </w:tcPr>
          <w:p>
            <w:pPr>
              <w:jc w:val="center"/>
              <w:rPr>
                <w:rFonts w:ascii="宋体" w:eastAsia="宋体" w:cs="Lucida Sans"/>
                <w:color w:val="000000"/>
                <w:sz w:val="18"/>
              </w:rPr>
            </w:pPr>
          </w:p>
        </w:tc>
      </w:tr>
      <w:tr>
        <w:trPr>
          <w:trHeight w:val="344"/>
        </w:trPr>
        <w:tc>
          <w:tcPr>
            <w:tcW w:w="569" w:type="dxa"/>
            <w:tcBorders>
              <w:top w:val="nil"/>
              <w:left w:val="nil"/>
              <w:bottom w:val="nil"/>
              <w:right w:val="nil"/>
              <w:tl2br w:val="nil"/>
              <w:tr2bl w:val="nil"/>
            </w:tcBorders>
          </w:tc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2821" w:type="dxa"/>
            <w:gridSpan w:val="3"/>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olor w:val="000000"/>
                <w:sz w:val="18"/>
              </w:rPr>
            </w:pPr>
          </w:p>
        </w:tc>
        <w:tc>
          <w:tcPr>
            <w:tcW w:w="701" w:type="dxa"/>
            <w:tcBorders>
              <w:top w:val="nil"/>
              <w:left w:val="nil"/>
              <w:bottom w:val="nil"/>
              <w:right w:val="nil"/>
              <w:tl2br w:val="nil"/>
              <w:tr2bl w:val="nil"/>
            </w:tcBorders>
          </w:tcPr>
          <w:p>
            <w:pPr>
              <w:rPr>
                <w:rFonts w:ascii="宋体" w:eastAsia="宋体" w:cs="Lucida Sans"/>
                <w:b w:val="0"/>
                <w:i/>
                <w:color w:val="000000"/>
                <w:sz w:val="18"/>
              </w:rPr>
            </w:pPr>
          </w:p>
        </w:tc>
      </w:tr>
      <w:tr>
        <w:trPr>
          <w:trHeight w:val="389"/>
        </w:trPr>
        <w:tc>
          <w:tcPr>
            <w:tcW w:w="569" w:type="dxa"/>
            <w:tcBorders>
              <w:top w:val="nil"/>
              <w:left w:val="nil"/>
              <w:bottom w:val="nil"/>
              <w:right w:val="nil"/>
              <w:tl2br w:val="nil"/>
              <w:tr2bl w:val="nil"/>
            </w:tcBorders>
          </w:tc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2821" w:type="dxa"/>
            <w:gridSpan w:val="3"/>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01" w:type="dxa"/>
            <w:tcBorders>
              <w:top w:val="nil"/>
              <w:left w:val="nil"/>
              <w:bottom w:val="nil"/>
              <w:right w:val="nil"/>
              <w:tl2br w:val="nil"/>
              <w:tr2bl w:val="nil"/>
            </w:tcBorders>
          </w:tcPr>
          <w:p/>
        </w:tc>
      </w:tr>
      <w:tr>
        <w:trPr>
          <w:trHeight w:val="404"/>
        </w:trPr>
        <w:tc>
          <w:tcPr>
            <w:tcW w:w="569" w:type="dxa"/>
            <w:tcBorders>
              <w:top w:val="nil"/>
              <w:left w:val="nil"/>
              <w:bottom w:val="nil"/>
              <w:right w:val="nil"/>
              <w:tl2br w:val="nil"/>
              <w:tr2bl w:val="nil"/>
            </w:tcBorders>
          </w:tc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2821" w:type="dxa"/>
            <w:gridSpan w:val="3"/>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01" w:type="dxa"/>
            <w:tcBorders>
              <w:top w:val="nil"/>
              <w:left w:val="nil"/>
              <w:bottom w:val="nil"/>
              <w:right w:val="nil"/>
              <w:tl2br w:val="nil"/>
              <w:tr2bl w:val="nil"/>
            </w:tcBorders>
          </w:tcPr>
          <w:p/>
        </w:tc>
      </w:tr>
      <w:tr>
        <w:trPr>
          <w:trHeight w:val="359"/>
        </w:trPr>
        <w:tc>
          <w:tcPr>
            <w:tcW w:w="569" w:type="dxa"/>
            <w:tcBorders>
              <w:top w:val="nil"/>
              <w:left w:val="nil"/>
              <w:bottom w:val="nil"/>
              <w:right w:val="nil"/>
              <w:tl2br w:val="nil"/>
              <w:tr2bl w:val="nil"/>
            </w:tcBorders>
          </w:tc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2821" w:type="dxa"/>
            <w:gridSpan w:val="3"/>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01" w:type="dxa"/>
            <w:tcBorders>
              <w:top w:val="nil"/>
              <w:left w:val="nil"/>
              <w:bottom w:val="nil"/>
              <w:right w:val="nil"/>
              <w:tl2br w:val="nil"/>
              <w:tr2bl w:val="nil"/>
            </w:tcBorders>
          </w:tcPr>
          <w:p/>
        </w:tc>
      </w:tr>
      <w:tr>
        <w:trPr>
          <w:trHeight w:val="344"/>
        </w:trPr>
        <w:tc>
          <w:tcPr>
            <w:tcW w:w="569" w:type="dxa"/>
            <w:tcBorders>
              <w:top w:val="nil"/>
              <w:left w:val="nil"/>
              <w:bottom w:val="nil"/>
              <w:right w:val="nil"/>
              <w:tl2br w:val="nil"/>
              <w:tr2bl w:val="nil"/>
            </w:tcBorders>
          </w:tc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微软雅黑" w:eastAsia="微软雅黑"/>
                <w:b w:val="0"/>
                <w:i/>
                <w:color w:val="000000"/>
                <w:sz w:val="16"/>
              </w:rPr>
            </w:pPr>
          </w:p>
        </w:tc>
        <w:tc>
          <w:tcPr>
            <w:tcW w:w="621" w:type="dxa"/>
            <w:tcBorders>
              <w:top w:val="nil"/>
              <w:left w:val="nil"/>
              <w:bottom w:val="nil"/>
              <w:right w:val="nil"/>
              <w:tl2br w:val="nil"/>
              <w:tr2bl w:val="nil"/>
            </w:tcBorders>
          </w:tcPr>
          <w:p>
            <w:pPr>
              <w:jc w:val="center"/>
              <w:rPr>
                <w:rFonts w:ascii="微软雅黑" w:eastAsia="微软雅黑"/>
                <w:b w:val="0"/>
                <w:i/>
                <w:color w:val="000000"/>
                <w:sz w:val="16"/>
              </w:rPr>
            </w:pPr>
          </w:p>
        </w:tc>
        <w:tc>
          <w:tcPr>
            <w:tcW w:w="2821" w:type="dxa"/>
            <w:gridSpan w:val="3"/>
            <w:tcBorders>
              <w:top w:val="nil"/>
              <w:left w:val="nil"/>
              <w:bottom w:val="nil"/>
              <w:right w:val="nil"/>
              <w:tl2br w:val="nil"/>
              <w:tr2bl w:val="nil"/>
            </w:tcBorders>
          </w:tcPr>
          <w:p>
            <w:pPr>
              <w:jc w:val="center"/>
              <w:rPr>
                <w:rFonts w:ascii="微软雅黑" w:eastAsia="微软雅黑" w:cs="Lucida Sans"/>
                <w:b w:val="0"/>
                <w:i/>
                <w:color w:val="000000"/>
                <w:sz w:val="16"/>
              </w:rPr>
            </w:pPr>
          </w:p>
        </w:tc>
        <w:tc>
          <w:tcPr>
            <w:tcW w:w="776" w:type="dxa"/>
            <w:tcBorders>
              <w:top w:val="nil"/>
              <w:left w:val="nil"/>
              <w:bottom w:val="nil"/>
              <w:right w:val="nil"/>
              <w:tl2br w:val="nil"/>
              <w:tr2bl w:val="nil"/>
            </w:tcBorders>
          </w:tcPr>
          <w:p>
            <w:pPr>
              <w:jc w:val="center"/>
              <w:rPr>
                <w:rFonts w:ascii="微软雅黑" w:eastAsia="微软雅黑"/>
                <w:b w:val="0"/>
                <w:i/>
                <w:color w:val="000000"/>
                <w:sz w:val="16"/>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01" w:type="dxa"/>
            <w:tcBorders>
              <w:top w:val="nil"/>
              <w:left w:val="nil"/>
              <w:bottom w:val="nil"/>
              <w:right w:val="nil"/>
              <w:tl2br w:val="nil"/>
              <w:tr2bl w:val="nil"/>
            </w:tcBorders>
          </w:tcPr>
          <w:p/>
        </w:tc>
      </w:tr>
      <w:tr>
        <w:trPr>
          <w:trHeight w:val="449"/>
        </w:trPr>
        <w:tc>
          <w:tcPr>
            <w:tcW w:w="569" w:type="dxa"/>
            <w:tcBorders>
              <w:top w:val="nil"/>
              <w:left w:val="nil"/>
              <w:bottom w:val="nil"/>
              <w:right w:val="nil"/>
              <w:tl2br w:val="nil"/>
              <w:tr2bl w:val="nil"/>
            </w:tcBorders>
          </w:tcPr>
          <w:p>
            <w:pPr>
              <w:jc w:val="center"/>
              <w:rPr>
                <w:rFonts w:ascii="宋体" w:eastAsia="宋体" w:cs="Lucida Sans"/>
                <w:color w:val="000000"/>
                <w:sz w:val="18"/>
              </w:rPr>
            </w:p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803" w:type="dxa"/>
            <w:tcBorders>
              <w:top w:val="nil"/>
              <w:left w:val="nil"/>
              <w:bottom w:val="nil"/>
              <w:right w:val="nil"/>
              <w:tl2br w:val="nil"/>
              <w:tr2bl w:val="nil"/>
            </w:tcBorders>
          </w:tcPr>
          <w:p>
            <w:pPr>
              <w:jc w:val="center"/>
              <w:rPr>
                <w:rFonts w:ascii="宋体" w:eastAsia="宋体" w:cs="Lucida Sans"/>
                <w:color w:val="000000"/>
                <w:sz w:val="18"/>
              </w:rPr>
            </w:pPr>
          </w:p>
        </w:tc>
        <w:tc>
          <w:tcPr>
            <w:tcW w:w="1120" w:type="dxa"/>
            <w:tcBorders>
              <w:top w:val="nil"/>
              <w:left w:val="nil"/>
              <w:bottom w:val="nil"/>
              <w:right w:val="nil"/>
              <w:tl2br w:val="nil"/>
              <w:tr2bl w:val="nil"/>
            </w:tcBorders>
          </w:tcPr>
          <w:p>
            <w:pPr>
              <w:jc w:val="center"/>
              <w:rPr>
                <w:rFonts w:ascii="宋体" w:eastAsia="宋体" w:cs="Lucida Sans"/>
                <w:color w:val="000000"/>
                <w:sz w:val="18"/>
              </w:rPr>
            </w:pPr>
          </w:p>
        </w:tc>
        <w:tc>
          <w:tcPr>
            <w:tcW w:w="898" w:type="dxa"/>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01" w:type="dxa"/>
            <w:tcBorders>
              <w:top w:val="nil"/>
              <w:left w:val="nil"/>
              <w:bottom w:val="nil"/>
              <w:right w:val="nil"/>
              <w:tl2br w:val="nil"/>
              <w:tr2bl w:val="nil"/>
            </w:tcBorders>
          </w:tcPr>
          <w:p>
            <w:pPr>
              <w:jc w:val="center"/>
              <w:rPr>
                <w:rFonts w:ascii="宋体" w:eastAsia="宋体" w:cs="Lucida Sans"/>
                <w:color w:val="000000"/>
                <w:sz w:val="18"/>
              </w:rPr>
            </w:pPr>
          </w:p>
        </w:tc>
      </w:tr>
      <w:tr>
        <w:trPr>
          <w:trHeight w:val="344"/>
        </w:trPr>
        <w:tc>
          <w:tcPr>
            <w:tcW w:w="569" w:type="dxa"/>
            <w:tcBorders>
              <w:top w:val="nil"/>
              <w:left w:val="nil"/>
              <w:bottom w:val="nil"/>
              <w:right w:val="nil"/>
              <w:tl2br w:val="nil"/>
              <w:tr2bl w:val="nil"/>
            </w:tcBorders>
          </w:tc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803" w:type="dxa"/>
            <w:tcBorders>
              <w:top w:val="nil"/>
              <w:left w:val="nil"/>
              <w:bottom w:val="nil"/>
              <w:right w:val="nil"/>
              <w:tl2br w:val="nil"/>
              <w:tr2bl w:val="nil"/>
            </w:tcBorders>
          </w:tcPr>
          <w:p>
            <w:pPr>
              <w:jc w:val="center"/>
              <w:rPr>
                <w:rFonts w:ascii="宋体" w:eastAsia="宋体" w:cs="Lucida Sans"/>
                <w:color w:val="000000"/>
                <w:sz w:val="18"/>
              </w:rPr>
            </w:pPr>
          </w:p>
        </w:tc>
        <w:tc>
          <w:tcPr>
            <w:tcW w:w="1120" w:type="dxa"/>
            <w:tcBorders>
              <w:top w:val="nil"/>
              <w:left w:val="nil"/>
              <w:bottom w:val="nil"/>
              <w:right w:val="nil"/>
              <w:tl2br w:val="nil"/>
              <w:tr2bl w:val="nil"/>
            </w:tcBorders>
          </w:tcPr>
          <w:p>
            <w:pPr>
              <w:jc w:val="center"/>
              <w:rPr>
                <w:rFonts w:ascii="宋体" w:eastAsia="宋体" w:cs="Lucida Sans"/>
                <w:color w:val="000000"/>
                <w:sz w:val="18"/>
              </w:rPr>
            </w:pPr>
          </w:p>
        </w:tc>
        <w:tc>
          <w:tcPr>
            <w:tcW w:w="898" w:type="dxa"/>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微软雅黑" w:eastAsia="微软雅黑"/>
                <w:b w:val="0"/>
                <w:i/>
                <w:color w:val="000000"/>
                <w:sz w:val="16"/>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olor w:val="000000"/>
                <w:sz w:val="18"/>
              </w:rPr>
            </w:pPr>
          </w:p>
        </w:tc>
        <w:tc>
          <w:tcPr>
            <w:tcW w:w="701" w:type="dxa"/>
            <w:tcBorders>
              <w:top w:val="nil"/>
              <w:left w:val="nil"/>
              <w:bottom w:val="nil"/>
              <w:right w:val="nil"/>
              <w:tl2br w:val="nil"/>
              <w:tr2bl w:val="nil"/>
            </w:tcBorders>
          </w:tcPr>
          <w:p>
            <w:pPr>
              <w:jc w:val="center"/>
              <w:rPr>
                <w:rFonts w:ascii="微软雅黑" w:eastAsia="微软雅黑"/>
                <w:b w:val="0"/>
                <w:i/>
                <w:color w:val="000000"/>
                <w:sz w:val="16"/>
              </w:rPr>
            </w:pPr>
          </w:p>
        </w:tc>
      </w:tr>
      <w:tr>
        <w:trPr>
          <w:trHeight w:val="344"/>
        </w:trPr>
        <w:tc>
          <w:tcPr>
            <w:tcW w:w="569" w:type="dxa"/>
            <w:tcBorders>
              <w:top w:val="nil"/>
              <w:left w:val="nil"/>
              <w:bottom w:val="nil"/>
              <w:right w:val="nil"/>
              <w:tl2br w:val="nil"/>
              <w:tr2bl w:val="nil"/>
            </w:tcBorders>
          </w:tc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803" w:type="dxa"/>
            <w:tcBorders>
              <w:top w:val="nil"/>
              <w:left w:val="nil"/>
              <w:bottom w:val="nil"/>
              <w:right w:val="nil"/>
              <w:tl2br w:val="nil"/>
              <w:tr2bl w:val="nil"/>
            </w:tcBorders>
          </w:tcPr>
          <w:p>
            <w:pPr>
              <w:jc w:val="center"/>
              <w:rPr>
                <w:rFonts w:ascii="宋体" w:eastAsia="宋体" w:cs="Lucida Sans"/>
                <w:color w:val="000000"/>
                <w:sz w:val="18"/>
              </w:rPr>
            </w:pPr>
          </w:p>
        </w:tc>
        <w:tc>
          <w:tcPr>
            <w:tcW w:w="1120" w:type="dxa"/>
            <w:tcBorders>
              <w:top w:val="nil"/>
              <w:left w:val="nil"/>
              <w:bottom w:val="nil"/>
              <w:right w:val="nil"/>
              <w:tl2br w:val="nil"/>
              <w:tr2bl w:val="nil"/>
            </w:tcBorders>
          </w:tcPr>
          <w:p>
            <w:pPr>
              <w:jc w:val="center"/>
              <w:rPr>
                <w:rFonts w:ascii="宋体" w:eastAsia="宋体" w:cs="Lucida Sans"/>
                <w:color w:val="000000"/>
                <w:sz w:val="18"/>
              </w:rPr>
            </w:pPr>
          </w:p>
        </w:tc>
        <w:tc>
          <w:tcPr>
            <w:tcW w:w="898" w:type="dxa"/>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微软雅黑" w:eastAsia="微软雅黑"/>
                <w:b w:val="0"/>
                <w:i/>
                <w:color w:val="000000"/>
                <w:sz w:val="16"/>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olor w:val="000000"/>
                <w:sz w:val="18"/>
              </w:rPr>
            </w:pPr>
          </w:p>
        </w:tc>
        <w:tc>
          <w:tcPr>
            <w:tcW w:w="701" w:type="dxa"/>
            <w:tcBorders>
              <w:top w:val="nil"/>
              <w:left w:val="nil"/>
              <w:bottom w:val="nil"/>
              <w:right w:val="nil"/>
              <w:tl2br w:val="nil"/>
              <w:tr2bl w:val="nil"/>
            </w:tcBorders>
          </w:tcPr>
          <w:p>
            <w:pPr>
              <w:jc w:val="center"/>
              <w:rPr>
                <w:rFonts w:ascii="微软雅黑" w:eastAsia="微软雅黑"/>
                <w:b w:val="0"/>
                <w:i/>
                <w:color w:val="000000"/>
                <w:sz w:val="16"/>
              </w:rPr>
            </w:pPr>
          </w:p>
        </w:tc>
      </w:tr>
      <w:tr>
        <w:trPr>
          <w:trHeight w:val="344"/>
        </w:trPr>
        <w:tc>
          <w:tcPr>
            <w:tcW w:w="569" w:type="dxa"/>
            <w:tcBorders>
              <w:top w:val="nil"/>
              <w:left w:val="nil"/>
              <w:bottom w:val="nil"/>
              <w:right w:val="nil"/>
              <w:tl2br w:val="nil"/>
              <w:tr2bl w:val="nil"/>
            </w:tcBorders>
          </w:tc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803" w:type="dxa"/>
            <w:tcBorders>
              <w:top w:val="nil"/>
              <w:left w:val="nil"/>
              <w:bottom w:val="nil"/>
              <w:right w:val="nil"/>
              <w:tl2br w:val="nil"/>
              <w:tr2bl w:val="nil"/>
            </w:tcBorders>
          </w:tcPr>
          <w:p>
            <w:pPr>
              <w:jc w:val="center"/>
              <w:rPr>
                <w:rFonts w:ascii="宋体" w:eastAsia="宋体" w:cs="Lucida Sans"/>
                <w:color w:val="000000"/>
                <w:sz w:val="18"/>
              </w:rPr>
            </w:pPr>
          </w:p>
        </w:tc>
        <w:tc>
          <w:tcPr>
            <w:tcW w:w="1120" w:type="dxa"/>
            <w:tcBorders>
              <w:top w:val="nil"/>
              <w:left w:val="nil"/>
              <w:bottom w:val="nil"/>
              <w:right w:val="nil"/>
              <w:tl2br w:val="nil"/>
              <w:tr2bl w:val="nil"/>
            </w:tcBorders>
          </w:tcPr>
          <w:p>
            <w:pPr>
              <w:jc w:val="center"/>
              <w:rPr>
                <w:rFonts w:ascii="宋体" w:eastAsia="宋体" w:cs="Lucida Sans"/>
                <w:color w:val="000000"/>
                <w:sz w:val="18"/>
              </w:rPr>
            </w:pPr>
          </w:p>
        </w:tc>
        <w:tc>
          <w:tcPr>
            <w:tcW w:w="898" w:type="dxa"/>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微软雅黑" w:eastAsia="微软雅黑"/>
                <w:b w:val="0"/>
                <w:i/>
                <w:color w:val="000000"/>
                <w:sz w:val="16"/>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olor w:val="000000"/>
                <w:sz w:val="18"/>
              </w:rPr>
            </w:pPr>
          </w:p>
        </w:tc>
        <w:tc>
          <w:tcPr>
            <w:tcW w:w="701" w:type="dxa"/>
            <w:tcBorders>
              <w:top w:val="nil"/>
              <w:left w:val="nil"/>
              <w:bottom w:val="nil"/>
              <w:right w:val="nil"/>
              <w:tl2br w:val="nil"/>
              <w:tr2bl w:val="nil"/>
            </w:tcBorders>
          </w:tcPr>
          <w:p>
            <w:pPr>
              <w:jc w:val="center"/>
              <w:rPr>
                <w:rFonts w:ascii="微软雅黑" w:eastAsia="微软雅黑"/>
                <w:b w:val="0"/>
                <w:i/>
                <w:color w:val="000000"/>
                <w:sz w:val="16"/>
              </w:rPr>
            </w:pPr>
          </w:p>
        </w:tc>
      </w:tr>
      <w:tr>
        <w:trPr>
          <w:trHeight w:val="449"/>
        </w:trPr>
        <w:tc>
          <w:tcPr>
            <w:tcW w:w="569" w:type="dxa"/>
            <w:tcBorders>
              <w:top w:val="nil"/>
              <w:left w:val="nil"/>
              <w:bottom w:val="nil"/>
              <w:right w:val="nil"/>
              <w:tl2br w:val="nil"/>
              <w:tr2bl w:val="nil"/>
            </w:tcBorders>
          </w:tc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803" w:type="dxa"/>
            <w:tcBorders>
              <w:top w:val="nil"/>
              <w:left w:val="nil"/>
              <w:bottom w:val="nil"/>
              <w:right w:val="nil"/>
              <w:tl2br w:val="nil"/>
              <w:tr2bl w:val="nil"/>
            </w:tcBorders>
          </w:tcPr>
          <w:p>
            <w:pPr>
              <w:jc w:val="center"/>
              <w:rPr>
                <w:rFonts w:ascii="宋体" w:eastAsia="宋体" w:cs="Lucida Sans"/>
                <w:color w:val="000000"/>
                <w:sz w:val="18"/>
              </w:rPr>
            </w:pPr>
          </w:p>
        </w:tc>
        <w:tc>
          <w:tcPr>
            <w:tcW w:w="1120" w:type="dxa"/>
            <w:tcBorders>
              <w:top w:val="nil"/>
              <w:left w:val="nil"/>
              <w:bottom w:val="nil"/>
              <w:right w:val="nil"/>
              <w:tl2br w:val="nil"/>
              <w:tr2bl w:val="nil"/>
            </w:tcBorders>
          </w:tcPr>
          <w:p>
            <w:pPr>
              <w:jc w:val="center"/>
              <w:rPr>
                <w:rFonts w:ascii="宋体" w:eastAsia="宋体" w:cs="Lucida Sans"/>
                <w:color w:val="000000"/>
                <w:sz w:val="18"/>
              </w:rPr>
            </w:pPr>
          </w:p>
        </w:tc>
        <w:tc>
          <w:tcPr>
            <w:tcW w:w="898" w:type="dxa"/>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微软雅黑" w:eastAsia="微软雅黑"/>
                <w:b w:val="0"/>
                <w:i/>
                <w:color w:val="000000"/>
                <w:sz w:val="16"/>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olor w:val="000000"/>
                <w:sz w:val="18"/>
              </w:rPr>
            </w:pPr>
          </w:p>
        </w:tc>
        <w:tc>
          <w:tcPr>
            <w:tcW w:w="701" w:type="dxa"/>
            <w:tcBorders>
              <w:top w:val="nil"/>
              <w:left w:val="nil"/>
              <w:bottom w:val="nil"/>
              <w:right w:val="nil"/>
              <w:tl2br w:val="nil"/>
              <w:tr2bl w:val="nil"/>
            </w:tcBorders>
          </w:tcPr>
          <w:p>
            <w:pPr>
              <w:jc w:val="center"/>
              <w:rPr>
                <w:rFonts w:ascii="微软雅黑" w:eastAsia="微软雅黑"/>
                <w:b w:val="0"/>
                <w:i/>
                <w:color w:val="000000"/>
                <w:sz w:val="16"/>
              </w:rPr>
            </w:pPr>
          </w:p>
        </w:tc>
      </w:tr>
      <w:tr>
        <w:trPr>
          <w:trHeight w:val="284"/>
        </w:trPr>
        <w:tc>
          <w:tcPr>
            <w:tcW w:w="6138" w:type="dxa"/>
            <w:gridSpan w:val="8"/>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rPr>
                <w:rFonts w:ascii="宋体" w:eastAsia="宋体"/>
                <w:color w:val="000000"/>
                <w:sz w:val="18"/>
              </w:rPr>
            </w:pPr>
          </w:p>
        </w:tc>
        <w:tc>
          <w:tcPr>
            <w:tcW w:w="701" w:type="dxa"/>
            <w:tcBorders>
              <w:top w:val="nil"/>
              <w:left w:val="nil"/>
              <w:bottom w:val="nil"/>
              <w:right w:val="nil"/>
              <w:tl2br w:val="nil"/>
              <w:tr2bl w:val="nil"/>
            </w:tcBorders>
          </w:tcPr>
          <w:p>
            <w:pPr>
              <w:rPr>
                <w:rFonts w:ascii="宋体" w:eastAsia="宋体"/>
                <w:color w:val="000000"/>
                <w:sz w:val="18"/>
              </w:rPr>
            </w:pPr>
          </w:p>
        </w:tc>
      </w:tr>
      <w:tr>
        <w:trPr>
          <w:trHeight w:val="599"/>
        </w:trPr>
        <w:tc>
          <w:tcPr>
            <w:tcW w:w="569" w:type="dxa"/>
            <w:tcBorders>
              <w:top w:val="nil"/>
              <w:left w:val="nil"/>
              <w:bottom w:val="nil"/>
              <w:right w:val="nil"/>
              <w:tl2br w:val="nil"/>
              <w:tr2bl w:val="nil"/>
            </w:tcBorders>
          </w:tcPr>
          <w:p>
            <w:pPr>
              <w:jc w:val="center"/>
              <w:rPr>
                <w:rFonts w:ascii="宋体" w:eastAsia="宋体" w:cs="Lucida Sans"/>
                <w:color w:val="000000"/>
                <w:sz w:val="18"/>
              </w:rPr>
            </w:pPr>
          </w:p>
        </w:tc>
        <w:tc>
          <w:tcPr>
            <w:tcW w:w="7781" w:type="dxa"/>
            <w:gridSpan w:val="10"/>
            <w:tcBorders>
              <w:top w:val="nil"/>
              <w:left w:val="nil"/>
              <w:bottom w:val="nil"/>
              <w:right w:val="nil"/>
              <w:tl2br w:val="nil"/>
              <w:tr2bl w:val="nil"/>
            </w:tcBorders>
          </w:tcPr>
          <w:p>
            <w:pPr>
              <w:jc w:val="center"/>
              <w:rPr>
                <w:rFonts w:ascii="微软雅黑" w:eastAsia="微软雅黑" w:cs="Lucida Sans"/>
                <w:b w:val="0"/>
                <w:i/>
                <w:color w:val="000000"/>
                <w:sz w:val="16"/>
              </w:rPr>
            </w:pPr>
          </w:p>
        </w:tc>
      </w:tr>
      <w:tr>
        <w:trPr>
          <w:trHeight w:val="569"/>
        </w:trPr>
        <w:tc>
          <w:tcPr>
            <w:tcW w:w="569" w:type="dxa"/>
            <w:tcBorders>
              <w:top w:val="nil"/>
              <w:left w:val="nil"/>
              <w:bottom w:val="nil"/>
              <w:right w:val="nil"/>
              <w:tl2br w:val="nil"/>
              <w:tr2bl w:val="nil"/>
            </w:tcBorders>
          </w:tcPr>
          <w:p>
            <w:pPr>
              <w:jc w:val="center"/>
              <w:rPr>
                <w:rFonts w:ascii="宋体" w:eastAsia="宋体" w:cs="Lucida Sans"/>
                <w:color w:val="000000"/>
                <w:sz w:val="18"/>
              </w:rPr>
            </w:pPr>
          </w:p>
        </w:tc>
        <w:tc>
          <w:tcPr>
            <w:tcW w:w="7781" w:type="dxa"/>
            <w:gridSpan w:val="10"/>
            <w:tcBorders>
              <w:top w:val="nil"/>
              <w:left w:val="nil"/>
              <w:bottom w:val="nil"/>
              <w:right w:val="nil"/>
              <w:tl2br w:val="nil"/>
              <w:tr2bl w:val="nil"/>
            </w:tcBorders>
          </w:tcPr>
          <w:p>
            <w:pPr>
              <w:jc w:val="center"/>
              <w:rPr>
                <w:rFonts w:ascii="微软雅黑" w:eastAsia="微软雅黑" w:cs="Lucida Sans"/>
                <w:b w:val="0"/>
                <w:i/>
                <w:color w:val="000000"/>
                <w:sz w:val="16"/>
              </w:rPr>
            </w:pPr>
          </w:p>
        </w:tc>
      </w:tr>
      <w:tr>
        <w:trPr>
          <w:trHeight w:val="629"/>
        </w:trPr>
        <w:tc>
          <w:tcPr>
            <w:tcW w:w="569" w:type="dxa"/>
            <w:tcBorders>
              <w:top w:val="nil"/>
              <w:left w:val="nil"/>
              <w:bottom w:val="nil"/>
              <w:right w:val="nil"/>
              <w:tl2br w:val="nil"/>
              <w:tr2bl w:val="nil"/>
            </w:tcBorders>
          </w:tcPr>
          <w:p>
            <w:pPr>
              <w:jc w:val="center"/>
              <w:rPr>
                <w:rFonts w:ascii="宋体" w:eastAsia="宋体" w:cs="Lucida Sans"/>
                <w:color w:val="000000"/>
                <w:sz w:val="18"/>
              </w:rPr>
            </w:pPr>
          </w:p>
        </w:tc>
        <w:tc>
          <w:tcPr>
            <w:tcW w:w="7781" w:type="dxa"/>
            <w:gridSpan w:val="10"/>
            <w:tcBorders>
              <w:top w:val="nil"/>
              <w:left w:val="nil"/>
              <w:bottom w:val="nil"/>
              <w:right w:val="nil"/>
              <w:tl2br w:val="nil"/>
              <w:tr2bl w:val="nil"/>
            </w:tcBorders>
          </w:tcPr>
          <w:p>
            <w:pPr>
              <w:jc w:val="center"/>
              <w:rPr>
                <w:rFonts w:ascii="微软雅黑" w:eastAsia="微软雅黑" w:cs="Lucida Sans"/>
                <w:b w:val="0"/>
                <w:i/>
                <w:color w:val="000000"/>
                <w:sz w:val="16"/>
              </w:rPr>
            </w:pPr>
          </w:p>
        </w:tc>
      </w:tr>
      <w:tr>
        <w:trPr>
          <w:trHeight w:val="284"/>
        </w:trPr>
        <w:tc>
          <w:tcPr>
            <w:tcW w:w="3344" w:type="dxa"/>
            <w:gridSpan w:val="5"/>
            <w:tcBorders>
              <w:top w:val="nil"/>
              <w:left w:val="nil"/>
              <w:bottom w:val="nil"/>
              <w:right w:val="nil"/>
              <w:tl2br w:val="nil"/>
              <w:tr2bl w:val="nil"/>
            </w:tcBorders>
          </w:tcPr>
          <w:p>
            <w:pPr>
              <w:rPr>
                <w:rFonts w:ascii="黑体" w:eastAsia="黑体" w:cs="Lucida Sans"/>
                <w:color w:val="000000"/>
                <w:sz w:val="18"/>
              </w:rPr>
            </w:pPr>
          </w:p>
        </w:tc>
        <w:tc>
          <w:tcPr>
            <w:tcW w:w="5006" w:type="dxa"/>
            <w:gridSpan w:val="6"/>
            <w:tcBorders>
              <w:top w:val="nil"/>
              <w:left w:val="nil"/>
              <w:bottom w:val="nil"/>
              <w:right w:val="nil"/>
              <w:tl2br w:val="nil"/>
              <w:tr2bl w:val="nil"/>
            </w:tcBorders>
          </w:tcPr>
          <w:p>
            <w:pPr>
              <w:jc w:val="center"/>
              <w:rPr>
                <w:rFonts w:ascii="黑体" w:eastAsia="黑体" w:cs="Lucida Sans"/>
                <w:color w:val="000000"/>
                <w:sz w:val="18"/>
              </w:rPr>
            </w:pPr>
          </w:p>
        </w:tc>
      </w:tr>
    </w:tbl>
    <w:tbl>
      <w:tblPr>
        <w:tblpPr w:leftFromText="180" w:rightFromText="180" w:vertAnchor="text" w:horzAnchor="page" w:tblpX="1" w:tblpY="415"/>
        <w:tblOverlap w:val="never"/>
        <w:tblW w:w="12055"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801"/>
        <w:gridCol w:w="41"/>
        <w:gridCol w:w="1070"/>
        <w:gridCol w:w="550"/>
        <w:gridCol w:w="1469"/>
        <w:gridCol w:w="1864"/>
        <w:gridCol w:w="478"/>
        <w:gridCol w:w="1398"/>
        <w:gridCol w:w="478"/>
        <w:gridCol w:w="932"/>
        <w:gridCol w:w="466"/>
        <w:gridCol w:w="418"/>
        <w:gridCol w:w="2091"/>
        <w:gridCol w:w="0"/>
      </w:tblGrid>
      <w:tr>
        <w:trPr>
          <w:trHeight w:val="899"/>
          <w:gridBefore w:val="4"/>
          <w:wBefore w:w="2462" w:type="dxa"/>
        </w:trPr>
        <w:tc>
          <w:tcPr>
            <w:tcW w:w="959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gridBefore w:val="2"/>
          <w:wBefore w:w="842" w:type="dxa"/>
          <w:gridAfter w:val="1"/>
          <w:wAfter w:w="0" w:type="dxa"/>
        </w:trPr>
        <w:tc>
          <w:tcPr>
            <w:tcW w:w="1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项目名称</w:t>
            </w:r>
          </w:p>
        </w:tc>
        <w:tc>
          <w:tcPr>
            <w:tcW w:w="1014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51320021T000000090247-老会长慰问费</w:t>
            </w:r>
          </w:p>
        </w:tc>
      </w:tr>
      <w:tr>
        <w:trPr>
          <w:trHeight w:val="509"/>
          <w:gridBefore w:val="2"/>
          <w:wBefore w:w="842" w:type="dxa"/>
          <w:gridAfter w:val="1"/>
          <w:wAfter w:w="0" w:type="dxa"/>
        </w:trPr>
        <w:tc>
          <w:tcPr>
            <w:tcW w:w="10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主管部门</w:t>
            </w:r>
          </w:p>
        </w:tc>
        <w:tc>
          <w:tcPr>
            <w:tcW w:w="6237"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州佛协部门</w:t>
            </w:r>
          </w:p>
        </w:tc>
        <w:tc>
          <w:tcPr>
            <w:tcW w:w="932" w:type="dxa"/>
            <w:tcBorders>
              <w:top w:val="nil"/>
              <w:left w:val="nil"/>
              <w:bottom w:val="nil"/>
              <w:right w:val="nil"/>
              <w:tl2br w:val="nil"/>
              <w:tr2bl w:val="nil"/>
            </w:tcBorders>
            <w:noWrap/>
            <w:vAlign w:val="center"/>
          </w:tcPr>
          <w:p>
            <w:pPr>
              <w:jc w:val="center"/>
              <w:rPr>
                <w:rFonts w:ascii="simhei" w:eastAsia="simhei" w:cs="Lucida Sans" w:hAnsi="simhei"/>
                <w:color w:val="000000"/>
                <w:sz w:val="18"/>
              </w:rPr>
            </w:pPr>
            <w:r>
              <w:rPr>
                <w:rFonts w:ascii="simhei" w:eastAsia="simhei" w:cs="Lucida Sans" w:hAnsi="simhei"/>
                <w:color w:val="000000"/>
                <w:sz w:val="18"/>
              </w:rPr>
              <w:t>实施单位 （盖章）</w:t>
            </w:r>
          </w:p>
        </w:tc>
        <w:tc>
          <w:tcPr>
            <w:tcW w:w="297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州佛协</w:t>
            </w:r>
          </w:p>
        </w:tc>
      </w:tr>
      <w:tr>
        <w:trPr>
          <w:trHeight w:val="284"/>
          <w:gridAfter w:val="1"/>
          <w:wAfter w:w="0" w:type="dxa"/>
        </w:trPr>
        <w:tc>
          <w:tcPr>
            <w:tcW w:w="8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p>
        </w:tc>
        <w:tc>
          <w:tcPr>
            <w:tcW w:w="1111"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p>
        </w:tc>
        <w:tc>
          <w:tcPr>
            <w:tcW w:w="6237"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p>
        </w:tc>
        <w:tc>
          <w:tcPr>
            <w:tcW w:w="3906"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Lucida Sans" w:hAnsi="simhei"/>
                <w:color w:val="000000"/>
                <w:sz w:val="18"/>
              </w:rPr>
            </w:pPr>
          </w:p>
        </w:tc>
      </w:tr>
      <w:tr>
        <w:trPr>
          <w:trHeight w:val="284"/>
          <w:gridAfter w:val="1"/>
          <w:wAfter w:w="0" w:type="dxa"/>
        </w:trPr>
        <w:tc>
          <w:tcPr>
            <w:tcW w:w="801"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项目基本情况</w:t>
            </w:r>
          </w:p>
        </w:tc>
        <w:tc>
          <w:tcPr>
            <w:tcW w:w="1111" w:type="dxa"/>
            <w:gridSpan w:val="2"/>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1.项目年度目标完成情况</w:t>
            </w:r>
          </w:p>
        </w:tc>
        <w:tc>
          <w:tcPr>
            <w:tcW w:w="6237"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项目年度目标</w:t>
            </w:r>
          </w:p>
        </w:tc>
        <w:tc>
          <w:tcPr>
            <w:tcW w:w="3906"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Lucida Sans" w:hAnsi="simhei"/>
                <w:color w:val="000000"/>
                <w:sz w:val="18"/>
              </w:rPr>
            </w:pPr>
            <w:r>
              <w:rPr>
                <w:rFonts w:ascii="simhei" w:eastAsia="simhei" w:cs="Lucida Sans" w:hAnsi="simhei"/>
                <w:color w:val="000000"/>
                <w:sz w:val="18"/>
              </w:rPr>
              <w:t>年度目标完成情况</w:t>
            </w:r>
          </w:p>
        </w:tc>
      </w:tr>
      <w:tr>
        <w:trPr>
          <w:trHeight w:val="1619"/>
          <w:gridAfter w:val="1"/>
          <w:wAfter w:w="0" w:type="dxa"/>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gridSpan w:val="2"/>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237"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　根据我会工作实际，按照州委主要领导的指示，要求我会在春节前开展老会长、老活佛的慰问工作，传达党和政府的问候和关心，为切实做好此项工作。通过慰问老会长、老活佛，传达党和政府的关心关爱，促进宗教和谐，鼓励老同志继续为我州宗教工作建言献策</w:t>
            </w:r>
          </w:p>
        </w:tc>
        <w:tc>
          <w:tcPr>
            <w:tcW w:w="3906"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Lucida Sans" w:hAnsi="simhei"/>
                <w:color w:val="000000"/>
                <w:sz w:val="18"/>
              </w:rPr>
            </w:pPr>
            <w:r>
              <w:rPr>
                <w:rFonts w:ascii="simhei" w:eastAsia="simhei" w:cs="Lucida Sans" w:hAnsi="simhei"/>
                <w:color w:val="000000"/>
                <w:sz w:val="18"/>
              </w:rPr>
              <w:t>2025年对已离任的老会长、老活佛等宗教界代表人士进行慰问8人,发放对象及数额准确率100%,有效传达党和政府的关心、关爱.本次慰问项目组织严谨、安排周密、执行顺畅、措施暖心，切实做到了关心到位、沟通到位、了解到位，有效增强了宗教界代表人士的归属感与认同感，维护了宗教领域的和谐稳定，圆满完成年度慰问工作任务。</w:t>
            </w:r>
          </w:p>
        </w:tc>
      </w:tr>
      <w:tr>
        <w:trPr>
          <w:trHeight w:val="1499"/>
          <w:gridAfter w:val="1"/>
          <w:wAfter w:w="0" w:type="dxa"/>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111"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2.项目实施内容及过程概述</w:t>
            </w:r>
          </w:p>
        </w:tc>
        <w:tc>
          <w:tcPr>
            <w:tcW w:w="1014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本项目旨在进一步贯彻落实党和政府对宗教界代表人士的关心关怀政策，扎实做好离退休及已离任代表人士的联络服务工作，通过组织开展走访慰问活动，传递组织关怀、了解生活状况、沟通思想动态，促进宗教界和谐稳定。项目严格按照相关经费管理规定、慰问工作制度及年度预算组织实施，坚持政策暖心、程序合规、开支规范、实事求实的工作原则。慰问实施过程中，严格按照既定方案，组织工作人员采取上门走访、座谈慰问等多种方式，与慰问对象亲切交流。工作人员认真了解他们的生活情况、身体健康状况和实际困难，耐心听取意见建议，及时做好沟通记录和情况反馈。慰问物资与慰问金严格按照预算标准发放，做到对象明确、金额准确、依据充分、手续齐全，全过程实行公开透明、即时登记、财务合规管理。</w:t>
            </w:r>
          </w:p>
          <w:p>
            <w:pPr>
              <w:rPr>
                <w:rFonts w:ascii="SimSun" w:eastAsia="SimSun" w:cs="Lucida Sans"/>
                <w:color w:val="000000"/>
                <w:sz w:val="18"/>
              </w:rPr>
            </w:pPr>
            <w:r>
              <w:rPr>
                <w:rFonts w:ascii="SimSun" w:eastAsia="SimSun" w:cs="Lucida Sans"/>
                <w:color w:val="000000"/>
                <w:sz w:val="18"/>
              </w:rPr>
              <w:t xml:space="preserve"> </w:t>
            </w:r>
          </w:p>
        </w:tc>
      </w:tr>
      <w:tr>
        <w:trPr>
          <w:trHeight w:val="359"/>
          <w:gridAfter w:val="1"/>
          <w:wAfter w:w="0" w:type="dxa"/>
        </w:trPr>
        <w:tc>
          <w:tcPr>
            <w:tcW w:w="801"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预算执行情况（10分）</w:t>
            </w:r>
          </w:p>
        </w:tc>
        <w:tc>
          <w:tcPr>
            <w:tcW w:w="1111"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年度预算数（万元）</w:t>
            </w:r>
          </w:p>
        </w:tc>
        <w:tc>
          <w:tcPr>
            <w:tcW w:w="20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年初预算</w:t>
            </w:r>
          </w:p>
        </w:tc>
        <w:tc>
          <w:tcPr>
            <w:tcW w:w="18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调整后预算数</w:t>
            </w:r>
          </w:p>
        </w:tc>
        <w:tc>
          <w:tcPr>
            <w:tcW w:w="235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预算执行数</w:t>
            </w:r>
          </w:p>
        </w:tc>
        <w:tc>
          <w:tcPr>
            <w:tcW w:w="9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预算执行率</w:t>
            </w:r>
          </w:p>
        </w:tc>
        <w:tc>
          <w:tcPr>
            <w:tcW w:w="46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权重</w:t>
            </w:r>
          </w:p>
        </w:tc>
        <w:tc>
          <w:tcPr>
            <w:tcW w:w="41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得分</w:t>
            </w:r>
          </w:p>
        </w:tc>
        <w:tc>
          <w:tcPr>
            <w:tcW w:w="209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原因</w:t>
            </w:r>
          </w:p>
        </w:tc>
      </w:tr>
      <w:tr>
        <w:trPr>
          <w:trHeight w:val="344"/>
          <w:gridAfter w:val="1"/>
          <w:wAfter w:w="0" w:type="dxa"/>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111"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总额</w:t>
            </w:r>
          </w:p>
        </w:tc>
        <w:tc>
          <w:tcPr>
            <w:tcW w:w="20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0.90</w:t>
            </w:r>
          </w:p>
        </w:tc>
        <w:tc>
          <w:tcPr>
            <w:tcW w:w="18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0.90</w:t>
            </w:r>
          </w:p>
        </w:tc>
        <w:tc>
          <w:tcPr>
            <w:tcW w:w="235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0.90</w:t>
            </w:r>
          </w:p>
        </w:tc>
        <w:tc>
          <w:tcPr>
            <w:tcW w:w="9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100.00%</w:t>
            </w:r>
          </w:p>
        </w:tc>
        <w:tc>
          <w:tcPr>
            <w:tcW w:w="46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w:t>
            </w:r>
          </w:p>
        </w:tc>
        <w:tc>
          <w:tcPr>
            <w:tcW w:w="41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w:t>
            </w:r>
          </w:p>
        </w:tc>
        <w:tc>
          <w:tcPr>
            <w:tcW w:w="2091"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Lucida Sans" w:hAnsi="simhei"/>
                <w:b w:val="0"/>
                <w:i/>
                <w:color w:val="000000"/>
                <w:sz w:val="18"/>
              </w:rPr>
            </w:pPr>
            <w:r>
              <w:rPr>
                <w:rFonts w:ascii="simhei" w:eastAsia="simhei" w:cs="Lucida Sans"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gridAfter w:val="1"/>
          <w:wAfter w:w="0" w:type="dxa"/>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111"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其中：财政资金</w:t>
            </w:r>
          </w:p>
        </w:tc>
        <w:tc>
          <w:tcPr>
            <w:tcW w:w="20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0.90</w:t>
            </w:r>
          </w:p>
        </w:tc>
        <w:tc>
          <w:tcPr>
            <w:tcW w:w="18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0.90</w:t>
            </w:r>
          </w:p>
        </w:tc>
        <w:tc>
          <w:tcPr>
            <w:tcW w:w="235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0.90</w:t>
            </w:r>
          </w:p>
        </w:tc>
        <w:tc>
          <w:tcPr>
            <w:tcW w:w="9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100.00%</w:t>
            </w:r>
          </w:p>
        </w:tc>
        <w:tc>
          <w:tcPr>
            <w:tcW w:w="46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41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gridAfter w:val="1"/>
          <w:wAfter w:w="0" w:type="dxa"/>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111"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财政专户管理资金</w:t>
            </w:r>
          </w:p>
        </w:tc>
        <w:tc>
          <w:tcPr>
            <w:tcW w:w="20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0.00</w:t>
            </w:r>
          </w:p>
        </w:tc>
        <w:tc>
          <w:tcPr>
            <w:tcW w:w="18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0.00</w:t>
            </w:r>
          </w:p>
        </w:tc>
        <w:tc>
          <w:tcPr>
            <w:tcW w:w="235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0.00</w:t>
            </w:r>
          </w:p>
        </w:tc>
        <w:tc>
          <w:tcPr>
            <w:tcW w:w="9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0.00%</w:t>
            </w:r>
          </w:p>
        </w:tc>
        <w:tc>
          <w:tcPr>
            <w:tcW w:w="46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41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gridAfter w:val="1"/>
          <w:wAfter w:w="0" w:type="dxa"/>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111"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单位资金</w:t>
            </w:r>
          </w:p>
        </w:tc>
        <w:tc>
          <w:tcPr>
            <w:tcW w:w="20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0.00</w:t>
            </w:r>
          </w:p>
        </w:tc>
        <w:tc>
          <w:tcPr>
            <w:tcW w:w="18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0.00</w:t>
            </w:r>
          </w:p>
        </w:tc>
        <w:tc>
          <w:tcPr>
            <w:tcW w:w="235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0.00</w:t>
            </w:r>
          </w:p>
        </w:tc>
        <w:tc>
          <w:tcPr>
            <w:tcW w:w="9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0.00%</w:t>
            </w:r>
          </w:p>
        </w:tc>
        <w:tc>
          <w:tcPr>
            <w:tcW w:w="46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41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gridAfter w:val="1"/>
          <w:wAfter w:w="0" w:type="dxa"/>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111"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其他资金</w:t>
            </w:r>
          </w:p>
        </w:tc>
        <w:tc>
          <w:tcPr>
            <w:tcW w:w="20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5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9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46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41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gridAfter w:val="1"/>
          <w:wAfter w:w="0" w:type="dxa"/>
        </w:trPr>
        <w:tc>
          <w:tcPr>
            <w:tcW w:w="801"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绩效指标（90分）</w:t>
            </w:r>
          </w:p>
        </w:tc>
        <w:tc>
          <w:tcPr>
            <w:tcW w:w="1111"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一级指标</w:t>
            </w:r>
          </w:p>
        </w:tc>
        <w:tc>
          <w:tcPr>
            <w:tcW w:w="20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二级指标</w:t>
            </w:r>
          </w:p>
        </w:tc>
        <w:tc>
          <w:tcPr>
            <w:tcW w:w="18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三级指标</w:t>
            </w:r>
          </w:p>
        </w:tc>
        <w:tc>
          <w:tcPr>
            <w:tcW w:w="4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指标性质</w:t>
            </w:r>
          </w:p>
        </w:tc>
        <w:tc>
          <w:tcPr>
            <w:tcW w:w="13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指标值</w:t>
            </w:r>
          </w:p>
        </w:tc>
        <w:tc>
          <w:tcPr>
            <w:tcW w:w="4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度量单位</w:t>
            </w:r>
          </w:p>
        </w:tc>
        <w:tc>
          <w:tcPr>
            <w:tcW w:w="9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完成值</w:t>
            </w:r>
          </w:p>
        </w:tc>
        <w:tc>
          <w:tcPr>
            <w:tcW w:w="46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权重</w:t>
            </w:r>
          </w:p>
        </w:tc>
        <w:tc>
          <w:tcPr>
            <w:tcW w:w="41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得分</w:t>
            </w:r>
          </w:p>
        </w:tc>
        <w:tc>
          <w:tcPr>
            <w:tcW w:w="209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未完成原因分析</w:t>
            </w:r>
          </w:p>
        </w:tc>
      </w:tr>
      <w:tr>
        <w:trPr>
          <w:trHeight w:val="344"/>
          <w:gridAfter w:val="1"/>
          <w:wAfter w:w="0" w:type="dxa"/>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111" w:type="dxa"/>
            <w:gridSpan w:val="2"/>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产出指标</w:t>
            </w:r>
          </w:p>
        </w:tc>
        <w:tc>
          <w:tcPr>
            <w:tcW w:w="20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数量指标</w:t>
            </w:r>
          </w:p>
        </w:tc>
        <w:tc>
          <w:tcPr>
            <w:tcW w:w="18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发放人数</w:t>
            </w:r>
          </w:p>
        </w:tc>
        <w:tc>
          <w:tcPr>
            <w:tcW w:w="4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13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8</w:t>
            </w:r>
          </w:p>
        </w:tc>
        <w:tc>
          <w:tcPr>
            <w:tcW w:w="4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人</w:t>
            </w:r>
          </w:p>
        </w:tc>
        <w:tc>
          <w:tcPr>
            <w:tcW w:w="9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46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w:t>
            </w:r>
          </w:p>
        </w:tc>
        <w:tc>
          <w:tcPr>
            <w:tcW w:w="41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w:t>
            </w:r>
          </w:p>
        </w:tc>
        <w:tc>
          <w:tcPr>
            <w:tcW w:w="209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gridAfter w:val="1"/>
          <w:wAfter w:w="0" w:type="dxa"/>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gridSpan w:val="2"/>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0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质量指标</w:t>
            </w:r>
          </w:p>
        </w:tc>
        <w:tc>
          <w:tcPr>
            <w:tcW w:w="18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发放对象及数额准确率</w:t>
            </w:r>
          </w:p>
        </w:tc>
        <w:tc>
          <w:tcPr>
            <w:tcW w:w="4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13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100</w:t>
            </w:r>
          </w:p>
        </w:tc>
        <w:tc>
          <w:tcPr>
            <w:tcW w:w="4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9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46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w:t>
            </w:r>
          </w:p>
        </w:tc>
        <w:tc>
          <w:tcPr>
            <w:tcW w:w="41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w:t>
            </w:r>
          </w:p>
        </w:tc>
        <w:tc>
          <w:tcPr>
            <w:tcW w:w="209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gridAfter w:val="1"/>
          <w:wAfter w:w="0" w:type="dxa"/>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gridSpan w:val="2"/>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0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时效指标</w:t>
            </w:r>
          </w:p>
        </w:tc>
        <w:tc>
          <w:tcPr>
            <w:tcW w:w="18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资金发放时间</w:t>
            </w:r>
          </w:p>
        </w:tc>
        <w:tc>
          <w:tcPr>
            <w:tcW w:w="4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定性</w:t>
            </w:r>
          </w:p>
        </w:tc>
        <w:tc>
          <w:tcPr>
            <w:tcW w:w="13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春节前完成发放</w:t>
            </w:r>
          </w:p>
        </w:tc>
        <w:tc>
          <w:tcPr>
            <w:tcW w:w="4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9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46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20</w:t>
            </w:r>
          </w:p>
        </w:tc>
        <w:tc>
          <w:tcPr>
            <w:tcW w:w="41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20</w:t>
            </w:r>
          </w:p>
        </w:tc>
        <w:tc>
          <w:tcPr>
            <w:tcW w:w="209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gridAfter w:val="1"/>
          <w:wAfter w:w="0" w:type="dxa"/>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111" w:type="dxa"/>
            <w:gridSpan w:val="2"/>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效益指标</w:t>
            </w:r>
          </w:p>
        </w:tc>
        <w:tc>
          <w:tcPr>
            <w:tcW w:w="20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社会效益指标</w:t>
            </w:r>
          </w:p>
        </w:tc>
        <w:tc>
          <w:tcPr>
            <w:tcW w:w="18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传达党和政府的关心、关爱</w:t>
            </w:r>
          </w:p>
        </w:tc>
        <w:tc>
          <w:tcPr>
            <w:tcW w:w="4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定性</w:t>
            </w:r>
          </w:p>
        </w:tc>
        <w:tc>
          <w:tcPr>
            <w:tcW w:w="13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有效传达</w:t>
            </w:r>
          </w:p>
        </w:tc>
        <w:tc>
          <w:tcPr>
            <w:tcW w:w="4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9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97%</w:t>
            </w:r>
          </w:p>
        </w:tc>
        <w:tc>
          <w:tcPr>
            <w:tcW w:w="46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w:t>
            </w:r>
          </w:p>
        </w:tc>
        <w:tc>
          <w:tcPr>
            <w:tcW w:w="41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w:t>
            </w:r>
          </w:p>
        </w:tc>
        <w:tc>
          <w:tcPr>
            <w:tcW w:w="209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gridAfter w:val="1"/>
          <w:wAfter w:w="0" w:type="dxa"/>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gridSpan w:val="2"/>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0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可持续影响指标</w:t>
            </w:r>
          </w:p>
        </w:tc>
        <w:tc>
          <w:tcPr>
            <w:tcW w:w="18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增强老同志的归属感和荣誉感</w:t>
            </w:r>
          </w:p>
        </w:tc>
        <w:tc>
          <w:tcPr>
            <w:tcW w:w="4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定性</w:t>
            </w:r>
          </w:p>
        </w:tc>
        <w:tc>
          <w:tcPr>
            <w:tcW w:w="13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归属感显著增强</w:t>
            </w:r>
          </w:p>
        </w:tc>
        <w:tc>
          <w:tcPr>
            <w:tcW w:w="4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9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90%</w:t>
            </w:r>
          </w:p>
        </w:tc>
        <w:tc>
          <w:tcPr>
            <w:tcW w:w="46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w:t>
            </w:r>
          </w:p>
        </w:tc>
        <w:tc>
          <w:tcPr>
            <w:tcW w:w="41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w:t>
            </w:r>
          </w:p>
        </w:tc>
        <w:tc>
          <w:tcPr>
            <w:tcW w:w="209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gridAfter w:val="1"/>
          <w:wAfter w:w="0" w:type="dxa"/>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111"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满意度指标</w:t>
            </w:r>
          </w:p>
        </w:tc>
        <w:tc>
          <w:tcPr>
            <w:tcW w:w="20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服务对象满意度指标</w:t>
            </w:r>
          </w:p>
        </w:tc>
        <w:tc>
          <w:tcPr>
            <w:tcW w:w="18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慰问对象满意度</w:t>
            </w:r>
          </w:p>
        </w:tc>
        <w:tc>
          <w:tcPr>
            <w:tcW w:w="4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13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100</w:t>
            </w:r>
          </w:p>
        </w:tc>
        <w:tc>
          <w:tcPr>
            <w:tcW w:w="4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9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46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w:t>
            </w:r>
          </w:p>
        </w:tc>
        <w:tc>
          <w:tcPr>
            <w:tcW w:w="41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w:t>
            </w:r>
          </w:p>
        </w:tc>
        <w:tc>
          <w:tcPr>
            <w:tcW w:w="209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gridAfter w:val="1"/>
          <w:wAfter w:w="0" w:type="dxa"/>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111"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成本指标</w:t>
            </w:r>
          </w:p>
        </w:tc>
        <w:tc>
          <w:tcPr>
            <w:tcW w:w="20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经济成本指标</w:t>
            </w:r>
          </w:p>
        </w:tc>
        <w:tc>
          <w:tcPr>
            <w:tcW w:w="186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发放金额</w:t>
            </w:r>
          </w:p>
        </w:tc>
        <w:tc>
          <w:tcPr>
            <w:tcW w:w="4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13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9000</w:t>
            </w:r>
          </w:p>
        </w:tc>
        <w:tc>
          <w:tcPr>
            <w:tcW w:w="4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元</w:t>
            </w:r>
          </w:p>
        </w:tc>
        <w:tc>
          <w:tcPr>
            <w:tcW w:w="93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46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20</w:t>
            </w:r>
          </w:p>
        </w:tc>
        <w:tc>
          <w:tcPr>
            <w:tcW w:w="41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20</w:t>
            </w:r>
          </w:p>
        </w:tc>
        <w:tc>
          <w:tcPr>
            <w:tcW w:w="209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gridBefore w:val="4"/>
          <w:wBefore w:w="2462" w:type="dxa"/>
          <w:gridAfter w:val="1"/>
          <w:wAfter w:w="0" w:type="dxa"/>
        </w:trPr>
        <w:tc>
          <w:tcPr>
            <w:tcW w:w="661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合计</w:t>
            </w:r>
          </w:p>
        </w:tc>
        <w:tc>
          <w:tcPr>
            <w:tcW w:w="46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100</w:t>
            </w:r>
          </w:p>
        </w:tc>
        <w:tc>
          <w:tcPr>
            <w:tcW w:w="41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Lucida Sans"/>
                <w:color w:val="000000"/>
                <w:sz w:val="18"/>
              </w:rPr>
            </w:pPr>
            <w:r>
              <w:rPr>
                <w:rFonts w:ascii="SimSun" w:eastAsia="SimSun" w:cs="Lucida Sans"/>
                <w:color w:val="000000"/>
                <w:sz w:val="18"/>
              </w:rPr>
              <w:t>90</w:t>
            </w:r>
          </w:p>
        </w:tc>
        <w:tc>
          <w:tcPr>
            <w:tcW w:w="2091"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gridAfter w:val="1"/>
          <w:wAfter w:w="0" w:type="dxa"/>
        </w:trPr>
        <w:tc>
          <w:tcPr>
            <w:tcW w:w="8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评价结论</w:t>
            </w:r>
          </w:p>
        </w:tc>
        <w:tc>
          <w:tcPr>
            <w:tcW w:w="11254"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自评分为100分，通过对已离任的老会长、老活佛等宗教界代表人士进行慰问，体现党委政府对宗教界的关心、关爱，进一步发挥老会长、老活佛等宗教界代表人士在我州宗教工作中的积极作用，为全州宗教工作建言献策、发挥余热，为我州民族团结、宗教和睦做出积极贡献。</w:t>
            </w:r>
          </w:p>
        </w:tc>
      </w:tr>
      <w:tr>
        <w:trPr>
          <w:trHeight w:val="569"/>
          <w:gridAfter w:val="1"/>
          <w:wAfter w:w="0" w:type="dxa"/>
        </w:trPr>
        <w:tc>
          <w:tcPr>
            <w:tcW w:w="8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存在问题</w:t>
            </w:r>
          </w:p>
        </w:tc>
        <w:tc>
          <w:tcPr>
            <w:tcW w:w="11254"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gridAfter w:val="1"/>
          <w:wAfter w:w="0" w:type="dxa"/>
        </w:trPr>
        <w:tc>
          <w:tcPr>
            <w:tcW w:w="8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改进措施</w:t>
            </w:r>
          </w:p>
        </w:tc>
        <w:tc>
          <w:tcPr>
            <w:tcW w:w="11254"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gridBefore w:val="4"/>
          <w:wBefore w:w="2462" w:type="dxa"/>
          <w:gridAfter w:val="1"/>
          <w:wAfter w:w="0" w:type="dxa"/>
        </w:trPr>
        <w:tc>
          <w:tcPr>
            <w:tcW w:w="381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Lucida Sans" w:hAnsi="simhei"/>
                <w:color w:val="000000"/>
                <w:sz w:val="18"/>
              </w:rPr>
            </w:pPr>
            <w:r>
              <w:rPr>
                <w:rFonts w:ascii="simhei" w:eastAsia="simhei" w:cs="Lucida Sans" w:hAnsi="simhei"/>
                <w:color w:val="000000"/>
                <w:sz w:val="18"/>
              </w:rPr>
              <w:t>项目负责人：</w:t>
            </w:r>
          </w:p>
        </w:tc>
        <w:tc>
          <w:tcPr>
            <w:tcW w:w="5782"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Lucida Sans" w:hAnsi="simhei"/>
                <w:color w:val="000000"/>
                <w:sz w:val="18"/>
              </w:rPr>
            </w:pPr>
            <w:r>
              <w:rPr>
                <w:rFonts w:ascii="simhei" w:eastAsia="simhei" w:cs="Lucida Sans" w:hAnsi="simhei"/>
                <w:color w:val="000000"/>
                <w:sz w:val="18"/>
              </w:rPr>
              <w:t>财务负责人：</w:t>
            </w:r>
          </w:p>
        </w:tc>
      </w:tr>
    </w:tbl>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pPr>
      <w:bookmarkStart w:id="56" w:name="_GoBack"/>
      <w:bookmarkEnd w:id="56"/>
    </w:p>
    <w:p>
      <w:pPr>
        <w:pStyle w:val="1"/>
        <w:keepNext/>
        <w:keepLines/>
        <w:pageBreakBefore w:val="0"/>
        <w:widowControl w:val="0"/>
        <w:suppressLineNumbers w:val="0"/>
        <w:suppressAutoHyphens w:val="0"/>
        <w:jc w:val="center"/>
      </w:pPr>
      <w:r>
        <w:rPr>
          <w:rFonts w:hint="eastAsia"/>
        </w:rPr>
        <w:t>第五部分 附表</w:t>
      </w:r>
      <w:bookmarkStart w:id="57" w:name="_Toc15396619"/>
      <w:bookmarkEnd w:id="55"/>
    </w:p>
    <w:p>
      <w:pPr>
        <w:pStyle w:val="2"/>
        <w:keepNext/>
        <w:keepLines/>
        <w:pageBreakBefore w:val="0"/>
        <w:widowControl w:val="0"/>
        <w:suppressLineNumbers w:val="0"/>
        <w:suppressAutoHyphens w:val="0"/>
        <w:bidi w:val="0"/>
        <w:spacing w:line="415" w:lineRule="auto"/>
        <w:rPr>
          <w:rFonts w:hint="eastAsia"/>
        </w:rPr>
      </w:pPr>
      <w:r>
        <w:rPr>
          <w:rFonts w:hint="eastAsia"/>
        </w:rPr>
        <w:t>一、收入支出决算总表</w:t>
      </w:r>
      <w:bookmarkEnd w:id="57"/>
    </w:p>
    <w:p>
      <w:pPr>
        <w:pStyle w:val="2"/>
        <w:keepNext/>
        <w:keepLines/>
        <w:pageBreakBefore w:val="0"/>
        <w:widowControl w:val="0"/>
        <w:suppressLineNumbers w:val="0"/>
        <w:suppressAutoHyphens w:val="0"/>
        <w:bidi w:val="0"/>
        <w:spacing w:line="415" w:lineRule="auto"/>
        <w:rPr>
          <w:rFonts w:hint="eastAsia"/>
        </w:rPr>
      </w:pPr>
      <w:bookmarkStart w:id="58" w:name="_Toc15396620"/>
      <w:r>
        <w:rPr>
          <w:rFonts w:hint="eastAsia"/>
        </w:rPr>
        <w:t>二、收入决算表</w:t>
      </w:r>
      <w:bookmarkEnd w:id="58"/>
    </w:p>
    <w:p>
      <w:pPr>
        <w:pStyle w:val="2"/>
        <w:keepNext/>
        <w:keepLines/>
        <w:pageBreakBefore w:val="0"/>
        <w:widowControl w:val="0"/>
        <w:suppressLineNumbers w:val="0"/>
        <w:suppressAutoHyphens w:val="0"/>
        <w:bidi w:val="0"/>
        <w:spacing w:line="415" w:lineRule="auto"/>
        <w:rPr>
          <w:rFonts w:hint="eastAsia"/>
        </w:rPr>
      </w:pPr>
      <w:bookmarkStart w:id="59" w:name="_Toc15396621"/>
      <w:r>
        <w:rPr>
          <w:rFonts w:hint="eastAsia"/>
        </w:rPr>
        <w:t>三、支出决算表</w:t>
      </w:r>
      <w:bookmarkEnd w:id="59"/>
    </w:p>
    <w:p>
      <w:pPr>
        <w:pStyle w:val="2"/>
        <w:keepNext/>
        <w:keepLines/>
        <w:pageBreakBefore w:val="0"/>
        <w:widowControl w:val="0"/>
        <w:suppressLineNumbers w:val="0"/>
        <w:suppressAutoHyphens w:val="0"/>
        <w:bidi w:val="0"/>
        <w:spacing w:line="415" w:lineRule="auto"/>
        <w:rPr>
          <w:rFonts w:hint="eastAsia"/>
        </w:rPr>
      </w:pPr>
      <w:bookmarkStart w:id="60" w:name="_Toc15396622"/>
      <w:r>
        <w:rPr>
          <w:rFonts w:hint="eastAsia"/>
        </w:rPr>
        <w:t>四、财政拨款收入支出决算总表</w:t>
      </w:r>
      <w:bookmarkEnd w:id="60"/>
    </w:p>
    <w:p>
      <w:pPr>
        <w:pStyle w:val="2"/>
        <w:keepNext/>
        <w:keepLines/>
        <w:pageBreakBefore w:val="0"/>
        <w:widowControl w:val="0"/>
        <w:suppressLineNumbers w:val="0"/>
        <w:suppressAutoHyphens w:val="0"/>
        <w:bidi w:val="0"/>
        <w:spacing w:line="415" w:lineRule="auto"/>
        <w:rPr>
          <w:rFonts w:hint="eastAsia"/>
        </w:rPr>
      </w:pPr>
      <w:bookmarkStart w:id="61" w:name="_Toc15396623"/>
      <w:r>
        <w:rPr>
          <w:rFonts w:hint="eastAsia"/>
        </w:rPr>
        <w:t>五、财政拨款支出决算明细表</w:t>
      </w:r>
      <w:bookmarkStart w:id="62" w:name="_Toc15396624"/>
      <w:bookmarkEnd w:id="61"/>
    </w:p>
    <w:p>
      <w:pPr>
        <w:pStyle w:val="2"/>
        <w:keepNext/>
        <w:keepLines/>
        <w:pageBreakBefore w:val="0"/>
        <w:widowControl w:val="0"/>
        <w:suppressLineNumbers w:val="0"/>
        <w:suppressAutoHyphens w:val="0"/>
        <w:bidi w:val="0"/>
        <w:spacing w:line="415" w:lineRule="auto"/>
        <w:rPr>
          <w:rFonts w:hint="eastAsia"/>
        </w:rPr>
      </w:pPr>
      <w:r>
        <w:rPr>
          <w:rFonts w:hint="eastAsia"/>
        </w:rPr>
        <w:t>六、一般公共预算财政拨款支出决算表</w:t>
      </w:r>
      <w:bookmarkEnd w:id="62"/>
    </w:p>
    <w:p>
      <w:pPr>
        <w:pStyle w:val="2"/>
        <w:keepNext/>
        <w:keepLines/>
        <w:pageBreakBefore w:val="0"/>
        <w:widowControl w:val="0"/>
        <w:suppressLineNumbers w:val="0"/>
        <w:suppressAutoHyphens w:val="0"/>
        <w:bidi w:val="0"/>
        <w:spacing w:line="415" w:lineRule="auto"/>
        <w:rPr>
          <w:rFonts w:hint="eastAsia"/>
        </w:rPr>
      </w:pPr>
      <w:bookmarkStart w:id="63" w:name="_Toc15396625"/>
      <w:r>
        <w:rPr>
          <w:rFonts w:hint="eastAsia"/>
        </w:rPr>
        <w:t>七、一般公共预算财政拨款支出决算明细表</w:t>
      </w:r>
      <w:bookmarkEnd w:id="63"/>
    </w:p>
    <w:p>
      <w:pPr>
        <w:pStyle w:val="2"/>
        <w:keepNext/>
        <w:keepLines/>
        <w:pageBreakBefore w:val="0"/>
        <w:widowControl w:val="0"/>
        <w:suppressLineNumbers w:val="0"/>
        <w:suppressAutoHyphens w:val="0"/>
        <w:bidi w:val="0"/>
        <w:spacing w:line="415" w:lineRule="auto"/>
        <w:rPr>
          <w:rFonts w:hint="eastAsia"/>
        </w:rPr>
      </w:pPr>
      <w:bookmarkStart w:id="64" w:name="_Toc15396626"/>
      <w:r>
        <w:rPr>
          <w:rFonts w:hint="eastAsia"/>
        </w:rPr>
        <w:t>八、一般公共预算财政拨款基本支出决算表</w:t>
      </w:r>
      <w:bookmarkEnd w:id="64"/>
    </w:p>
    <w:p>
      <w:pPr>
        <w:pStyle w:val="2"/>
        <w:keepNext/>
        <w:keepLines/>
        <w:pageBreakBefore w:val="0"/>
        <w:widowControl w:val="0"/>
        <w:suppressLineNumbers w:val="0"/>
        <w:suppressAutoHyphens w:val="0"/>
        <w:bidi w:val="0"/>
        <w:spacing w:line="415" w:lineRule="auto"/>
        <w:rPr>
          <w:rFonts w:hint="eastAsia"/>
        </w:rPr>
      </w:pPr>
      <w:bookmarkStart w:id="65" w:name="_Toc15396627"/>
      <w:r>
        <w:rPr>
          <w:rFonts w:hint="eastAsia"/>
        </w:rPr>
        <w:t>九、一般公共预算财政拨款项目支出决算表</w:t>
      </w:r>
      <w:bookmarkEnd w:id="65"/>
    </w:p>
    <w:p>
      <w:pPr>
        <w:pStyle w:val="2"/>
        <w:keepNext/>
        <w:keepLines/>
        <w:pageBreakBefore w:val="0"/>
        <w:widowControl w:val="0"/>
        <w:suppressLineNumbers w:val="0"/>
        <w:suppressAutoHyphens w:val="0"/>
        <w:bidi w:val="0"/>
        <w:spacing w:line="415" w:lineRule="auto"/>
        <w:rPr>
          <w:rFonts w:hint="eastAsia"/>
        </w:rPr>
      </w:pPr>
      <w:bookmarkStart w:id="66" w:name="_Toc15396628"/>
      <w:r>
        <w:rPr>
          <w:rFonts w:hint="eastAsia"/>
        </w:rPr>
        <w:t>十、</w:t>
      </w:r>
      <w:bookmarkEnd w:id="66"/>
      <w:r>
        <w:rPr>
          <w:rFonts w:hint="eastAsia"/>
        </w:rPr>
        <w:t>政府性基金预算财政拨款收入支出决算表</w:t>
      </w:r>
    </w:p>
    <w:p>
      <w:pPr>
        <w:pStyle w:val="2"/>
        <w:keepNext/>
        <w:keepLines/>
        <w:pageBreakBefore w:val="0"/>
        <w:widowControl w:val="0"/>
        <w:suppressLineNumbers w:val="0"/>
        <w:suppressAutoHyphens w:val="0"/>
        <w:bidi w:val="0"/>
        <w:spacing w:line="415" w:lineRule="auto"/>
        <w:rPr>
          <w:rFonts w:hint="eastAsia"/>
        </w:rPr>
      </w:pPr>
      <w:bookmarkStart w:id="67" w:name="_Toc15396629"/>
      <w:r>
        <w:rPr>
          <w:rFonts w:hint="eastAsia"/>
        </w:rPr>
        <w:t>十一、</w:t>
      </w:r>
      <w:bookmarkEnd w:id="67"/>
      <w:r>
        <w:rPr>
          <w:rFonts w:hint="eastAsia"/>
        </w:rPr>
        <w:t>国有资本经营预算财政拨款收入支出决算表</w:t>
      </w:r>
    </w:p>
    <w:p>
      <w:pPr>
        <w:pStyle w:val="2"/>
        <w:keepNext/>
        <w:keepLines/>
        <w:pageBreakBefore w:val="0"/>
        <w:widowControl w:val="0"/>
        <w:suppressLineNumbers w:val="0"/>
        <w:suppressAutoHyphens w:val="0"/>
        <w:bidi w:val="0"/>
        <w:spacing w:line="415" w:lineRule="auto"/>
        <w:rPr>
          <w:rFonts w:hint="eastAsia"/>
        </w:rPr>
      </w:pPr>
      <w:bookmarkStart w:id="68" w:name="_Toc15396630"/>
      <w:r>
        <w:rPr>
          <w:rFonts w:hint="eastAsia"/>
        </w:rPr>
        <w:t>十二、</w:t>
      </w:r>
      <w:bookmarkEnd w:id="68"/>
      <w:r>
        <w:rPr>
          <w:rFonts w:hint="eastAsia"/>
        </w:rPr>
        <w:t>国有资本经营预算财政拨款支出决算表</w:t>
      </w:r>
    </w:p>
    <w:p>
      <w:pPr>
        <w:pStyle w:val="2"/>
        <w:keepNext/>
        <w:keepLines/>
        <w:pageBreakBefore w:val="0"/>
        <w:widowControl w:val="0"/>
        <w:suppressLineNumbers w:val="0"/>
        <w:suppressAutoHyphens w:val="0"/>
        <w:rPr>
          <w:rFonts w:hint="eastAsia"/>
        </w:rPr>
      </w:pPr>
      <w:bookmarkStart w:id="69" w:name="_Toc15396631"/>
      <w:r>
        <w:rPr>
          <w:rFonts w:hint="eastAsia"/>
        </w:rPr>
        <w:t>十三、</w:t>
      </w:r>
      <w:bookmarkEnd w:id="69"/>
      <w:r>
        <w:rPr>
          <w:rFonts w:hint="eastAsia"/>
        </w:rPr>
        <w:t>财政拨款“三公”经费支出决算表</w:t>
      </w:r>
    </w:p>
    <w:sectPr>
      <w:footerReference w:type="default" r:id="rId4"/>
      <w:footerReference w:type="first" r:id="rId5"/>
      <w:pgSz w:w="11906" w:h="16838"/>
      <w:pgMar w:top="1440" w:right="1800" w:bottom="1440" w:left="1800" w:header="851" w:footer="992" w:gutter="0"/>
      <w:pgNumType w:fmt="numberInDash" w:start="1"/>
      <w:titlePg/>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altName w:val="DejaVu Sans"/>
    <w:panose1 w:val="02020603050405020304"/>
    <w:charset w:val="01"/>
    <w:family w:val="auto"/>
    <w:pitch w:val="variable"/>
    <w:sig w:usb0="00000000" w:usb1="00000000" w:usb2="00000009" w:usb3="00000000" w:csb0="400001FF" w:csb1="FFFF0000"/>
  </w:font>
  <w:font w:name="方正小标宋简体">
    <w:panose1 w:val="02000000000000000000"/>
    <w:charset w:val="86"/>
    <w:family w:val="script"/>
    <w:pitch w:val="variable"/>
    <w:sig w:usb0="A00002BF" w:usb1="184F6CFA" w:usb2="00000012" w:usb3="00000000" w:csb0="00040001" w:csb1="00000000"/>
  </w:font>
  <w:font w:name="方正黑体_GBK">
    <w:panose1 w:val="02000000000000000000"/>
    <w:charset w:val="86"/>
    <w:family w:val="auto"/>
    <w:pitch w:val="variable"/>
    <w:sig w:usb0="A00002BF" w:usb1="38CF7CFA" w:usb2="00082016" w:usb3="00000000" w:csb0="00040001" w:csb1="00000000"/>
  </w:font>
  <w:font w:name="仿宋_GB2312">
    <w:panose1 w:val="02010609030101010101"/>
    <w:charset w:val="86"/>
    <w:family w:val="modern"/>
    <w:pitch w:val="variable"/>
    <w:sig w:usb0="00000001" w:usb1="080E0000" w:usb2="00000000" w:usb3="00000000" w:csb0="00040000" w:csb1="00000000"/>
  </w:font>
  <w:font w:name="黑体">
    <w:altName w:val="方正黑体_GBK"/>
    <w:panose1 w:val="02010609060101010101"/>
    <w:charset w:val="86"/>
    <w:family w:val="auto"/>
    <w:pitch w:val="variable"/>
    <w:sig w:usb0="800002BF" w:usb1="38CF7CFA" w:usb2="00000016" w:usb3="00000000" w:csb0="00040001" w:csb1="00000000"/>
  </w:font>
  <w:font w:name="Arial">
    <w:altName w:val="DejaVu Sans"/>
    <w:panose1 w:val="020B0604020202020204"/>
    <w:charset w:val="01"/>
    <w:family w:val="swiss"/>
    <w:pitch w:val="variable"/>
    <w:sig w:usb0="E0002AFF" w:usb1="C0007843" w:usb2="00000009" w:usb3="00000000" w:csb0="400001FF" w:csb1="FFFF0000"/>
  </w:font>
  <w:font w:name="仿宋">
    <w:altName w:val="方正仿宋_GBK"/>
    <w:panose1 w:val="02010609060101010101"/>
    <w:charset w:val="86"/>
    <w:family w:val="modern"/>
    <w:pitch w:val="variable"/>
    <w:sig w:usb0="00000000" w:usb1="00000000" w:usb2="00000016" w:usb3="00000000" w:csb0="00040001" w:csb1="00000000"/>
  </w:font>
  <w:font w:name="楷体_GB2312">
    <w:panose1 w:val="02010609030101010101"/>
    <w:charset w:val="86"/>
    <w:family w:val="auto"/>
    <w:pitch w:val="variable"/>
    <w:sig w:usb0="00000001" w:usb1="080E0000" w:usb2="00000000" w:usb3="00000000" w:csb0="00040000" w:csb1="00000000"/>
  </w:font>
  <w:font w:name="方正小标宋_GBK">
    <w:panose1 w:val="02000000000000000000"/>
    <w:charset w:val="86"/>
    <w:family w:val="script"/>
    <w:pitch w:val="variable"/>
    <w:sig w:usb0="A00002BF" w:usb1="38CF7CFA" w:usb2="00082016" w:usb3="00000000" w:csb0="00040001" w:csb1="00000000"/>
  </w:font>
  <w:font w:name="方正楷体_GBK">
    <w:panose1 w:val="02000000000000000000"/>
    <w:charset w:val="86"/>
    <w:family w:val="script"/>
    <w:pitch w:val="variable"/>
    <w:sig w:usb0="00000001" w:usb1="08000000" w:usb2="00000000" w:usb3="00000000" w:csb0="00040000" w:csb1="00000000"/>
  </w:font>
  <w:font w:name="方正仿宋_GBK">
    <w:panose1 w:val="02000000000000000000"/>
    <w:charset w:val="86"/>
    <w:family w:val="auto"/>
    <w:pitch w:val="variable"/>
    <w:sig w:usb0="00000001" w:usb1="08000000" w:usb2="00000000" w:usb3="00000000" w:csb0="00040000" w:csb1="00000000"/>
  </w:font>
  <w:font w:name="宋体">
    <w:altName w:val="方正书宋_GBK"/>
    <w:panose1 w:val="00000000000000000000"/>
    <w:charset w:val="00"/>
    <w:family w:val="auto"/>
    <w:pitch w:val="variable"/>
    <w:sig w:usb0="00000000" w:usb1="00000000" w:usb2="00000000" w:usb3="00000000" w:csb0="00000000" w:csb1="00000000"/>
  </w:font>
  <w:font w:name="Lucida Sans">
    <w:altName w:val="仿宋_GB2312"/>
    <w:panose1 w:val="00000000000000000000"/>
    <w:charset w:val="01"/>
    <w:family w:val="auto"/>
    <w:pitch w:val="variable"/>
    <w:sig w:usb0="00000000" w:usb1="00000000" w:usb2="00000000" w:usb3="00000000" w:csb0="00000000" w:csb1="00000000"/>
  </w:font>
  <w:font w:name="微软雅黑">
    <w:altName w:val="方正黑体_GBK"/>
    <w:panose1 w:val="020B0503020204020204"/>
    <w:charset w:val="86"/>
    <w:family w:val="auto"/>
    <w:pitch w:val="variable"/>
    <w:sig w:usb0="00000000" w:usb1="00000000" w:usb2="00000016" w:usb3="00000000" w:csb0="0004001F" w:csb1="00000000"/>
  </w:font>
  <w:font w:name="SimSun">
    <w:panose1 w:val="00000000000000000000"/>
    <w:charset w:val="00"/>
    <w:family w:val="auto"/>
    <w:pitch w:val="variable"/>
    <w:sig w:usb0="00000000" w:usb1="00000000" w:usb2="00000000" w:usb3="00000000" w:csb0="00000000" w:csb1="00000000"/>
  </w:font>
  <w:font w:name="simhei">
    <w:altName w:val="DejaVu Sans"/>
    <w:panose1 w:val="00000000000000000000"/>
    <w:charset w:val="00"/>
    <w:family w:val="auto"/>
    <w:pitch w:val="variable"/>
    <w:sig w:usb0="00000000" w:usb1="00000000" w:usb2="00000000" w:usb3="00000000" w:csb0="00000000" w:csb1="00000000"/>
  </w:font>
  <w:font w:name="Cambria">
    <w:altName w:val="Noto Sans Syriac Eastern"/>
    <w:panose1 w:val="02040503050406030204"/>
    <w:charset w:val="00"/>
    <w:family w:val="roman"/>
    <w:pitch w:val="variable"/>
    <w:sig w:usb0="00000000" w:usb1="00000000" w:usb2="02000000" w:usb3="00000000" w:csb0="2000019F" w:csb1="00000000"/>
  </w:font>
  <w:font w:name="Calibri">
    <w:altName w:val="DejaVu Sans"/>
    <w:panose1 w:val="020F0502020204030204"/>
    <w:charset w:val="00"/>
    <w:family w:val="swiss"/>
    <w:pitch w:val="variable"/>
    <w:sig w:usb0="00000000" w:usb1="00000000" w:usb2="00000001" w:usb3="00000000" w:csb0="0000019F" w:csb1="00000000"/>
  </w:font>
  <w:font w:name="??">
    <w:altName w:val="仿宋_GB2312"/>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tabs>
        <w:tab w:val="center" w:pos="4153"/>
        <w:tab w:val="right" w:pos="8306"/>
      </w:tabs>
      <w:jc w:val="center"/>
    </w:pPr>
  </w:p>
  <w:p>
    <w:pPr>
      <w:pStyle w:val="21"/>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tabs>
        <w:tab w:val="center" w:pos="4153"/>
        <w:tab w:val="right" w:pos="8306"/>
      </w:tabs>
      <w:jc w:val="center"/>
    </w:pPr>
  </w:p>
  <w:p>
    <w:pPr>
      <w:pStyle w:val="21"/>
      <w:tabs>
        <w:tab w:val="center" w:pos="4153"/>
        <w:tab w:val="right" w:pos="8306"/>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tabs>
        <w:tab w:val="center" w:pos="4153"/>
        <w:tab w:val="right" w:pos="8306"/>
      </w:tabs>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FDCF1AF8"/>
    <w:multiLevelType w:val="singleLevel"/>
    <w:tmpl w:val="FDCF1AF8"/>
    <w:lvl w:ilvl="0">
      <w:start w:val="1"/>
      <w:numFmt w:val="chineseCounting"/>
      <w:lvlRestart w:val="0"/>
      <w:suff w:val="nothing"/>
      <w:lvlText w:val="%1、"/>
      <w:lvlJc w:val="left"/>
      <w:pPr>
        <w:ind w:left="0" w:hanging="0"/>
      </w:pPr>
      <w:rPr>
        <w:rFonts w:hint="eastAsia"/>
      </w:rPr>
    </w:lvl>
  </w:abstractNum>
  <w:abstractNum w:abstractNumId="1">
    <w:nsid w:val="62621CDC"/>
    <w:multiLevelType w:val="multilevel"/>
    <w:tmpl w:val="62621CDC"/>
    <w:lvl w:ilvl="0">
      <w:start w:val="1"/>
      <w:numFmt w:val="decimal"/>
      <w:lvlRestart w:val="0"/>
      <w:lvlText w:val="%1."/>
      <w:lvlJc w:val="left"/>
      <w:pPr>
        <w:ind w:left="1152" w:hanging="480"/>
      </w:pPr>
      <w:rPr>
        <w:rFonts w:hint="default"/>
      </w:rPr>
    </w:lvl>
    <w:lvl w:ilvl="1">
      <w:start w:val="1"/>
      <w:numFmt w:val="lowerLetter"/>
      <w:lvlText w:val="%2)"/>
      <w:lvlJc w:val="left"/>
      <w:pPr>
        <w:ind w:left="1512" w:hanging="420"/>
      </w:pPr>
    </w:lvl>
    <w:lvl w:ilvl="2">
      <w:start w:val="1"/>
      <w:numFmt w:val="lowerRoman"/>
      <w:lvlText w:val="%3."/>
      <w:lvlJc w:val="right"/>
      <w:pPr>
        <w:ind w:left="1932" w:hanging="420"/>
      </w:pPr>
    </w:lvl>
    <w:lvl w:ilvl="3">
      <w:start w:val="1"/>
      <w:numFmt w:val="decimal"/>
      <w:lvlText w:val="%4."/>
      <w:lvlJc w:val="left"/>
      <w:pPr>
        <w:ind w:left="2352" w:hanging="420"/>
      </w:pPr>
    </w:lvl>
    <w:lvl w:ilvl="4">
      <w:start w:val="1"/>
      <w:numFmt w:val="lowerLetter"/>
      <w:lvlText w:val="%5)"/>
      <w:lvlJc w:val="left"/>
      <w:pPr>
        <w:ind w:left="2772" w:hanging="420"/>
      </w:pPr>
    </w:lvl>
    <w:lvl w:ilvl="5">
      <w:start w:val="1"/>
      <w:numFmt w:val="lowerRoman"/>
      <w:lvlText w:val="%6."/>
      <w:lvlJc w:val="right"/>
      <w:pPr>
        <w:ind w:left="3192" w:hanging="420"/>
      </w:pPr>
    </w:lvl>
    <w:lvl w:ilvl="6">
      <w:start w:val="1"/>
      <w:numFmt w:val="decimal"/>
      <w:lvlText w:val="%7."/>
      <w:lvlJc w:val="left"/>
      <w:pPr>
        <w:ind w:left="3612" w:hanging="420"/>
      </w:pPr>
    </w:lvl>
    <w:lvl w:ilvl="7">
      <w:start w:val="1"/>
      <w:numFmt w:val="lowerLetter"/>
      <w:lvlText w:val="%8)"/>
      <w:lvlJc w:val="left"/>
      <w:pPr>
        <w:ind w:left="4032" w:hanging="420"/>
      </w:pPr>
    </w:lvl>
    <w:lvl w:ilvl="8">
      <w:start w:val="1"/>
      <w:numFmt w:val="lowerRoman"/>
      <w:lvlText w:val="%9."/>
      <w:lvlJc w:val="right"/>
      <w:pPr>
        <w:ind w:left="4452" w:hanging="420"/>
      </w:pPr>
    </w:lvl>
  </w:abstractNum>
  <w:abstractNum w:abstractNumId="2">
    <w:nsid w:val="31F9C2CA"/>
    <w:multiLevelType w:val="multilevel"/>
    <w:tmpl w:val="31F9C2CA"/>
    <w:lvl w:ilvl="0">
      <w:start w:val="1"/>
      <w:numFmt w:val="decimal"/>
      <w:lvlRestart w:val="0"/>
      <w:lvlText w:val="%1."/>
      <w:lvlJc w:val="left"/>
      <w:pPr>
        <w:ind w:left="1000" w:hanging="360"/>
      </w:p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0"/>
  </w:num>
  <w:num w:numId="2">
    <w:abstractNumId w:val="1"/>
  </w:num>
  <w:num w:numId="3">
    <w:abstractNumId w:val="2"/>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86"/>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note text"/>
    <w:basedOn w:val="0"/>
    <w:next w:val="17"/>
    <w:pPr>
      <w:snapToGrid w:val="0"/>
      <w:jc w:val="left"/>
    </w:pPr>
    <w:rPr>
      <w:sz w:val="18"/>
      <w:szCs w:val="18"/>
    </w:rPr>
  </w:style>
  <w:style w:type="paragraph" w:styleId="16">
    <w:name w:val="Body Text Indent"/>
    <w:basedOn w:val="0"/>
    <w:next w:val="17"/>
    <w:pPr>
      <w:spacing w:after="120"/>
      <w:ind w:leftChars="200" w:left="200"/>
    </w:pPr>
    <w:rPr>
      <w:rFonts w:ascii="仿宋_GB2312" w:hAnsi="仿宋_GB2312"/>
      <w:szCs w:val="32"/>
    </w:rPr>
  </w:style>
  <w:style w:type="paragraph" w:styleId="17">
    <w:name w:val="Body Text First Indent 2"/>
    <w:basedOn w:val="16"/>
    <w:pPr>
      <w:ind w:firstLineChars="200" w:firstLine="200"/>
    </w:pPr>
  </w:style>
  <w:style w:type="paragraph" w:styleId="18">
    <w:name w:val="Body Text"/>
    <w:basedOn w:val="0"/>
    <w:pPr>
      <w:spacing w:beforeLines="30" w:before="30"/>
    </w:pPr>
    <w:rPr>
      <w:rFonts w:ascii="仿宋_GB2312" w:eastAsia="仿宋_GB2312"/>
      <w:kern w:val="0"/>
      <w:sz w:val="30"/>
    </w:rPr>
  </w:style>
  <w:style w:type="paragraph" w:styleId="19">
    <w:name w:val="toc 3"/>
    <w:basedOn w:val="0"/>
    <w:next w:val="0"/>
    <w:pPr>
      <w:tabs>
        <w:tab w:val="right" w:leader="dot" w:pos="8296"/>
      </w:tabs>
      <w:ind w:leftChars="400" w:left="400"/>
    </w:pPr>
  </w:style>
  <w:style w:type="paragraph" w:styleId="20">
    <w:name w:val="Balloon Text"/>
    <w:basedOn w:val="0"/>
    <w:rPr>
      <w:sz w:val="18"/>
      <w:szCs w:val="18"/>
    </w:rPr>
  </w:style>
  <w:style w:type="paragraph" w:styleId="21">
    <w:name w:val="footer"/>
    <w:basedOn w:val="0"/>
    <w:pPr>
      <w:tabs>
        <w:tab w:val="center" w:pos="4153"/>
        <w:tab w:val="right" w:pos="8306"/>
      </w:tabs>
      <w:snapToGrid w:val="0"/>
      <w:jc w:val="left"/>
    </w:pPr>
    <w:rPr>
      <w:rFonts w:ascii="Calibri" w:hAnsi="Calibri"/>
      <w:kern w:val="0"/>
      <w:sz w:val="18"/>
      <w:szCs w:val="18"/>
    </w:rPr>
  </w:style>
  <w:style w:type="paragraph" w:styleId="22">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3">
    <w:name w:val="toc 1"/>
    <w:basedOn w:val="0"/>
    <w:next w:val="0"/>
    <w:pPr>
      <w:tabs>
        <w:tab w:val="right" w:leader="dot" w:pos="8296"/>
      </w:tabs>
      <w:spacing w:before="93"/>
      <w:jc w:val="center"/>
    </w:pPr>
    <w:rPr>
      <w:rFonts w:ascii="仿宋" w:eastAsia="仿宋"/>
      <w:sz w:val="28"/>
      <w:szCs w:val="28"/>
    </w:rPr>
  </w:style>
  <w:style w:type="paragraph" w:styleId="24">
    <w:name w:val="toc 2"/>
    <w:basedOn w:val="0"/>
    <w:next w:val="0"/>
    <w:pPr>
      <w:tabs>
        <w:tab w:val="right" w:leader="dot" w:pos="8296"/>
      </w:tabs>
      <w:ind w:leftChars="200" w:left="200"/>
    </w:pPr>
  </w:style>
  <w:style w:type="character" w:styleId="25">
    <w:name w:val="Strong"/>
    <w:basedOn w:val="10"/>
    <w:rPr>
      <w:b/>
    </w:rPr>
  </w:style>
  <w:style w:type="character" w:styleId="26">
    <w:name w:val="Hyperlink"/>
    <w:basedOn w:val="10"/>
    <w:rPr>
      <w:color w:val="0000FF"/>
      <w:u w:val="single"/>
    </w:rPr>
  </w:style>
  <w:style w:type="paragraph" w:customStyle="1" w:styleId="27">
    <w:name w:val="标题 5（有编号）（绿盟科技）"/>
    <w:next w:val="0"/>
    <w:pPr>
      <w:keepNext/>
      <w:keepLines/>
      <w:widowControl w:val="0"/>
      <w:spacing w:before="280" w:after="156" w:line="377" w:lineRule="auto"/>
      <w:jc w:val="left"/>
      <w:outlineLvl w:val="4"/>
    </w:pPr>
    <w:rPr>
      <w:rFonts w:ascii="Arial" w:eastAsia="黑体" w:cs="Times New Roman" w:hAnsi="Arial"/>
      <w:b/>
      <w:kern w:val="2"/>
      <w:sz w:val="24"/>
      <w:szCs w:val="28"/>
      <w:lang w:val="en-US" w:eastAsia="zh-CN" w:bidi="ar-SA"/>
    </w:rPr>
  </w:style>
  <w:style w:type="character" w:customStyle="1" w:styleId="28">
    <w:name w:val="Header Char"/>
    <w:basedOn w:val="10"/>
    <w:rPr>
      <w:rFonts w:ascii="Times New Roman" w:hAnsi="Times New Roman"/>
      <w:sz w:val="18"/>
      <w:szCs w:val="18"/>
    </w:rPr>
  </w:style>
  <w:style w:type="character" w:customStyle="1" w:styleId="29">
    <w:name w:val="Footer Char"/>
    <w:basedOn w:val="10"/>
    <w:rPr>
      <w:rFonts w:ascii="Times New Roman" w:hAnsi="Times New Roman"/>
      <w:sz w:val="18"/>
      <w:szCs w:val="18"/>
    </w:rPr>
  </w:style>
  <w:style w:type="character" w:customStyle="1" w:styleId="30">
    <w:name w:val="Body Text Char"/>
    <w:basedOn w:val="10"/>
    <w:rPr>
      <w:rFonts w:ascii="Times New Roman" w:hAnsi="Times New Roman"/>
      <w:szCs w:val="24"/>
    </w:rPr>
  </w:style>
  <w:style w:type="paragraph" w:customStyle="1" w:styleId="31">
    <w:name w:val="Default"/>
    <w:pPr>
      <w:widowControl w:val="0"/>
      <w:autoSpaceDE w:val="0"/>
      <w:autoSpaceDN w:val="0"/>
      <w:adjustRightInd w:val="0"/>
    </w:pPr>
    <w:rPr>
      <w:rFonts w:ascii="仿宋" w:eastAsia="仿宋" w:cs="仿宋"/>
      <w:color w:val="000000"/>
      <w:sz w:val="24"/>
      <w:szCs w:val="24"/>
      <w:lang w:val="en-US" w:eastAsia="zh-CN" w:bidi="ar-SA"/>
    </w:rPr>
  </w:style>
  <w:style w:type="paragraph" w:styleId="32">
    <w:name w:val="List Paragraph"/>
    <w:basedOn w:val="0"/>
    <w:pPr>
      <w:ind w:firstLineChars="200" w:firstLine="200"/>
    </w:pPr>
  </w:style>
  <w:style w:type="paragraph" w:customStyle="1" w:styleId="33">
    <w:name w:val="TOC 标题1"/>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4">
    <w:name w:val="TOC Heading"/>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5">
    <w:name w:val="四号正文"/>
    <w:basedOn w:val="0"/>
    <w:pPr>
      <w:spacing w:line="360" w:lineRule="auto"/>
    </w:pPr>
    <w:rPr>
      <w:rFonts w:ascii="??" w:eastAsia="宋体" w:hAnsi="??"/>
      <w:color w:val="000000"/>
      <w:kern w:val="0"/>
      <w:sz w:val="28"/>
      <w:szCs w:val="21"/>
      <w:lang w:val="zh-CN" w:eastAsia="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image" Target="media/2.bmp"/><Relationship Id="rId7" Type="http://schemas.openxmlformats.org/officeDocument/2006/relationships/image" Target="media/5.png"/><Relationship Id="rId8" Type="http://schemas.openxmlformats.org/officeDocument/2006/relationships/image" Target="media/8.png"/><Relationship Id="rId9" Type="http://schemas.openxmlformats.org/officeDocument/2006/relationships/image" Target="media/11.bmp"/><Relationship Id="rId10" Type="http://schemas.openxmlformats.org/officeDocument/2006/relationships/image" Target="media/14.bmp"/><Relationship Id="rId11" Type="http://schemas.openxmlformats.org/officeDocument/2006/relationships/chart" Target="charts/chart1.xml"/><Relationship Id="rId12" Type="http://schemas.openxmlformats.org/officeDocument/2006/relationships/image" Target="media/18.bmp"/><Relationship Id="rId13" Type="http://schemas.openxmlformats.org/officeDocument/2006/relationships/styles" Target="styles.xml"/><Relationship Id="rId14" Type="http://schemas.openxmlformats.org/officeDocument/2006/relationships/numbering" Target="numbering.xml"/><Relationship Id="rId15"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595959"/>
                </a:solidFill>
                <a:latin typeface="Times New Roman"/>
                <a:ea typeface="宋体"/>
                <a:cs typeface="Lucida Sans"/>
              </a:defRPr>
            </a:pPr>
            <a:r>
              <a:rPr lang="zh-CN"/>
              <a:t>一般公共预算财政拨款支出决算结构</a:t>
            </a:r>
          </a:p>
        </c:rich>
      </c:tx>
      <c:layout>
        <c:manualLayout>
          <c:xMode val="edge"/>
          <c:yMode val="edge"/>
          <c:x val="0.21222222"/>
          <c:y val="0.048611112"/>
        </c:manualLayout>
      </c:layout>
      <c:overlay val="0"/>
      <c:spPr>
        <a:noFill/>
        <a:ln>
          <a:noFill/>
        </a:ln>
      </c:spPr>
    </c:title>
    <c:autoTitleDeleted val="1"/>
    <c:plotArea>
      <c:layout/>
      <c:pieChart>
        <c:varyColors val="1"/>
        <c:ser>
          <c:idx val="0"/>
          <c:order val="0"/>
          <c:spPr>
            <a:solidFill>
              <a:srgbClr val="4F81BD"/>
            </a:solidFill>
            <a:ln>
              <a:noFill/>
            </a:ln>
          </c:spPr>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Pt>
            <c:idx val="2"/>
            <c:bubble3D val="0"/>
            <c:spPr>
              <a:solidFill>
                <a:srgbClr val="9BBB59"/>
              </a:solidFill>
              <a:ln w="19050">
                <a:solidFill>
                  <a:srgbClr val="FFFFFF"/>
                </a:solidFill>
                <a:prstDash val="solid"/>
              </a:ln>
            </c:spPr>
          </c:dPt>
          <c:dPt>
            <c:idx val="3"/>
            <c:bubble3D val="0"/>
            <c:spPr>
              <a:solidFill>
                <a:srgbClr val="8064A2"/>
              </a:solidFill>
              <a:ln w="19050">
                <a:solidFill>
                  <a:srgbClr val="FFFFFF"/>
                </a:solidFill>
                <a:prstDash val="solid"/>
              </a:ln>
            </c:spPr>
          </c:dPt>
          <c:dLbls>
            <c:dLbl>
              <c:idx val="0"/>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elete val="1"/>
            </c:dLbl>
            <c:dLbl>
              <c:idx val="1"/>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elete val="1"/>
            </c:dLbl>
            <c:dLbl>
              <c:idx val="2"/>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elete val="1"/>
            </c:dLbl>
            <c:dLbl>
              <c:idx val="3"/>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elete val="1"/>
            </c:dLbl>
            <c:showLegendKey val="0"/>
            <c:showVal val="0"/>
            <c:showCatName val="0"/>
            <c:showSerName val="0"/>
            <c:showPercent val="0"/>
            <c:showBubbleSize val="0"/>
            <c:showLeaderLines val="0"/>
          </c:dLbls>
          <c:cat>
            <c:strLit>
              <c:ptCount val="4"/>
              <c:pt idx="0">
                <c:v>一般公共服务支出</c:v>
              </c:pt>
              <c:pt idx="1">
                <c:v>社会保障和就业支出</c:v>
              </c:pt>
              <c:pt idx="2">
                <c:v>卫生健康支出</c:v>
              </c:pt>
              <c:pt idx="3">
                <c:v>住房保障支出</c:v>
              </c:pt>
            </c:strLit>
          </c:cat>
          <c:val>
            <c:numRef>
              <c:f/>
              <c:numCache>
                <c:formatCode>General</c:formatCode>
                <c:ptCount val="4"/>
                <c:pt idx="0">
                  <c:v>342.84</c:v>
                </c:pt>
                <c:pt idx="1">
                  <c:v>17.05</c:v>
                </c:pt>
                <c:pt idx="2">
                  <c:v>7.25</c:v>
                </c:pt>
                <c:pt idx="3">
                  <c:v>10.28</c:v>
                </c:pt>
              </c:numCache>
            </c:numRef>
          </c:val>
        </c:ser>
        <c:firstSliceAng val="0"/>
      </c:pieChart>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docProps/app.xml><?xml version="1.0" encoding="utf-8"?>
<Properties xmlns="http://schemas.openxmlformats.org/officeDocument/2006/extended-properties">
  <Template>Normal.eit</Template>
  <TotalTime>35</TotalTime>
  <Application>Yozo_Office27021597764231179</Application>
  <Pages>54</Pages>
  <Words>20346</Words>
  <Characters>22494</Characters>
  <Lines>3423</Lines>
  <Paragraphs>1246</Paragraphs>
  <CharactersWithSpaces>22607</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user</cp:lastModifiedBy>
  <cp:revision>32</cp:revision>
  <cp:lastPrinted>2025-08-07T17:34:00Z</cp:lastPrinted>
  <dcterms:created xsi:type="dcterms:W3CDTF">2020-08-10T09:49:00Z</dcterms:created>
  <dcterms:modified xsi:type="dcterms:W3CDTF">2026-09-04T03:15:23Z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2052-11.8.2.1120</vt:lpwstr>
  </property>
  <property fmtid="{D5CDD505-2E9C-101B-9397-08002B2CF9AE}" pid="3" name="ICV">
    <vt:lpwstr>04787F2533EB45DC91BCDE4AB213247F</vt:lpwstr>
  </property>
  <property fmtid="{D5CDD505-2E9C-101B-9397-08002B2CF9AE}" pid="4" name="KSOTemplateDocerSaveRecord">
    <vt:lpwstr>eyJoZGlkIjoiYzZkNDQzYTJlZGY5ZGQxNTU1ZjA3MDliODE1YjRhYzkiLCJ1c2VySWQiOiI0NDE1OTg5NTQifQ==</vt:lpwstr>
  </property>
</Properties>
</file>